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560C05E4" w14:textId="77777777" w:rsidTr="00B14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905978B"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76938390"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142B23E0" w14:textId="77777777" w:rsidR="004B14D0" w:rsidRPr="004B14D0" w:rsidRDefault="004B14D0" w:rsidP="00565D22">
            <w:pPr>
              <w:rPr>
                <w:color w:val="150399"/>
                <w:sz w:val="28"/>
                <w:szCs w:val="28"/>
              </w:rPr>
            </w:pPr>
          </w:p>
        </w:tc>
      </w:tr>
      <w:tr w:rsidR="005B1BBE" w:rsidRPr="002C2079" w14:paraId="20AEAA64" w14:textId="77777777" w:rsidTr="00B14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64ADA8A"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5B1BBE" w:rsidRPr="002C2079" w14:paraId="411B3B4A" w14:textId="77777777" w:rsidTr="0079700F">
        <w:trPr>
          <w:trHeight w:val="360"/>
        </w:trPr>
        <w:tc>
          <w:tcPr>
            <w:tcW w:w="4788" w:type="dxa"/>
          </w:tcPr>
          <w:p w14:paraId="67CB7207" w14:textId="77777777" w:rsidR="005B1BBE" w:rsidRPr="002C2079" w:rsidRDefault="005B1BBE" w:rsidP="005B1BBE">
            <w:pPr>
              <w:tabs>
                <w:tab w:val="left" w:pos="7050"/>
              </w:tabs>
              <w:rPr>
                <w:rFonts w:asciiTheme="majorHAnsi" w:hAnsiTheme="majorHAnsi"/>
              </w:rPr>
            </w:pPr>
          </w:p>
        </w:tc>
        <w:tc>
          <w:tcPr>
            <w:tcW w:w="4770" w:type="dxa"/>
          </w:tcPr>
          <w:p w14:paraId="02E25D20" w14:textId="77777777" w:rsidR="005B1BBE" w:rsidRPr="002C2079" w:rsidRDefault="005B1BBE" w:rsidP="005B1BBE">
            <w:pPr>
              <w:tabs>
                <w:tab w:val="left" w:pos="7050"/>
              </w:tabs>
              <w:rPr>
                <w:rFonts w:asciiTheme="majorHAnsi" w:hAnsiTheme="majorHAnsi"/>
              </w:rPr>
            </w:pPr>
          </w:p>
        </w:tc>
      </w:tr>
      <w:tr w:rsidR="005B1BBE" w:rsidRPr="002C2079" w14:paraId="12DDC243" w14:textId="77777777" w:rsidTr="0079700F">
        <w:tc>
          <w:tcPr>
            <w:tcW w:w="4788" w:type="dxa"/>
          </w:tcPr>
          <w:p w14:paraId="4CBE553C"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3CD8B6FD" w14:textId="77777777" w:rsidR="005B1BBE" w:rsidRPr="002C2079" w:rsidRDefault="005B1BBE" w:rsidP="005B1BBE">
            <w:pPr>
              <w:tabs>
                <w:tab w:val="left" w:pos="7050"/>
              </w:tabs>
              <w:rPr>
                <w:rFonts w:asciiTheme="majorHAnsi" w:hAnsiTheme="majorHAnsi"/>
              </w:rPr>
            </w:pPr>
          </w:p>
        </w:tc>
        <w:tc>
          <w:tcPr>
            <w:tcW w:w="4770" w:type="dxa"/>
          </w:tcPr>
          <w:p w14:paraId="60F0D9BB" w14:textId="77777777" w:rsidR="005B1BBE" w:rsidRPr="002C2079" w:rsidRDefault="00A72F9D" w:rsidP="005B1BBE">
            <w:pPr>
              <w:tabs>
                <w:tab w:val="left" w:pos="7050"/>
              </w:tabs>
              <w:rPr>
                <w:rFonts w:asciiTheme="majorHAnsi" w:hAnsiTheme="majorHAnsi"/>
              </w:rPr>
            </w:pPr>
            <w:r w:rsidRPr="00A72F9D">
              <w:rPr>
                <w:rFonts w:asciiTheme="majorHAnsi" w:hAnsiTheme="majorHAnsi"/>
              </w:rPr>
              <w:t xml:space="preserve">Research Credit </w:t>
            </w:r>
          </w:p>
        </w:tc>
      </w:tr>
      <w:tr w:rsidR="005B1BBE" w:rsidRPr="002C2079" w14:paraId="6FE7FCC3" w14:textId="77777777" w:rsidTr="0079700F">
        <w:tc>
          <w:tcPr>
            <w:tcW w:w="4788" w:type="dxa"/>
          </w:tcPr>
          <w:p w14:paraId="60724A52"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1B9A1EA8" w14:textId="77777777" w:rsidR="005B1BBE" w:rsidRPr="002C2079" w:rsidRDefault="005B1BBE" w:rsidP="005B1BBE">
            <w:pPr>
              <w:tabs>
                <w:tab w:val="left" w:pos="7050"/>
              </w:tabs>
              <w:rPr>
                <w:rFonts w:asciiTheme="majorHAnsi" w:hAnsiTheme="majorHAnsi"/>
              </w:rPr>
            </w:pPr>
          </w:p>
        </w:tc>
        <w:tc>
          <w:tcPr>
            <w:tcW w:w="4770" w:type="dxa"/>
          </w:tcPr>
          <w:p w14:paraId="0296D7F8" w14:textId="77777777" w:rsidR="005B1BBE" w:rsidRPr="002C2079" w:rsidRDefault="005B1BBE" w:rsidP="005B1BBE">
            <w:pPr>
              <w:tabs>
                <w:tab w:val="left" w:pos="7050"/>
              </w:tabs>
              <w:rPr>
                <w:rFonts w:asciiTheme="majorHAnsi" w:hAnsiTheme="majorHAnsi"/>
              </w:rPr>
            </w:pPr>
            <w:r w:rsidRPr="002C2079">
              <w:rPr>
                <w:rFonts w:asciiTheme="majorHAnsi" w:hAnsiTheme="majorHAnsi"/>
              </w:rPr>
              <w:t>2.6</w:t>
            </w:r>
            <w:r w:rsidR="00A72F9D">
              <w:rPr>
                <w:rFonts w:asciiTheme="majorHAnsi" w:hAnsiTheme="majorHAnsi"/>
              </w:rPr>
              <w:t>0</w:t>
            </w:r>
            <w:r w:rsidRPr="002C2079">
              <w:rPr>
                <w:rFonts w:asciiTheme="majorHAnsi" w:hAnsiTheme="majorHAnsi"/>
              </w:rPr>
              <w:t>4</w:t>
            </w:r>
          </w:p>
        </w:tc>
      </w:tr>
      <w:tr w:rsidR="005B1BBE" w:rsidRPr="002C2079" w14:paraId="25136D62" w14:textId="77777777" w:rsidTr="0079700F">
        <w:tc>
          <w:tcPr>
            <w:tcW w:w="4788" w:type="dxa"/>
          </w:tcPr>
          <w:p w14:paraId="31D8C37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63CFC276" w14:textId="77777777" w:rsidR="005B1BBE" w:rsidRPr="002C2079" w:rsidRDefault="005B1BBE" w:rsidP="005B1BBE">
            <w:pPr>
              <w:tabs>
                <w:tab w:val="left" w:pos="7050"/>
              </w:tabs>
              <w:rPr>
                <w:rFonts w:asciiTheme="majorHAnsi" w:hAnsiTheme="majorHAnsi"/>
              </w:rPr>
            </w:pPr>
          </w:p>
        </w:tc>
        <w:tc>
          <w:tcPr>
            <w:tcW w:w="4770" w:type="dxa"/>
          </w:tcPr>
          <w:p w14:paraId="346409FA" w14:textId="77777777" w:rsidR="00A72F9D" w:rsidRDefault="005B1BBE" w:rsidP="00A72F9D">
            <w:pPr>
              <w:tabs>
                <w:tab w:val="left" w:pos="7050"/>
              </w:tabs>
              <w:rPr>
                <w:rFonts w:asciiTheme="majorHAnsi" w:hAnsiTheme="majorHAnsi"/>
              </w:rPr>
            </w:pPr>
            <w:r w:rsidRPr="002C2079">
              <w:rPr>
                <w:rFonts w:asciiTheme="majorHAnsi" w:hAnsiTheme="majorHAnsi"/>
              </w:rPr>
              <w:t xml:space="preserve">Credit against tax </w:t>
            </w:r>
            <w:r w:rsidRPr="002C2079">
              <w:rPr>
                <w:rFonts w:asciiTheme="majorHAnsi" w:hAnsiTheme="majorHAnsi"/>
                <w:i/>
              </w:rPr>
              <w:t>(</w:t>
            </w:r>
            <w:r w:rsidR="008C2341">
              <w:rPr>
                <w:rFonts w:asciiTheme="majorHAnsi" w:hAnsiTheme="majorHAnsi"/>
                <w:i/>
              </w:rPr>
              <w:t xml:space="preserve">corporate </w:t>
            </w:r>
            <w:r w:rsidRPr="002C2079">
              <w:rPr>
                <w:rFonts w:asciiTheme="majorHAnsi" w:hAnsiTheme="majorHAnsi"/>
                <w:i/>
              </w:rPr>
              <w:t>and business tax)</w:t>
            </w:r>
          </w:p>
          <w:p w14:paraId="7CDF7EE1" w14:textId="77777777" w:rsidR="005B1BBE" w:rsidRPr="002C2079" w:rsidRDefault="00A72F9D" w:rsidP="00A72F9D">
            <w:pPr>
              <w:tabs>
                <w:tab w:val="left" w:pos="7050"/>
              </w:tabs>
              <w:rPr>
                <w:rFonts w:asciiTheme="majorHAnsi" w:hAnsiTheme="majorHAnsi"/>
              </w:rPr>
            </w:pPr>
            <w:r w:rsidRPr="002C2079">
              <w:rPr>
                <w:rFonts w:asciiTheme="majorHAnsi" w:hAnsiTheme="majorHAnsi"/>
              </w:rPr>
              <w:t xml:space="preserve"> </w:t>
            </w:r>
          </w:p>
        </w:tc>
      </w:tr>
      <w:tr w:rsidR="005B1BBE" w:rsidRPr="002C2079" w14:paraId="35394951" w14:textId="77777777" w:rsidTr="0079700F">
        <w:tc>
          <w:tcPr>
            <w:tcW w:w="4788" w:type="dxa"/>
          </w:tcPr>
          <w:p w14:paraId="755814F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4F28B200" w14:textId="77777777" w:rsidR="005B1BBE" w:rsidRPr="002C2079" w:rsidRDefault="005B1BBE" w:rsidP="005B1BBE">
            <w:pPr>
              <w:tabs>
                <w:tab w:val="left" w:pos="7050"/>
              </w:tabs>
              <w:rPr>
                <w:rFonts w:asciiTheme="majorHAnsi" w:hAnsiTheme="majorHAnsi"/>
              </w:rPr>
            </w:pPr>
          </w:p>
        </w:tc>
        <w:tc>
          <w:tcPr>
            <w:tcW w:w="4770" w:type="dxa"/>
          </w:tcPr>
          <w:p w14:paraId="6741906D" w14:textId="77777777" w:rsidR="005B1BBE" w:rsidRDefault="00A72F9D" w:rsidP="005B1BBE">
            <w:pPr>
              <w:tabs>
                <w:tab w:val="left" w:pos="7050"/>
              </w:tabs>
              <w:rPr>
                <w:rFonts w:asciiTheme="majorHAnsi" w:hAnsiTheme="majorHAnsi"/>
              </w:rPr>
            </w:pPr>
            <w:r>
              <w:rPr>
                <w:rFonts w:asciiTheme="majorHAnsi" w:hAnsiTheme="majorHAnsi"/>
              </w:rPr>
              <w:t>Corporate excise tax</w:t>
            </w:r>
          </w:p>
          <w:p w14:paraId="594E8B0D" w14:textId="77777777" w:rsidR="00565D22" w:rsidRPr="002C2079" w:rsidRDefault="00565D22" w:rsidP="005B1BBE">
            <w:pPr>
              <w:tabs>
                <w:tab w:val="left" w:pos="7050"/>
              </w:tabs>
              <w:rPr>
                <w:rFonts w:asciiTheme="majorHAnsi" w:hAnsiTheme="majorHAnsi"/>
              </w:rPr>
            </w:pPr>
          </w:p>
        </w:tc>
      </w:tr>
      <w:tr w:rsidR="005B1BBE" w:rsidRPr="002C2079" w14:paraId="14AB9210" w14:textId="77777777" w:rsidTr="0079700F">
        <w:tc>
          <w:tcPr>
            <w:tcW w:w="4788" w:type="dxa"/>
          </w:tcPr>
          <w:p w14:paraId="71BE68D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30C9C838" w14:textId="77777777" w:rsidR="005B1BBE" w:rsidRPr="002C2079" w:rsidRDefault="005B1BBE" w:rsidP="005B1BBE">
            <w:pPr>
              <w:tabs>
                <w:tab w:val="left" w:pos="7050"/>
              </w:tabs>
              <w:rPr>
                <w:rFonts w:asciiTheme="majorHAnsi" w:hAnsiTheme="majorHAnsi"/>
              </w:rPr>
            </w:pPr>
          </w:p>
        </w:tc>
        <w:tc>
          <w:tcPr>
            <w:tcW w:w="4770" w:type="dxa"/>
          </w:tcPr>
          <w:p w14:paraId="4812CF68" w14:textId="77777777" w:rsidR="005B1BBE" w:rsidRPr="002C2079" w:rsidRDefault="00F41C34" w:rsidP="005B1BBE">
            <w:pPr>
              <w:tabs>
                <w:tab w:val="left" w:pos="7050"/>
              </w:tabs>
              <w:rPr>
                <w:rFonts w:asciiTheme="majorHAnsi" w:hAnsiTheme="majorHAnsi"/>
              </w:rPr>
            </w:pPr>
            <w:r w:rsidRPr="00F41C34">
              <w:rPr>
                <w:rFonts w:asciiTheme="majorHAnsi" w:hAnsiTheme="majorHAnsi"/>
              </w:rPr>
              <w:t>M.G.L. c. 63, § 38M</w:t>
            </w:r>
          </w:p>
        </w:tc>
      </w:tr>
      <w:tr w:rsidR="005B1BBE" w:rsidRPr="002C2079" w14:paraId="61681EF5" w14:textId="77777777" w:rsidTr="0079700F">
        <w:tc>
          <w:tcPr>
            <w:tcW w:w="4788" w:type="dxa"/>
          </w:tcPr>
          <w:p w14:paraId="150F3C04"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047E34E2" w14:textId="77777777" w:rsidR="005B1BBE" w:rsidRPr="002C2079" w:rsidRDefault="005B1BBE" w:rsidP="005B1BBE">
            <w:pPr>
              <w:tabs>
                <w:tab w:val="left" w:pos="7050"/>
              </w:tabs>
              <w:rPr>
                <w:rFonts w:asciiTheme="majorHAnsi" w:hAnsiTheme="majorHAnsi"/>
              </w:rPr>
            </w:pPr>
          </w:p>
        </w:tc>
        <w:tc>
          <w:tcPr>
            <w:tcW w:w="4770" w:type="dxa"/>
          </w:tcPr>
          <w:p w14:paraId="78BF63E4" w14:textId="77777777" w:rsidR="005B1BBE" w:rsidRPr="002C2079" w:rsidRDefault="00115295" w:rsidP="005B1BBE">
            <w:pPr>
              <w:tabs>
                <w:tab w:val="left" w:pos="7050"/>
              </w:tabs>
              <w:rPr>
                <w:rFonts w:asciiTheme="majorHAnsi" w:hAnsiTheme="majorHAnsi"/>
              </w:rPr>
            </w:pPr>
            <w:r>
              <w:rPr>
                <w:rFonts w:asciiTheme="majorHAnsi" w:hAnsiTheme="majorHAnsi"/>
              </w:rPr>
              <w:t>1991</w:t>
            </w:r>
          </w:p>
        </w:tc>
      </w:tr>
      <w:tr w:rsidR="005B1BBE" w:rsidRPr="002C2079" w14:paraId="07E53140" w14:textId="77777777" w:rsidTr="0079700F">
        <w:tc>
          <w:tcPr>
            <w:tcW w:w="4788" w:type="dxa"/>
          </w:tcPr>
          <w:p w14:paraId="72788407"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146DF762" w14:textId="77777777" w:rsidR="005B1BBE" w:rsidRDefault="00115295" w:rsidP="00F41C34">
            <w:pPr>
              <w:tabs>
                <w:tab w:val="left" w:pos="7050"/>
              </w:tabs>
              <w:rPr>
                <w:rFonts w:asciiTheme="majorHAnsi" w:hAnsiTheme="majorHAnsi"/>
              </w:rPr>
            </w:pPr>
            <w:r w:rsidRPr="00115295">
              <w:rPr>
                <w:rFonts w:asciiTheme="majorHAnsi" w:hAnsiTheme="majorHAnsi"/>
              </w:rPr>
              <w:t>The credit itself is not set to expire. However, certain provisions relating to special treatment for defense contractors are set to expire in 2028.</w:t>
            </w:r>
          </w:p>
          <w:p w14:paraId="59B8215F" w14:textId="77777777" w:rsidR="00F41C34" w:rsidRPr="002C2079" w:rsidRDefault="00F41C34" w:rsidP="00F41C34">
            <w:pPr>
              <w:tabs>
                <w:tab w:val="left" w:pos="7050"/>
              </w:tabs>
              <w:rPr>
                <w:rFonts w:asciiTheme="majorHAnsi" w:hAnsiTheme="majorHAnsi"/>
              </w:rPr>
            </w:pPr>
          </w:p>
        </w:tc>
      </w:tr>
      <w:tr w:rsidR="005B1BBE" w:rsidRPr="002C2079" w14:paraId="3F333EFF" w14:textId="77777777" w:rsidTr="0079700F">
        <w:tc>
          <w:tcPr>
            <w:tcW w:w="4788" w:type="dxa"/>
          </w:tcPr>
          <w:p w14:paraId="7E9F21C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39DF3AEA" w14:textId="77777777" w:rsidR="005B1BBE" w:rsidRPr="002C2079" w:rsidRDefault="005B1BBE" w:rsidP="005B1BBE">
            <w:pPr>
              <w:tabs>
                <w:tab w:val="left" w:pos="7050"/>
              </w:tabs>
              <w:rPr>
                <w:rFonts w:asciiTheme="majorHAnsi" w:hAnsiTheme="majorHAnsi"/>
              </w:rPr>
            </w:pPr>
          </w:p>
        </w:tc>
        <w:tc>
          <w:tcPr>
            <w:tcW w:w="4770" w:type="dxa"/>
          </w:tcPr>
          <w:p w14:paraId="43E3ED43" w14:textId="77777777" w:rsidR="005B1BBE" w:rsidRDefault="005B1BBE" w:rsidP="005B1BBE">
            <w:pPr>
              <w:tabs>
                <w:tab w:val="left" w:pos="7050"/>
              </w:tabs>
              <w:rPr>
                <w:rFonts w:asciiTheme="majorHAnsi" w:hAnsiTheme="majorHAnsi"/>
              </w:rPr>
            </w:pPr>
            <w:r w:rsidRPr="002C2079">
              <w:rPr>
                <w:rFonts w:asciiTheme="majorHAnsi" w:hAnsiTheme="majorHAnsi"/>
              </w:rPr>
              <w:t>Tax loss of $</w:t>
            </w:r>
            <w:r w:rsidR="00151CC5">
              <w:rPr>
                <w:rFonts w:asciiTheme="majorHAnsi" w:hAnsiTheme="majorHAnsi"/>
              </w:rPr>
              <w:t>28</w:t>
            </w:r>
            <w:r w:rsidR="00D95A4F">
              <w:rPr>
                <w:rFonts w:asciiTheme="majorHAnsi" w:hAnsiTheme="majorHAnsi"/>
              </w:rPr>
              <w:t>8.4</w:t>
            </w:r>
            <w:r w:rsidR="008654A3">
              <w:rPr>
                <w:rFonts w:asciiTheme="majorHAnsi" w:hAnsiTheme="majorHAnsi"/>
              </w:rPr>
              <w:t xml:space="preserve"> - $</w:t>
            </w:r>
            <w:r w:rsidR="003746B7">
              <w:rPr>
                <w:rFonts w:asciiTheme="majorHAnsi" w:hAnsiTheme="majorHAnsi"/>
              </w:rPr>
              <w:t>477.6</w:t>
            </w:r>
            <w:r w:rsidR="00D95A4F">
              <w:rPr>
                <w:rFonts w:asciiTheme="majorHAnsi" w:hAnsiTheme="majorHAnsi"/>
              </w:rPr>
              <w:t xml:space="preserve"> </w:t>
            </w:r>
            <w:r w:rsidRPr="002C2079">
              <w:rPr>
                <w:rFonts w:asciiTheme="majorHAnsi" w:hAnsiTheme="majorHAnsi"/>
              </w:rPr>
              <w:t xml:space="preserve">million </w:t>
            </w:r>
            <w:r w:rsidR="00D95A4F">
              <w:rPr>
                <w:rFonts w:asciiTheme="majorHAnsi" w:hAnsiTheme="majorHAnsi"/>
              </w:rPr>
              <w:t>per year during</w:t>
            </w:r>
            <w:r w:rsidRPr="002C2079">
              <w:rPr>
                <w:rFonts w:asciiTheme="majorHAnsi" w:hAnsiTheme="majorHAnsi"/>
              </w:rPr>
              <w:t xml:space="preserve"> FY1</w:t>
            </w:r>
            <w:r w:rsidR="00F41C34">
              <w:rPr>
                <w:rFonts w:asciiTheme="majorHAnsi" w:hAnsiTheme="majorHAnsi"/>
              </w:rPr>
              <w:t>8</w:t>
            </w:r>
            <w:r w:rsidRPr="002C2079">
              <w:rPr>
                <w:rFonts w:asciiTheme="majorHAnsi" w:hAnsiTheme="majorHAnsi"/>
              </w:rPr>
              <w:t>-FY2</w:t>
            </w:r>
            <w:r w:rsidR="00F41C34">
              <w:rPr>
                <w:rFonts w:asciiTheme="majorHAnsi" w:hAnsiTheme="majorHAnsi"/>
              </w:rPr>
              <w:t>2</w:t>
            </w:r>
          </w:p>
          <w:p w14:paraId="1A11FD68" w14:textId="77777777" w:rsidR="0079700F" w:rsidRPr="002C2079" w:rsidRDefault="0079700F" w:rsidP="005B1BBE">
            <w:pPr>
              <w:tabs>
                <w:tab w:val="left" w:pos="7050"/>
              </w:tabs>
              <w:rPr>
                <w:rFonts w:asciiTheme="majorHAnsi" w:hAnsiTheme="majorHAnsi"/>
              </w:rPr>
            </w:pPr>
          </w:p>
        </w:tc>
      </w:tr>
      <w:tr w:rsidR="005B1BBE" w:rsidRPr="002C2079" w14:paraId="5267E94F" w14:textId="77777777" w:rsidTr="0079700F">
        <w:tc>
          <w:tcPr>
            <w:tcW w:w="4788" w:type="dxa"/>
          </w:tcPr>
          <w:p w14:paraId="2C0489AA"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45220E1B" w14:textId="77777777" w:rsidR="005B1BBE" w:rsidRPr="0079700F" w:rsidRDefault="00F4460C" w:rsidP="005B1BBE">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2,919</w:t>
            </w:r>
            <w:r w:rsidR="0079700F" w:rsidRPr="0079700F">
              <w:rPr>
                <w:rFonts w:asciiTheme="majorHAnsi" w:eastAsiaTheme="majorEastAsia" w:hAnsiTheme="majorHAnsi" w:cstheme="majorBidi"/>
                <w:bCs/>
                <w:color w:val="000000" w:themeColor="text1"/>
              </w:rPr>
              <w:t xml:space="preserve"> – 4,059 claims</w:t>
            </w:r>
            <w:r w:rsidR="0079700F">
              <w:rPr>
                <w:rFonts w:asciiTheme="majorHAnsi" w:eastAsiaTheme="majorEastAsia" w:hAnsiTheme="majorHAnsi" w:cstheme="majorBidi"/>
                <w:bCs/>
                <w:color w:val="000000" w:themeColor="text1"/>
              </w:rPr>
              <w:t xml:space="preserve"> </w:t>
            </w:r>
            <w:r>
              <w:rPr>
                <w:rFonts w:asciiTheme="majorHAnsi" w:eastAsiaTheme="majorEastAsia" w:hAnsiTheme="majorHAnsi" w:cstheme="majorBidi"/>
                <w:bCs/>
                <w:color w:val="000000" w:themeColor="text1"/>
              </w:rPr>
              <w:t>per year during tax years</w:t>
            </w:r>
            <w:r w:rsidR="0079700F">
              <w:rPr>
                <w:rFonts w:asciiTheme="majorHAnsi" w:eastAsiaTheme="majorEastAsia" w:hAnsiTheme="majorHAnsi" w:cstheme="majorBidi"/>
                <w:bCs/>
                <w:color w:val="000000" w:themeColor="text1"/>
              </w:rPr>
              <w:t xml:space="preserve"> 2015-2018</w:t>
            </w:r>
          </w:p>
          <w:p w14:paraId="4684095C" w14:textId="77777777" w:rsidR="005B1BBE" w:rsidRPr="002C2079" w:rsidRDefault="005B1BBE" w:rsidP="005B1BBE">
            <w:pPr>
              <w:tabs>
                <w:tab w:val="left" w:pos="7050"/>
              </w:tabs>
              <w:rPr>
                <w:rFonts w:asciiTheme="majorHAnsi" w:hAnsiTheme="majorHAnsi"/>
              </w:rPr>
            </w:pPr>
          </w:p>
        </w:tc>
      </w:tr>
      <w:tr w:rsidR="005B1BBE" w:rsidRPr="002C2079" w14:paraId="610E7FD2" w14:textId="77777777" w:rsidTr="0079700F">
        <w:tc>
          <w:tcPr>
            <w:tcW w:w="4788" w:type="dxa"/>
          </w:tcPr>
          <w:p w14:paraId="776E6233"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60BA2AF2" w14:textId="77777777" w:rsidR="005B1BBE" w:rsidRPr="002C2079" w:rsidRDefault="00736C06" w:rsidP="00565D22">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5B1BBE" w:rsidRPr="002C2079">
              <w:rPr>
                <w:rFonts w:asciiTheme="majorHAnsi" w:eastAsiaTheme="majorEastAsia" w:hAnsiTheme="majorHAnsi" w:cstheme="majorBidi"/>
                <w:bCs/>
                <w:color w:val="000000" w:themeColor="text1"/>
              </w:rPr>
              <w:t>$</w:t>
            </w:r>
            <w:r w:rsidR="00853B57">
              <w:rPr>
                <w:rFonts w:asciiTheme="majorHAnsi" w:eastAsiaTheme="majorEastAsia" w:hAnsiTheme="majorHAnsi" w:cstheme="majorBidi"/>
                <w:bCs/>
                <w:color w:val="000000" w:themeColor="text1"/>
              </w:rPr>
              <w:t>6</w:t>
            </w:r>
            <w:r w:rsidR="006603EB">
              <w:rPr>
                <w:rFonts w:asciiTheme="majorHAnsi" w:eastAsiaTheme="majorEastAsia" w:hAnsiTheme="majorHAnsi" w:cstheme="majorBidi"/>
                <w:bCs/>
                <w:color w:val="000000" w:themeColor="text1"/>
              </w:rPr>
              <w:t>0</w:t>
            </w:r>
            <w:r w:rsidR="004C5F92">
              <w:rPr>
                <w:rFonts w:asciiTheme="majorHAnsi" w:eastAsiaTheme="majorEastAsia" w:hAnsiTheme="majorHAnsi" w:cstheme="majorBidi"/>
                <w:bCs/>
                <w:color w:val="000000" w:themeColor="text1"/>
              </w:rPr>
              <w:t>,</w:t>
            </w:r>
            <w:r w:rsidR="006603EB">
              <w:rPr>
                <w:rFonts w:asciiTheme="majorHAnsi" w:eastAsiaTheme="majorEastAsia" w:hAnsiTheme="majorHAnsi" w:cstheme="majorBidi"/>
                <w:bCs/>
                <w:color w:val="000000" w:themeColor="text1"/>
              </w:rPr>
              <w:t>6</w:t>
            </w:r>
            <w:r w:rsidR="004C5F92">
              <w:rPr>
                <w:rFonts w:asciiTheme="majorHAnsi" w:eastAsiaTheme="majorEastAsia" w:hAnsiTheme="majorHAnsi" w:cstheme="majorBidi"/>
                <w:bCs/>
                <w:color w:val="000000" w:themeColor="text1"/>
              </w:rPr>
              <w:t>00</w:t>
            </w:r>
            <w:r w:rsidR="00853B57">
              <w:rPr>
                <w:rFonts w:asciiTheme="majorHAnsi" w:eastAsiaTheme="majorEastAsia" w:hAnsiTheme="majorHAnsi" w:cstheme="majorBidi"/>
                <w:bCs/>
                <w:color w:val="000000" w:themeColor="text1"/>
              </w:rPr>
              <w:t xml:space="preserve"> – $82</w:t>
            </w:r>
            <w:r w:rsidR="004C5F92">
              <w:rPr>
                <w:rFonts w:asciiTheme="majorHAnsi" w:eastAsiaTheme="majorEastAsia" w:hAnsiTheme="majorHAnsi" w:cstheme="majorBidi"/>
                <w:bCs/>
                <w:color w:val="000000" w:themeColor="text1"/>
              </w:rPr>
              <w:t>,</w:t>
            </w:r>
            <w:r w:rsidR="00853B57">
              <w:rPr>
                <w:rFonts w:asciiTheme="majorHAnsi" w:eastAsiaTheme="majorEastAsia" w:hAnsiTheme="majorHAnsi" w:cstheme="majorBidi"/>
                <w:bCs/>
                <w:color w:val="000000" w:themeColor="text1"/>
              </w:rPr>
              <w:t>3</w:t>
            </w:r>
            <w:r w:rsidR="004C5F92">
              <w:rPr>
                <w:rFonts w:asciiTheme="majorHAnsi" w:eastAsiaTheme="majorEastAsia" w:hAnsiTheme="majorHAnsi" w:cstheme="majorBidi"/>
                <w:bCs/>
                <w:color w:val="000000" w:themeColor="text1"/>
              </w:rPr>
              <w:t>00</w:t>
            </w:r>
            <w:r w:rsidR="005B1BBE" w:rsidRPr="002C2079">
              <w:rPr>
                <w:rFonts w:asciiTheme="majorHAnsi" w:eastAsiaTheme="majorEastAsia" w:hAnsiTheme="majorHAnsi" w:cstheme="majorBidi"/>
                <w:bCs/>
                <w:color w:val="000000" w:themeColor="text1"/>
              </w:rPr>
              <w:t xml:space="preserve"> per </w:t>
            </w:r>
            <w:r w:rsidR="00853B57">
              <w:rPr>
                <w:rFonts w:asciiTheme="majorHAnsi" w:eastAsiaTheme="majorEastAsia" w:hAnsiTheme="majorHAnsi" w:cstheme="majorBidi"/>
                <w:bCs/>
                <w:color w:val="000000" w:themeColor="text1"/>
              </w:rPr>
              <w:t xml:space="preserve">claim </w:t>
            </w:r>
            <w:r w:rsidR="005B1BBE" w:rsidRPr="002C2079">
              <w:rPr>
                <w:rFonts w:asciiTheme="majorHAnsi" w:eastAsiaTheme="majorEastAsia" w:hAnsiTheme="majorHAnsi" w:cstheme="majorBidi"/>
                <w:bCs/>
                <w:color w:val="000000" w:themeColor="text1"/>
              </w:rPr>
              <w:t xml:space="preserve">during </w:t>
            </w:r>
            <w:r w:rsidR="00F4460C">
              <w:rPr>
                <w:rFonts w:asciiTheme="majorHAnsi" w:eastAsiaTheme="majorEastAsia" w:hAnsiTheme="majorHAnsi" w:cstheme="majorBidi"/>
                <w:bCs/>
                <w:color w:val="000000" w:themeColor="text1"/>
              </w:rPr>
              <w:t>tax years 2015</w:t>
            </w:r>
            <w:r w:rsidR="00853B57">
              <w:rPr>
                <w:rFonts w:asciiTheme="majorHAnsi" w:eastAsiaTheme="majorEastAsia" w:hAnsiTheme="majorHAnsi" w:cstheme="majorBidi"/>
                <w:bCs/>
                <w:color w:val="000000" w:themeColor="text1"/>
              </w:rPr>
              <w:t>-2018</w:t>
            </w:r>
          </w:p>
        </w:tc>
      </w:tr>
    </w:tbl>
    <w:p w14:paraId="044A8970"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14:paraId="26005413" w14:textId="77777777" w:rsidTr="00500EC2">
        <w:tc>
          <w:tcPr>
            <w:tcW w:w="4788" w:type="dxa"/>
          </w:tcPr>
          <w:p w14:paraId="3A87419D"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71ECF927" w14:textId="77777777" w:rsidR="00565D22" w:rsidRPr="00565D22" w:rsidRDefault="00112BEB" w:rsidP="00565D22">
            <w:pPr>
              <w:tabs>
                <w:tab w:val="left" w:pos="7050"/>
              </w:tabs>
              <w:rPr>
                <w:rFonts w:asciiTheme="majorHAnsi" w:eastAsiaTheme="majorEastAsia" w:hAnsiTheme="majorHAnsi" w:cstheme="majorBidi"/>
                <w:b/>
                <w:bCs/>
                <w:color w:val="000000" w:themeColor="text1"/>
                <w:sz w:val="24"/>
              </w:rPr>
            </w:pPr>
            <w:r w:rsidRPr="00112BEB">
              <w:rPr>
                <w:rFonts w:asciiTheme="majorHAnsi" w:eastAsiaTheme="majorEastAsia" w:hAnsiTheme="majorHAnsi" w:cstheme="majorBidi"/>
                <w:bCs/>
                <w:color w:val="000000" w:themeColor="text1"/>
                <w:sz w:val="24"/>
              </w:rPr>
              <w:t xml:space="preserve">Massachusetts provides corporations a credit for increased spending in research and development activity conducted in Massachusetts. The Massachusetts research credit, in large part, is based on the research credit allowed under Internal Revenue Code (Code) § 41.  </w:t>
            </w:r>
          </w:p>
        </w:tc>
        <w:tc>
          <w:tcPr>
            <w:tcW w:w="4788" w:type="dxa"/>
          </w:tcPr>
          <w:p w14:paraId="2B1F3432"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672232B6" w14:textId="77777777" w:rsidR="00565D22" w:rsidRDefault="00565D22" w:rsidP="00565D22">
            <w:pPr>
              <w:rPr>
                <w:b/>
                <w:bCs/>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p>
        </w:tc>
      </w:tr>
      <w:tr w:rsidR="00565D22" w14:paraId="6963ACBA" w14:textId="77777777" w:rsidTr="00500EC2">
        <w:tc>
          <w:tcPr>
            <w:tcW w:w="4788" w:type="dxa"/>
          </w:tcPr>
          <w:p w14:paraId="75A61C37" w14:textId="77777777" w:rsidR="00065F62" w:rsidRDefault="00065F62" w:rsidP="00065F6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What are the policy goals of the expenditure?</w:t>
            </w:r>
          </w:p>
          <w:p w14:paraId="0095567B" w14:textId="77777777" w:rsidR="00565D22" w:rsidRDefault="001D327D" w:rsidP="00565D22">
            <w:pPr>
              <w:rPr>
                <w:b/>
                <w:bCs/>
              </w:rPr>
            </w:pPr>
            <w:r>
              <w:rPr>
                <w:rFonts w:asciiTheme="majorHAnsi" w:eastAsiaTheme="majorEastAsia" w:hAnsiTheme="majorHAnsi" w:cstheme="majorBidi"/>
                <w:bCs/>
                <w:color w:val="000000" w:themeColor="text1"/>
                <w:sz w:val="24"/>
              </w:rPr>
              <w:t>DOR infers that it was intended to encourage research and development in Massachusetts.</w:t>
            </w:r>
          </w:p>
        </w:tc>
        <w:tc>
          <w:tcPr>
            <w:tcW w:w="4788" w:type="dxa"/>
          </w:tcPr>
          <w:p w14:paraId="7C2360C1"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7443D588" w14:textId="77777777" w:rsidR="00565D22" w:rsidRDefault="001D327D" w:rsidP="00565D22">
            <w:pPr>
              <w:rPr>
                <w:b/>
                <w:bCs/>
              </w:rPr>
            </w:pPr>
            <w:r>
              <w:rPr>
                <w:rFonts w:asciiTheme="majorHAnsi" w:eastAsiaTheme="majorEastAsia" w:hAnsiTheme="majorHAnsi" w:cstheme="majorBidi"/>
                <w:bCs/>
                <w:color w:val="000000" w:themeColor="text1"/>
                <w:sz w:val="24"/>
              </w:rPr>
              <w:t xml:space="preserve">Yes, DOR estimates that over </w:t>
            </w:r>
            <w:r w:rsidR="003173F7" w:rsidRPr="003173F7">
              <w:rPr>
                <w:rFonts w:asciiTheme="majorHAnsi" w:eastAsiaTheme="majorEastAsia" w:hAnsiTheme="majorHAnsi" w:cstheme="majorBidi"/>
                <w:bCs/>
                <w:color w:val="000000" w:themeColor="text1"/>
                <w:sz w:val="24"/>
              </w:rPr>
              <w:t>30 states</w:t>
            </w:r>
            <w:r>
              <w:rPr>
                <w:rFonts w:asciiTheme="majorHAnsi" w:eastAsiaTheme="majorEastAsia" w:hAnsiTheme="majorHAnsi" w:cstheme="majorBidi"/>
                <w:bCs/>
                <w:color w:val="000000" w:themeColor="text1"/>
                <w:sz w:val="24"/>
              </w:rPr>
              <w:t xml:space="preserve"> have a similar expenditure.</w:t>
            </w:r>
          </w:p>
        </w:tc>
      </w:tr>
    </w:tbl>
    <w:tbl>
      <w:tblPr>
        <w:tblStyle w:val="MediumList1-Accent2"/>
        <w:tblW w:w="0" w:type="auto"/>
        <w:tblLook w:val="04A0" w:firstRow="1" w:lastRow="0" w:firstColumn="1" w:lastColumn="0" w:noHBand="0" w:noVBand="1"/>
      </w:tblPr>
      <w:tblGrid>
        <w:gridCol w:w="9576"/>
      </w:tblGrid>
      <w:tr w:rsidR="00F065BC" w:rsidRPr="002C2079" w14:paraId="31EB9D28"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FE6522F" w14:textId="77777777" w:rsidR="00F065BC" w:rsidRDefault="00F065BC" w:rsidP="00F065BC">
            <w:pPr>
              <w:rPr>
                <w:sz w:val="28"/>
                <w:szCs w:val="28"/>
              </w:rPr>
            </w:pPr>
          </w:p>
        </w:tc>
      </w:tr>
      <w:tr w:rsidR="004B14D0" w:rsidRPr="002C2079" w14:paraId="03699C84"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36F8D755" w14:textId="77777777" w:rsidR="004B14D0" w:rsidRPr="002C2079" w:rsidRDefault="004B14D0" w:rsidP="00F065BC">
            <w:pPr>
              <w:rPr>
                <w:rFonts w:asciiTheme="majorHAnsi" w:hAnsiTheme="majorHAnsi"/>
              </w:rPr>
            </w:pPr>
            <w:r w:rsidRPr="00AD2A39">
              <w:rPr>
                <w:sz w:val="28"/>
                <w:szCs w:val="28"/>
                <w:highlight w:val="cyan"/>
              </w:rPr>
              <w:t>Conclusion/Recommendations: [To be</w:t>
            </w:r>
            <w:r w:rsidR="00F065BC" w:rsidRPr="00AD2A39">
              <w:rPr>
                <w:sz w:val="28"/>
                <w:szCs w:val="28"/>
                <w:highlight w:val="cyan"/>
              </w:rPr>
              <w:t xml:space="preserve"> Entered by TERC]</w:t>
            </w:r>
          </w:p>
        </w:tc>
      </w:tr>
    </w:tbl>
    <w:p w14:paraId="5476DF49"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6F51587D"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1EBCA5D4" w14:textId="77777777" w:rsidR="008E140B" w:rsidRDefault="008E140B" w:rsidP="000E6696">
      <w:pPr>
        <w:tabs>
          <w:tab w:val="left" w:pos="7050"/>
        </w:tabs>
        <w:spacing w:after="0"/>
        <w:rPr>
          <w:rFonts w:asciiTheme="majorHAnsi" w:hAnsiTheme="majorHAnsi"/>
          <w:sz w:val="24"/>
          <w:szCs w:val="24"/>
        </w:rPr>
      </w:pPr>
      <w:r w:rsidRPr="008E140B">
        <w:rPr>
          <w:rFonts w:asciiTheme="majorHAnsi" w:hAnsiTheme="majorHAnsi"/>
          <w:sz w:val="24"/>
          <w:szCs w:val="24"/>
        </w:rPr>
        <w:t>Massachusetts provides corporations a credit for increased spending in research and development.  The credit is available only for expenditures for research activity conducted in Massachusetts. The Massachusetts research credit, in large part, is based on the research credit allowed under Internal Revenue Code (Code) § 41.  In particular, the alternative simplified method for calculating the credit is model</w:t>
      </w:r>
      <w:r w:rsidR="00065F62">
        <w:rPr>
          <w:rFonts w:asciiTheme="majorHAnsi" w:hAnsiTheme="majorHAnsi"/>
          <w:sz w:val="24"/>
          <w:szCs w:val="24"/>
        </w:rPr>
        <w:t>ed</w:t>
      </w:r>
      <w:r w:rsidRPr="008E140B">
        <w:rPr>
          <w:rFonts w:asciiTheme="majorHAnsi" w:hAnsiTheme="majorHAnsi"/>
          <w:sz w:val="24"/>
          <w:szCs w:val="24"/>
        </w:rPr>
        <w:t xml:space="preserve"> after the federal alternative simplified method.</w:t>
      </w:r>
      <w:r w:rsidR="00006273">
        <w:rPr>
          <w:rFonts w:asciiTheme="majorHAnsi" w:hAnsiTheme="majorHAnsi"/>
          <w:sz w:val="24"/>
          <w:szCs w:val="24"/>
        </w:rPr>
        <w:t xml:space="preserve"> The credit can be shared among affiliated corporations that are members of the same combined group, subject to limitations.</w:t>
      </w:r>
    </w:p>
    <w:p w14:paraId="46327794" w14:textId="77777777" w:rsidR="008E140B" w:rsidRDefault="008E140B" w:rsidP="000E6696">
      <w:pPr>
        <w:tabs>
          <w:tab w:val="left" w:pos="7050"/>
        </w:tabs>
        <w:spacing w:after="0"/>
        <w:rPr>
          <w:rFonts w:asciiTheme="majorHAnsi" w:hAnsiTheme="majorHAnsi"/>
          <w:sz w:val="24"/>
          <w:szCs w:val="24"/>
        </w:rPr>
      </w:pPr>
    </w:p>
    <w:p w14:paraId="19224022" w14:textId="77777777" w:rsidR="001A0605" w:rsidRDefault="001A0605" w:rsidP="001A0605">
      <w:pPr>
        <w:tabs>
          <w:tab w:val="left" w:pos="7050"/>
        </w:tabs>
        <w:spacing w:after="0"/>
        <w:rPr>
          <w:rFonts w:asciiTheme="majorHAnsi" w:hAnsiTheme="majorHAnsi"/>
          <w:sz w:val="24"/>
          <w:szCs w:val="24"/>
        </w:rPr>
      </w:pPr>
      <w:r w:rsidRPr="001A0605">
        <w:rPr>
          <w:rFonts w:asciiTheme="majorHAnsi" w:hAnsiTheme="majorHAnsi"/>
          <w:sz w:val="24"/>
          <w:szCs w:val="24"/>
        </w:rPr>
        <w:t>There are two methods for calculating the Massachusetts research credit. Under one method, the amount of the credit is equal to:</w:t>
      </w:r>
      <w:r>
        <w:rPr>
          <w:rFonts w:asciiTheme="majorHAnsi" w:hAnsiTheme="majorHAnsi"/>
          <w:sz w:val="24"/>
          <w:szCs w:val="24"/>
        </w:rPr>
        <w:t xml:space="preserve"> </w:t>
      </w:r>
      <w:r w:rsidRPr="001A0605">
        <w:rPr>
          <w:rFonts w:asciiTheme="majorHAnsi" w:hAnsiTheme="majorHAnsi"/>
          <w:sz w:val="24"/>
          <w:szCs w:val="24"/>
        </w:rPr>
        <w:t>10% of the difference between the current year's Massachusetts qualified research expenses and a “base amount”  plus 15% of the Massachusetts basic research payments for the taxable year as determined under Code § 41(e)(1)(A). The actual computation of the credit under this method can be complex.</w:t>
      </w:r>
      <w:r>
        <w:rPr>
          <w:rFonts w:asciiTheme="majorHAnsi" w:hAnsiTheme="majorHAnsi"/>
          <w:sz w:val="24"/>
          <w:szCs w:val="24"/>
        </w:rPr>
        <w:t xml:space="preserve">  </w:t>
      </w:r>
      <w:r w:rsidRPr="001A0605">
        <w:rPr>
          <w:rFonts w:asciiTheme="majorHAnsi" w:hAnsiTheme="majorHAnsi"/>
          <w:sz w:val="24"/>
          <w:szCs w:val="24"/>
        </w:rPr>
        <w:t xml:space="preserve">Pursuant to legislation enacted in 2014, </w:t>
      </w:r>
      <w:r w:rsidR="00112BEB" w:rsidRPr="00112BEB">
        <w:rPr>
          <w:rFonts w:asciiTheme="majorHAnsi" w:hAnsiTheme="majorHAnsi"/>
          <w:sz w:val="24"/>
          <w:szCs w:val="24"/>
        </w:rPr>
        <w:t xml:space="preserve">a taxpayer can now elect to determine its credit using the so-called “alternative simplified method.” This method is based on the federal simplified method which was enacted in 2006. Using this method, the amount of the credit is equal to a percentage of the difference between the corporation’s qualified research expenses for the current taxable year and 50% of the corporation’s average qualified research expenses for the 3 taxable years preceding the taxable year for which the credit is being determined. The percentage used to calculate the credit under the alternate simplified method is being phased in over a 7-year period. For calendar years 2015, 2016 and 2017, a rate of 5 percent was used to calculate the credit under the alternative simplified method, for calendar years 2018, 2019 and 2020, that rate was 7.5 percent and  for calendar years beginning on or after January 1, 2021, the rate is 10 percent.  </w:t>
      </w:r>
    </w:p>
    <w:p w14:paraId="52032A3F" w14:textId="77777777" w:rsidR="00112BEB" w:rsidRPr="001A0605" w:rsidRDefault="00112BEB" w:rsidP="001A0605">
      <w:pPr>
        <w:tabs>
          <w:tab w:val="left" w:pos="7050"/>
        </w:tabs>
        <w:spacing w:after="0"/>
        <w:rPr>
          <w:rFonts w:asciiTheme="majorHAnsi" w:hAnsiTheme="majorHAnsi"/>
          <w:sz w:val="24"/>
          <w:szCs w:val="24"/>
        </w:rPr>
      </w:pPr>
    </w:p>
    <w:p w14:paraId="5E78A12E" w14:textId="4A1F190F" w:rsidR="001A0605" w:rsidRDefault="00112BEB" w:rsidP="001A0605">
      <w:pPr>
        <w:tabs>
          <w:tab w:val="left" w:pos="7050"/>
        </w:tabs>
        <w:spacing w:after="0"/>
        <w:rPr>
          <w:rFonts w:asciiTheme="majorHAnsi" w:hAnsiTheme="majorHAnsi"/>
          <w:sz w:val="24"/>
          <w:szCs w:val="24"/>
        </w:rPr>
      </w:pPr>
      <w:r w:rsidRPr="00112BEB">
        <w:rPr>
          <w:rFonts w:asciiTheme="majorHAnsi" w:hAnsiTheme="majorHAnsi"/>
          <w:sz w:val="24"/>
          <w:szCs w:val="24"/>
        </w:rPr>
        <w:t xml:space="preserve">Regardless of which method the corporation uses to determine the credit amount to which it is entitled for a taxable year, the amount of research credit that can be used in a taxable year is limited to 100 percent of a corporation's first $25,000 of excise, plus 75 percent of the corporation's excise in excess of $25,000.  </w:t>
      </w:r>
      <w:r w:rsidR="00006273">
        <w:rPr>
          <w:rFonts w:asciiTheme="majorHAnsi" w:hAnsiTheme="majorHAnsi"/>
          <w:sz w:val="24"/>
          <w:szCs w:val="24"/>
        </w:rPr>
        <w:t>A single</w:t>
      </w:r>
      <w:r w:rsidRPr="00112BEB">
        <w:rPr>
          <w:rFonts w:asciiTheme="majorHAnsi" w:hAnsiTheme="majorHAnsi"/>
          <w:sz w:val="24"/>
          <w:szCs w:val="24"/>
        </w:rPr>
        <w:t xml:space="preserve"> $25,000 amount </w:t>
      </w:r>
      <w:r w:rsidR="00006273">
        <w:rPr>
          <w:rFonts w:asciiTheme="majorHAnsi" w:hAnsiTheme="majorHAnsi"/>
          <w:sz w:val="24"/>
          <w:szCs w:val="24"/>
        </w:rPr>
        <w:t>applies to</w:t>
      </w:r>
      <w:r w:rsidRPr="00112BEB">
        <w:rPr>
          <w:rFonts w:asciiTheme="majorHAnsi" w:hAnsiTheme="majorHAnsi"/>
          <w:sz w:val="24"/>
          <w:szCs w:val="24"/>
        </w:rPr>
        <w:t xml:space="preserve"> affiliated groups of corporations.  Credit not used because of the limitations generally can be carried over for 15 years. In certain instances the credit can be carried forward indefinitely.</w:t>
      </w:r>
    </w:p>
    <w:p w14:paraId="54CC49EF" w14:textId="77777777" w:rsidR="00112BEB" w:rsidRPr="001A0605" w:rsidRDefault="00112BEB" w:rsidP="001A0605">
      <w:pPr>
        <w:tabs>
          <w:tab w:val="left" w:pos="7050"/>
        </w:tabs>
        <w:spacing w:after="0"/>
        <w:rPr>
          <w:rFonts w:asciiTheme="majorHAnsi" w:hAnsiTheme="majorHAnsi"/>
          <w:sz w:val="24"/>
          <w:szCs w:val="24"/>
        </w:rPr>
      </w:pPr>
    </w:p>
    <w:p w14:paraId="3C3D4911" w14:textId="46964FFD" w:rsidR="001A0605" w:rsidRDefault="001A0605" w:rsidP="001A0605">
      <w:pPr>
        <w:tabs>
          <w:tab w:val="left" w:pos="7050"/>
        </w:tabs>
        <w:spacing w:after="0"/>
        <w:rPr>
          <w:rFonts w:asciiTheme="majorHAnsi" w:eastAsiaTheme="majorEastAsia" w:hAnsiTheme="majorHAnsi" w:cstheme="majorBidi"/>
          <w:bCs/>
          <w:color w:val="000000" w:themeColor="text1"/>
          <w:sz w:val="24"/>
          <w:szCs w:val="24"/>
        </w:rPr>
      </w:pPr>
      <w:r w:rsidRPr="001A0605">
        <w:rPr>
          <w:rFonts w:asciiTheme="majorHAnsi" w:hAnsiTheme="majorHAnsi"/>
          <w:sz w:val="24"/>
          <w:szCs w:val="24"/>
        </w:rPr>
        <w:t xml:space="preserve">The research credit is not transferable and generally is not refundable.  However, a certified Life Science Company may </w:t>
      </w:r>
      <w:r w:rsidR="00006273">
        <w:rPr>
          <w:rFonts w:asciiTheme="majorHAnsi" w:hAnsiTheme="majorHAnsi"/>
          <w:sz w:val="24"/>
          <w:szCs w:val="24"/>
        </w:rPr>
        <w:t>apply to the Massachusetts Life Science Center for</w:t>
      </w:r>
      <w:r w:rsidRPr="001A0605">
        <w:rPr>
          <w:rFonts w:asciiTheme="majorHAnsi" w:hAnsiTheme="majorHAnsi"/>
          <w:sz w:val="24"/>
          <w:szCs w:val="24"/>
        </w:rPr>
        <w:t xml:space="preserve"> a refund of a portion of its available excess research credits in lieu of carrying such credits forward for use in later years.</w:t>
      </w:r>
      <w:r>
        <w:rPr>
          <w:rFonts w:asciiTheme="majorHAnsi" w:hAnsiTheme="majorHAnsi"/>
          <w:sz w:val="24"/>
          <w:szCs w:val="24"/>
        </w:rPr>
        <w:t xml:space="preserve"> </w:t>
      </w:r>
    </w:p>
    <w:p w14:paraId="1628D297" w14:textId="77777777" w:rsidR="00F25E32" w:rsidRDefault="00F25E32" w:rsidP="000E6696">
      <w:pPr>
        <w:tabs>
          <w:tab w:val="left" w:pos="7050"/>
        </w:tabs>
        <w:spacing w:after="0"/>
        <w:rPr>
          <w:rFonts w:asciiTheme="majorHAnsi" w:hAnsiTheme="majorHAnsi"/>
          <w:sz w:val="24"/>
          <w:szCs w:val="24"/>
        </w:rPr>
      </w:pPr>
    </w:p>
    <w:p w14:paraId="3723B449" w14:textId="77777777" w:rsidR="00112BEB" w:rsidRPr="002970B4" w:rsidRDefault="00112BEB" w:rsidP="000E6696">
      <w:pPr>
        <w:tabs>
          <w:tab w:val="left" w:pos="7050"/>
        </w:tabs>
        <w:spacing w:after="0"/>
        <w:rPr>
          <w:rFonts w:asciiTheme="majorHAnsi" w:hAnsiTheme="majorHAnsi"/>
          <w:sz w:val="24"/>
          <w:szCs w:val="24"/>
        </w:rPr>
      </w:pPr>
    </w:p>
    <w:p w14:paraId="6FC82EA8" w14:textId="77777777" w:rsidR="00291074" w:rsidRPr="00A07439" w:rsidRDefault="00D62AD2"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lastRenderedPageBreak/>
        <w:t>POLICY GOAL</w:t>
      </w:r>
      <w:r w:rsidR="00065F62">
        <w:rPr>
          <w:rFonts w:asciiTheme="majorHAnsi" w:hAnsiTheme="majorHAnsi"/>
          <w:b/>
          <w:color w:val="E36C0A" w:themeColor="accent6" w:themeShade="BF"/>
          <w:sz w:val="28"/>
          <w:szCs w:val="28"/>
        </w:rPr>
        <w:t>S</w:t>
      </w:r>
    </w:p>
    <w:p w14:paraId="6DB2D093" w14:textId="052264C0" w:rsidR="00291074" w:rsidRPr="00BB467B" w:rsidRDefault="00291074" w:rsidP="00291074">
      <w:pPr>
        <w:tabs>
          <w:tab w:val="left" w:pos="7050"/>
        </w:tabs>
        <w:spacing w:after="0" w:line="240" w:lineRule="auto"/>
        <w:rPr>
          <w:rFonts w:asciiTheme="majorHAnsi" w:eastAsiaTheme="majorEastAsia" w:hAnsiTheme="majorHAnsi" w:cstheme="majorBidi"/>
          <w:bCs/>
          <w:color w:val="000000" w:themeColor="text1"/>
          <w:sz w:val="24"/>
          <w:szCs w:val="24"/>
        </w:rPr>
      </w:pPr>
      <w:r w:rsidRPr="00BB467B">
        <w:rPr>
          <w:rFonts w:asciiTheme="majorHAnsi" w:eastAsiaTheme="majorEastAsia" w:hAnsiTheme="majorHAnsi" w:cstheme="majorBidi"/>
          <w:bCs/>
          <w:color w:val="000000" w:themeColor="text1"/>
          <w:sz w:val="24"/>
          <w:szCs w:val="24"/>
        </w:rPr>
        <w:t xml:space="preserve">The statute does not explicitly state the purpose of this tax expenditure. </w:t>
      </w:r>
      <w:r w:rsidR="00020C1E">
        <w:rPr>
          <w:rFonts w:asciiTheme="majorHAnsi" w:eastAsiaTheme="majorEastAsia" w:hAnsiTheme="majorHAnsi" w:cstheme="majorBidi"/>
          <w:bCs/>
          <w:color w:val="000000" w:themeColor="text1"/>
          <w:sz w:val="24"/>
          <w:szCs w:val="24"/>
        </w:rPr>
        <w:t xml:space="preserve">However, </w:t>
      </w:r>
      <w:r w:rsidR="00006273">
        <w:rPr>
          <w:rFonts w:asciiTheme="majorHAnsi" w:eastAsiaTheme="majorEastAsia" w:hAnsiTheme="majorHAnsi" w:cstheme="majorBidi"/>
          <w:bCs/>
          <w:color w:val="000000" w:themeColor="text1"/>
          <w:sz w:val="24"/>
          <w:szCs w:val="24"/>
        </w:rPr>
        <w:t>contemporaneous accounts of the enactment of the credit indicate</w:t>
      </w:r>
      <w:r w:rsidR="00020C1E">
        <w:rPr>
          <w:rFonts w:asciiTheme="majorHAnsi" w:eastAsiaTheme="majorEastAsia" w:hAnsiTheme="majorHAnsi" w:cstheme="majorBidi"/>
          <w:bCs/>
          <w:color w:val="000000" w:themeColor="text1"/>
          <w:sz w:val="24"/>
          <w:szCs w:val="24"/>
        </w:rPr>
        <w:t xml:space="preserve"> that </w:t>
      </w:r>
      <w:r w:rsidR="00FE4493">
        <w:rPr>
          <w:rFonts w:asciiTheme="majorHAnsi" w:eastAsiaTheme="majorEastAsia" w:hAnsiTheme="majorHAnsi" w:cstheme="majorBidi"/>
          <w:bCs/>
          <w:color w:val="000000" w:themeColor="text1"/>
          <w:sz w:val="24"/>
          <w:szCs w:val="24"/>
        </w:rPr>
        <w:t>it was intended to</w:t>
      </w:r>
      <w:r w:rsidR="00020C1E">
        <w:rPr>
          <w:rFonts w:asciiTheme="majorHAnsi" w:eastAsiaTheme="majorEastAsia" w:hAnsiTheme="majorHAnsi" w:cstheme="majorBidi"/>
          <w:bCs/>
          <w:color w:val="000000" w:themeColor="text1"/>
          <w:sz w:val="24"/>
          <w:szCs w:val="24"/>
        </w:rPr>
        <w:t xml:space="preserve"> encourage research and development </w:t>
      </w:r>
      <w:r w:rsidR="00FE4493">
        <w:rPr>
          <w:rFonts w:asciiTheme="majorHAnsi" w:eastAsiaTheme="majorEastAsia" w:hAnsiTheme="majorHAnsi" w:cstheme="majorBidi"/>
          <w:bCs/>
          <w:color w:val="000000" w:themeColor="text1"/>
          <w:sz w:val="24"/>
          <w:szCs w:val="24"/>
        </w:rPr>
        <w:t>in Massachusetts</w:t>
      </w:r>
      <w:r w:rsidR="00020C1E">
        <w:rPr>
          <w:rFonts w:asciiTheme="majorHAnsi" w:eastAsiaTheme="majorEastAsia" w:hAnsiTheme="majorHAnsi" w:cstheme="majorBidi"/>
          <w:bCs/>
          <w:color w:val="000000" w:themeColor="text1"/>
          <w:sz w:val="24"/>
          <w:szCs w:val="24"/>
        </w:rPr>
        <w:t>.</w:t>
      </w:r>
    </w:p>
    <w:p w14:paraId="7FF886D1" w14:textId="77777777" w:rsidR="00291074" w:rsidRDefault="00291074" w:rsidP="00291074">
      <w:pPr>
        <w:tabs>
          <w:tab w:val="left" w:pos="7050"/>
        </w:tabs>
        <w:spacing w:after="0"/>
        <w:rPr>
          <w:rFonts w:asciiTheme="majorHAnsi" w:eastAsiaTheme="majorEastAsia" w:hAnsiTheme="majorHAnsi" w:cstheme="majorBidi"/>
          <w:bCs/>
          <w:color w:val="000000" w:themeColor="text1"/>
          <w:sz w:val="24"/>
          <w:szCs w:val="24"/>
        </w:rPr>
      </w:pPr>
    </w:p>
    <w:p w14:paraId="7C590405" w14:textId="77777777" w:rsidR="00A01BA2" w:rsidRDefault="00A01BA2" w:rsidP="00291074">
      <w:pPr>
        <w:tabs>
          <w:tab w:val="left" w:pos="7050"/>
        </w:tabs>
        <w:spacing w:after="0"/>
        <w:rPr>
          <w:rFonts w:asciiTheme="majorHAnsi" w:eastAsiaTheme="majorEastAsia" w:hAnsiTheme="majorHAnsi" w:cstheme="majorBidi"/>
          <w:bCs/>
          <w:color w:val="000000" w:themeColor="text1"/>
          <w:sz w:val="24"/>
          <w:szCs w:val="24"/>
        </w:rPr>
      </w:pPr>
    </w:p>
    <w:p w14:paraId="7DFC3D02" w14:textId="77777777" w:rsidR="003638F8" w:rsidRDefault="009201C7" w:rsidP="00C26D4D">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3638F8" w:rsidRPr="003638F8">
        <w:rPr>
          <w:rFonts w:asciiTheme="majorHAnsi" w:hAnsiTheme="majorHAnsi"/>
          <w:b/>
          <w:color w:val="E36C0A" w:themeColor="accent6" w:themeShade="BF"/>
          <w:sz w:val="28"/>
          <w:szCs w:val="28"/>
        </w:rPr>
        <w:t xml:space="preserve">COSTS </w:t>
      </w:r>
    </w:p>
    <w:p w14:paraId="50BD660B" w14:textId="261138DB" w:rsidR="00D310F7" w:rsidRDefault="00C26D4D" w:rsidP="00F14ADD">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F32491" w:rsidRPr="00F32491">
        <w:rPr>
          <w:rFonts w:asciiTheme="majorHAnsi" w:eastAsiaTheme="majorEastAsia" w:hAnsiTheme="majorHAnsi" w:cstheme="majorBidi"/>
          <w:bCs/>
          <w:color w:val="000000" w:themeColor="text1"/>
          <w:sz w:val="24"/>
          <w:szCs w:val="24"/>
        </w:rPr>
        <w:t xml:space="preserve"> </w:t>
      </w:r>
      <w:r w:rsidR="00F32491">
        <w:rPr>
          <w:rFonts w:asciiTheme="majorHAnsi" w:eastAsiaTheme="majorEastAsia" w:hAnsiTheme="majorHAnsi" w:cstheme="majorBidi"/>
          <w:bCs/>
          <w:color w:val="000000" w:themeColor="text1"/>
          <w:sz w:val="24"/>
          <w:szCs w:val="24"/>
        </w:rPr>
        <w:t>resulting from the expenditure</w:t>
      </w:r>
      <w:r w:rsidR="00EB4232">
        <w:rPr>
          <w:rFonts w:asciiTheme="majorHAnsi" w:eastAsiaTheme="majorEastAsia" w:hAnsiTheme="majorHAnsi" w:cstheme="majorBidi"/>
          <w:bCs/>
          <w:color w:val="000000" w:themeColor="text1"/>
          <w:sz w:val="24"/>
          <w:szCs w:val="24"/>
        </w:rPr>
        <w:t xml:space="preserve"> </w:t>
      </w:r>
      <w:r w:rsidRPr="00476C5D">
        <w:rPr>
          <w:rFonts w:asciiTheme="majorHAnsi" w:eastAsiaTheme="majorEastAsia" w:hAnsiTheme="majorHAnsi" w:cstheme="majorBidi"/>
          <w:bCs/>
          <w:color w:val="000000" w:themeColor="text1"/>
          <w:sz w:val="24"/>
          <w:szCs w:val="24"/>
        </w:rPr>
        <w:t xml:space="preserve">is </w:t>
      </w:r>
      <w:r w:rsidR="00C500AF">
        <w:rPr>
          <w:rFonts w:asciiTheme="majorHAnsi" w:eastAsiaTheme="majorEastAsia" w:hAnsiTheme="majorHAnsi" w:cstheme="majorBidi"/>
          <w:bCs/>
          <w:color w:val="000000" w:themeColor="text1"/>
          <w:sz w:val="24"/>
          <w:szCs w:val="24"/>
        </w:rPr>
        <w:t>estimated</w:t>
      </w:r>
      <w:r w:rsidR="00C500AF" w:rsidRPr="00476C5D">
        <w:rPr>
          <w:rFonts w:asciiTheme="majorHAnsi" w:eastAsiaTheme="majorEastAsia" w:hAnsiTheme="majorHAnsi" w:cstheme="majorBidi"/>
          <w:bCs/>
          <w:color w:val="000000" w:themeColor="text1"/>
          <w:sz w:val="24"/>
          <w:szCs w:val="24"/>
        </w:rPr>
        <w:t xml:space="preserve"> </w:t>
      </w:r>
      <w:r w:rsidRPr="00476C5D">
        <w:rPr>
          <w:rFonts w:asciiTheme="majorHAnsi" w:eastAsiaTheme="majorEastAsia" w:hAnsiTheme="majorHAnsi" w:cstheme="majorBidi"/>
          <w:bCs/>
          <w:color w:val="000000" w:themeColor="text1"/>
          <w:sz w:val="24"/>
          <w:szCs w:val="24"/>
        </w:rPr>
        <w:t>to be $</w:t>
      </w:r>
      <w:r>
        <w:rPr>
          <w:rFonts w:asciiTheme="majorHAnsi" w:eastAsiaTheme="majorEastAsia" w:hAnsiTheme="majorHAnsi" w:cstheme="majorBidi"/>
          <w:bCs/>
          <w:color w:val="000000" w:themeColor="text1"/>
          <w:sz w:val="24"/>
          <w:szCs w:val="24"/>
        </w:rPr>
        <w:t>2</w:t>
      </w:r>
      <w:r w:rsidR="00CA6553">
        <w:rPr>
          <w:rFonts w:asciiTheme="majorHAnsi" w:eastAsiaTheme="majorEastAsia" w:hAnsiTheme="majorHAnsi" w:cstheme="majorBidi"/>
          <w:bCs/>
          <w:color w:val="000000" w:themeColor="text1"/>
          <w:sz w:val="24"/>
          <w:szCs w:val="24"/>
        </w:rPr>
        <w:t>8</w:t>
      </w:r>
      <w:r w:rsidR="009B39BC">
        <w:rPr>
          <w:rFonts w:asciiTheme="majorHAnsi" w:eastAsiaTheme="majorEastAsia" w:hAnsiTheme="majorHAnsi" w:cstheme="majorBidi"/>
          <w:bCs/>
          <w:color w:val="000000" w:themeColor="text1"/>
          <w:sz w:val="24"/>
          <w:szCs w:val="24"/>
        </w:rPr>
        <w:t>8.4</w:t>
      </w:r>
      <w:r w:rsidRPr="00476C5D">
        <w:rPr>
          <w:rFonts w:asciiTheme="majorHAnsi" w:eastAsiaTheme="majorEastAsia" w:hAnsiTheme="majorHAnsi" w:cstheme="majorBidi"/>
          <w:bCs/>
          <w:color w:val="000000" w:themeColor="text1"/>
          <w:sz w:val="24"/>
          <w:szCs w:val="24"/>
        </w:rPr>
        <w:t xml:space="preserve"> - $</w:t>
      </w:r>
      <w:r w:rsidR="00C500AF">
        <w:rPr>
          <w:rFonts w:asciiTheme="majorHAnsi" w:eastAsiaTheme="majorEastAsia" w:hAnsiTheme="majorHAnsi" w:cstheme="majorBidi"/>
          <w:bCs/>
          <w:color w:val="000000" w:themeColor="text1"/>
          <w:sz w:val="24"/>
          <w:szCs w:val="24"/>
        </w:rPr>
        <w:t>477.6</w:t>
      </w:r>
      <w:r w:rsidR="00C500AF" w:rsidRPr="00476C5D">
        <w:rPr>
          <w:rFonts w:asciiTheme="majorHAnsi" w:eastAsiaTheme="majorEastAsia" w:hAnsiTheme="majorHAnsi" w:cstheme="majorBidi"/>
          <w:bCs/>
          <w:color w:val="000000" w:themeColor="text1"/>
          <w:sz w:val="24"/>
          <w:szCs w:val="24"/>
        </w:rPr>
        <w:t xml:space="preserve"> </w:t>
      </w:r>
      <w:r w:rsidRPr="00476C5D">
        <w:rPr>
          <w:rFonts w:asciiTheme="majorHAnsi" w:eastAsiaTheme="majorEastAsia" w:hAnsiTheme="majorHAnsi" w:cstheme="majorBidi"/>
          <w:bCs/>
          <w:color w:val="000000" w:themeColor="text1"/>
          <w:sz w:val="24"/>
          <w:szCs w:val="24"/>
        </w:rPr>
        <w:t xml:space="preserve">million </w:t>
      </w:r>
      <w:r w:rsidR="009B43B3">
        <w:rPr>
          <w:rFonts w:asciiTheme="majorHAnsi" w:eastAsiaTheme="majorEastAsia" w:hAnsiTheme="majorHAnsi" w:cstheme="majorBidi"/>
          <w:bCs/>
          <w:color w:val="000000" w:themeColor="text1"/>
          <w:sz w:val="24"/>
          <w:szCs w:val="24"/>
        </w:rPr>
        <w:t>per year</w:t>
      </w:r>
      <w:r w:rsidRPr="00476C5D">
        <w:rPr>
          <w:rFonts w:asciiTheme="majorHAnsi" w:eastAsiaTheme="majorEastAsia" w:hAnsiTheme="majorHAnsi" w:cstheme="majorBidi"/>
          <w:bCs/>
          <w:color w:val="000000" w:themeColor="text1"/>
          <w:sz w:val="24"/>
          <w:szCs w:val="24"/>
        </w:rPr>
        <w:t xml:space="preserve"> during FY18-FY22</w:t>
      </w:r>
      <w:r w:rsidR="00F32491">
        <w:rPr>
          <w:rFonts w:asciiTheme="majorHAnsi" w:eastAsiaTheme="majorEastAsia" w:hAnsiTheme="majorHAnsi" w:cstheme="majorBidi"/>
          <w:bCs/>
          <w:color w:val="000000" w:themeColor="text1"/>
          <w:sz w:val="24"/>
          <w:szCs w:val="24"/>
        </w:rPr>
        <w:t>.</w:t>
      </w:r>
      <w:r w:rsidR="00C500AF">
        <w:rPr>
          <w:rFonts w:asciiTheme="majorHAnsi" w:eastAsiaTheme="majorEastAsia" w:hAnsiTheme="majorHAnsi" w:cstheme="majorBidi"/>
          <w:bCs/>
          <w:color w:val="000000" w:themeColor="text1"/>
          <w:sz w:val="24"/>
          <w:szCs w:val="24"/>
        </w:rPr>
        <w:t xml:space="preserve"> </w:t>
      </w:r>
      <w:r w:rsidR="00F32491">
        <w:rPr>
          <w:rFonts w:asciiTheme="majorHAnsi" w:eastAsiaTheme="majorEastAsia" w:hAnsiTheme="majorHAnsi" w:cstheme="majorBidi"/>
          <w:bCs/>
          <w:color w:val="000000" w:themeColor="text1"/>
          <w:sz w:val="24"/>
          <w:szCs w:val="24"/>
        </w:rPr>
        <w:t xml:space="preserve">See </w:t>
      </w:r>
      <w:r w:rsidR="00C500AF">
        <w:rPr>
          <w:rFonts w:asciiTheme="majorHAnsi" w:eastAsiaTheme="majorEastAsia" w:hAnsiTheme="majorHAnsi" w:cstheme="majorBidi"/>
          <w:bCs/>
          <w:color w:val="000000" w:themeColor="text1"/>
          <w:sz w:val="24"/>
          <w:szCs w:val="24"/>
        </w:rPr>
        <w:t>Table 1</w:t>
      </w:r>
      <w:r w:rsidRPr="00476C5D">
        <w:rPr>
          <w:rFonts w:asciiTheme="majorHAnsi" w:eastAsiaTheme="majorEastAsia" w:hAnsiTheme="majorHAnsi" w:cstheme="majorBidi"/>
          <w:bCs/>
          <w:color w:val="000000" w:themeColor="text1"/>
          <w:sz w:val="24"/>
          <w:szCs w:val="24"/>
        </w:rPr>
        <w:t xml:space="preserve">. </w:t>
      </w:r>
      <w:r w:rsidR="00C500AF">
        <w:rPr>
          <w:rFonts w:asciiTheme="majorHAnsi" w:eastAsiaTheme="majorEastAsia" w:hAnsiTheme="majorHAnsi" w:cstheme="majorBidi"/>
          <w:bCs/>
          <w:color w:val="000000" w:themeColor="text1"/>
          <w:sz w:val="24"/>
          <w:szCs w:val="24"/>
        </w:rPr>
        <w:t>The</w:t>
      </w:r>
      <w:r w:rsidR="00C500AF" w:rsidRPr="00D942E2">
        <w:rPr>
          <w:rFonts w:asciiTheme="majorHAnsi" w:eastAsiaTheme="majorEastAsia" w:hAnsiTheme="majorHAnsi" w:cstheme="majorBidi"/>
          <w:bCs/>
          <w:color w:val="000000" w:themeColor="text1"/>
          <w:sz w:val="24"/>
          <w:szCs w:val="24"/>
        </w:rPr>
        <w:t xml:space="preserve"> </w:t>
      </w:r>
      <w:r w:rsidR="00D942E2" w:rsidRPr="00D942E2">
        <w:rPr>
          <w:rFonts w:asciiTheme="majorHAnsi" w:eastAsiaTheme="majorEastAsia" w:hAnsiTheme="majorHAnsi" w:cstheme="majorBidi"/>
          <w:bCs/>
          <w:color w:val="000000" w:themeColor="text1"/>
          <w:sz w:val="24"/>
          <w:szCs w:val="24"/>
        </w:rPr>
        <w:t>estimate</w:t>
      </w:r>
      <w:r w:rsidR="00C500AF">
        <w:rPr>
          <w:rFonts w:asciiTheme="majorHAnsi" w:eastAsiaTheme="majorEastAsia" w:hAnsiTheme="majorHAnsi" w:cstheme="majorBidi"/>
          <w:bCs/>
          <w:color w:val="000000" w:themeColor="text1"/>
          <w:sz w:val="24"/>
          <w:szCs w:val="24"/>
        </w:rPr>
        <w:t>s are based on</w:t>
      </w:r>
      <w:r w:rsidR="00D942E2" w:rsidRPr="00D942E2">
        <w:rPr>
          <w:rFonts w:asciiTheme="majorHAnsi" w:eastAsiaTheme="majorEastAsia" w:hAnsiTheme="majorHAnsi" w:cstheme="majorBidi"/>
          <w:bCs/>
          <w:color w:val="000000" w:themeColor="text1"/>
          <w:sz w:val="24"/>
          <w:szCs w:val="24"/>
        </w:rPr>
        <w:t xml:space="preserve"> </w:t>
      </w:r>
      <w:r w:rsidR="00F32491">
        <w:rPr>
          <w:rFonts w:asciiTheme="majorHAnsi" w:eastAsiaTheme="majorEastAsia" w:hAnsiTheme="majorHAnsi" w:cstheme="majorBidi"/>
          <w:bCs/>
          <w:color w:val="000000" w:themeColor="text1"/>
          <w:sz w:val="24"/>
          <w:szCs w:val="24"/>
        </w:rPr>
        <w:t>several factors, including</w:t>
      </w:r>
      <w:r w:rsidR="00F32491" w:rsidRPr="00D942E2">
        <w:rPr>
          <w:rFonts w:asciiTheme="majorHAnsi" w:eastAsiaTheme="majorEastAsia" w:hAnsiTheme="majorHAnsi" w:cstheme="majorBidi"/>
          <w:bCs/>
          <w:color w:val="000000" w:themeColor="text1"/>
          <w:sz w:val="24"/>
          <w:szCs w:val="24"/>
        </w:rPr>
        <w:t xml:space="preserve"> </w:t>
      </w:r>
      <w:r w:rsidR="00D942E2" w:rsidRPr="00D942E2">
        <w:rPr>
          <w:rFonts w:asciiTheme="majorHAnsi" w:eastAsiaTheme="majorEastAsia" w:hAnsiTheme="majorHAnsi" w:cstheme="majorBidi"/>
          <w:bCs/>
          <w:color w:val="000000" w:themeColor="text1"/>
          <w:sz w:val="24"/>
          <w:szCs w:val="24"/>
        </w:rPr>
        <w:t xml:space="preserve">historical claims, economic forecasts, </w:t>
      </w:r>
      <w:r w:rsidR="00191ACD">
        <w:rPr>
          <w:rFonts w:asciiTheme="majorHAnsi" w:eastAsiaTheme="majorEastAsia" w:hAnsiTheme="majorHAnsi" w:cstheme="majorBidi"/>
          <w:bCs/>
          <w:color w:val="000000" w:themeColor="text1"/>
          <w:sz w:val="24"/>
          <w:szCs w:val="24"/>
        </w:rPr>
        <w:t xml:space="preserve">and </w:t>
      </w:r>
      <w:r w:rsidR="00D942E2" w:rsidRPr="00D942E2">
        <w:rPr>
          <w:rFonts w:asciiTheme="majorHAnsi" w:eastAsiaTheme="majorEastAsia" w:hAnsiTheme="majorHAnsi" w:cstheme="majorBidi"/>
          <w:bCs/>
          <w:color w:val="000000" w:themeColor="text1"/>
          <w:sz w:val="24"/>
          <w:szCs w:val="24"/>
        </w:rPr>
        <w:t>related law changes.</w:t>
      </w:r>
    </w:p>
    <w:p w14:paraId="0D0098A1" w14:textId="77777777" w:rsidR="00D310F7" w:rsidRDefault="00D310F7" w:rsidP="00F14ADD">
      <w:pPr>
        <w:spacing w:after="0"/>
        <w:rPr>
          <w:rFonts w:asciiTheme="majorHAnsi" w:eastAsiaTheme="majorEastAsia" w:hAnsiTheme="majorHAnsi" w:cstheme="majorBidi"/>
          <w:bCs/>
          <w:color w:val="000000" w:themeColor="text1"/>
          <w:sz w:val="24"/>
          <w:szCs w:val="24"/>
        </w:rPr>
      </w:pPr>
    </w:p>
    <w:p w14:paraId="6AEC09CA" w14:textId="77777777" w:rsidR="00D942E2" w:rsidRPr="00B726D0" w:rsidRDefault="00D942E2" w:rsidP="005D3BF7">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Research Credit</w:t>
      </w:r>
    </w:p>
    <w:tbl>
      <w:tblPr>
        <w:tblW w:w="7855" w:type="dxa"/>
        <w:jc w:val="center"/>
        <w:tblLook w:val="04A0" w:firstRow="1" w:lastRow="0" w:firstColumn="1" w:lastColumn="0" w:noHBand="0" w:noVBand="1"/>
      </w:tblPr>
      <w:tblGrid>
        <w:gridCol w:w="2755"/>
        <w:gridCol w:w="1020"/>
        <w:gridCol w:w="1020"/>
        <w:gridCol w:w="1020"/>
        <w:gridCol w:w="1020"/>
        <w:gridCol w:w="1020"/>
      </w:tblGrid>
      <w:tr w:rsidR="00D942E2" w:rsidRPr="00D942E2" w14:paraId="4FBEE52C" w14:textId="77777777" w:rsidTr="005D3BF7">
        <w:trPr>
          <w:trHeight w:val="460"/>
          <w:jc w:val="center"/>
        </w:trPr>
        <w:tc>
          <w:tcPr>
            <w:tcW w:w="2755"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7C407826"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 xml:space="preserve">Fiscal Year </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04E4E0D"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2018</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715397D"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2019</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44B5869"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2020</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98B927B"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2021</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A7F4676"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2022</w:t>
            </w:r>
          </w:p>
        </w:tc>
      </w:tr>
      <w:tr w:rsidR="00D942E2" w:rsidRPr="00D942E2" w14:paraId="0DE83540" w14:textId="77777777" w:rsidTr="005D3BF7">
        <w:trPr>
          <w:trHeight w:val="510"/>
          <w:jc w:val="center"/>
        </w:trPr>
        <w:tc>
          <w:tcPr>
            <w:tcW w:w="2755" w:type="dxa"/>
            <w:tcBorders>
              <w:top w:val="nil"/>
              <w:left w:val="single" w:sz="4" w:space="0" w:color="auto"/>
              <w:bottom w:val="single" w:sz="4" w:space="0" w:color="auto"/>
              <w:right w:val="single" w:sz="4" w:space="0" w:color="auto"/>
            </w:tcBorders>
            <w:shd w:val="clear" w:color="000000" w:fill="FFFFFF"/>
            <w:vAlign w:val="center"/>
            <w:hideMark/>
          </w:tcPr>
          <w:p w14:paraId="696AADB0"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 xml:space="preserve"> </w:t>
            </w:r>
            <w:r w:rsidR="00F32491" w:rsidRPr="009F10FC">
              <w:rPr>
                <w:rFonts w:ascii="Cambria" w:eastAsia="Times New Roman" w:hAnsi="Cambria" w:cs="Arial"/>
                <w:sz w:val="20"/>
                <w:szCs w:val="20"/>
                <w:lang w:eastAsia="ko-KR"/>
              </w:rPr>
              <w:t>Estimate</w:t>
            </w:r>
            <w:r w:rsidR="00F32491">
              <w:rPr>
                <w:rFonts w:ascii="Cambria" w:eastAsia="Times New Roman" w:hAnsi="Cambria" w:cs="Arial"/>
                <w:sz w:val="20"/>
                <w:szCs w:val="20"/>
                <w:lang w:eastAsia="ko-KR"/>
              </w:rPr>
              <w:t>d Revenue Loss</w:t>
            </w:r>
            <w:r w:rsidR="00F32491" w:rsidRPr="009F10FC">
              <w:rPr>
                <w:rFonts w:ascii="Cambria" w:eastAsia="Times New Roman" w:hAnsi="Cambria" w:cs="Arial"/>
                <w:sz w:val="20"/>
                <w:szCs w:val="20"/>
                <w:lang w:eastAsia="ko-KR"/>
              </w:rPr>
              <w:t xml:space="preserve"> </w:t>
            </w:r>
            <w:r w:rsidRPr="00D942E2">
              <w:rPr>
                <w:rFonts w:ascii="Cambria" w:eastAsia="Times New Roman" w:hAnsi="Cambria" w:cs="Helvetica"/>
                <w:sz w:val="20"/>
                <w:szCs w:val="20"/>
                <w:lang w:eastAsia="ko-KR"/>
              </w:rPr>
              <w:t xml:space="preserve">($Million) </w:t>
            </w:r>
          </w:p>
        </w:tc>
        <w:tc>
          <w:tcPr>
            <w:tcW w:w="1020" w:type="dxa"/>
            <w:tcBorders>
              <w:top w:val="nil"/>
              <w:left w:val="nil"/>
              <w:bottom w:val="single" w:sz="4" w:space="0" w:color="auto"/>
              <w:right w:val="single" w:sz="4" w:space="0" w:color="auto"/>
            </w:tcBorders>
            <w:shd w:val="clear" w:color="auto" w:fill="auto"/>
            <w:noWrap/>
            <w:vAlign w:val="center"/>
            <w:hideMark/>
          </w:tcPr>
          <w:p w14:paraId="3C961793"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$288.4</w:t>
            </w:r>
          </w:p>
        </w:tc>
        <w:tc>
          <w:tcPr>
            <w:tcW w:w="1020" w:type="dxa"/>
            <w:tcBorders>
              <w:top w:val="nil"/>
              <w:left w:val="nil"/>
              <w:bottom w:val="single" w:sz="4" w:space="0" w:color="auto"/>
              <w:right w:val="single" w:sz="4" w:space="0" w:color="auto"/>
            </w:tcBorders>
            <w:shd w:val="clear" w:color="auto" w:fill="auto"/>
            <w:noWrap/>
            <w:vAlign w:val="center"/>
            <w:hideMark/>
          </w:tcPr>
          <w:p w14:paraId="651325B0"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$337.6</w:t>
            </w:r>
          </w:p>
        </w:tc>
        <w:tc>
          <w:tcPr>
            <w:tcW w:w="1020" w:type="dxa"/>
            <w:tcBorders>
              <w:top w:val="nil"/>
              <w:left w:val="nil"/>
              <w:bottom w:val="single" w:sz="4" w:space="0" w:color="auto"/>
              <w:right w:val="single" w:sz="4" w:space="0" w:color="auto"/>
            </w:tcBorders>
            <w:shd w:val="clear" w:color="auto" w:fill="auto"/>
            <w:noWrap/>
            <w:vAlign w:val="center"/>
            <w:hideMark/>
          </w:tcPr>
          <w:p w14:paraId="2A99AF20"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$344.3</w:t>
            </w:r>
          </w:p>
        </w:tc>
        <w:tc>
          <w:tcPr>
            <w:tcW w:w="1020" w:type="dxa"/>
            <w:tcBorders>
              <w:top w:val="nil"/>
              <w:left w:val="nil"/>
              <w:bottom w:val="single" w:sz="4" w:space="0" w:color="auto"/>
              <w:right w:val="single" w:sz="4" w:space="0" w:color="auto"/>
            </w:tcBorders>
            <w:shd w:val="clear" w:color="auto" w:fill="auto"/>
            <w:noWrap/>
            <w:vAlign w:val="center"/>
            <w:hideMark/>
          </w:tcPr>
          <w:p w14:paraId="64E01E76"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$410.3</w:t>
            </w:r>
          </w:p>
        </w:tc>
        <w:tc>
          <w:tcPr>
            <w:tcW w:w="1020" w:type="dxa"/>
            <w:tcBorders>
              <w:top w:val="nil"/>
              <w:left w:val="nil"/>
              <w:bottom w:val="single" w:sz="4" w:space="0" w:color="auto"/>
              <w:right w:val="single" w:sz="4" w:space="0" w:color="auto"/>
            </w:tcBorders>
            <w:shd w:val="clear" w:color="auto" w:fill="auto"/>
            <w:noWrap/>
            <w:vAlign w:val="center"/>
            <w:hideMark/>
          </w:tcPr>
          <w:p w14:paraId="04FD8BC8" w14:textId="77777777" w:rsidR="00D942E2" w:rsidRPr="00D942E2" w:rsidRDefault="00D942E2" w:rsidP="00D942E2">
            <w:pPr>
              <w:spacing w:after="0" w:line="240" w:lineRule="auto"/>
              <w:jc w:val="center"/>
              <w:rPr>
                <w:rFonts w:ascii="Cambria" w:eastAsia="Times New Roman" w:hAnsi="Cambria" w:cs="Helvetica"/>
                <w:sz w:val="20"/>
                <w:szCs w:val="20"/>
                <w:lang w:eastAsia="ko-KR"/>
              </w:rPr>
            </w:pPr>
            <w:r w:rsidRPr="00D942E2">
              <w:rPr>
                <w:rFonts w:ascii="Cambria" w:eastAsia="Times New Roman" w:hAnsi="Cambria" w:cs="Helvetica"/>
                <w:sz w:val="20"/>
                <w:szCs w:val="20"/>
                <w:lang w:eastAsia="ko-KR"/>
              </w:rPr>
              <w:t>$</w:t>
            </w:r>
            <w:r w:rsidR="00A40D42">
              <w:rPr>
                <w:rFonts w:ascii="Cambria" w:eastAsia="Times New Roman" w:hAnsi="Cambria" w:cs="Helvetica"/>
                <w:sz w:val="20"/>
                <w:szCs w:val="20"/>
                <w:lang w:eastAsia="ko-KR"/>
              </w:rPr>
              <w:t>477.6</w:t>
            </w:r>
          </w:p>
        </w:tc>
      </w:tr>
    </w:tbl>
    <w:p w14:paraId="204F9791" w14:textId="77777777" w:rsidR="00D310F7" w:rsidRDefault="00D310F7" w:rsidP="00F14ADD">
      <w:pPr>
        <w:spacing w:after="0"/>
        <w:rPr>
          <w:rFonts w:asciiTheme="majorHAnsi" w:eastAsiaTheme="majorEastAsia" w:hAnsiTheme="majorHAnsi" w:cstheme="majorBidi"/>
          <w:bCs/>
          <w:color w:val="000000" w:themeColor="text1"/>
          <w:sz w:val="24"/>
          <w:szCs w:val="24"/>
        </w:rPr>
      </w:pPr>
    </w:p>
    <w:p w14:paraId="28765BCF" w14:textId="2886A087" w:rsidR="00F14ADD" w:rsidRDefault="00215F2E" w:rsidP="00F14ADD">
      <w:pPr>
        <w:spacing w:after="0"/>
        <w:rPr>
          <w:rFonts w:asciiTheme="majorHAnsi" w:eastAsiaTheme="majorEastAsia" w:hAnsiTheme="majorHAnsi" w:cstheme="majorBidi"/>
          <w:bCs/>
          <w:color w:val="000000" w:themeColor="text1"/>
          <w:sz w:val="24"/>
          <w:szCs w:val="24"/>
        </w:rPr>
      </w:pPr>
      <w:r w:rsidRPr="00215F2E">
        <w:rPr>
          <w:rFonts w:asciiTheme="majorHAnsi" w:eastAsiaTheme="majorEastAsia" w:hAnsiTheme="majorHAnsi" w:cstheme="majorBidi"/>
          <w:bCs/>
          <w:color w:val="000000" w:themeColor="text1"/>
          <w:sz w:val="24"/>
          <w:szCs w:val="24"/>
        </w:rPr>
        <w:t xml:space="preserve">Table </w:t>
      </w:r>
      <w:r w:rsidR="00D310F7">
        <w:rPr>
          <w:rFonts w:asciiTheme="majorHAnsi" w:eastAsiaTheme="majorEastAsia" w:hAnsiTheme="majorHAnsi" w:cstheme="majorBidi"/>
          <w:bCs/>
          <w:color w:val="000000" w:themeColor="text1"/>
          <w:sz w:val="24"/>
          <w:szCs w:val="24"/>
        </w:rPr>
        <w:t>2</w:t>
      </w:r>
      <w:r w:rsidRPr="00215F2E">
        <w:rPr>
          <w:rFonts w:asciiTheme="majorHAnsi" w:eastAsiaTheme="majorEastAsia" w:hAnsiTheme="majorHAnsi" w:cstheme="majorBidi"/>
          <w:bCs/>
          <w:color w:val="000000" w:themeColor="text1"/>
          <w:sz w:val="24"/>
          <w:szCs w:val="24"/>
        </w:rPr>
        <w:t xml:space="preserve"> below shows </w:t>
      </w:r>
      <w:r w:rsidR="00BC78C2">
        <w:rPr>
          <w:rFonts w:asciiTheme="majorHAnsi" w:eastAsiaTheme="majorEastAsia" w:hAnsiTheme="majorHAnsi" w:cstheme="majorBidi"/>
          <w:bCs/>
          <w:color w:val="000000" w:themeColor="text1"/>
          <w:sz w:val="24"/>
          <w:szCs w:val="24"/>
        </w:rPr>
        <w:t xml:space="preserve">the </w:t>
      </w:r>
      <w:r w:rsidR="00651B11">
        <w:rPr>
          <w:rFonts w:asciiTheme="majorHAnsi" w:eastAsiaTheme="majorEastAsia" w:hAnsiTheme="majorHAnsi" w:cstheme="majorBidi"/>
          <w:bCs/>
          <w:color w:val="000000" w:themeColor="text1"/>
          <w:sz w:val="24"/>
          <w:szCs w:val="24"/>
        </w:rPr>
        <w:t xml:space="preserve">amount </w:t>
      </w:r>
      <w:r w:rsidR="00BC78C2">
        <w:rPr>
          <w:rFonts w:asciiTheme="majorHAnsi" w:eastAsiaTheme="majorEastAsia" w:hAnsiTheme="majorHAnsi" w:cstheme="majorBidi"/>
          <w:bCs/>
          <w:color w:val="000000" w:themeColor="text1"/>
          <w:sz w:val="24"/>
          <w:szCs w:val="24"/>
        </w:rPr>
        <w:t xml:space="preserve">and </w:t>
      </w:r>
      <w:r w:rsidR="000A0C9B">
        <w:rPr>
          <w:rFonts w:asciiTheme="majorHAnsi" w:eastAsiaTheme="majorEastAsia" w:hAnsiTheme="majorHAnsi" w:cstheme="majorBidi"/>
          <w:bCs/>
          <w:color w:val="000000" w:themeColor="text1"/>
          <w:sz w:val="24"/>
          <w:szCs w:val="24"/>
        </w:rPr>
        <w:t xml:space="preserve">number </w:t>
      </w:r>
      <w:r w:rsidR="00BC78C2">
        <w:rPr>
          <w:rFonts w:asciiTheme="majorHAnsi" w:eastAsiaTheme="majorEastAsia" w:hAnsiTheme="majorHAnsi" w:cstheme="majorBidi"/>
          <w:bCs/>
          <w:color w:val="000000" w:themeColor="text1"/>
          <w:sz w:val="24"/>
          <w:szCs w:val="24"/>
        </w:rPr>
        <w:t xml:space="preserve">of </w:t>
      </w:r>
      <w:r w:rsidRPr="00215F2E">
        <w:rPr>
          <w:rFonts w:asciiTheme="majorHAnsi" w:eastAsiaTheme="majorEastAsia" w:hAnsiTheme="majorHAnsi" w:cstheme="majorBidi"/>
          <w:bCs/>
          <w:color w:val="000000" w:themeColor="text1"/>
          <w:sz w:val="24"/>
          <w:szCs w:val="24"/>
        </w:rPr>
        <w:t>available, claimed, and shared credit</w:t>
      </w:r>
      <w:r w:rsidR="009B32B9">
        <w:rPr>
          <w:rFonts w:asciiTheme="majorHAnsi" w:eastAsiaTheme="majorEastAsia" w:hAnsiTheme="majorHAnsi" w:cstheme="majorBidi"/>
          <w:bCs/>
          <w:color w:val="000000" w:themeColor="text1"/>
          <w:sz w:val="24"/>
          <w:szCs w:val="24"/>
        </w:rPr>
        <w:t>s</w:t>
      </w:r>
      <w:r w:rsidRPr="00215F2E">
        <w:rPr>
          <w:rFonts w:asciiTheme="majorHAnsi" w:eastAsiaTheme="majorEastAsia" w:hAnsiTheme="majorHAnsi" w:cstheme="majorBidi"/>
          <w:bCs/>
          <w:color w:val="000000" w:themeColor="text1"/>
          <w:sz w:val="24"/>
          <w:szCs w:val="24"/>
        </w:rPr>
        <w:t xml:space="preserve"> </w:t>
      </w:r>
      <w:r w:rsidR="000A0C9B">
        <w:rPr>
          <w:rFonts w:asciiTheme="majorHAnsi" w:eastAsiaTheme="majorEastAsia" w:hAnsiTheme="majorHAnsi" w:cstheme="majorBidi"/>
          <w:bCs/>
          <w:color w:val="000000" w:themeColor="text1"/>
          <w:sz w:val="24"/>
          <w:szCs w:val="24"/>
        </w:rPr>
        <w:t>in</w:t>
      </w:r>
      <w:r w:rsidR="000A0C9B" w:rsidRPr="00A17F9F">
        <w:rPr>
          <w:rFonts w:asciiTheme="majorHAnsi" w:eastAsiaTheme="majorEastAsia" w:hAnsiTheme="majorHAnsi" w:cstheme="majorBidi"/>
          <w:bCs/>
          <w:color w:val="000000" w:themeColor="text1"/>
          <w:sz w:val="24"/>
          <w:szCs w:val="24"/>
        </w:rPr>
        <w:t xml:space="preserve"> </w:t>
      </w:r>
      <w:r w:rsidR="000A0C9B">
        <w:rPr>
          <w:rFonts w:asciiTheme="majorHAnsi" w:eastAsiaTheme="majorEastAsia" w:hAnsiTheme="majorHAnsi" w:cstheme="majorBidi"/>
          <w:bCs/>
          <w:color w:val="000000" w:themeColor="text1"/>
          <w:sz w:val="24"/>
          <w:szCs w:val="24"/>
        </w:rPr>
        <w:t>each year during the period 2015 through 2018</w:t>
      </w:r>
      <w:r w:rsidRPr="00215F2E">
        <w:rPr>
          <w:rFonts w:asciiTheme="majorHAnsi" w:eastAsiaTheme="majorEastAsia" w:hAnsiTheme="majorHAnsi" w:cstheme="majorBidi"/>
          <w:bCs/>
          <w:color w:val="000000" w:themeColor="text1"/>
          <w:sz w:val="24"/>
          <w:szCs w:val="24"/>
        </w:rPr>
        <w:t xml:space="preserve">. </w:t>
      </w:r>
      <w:r w:rsidR="000A0C9B">
        <w:rPr>
          <w:rFonts w:asciiTheme="majorHAnsi" w:eastAsiaTheme="majorEastAsia" w:hAnsiTheme="majorHAnsi" w:cstheme="majorBidi"/>
          <w:bCs/>
          <w:color w:val="000000" w:themeColor="text1"/>
          <w:sz w:val="24"/>
          <w:szCs w:val="24"/>
        </w:rPr>
        <w:t>“A</w:t>
      </w:r>
      <w:r w:rsidR="00F14ADD">
        <w:rPr>
          <w:rFonts w:asciiTheme="majorHAnsi" w:eastAsiaTheme="majorEastAsia" w:hAnsiTheme="majorHAnsi" w:cstheme="majorBidi"/>
          <w:bCs/>
          <w:color w:val="000000" w:themeColor="text1"/>
          <w:sz w:val="24"/>
          <w:szCs w:val="24"/>
        </w:rPr>
        <w:t>vailable credit</w:t>
      </w:r>
      <w:r w:rsidR="000A0C9B">
        <w:rPr>
          <w:rFonts w:asciiTheme="majorHAnsi" w:eastAsiaTheme="majorEastAsia" w:hAnsiTheme="majorHAnsi" w:cstheme="majorBidi"/>
          <w:bCs/>
          <w:color w:val="000000" w:themeColor="text1"/>
          <w:sz w:val="24"/>
          <w:szCs w:val="24"/>
        </w:rPr>
        <w:t>”</w:t>
      </w:r>
      <w:r w:rsidR="00F14ADD">
        <w:rPr>
          <w:rFonts w:asciiTheme="majorHAnsi" w:eastAsiaTheme="majorEastAsia" w:hAnsiTheme="majorHAnsi" w:cstheme="majorBidi"/>
          <w:bCs/>
          <w:color w:val="000000" w:themeColor="text1"/>
          <w:sz w:val="24"/>
          <w:szCs w:val="24"/>
        </w:rPr>
        <w:t xml:space="preserve"> </w:t>
      </w:r>
      <w:r w:rsidR="000A0C9B">
        <w:rPr>
          <w:rFonts w:asciiTheme="majorHAnsi" w:eastAsiaTheme="majorEastAsia" w:hAnsiTheme="majorHAnsi" w:cstheme="majorBidi"/>
          <w:bCs/>
          <w:color w:val="000000" w:themeColor="text1"/>
          <w:sz w:val="24"/>
          <w:szCs w:val="24"/>
        </w:rPr>
        <w:t xml:space="preserve">refers to </w:t>
      </w:r>
      <w:r w:rsidR="00BC78C2">
        <w:rPr>
          <w:rFonts w:asciiTheme="majorHAnsi" w:eastAsiaTheme="majorEastAsia" w:hAnsiTheme="majorHAnsi" w:cstheme="majorBidi"/>
          <w:bCs/>
          <w:color w:val="000000" w:themeColor="text1"/>
          <w:sz w:val="24"/>
          <w:szCs w:val="24"/>
        </w:rPr>
        <w:t xml:space="preserve">the </w:t>
      </w:r>
      <w:r w:rsidR="00F14ADD">
        <w:rPr>
          <w:rFonts w:asciiTheme="majorHAnsi" w:eastAsiaTheme="majorEastAsia" w:hAnsiTheme="majorHAnsi" w:cstheme="majorBidi"/>
          <w:bCs/>
          <w:color w:val="000000" w:themeColor="text1"/>
          <w:sz w:val="24"/>
          <w:szCs w:val="24"/>
        </w:rPr>
        <w:t xml:space="preserve">maximum amount </w:t>
      </w:r>
      <w:r w:rsidR="00BC78C2">
        <w:rPr>
          <w:rFonts w:asciiTheme="majorHAnsi" w:eastAsiaTheme="majorEastAsia" w:hAnsiTheme="majorHAnsi" w:cstheme="majorBidi"/>
          <w:bCs/>
          <w:color w:val="000000" w:themeColor="text1"/>
          <w:sz w:val="24"/>
          <w:szCs w:val="24"/>
        </w:rPr>
        <w:t xml:space="preserve">of </w:t>
      </w:r>
      <w:r w:rsidR="00F14ADD">
        <w:rPr>
          <w:rFonts w:asciiTheme="majorHAnsi" w:eastAsiaTheme="majorEastAsia" w:hAnsiTheme="majorHAnsi" w:cstheme="majorBidi"/>
          <w:bCs/>
          <w:color w:val="000000" w:themeColor="text1"/>
          <w:sz w:val="24"/>
          <w:szCs w:val="24"/>
        </w:rPr>
        <w:t xml:space="preserve">credit </w:t>
      </w:r>
      <w:r w:rsidR="00006273">
        <w:rPr>
          <w:rFonts w:asciiTheme="majorHAnsi" w:eastAsiaTheme="majorEastAsia" w:hAnsiTheme="majorHAnsi" w:cstheme="majorBidi"/>
          <w:bCs/>
          <w:color w:val="000000" w:themeColor="text1"/>
          <w:sz w:val="24"/>
          <w:szCs w:val="24"/>
        </w:rPr>
        <w:t>that</w:t>
      </w:r>
      <w:r w:rsidR="00F14ADD">
        <w:rPr>
          <w:rFonts w:asciiTheme="majorHAnsi" w:eastAsiaTheme="majorEastAsia" w:hAnsiTheme="majorHAnsi" w:cstheme="majorBidi"/>
          <w:bCs/>
          <w:color w:val="000000" w:themeColor="text1"/>
          <w:sz w:val="24"/>
          <w:szCs w:val="24"/>
        </w:rPr>
        <w:t xml:space="preserve"> a taxpayer can claim </w:t>
      </w:r>
      <w:r w:rsidR="00E671D5">
        <w:rPr>
          <w:rFonts w:asciiTheme="majorHAnsi" w:eastAsiaTheme="majorEastAsia" w:hAnsiTheme="majorHAnsi" w:cstheme="majorBidi"/>
          <w:bCs/>
          <w:color w:val="000000" w:themeColor="text1"/>
          <w:sz w:val="24"/>
          <w:szCs w:val="24"/>
        </w:rPr>
        <w:t>based on tax liability, provided there are no other restrictions</w:t>
      </w:r>
      <w:r w:rsidR="000A0C9B">
        <w:rPr>
          <w:rFonts w:asciiTheme="majorHAnsi" w:eastAsiaTheme="majorEastAsia" w:hAnsiTheme="majorHAnsi" w:cstheme="majorBidi"/>
          <w:bCs/>
          <w:color w:val="000000" w:themeColor="text1"/>
          <w:sz w:val="24"/>
          <w:szCs w:val="24"/>
        </w:rPr>
        <w:t>. “C</w:t>
      </w:r>
      <w:r w:rsidR="00F14ADD">
        <w:rPr>
          <w:rFonts w:asciiTheme="majorHAnsi" w:eastAsiaTheme="majorEastAsia" w:hAnsiTheme="majorHAnsi" w:cstheme="majorBidi"/>
          <w:bCs/>
          <w:color w:val="000000" w:themeColor="text1"/>
          <w:sz w:val="24"/>
          <w:szCs w:val="24"/>
        </w:rPr>
        <w:t>laimed credit</w:t>
      </w:r>
      <w:r w:rsidR="000A0C9B">
        <w:rPr>
          <w:rFonts w:asciiTheme="majorHAnsi" w:eastAsiaTheme="majorEastAsia" w:hAnsiTheme="majorHAnsi" w:cstheme="majorBidi"/>
          <w:bCs/>
          <w:color w:val="000000" w:themeColor="text1"/>
          <w:sz w:val="24"/>
          <w:szCs w:val="24"/>
        </w:rPr>
        <w:t>”</w:t>
      </w:r>
      <w:r w:rsidR="00F14ADD">
        <w:rPr>
          <w:rFonts w:asciiTheme="majorHAnsi" w:eastAsiaTheme="majorEastAsia" w:hAnsiTheme="majorHAnsi" w:cstheme="majorBidi"/>
          <w:bCs/>
          <w:color w:val="000000" w:themeColor="text1"/>
          <w:sz w:val="24"/>
          <w:szCs w:val="24"/>
        </w:rPr>
        <w:t xml:space="preserve"> is </w:t>
      </w:r>
      <w:r w:rsidR="00E671D5">
        <w:rPr>
          <w:rFonts w:asciiTheme="majorHAnsi" w:eastAsiaTheme="majorEastAsia" w:hAnsiTheme="majorHAnsi" w:cstheme="majorBidi"/>
          <w:bCs/>
          <w:color w:val="000000" w:themeColor="text1"/>
          <w:sz w:val="24"/>
          <w:szCs w:val="24"/>
        </w:rPr>
        <w:t xml:space="preserve">the </w:t>
      </w:r>
      <w:r w:rsidR="00F14ADD">
        <w:rPr>
          <w:rFonts w:asciiTheme="majorHAnsi" w:eastAsiaTheme="majorEastAsia" w:hAnsiTheme="majorHAnsi" w:cstheme="majorBidi"/>
          <w:bCs/>
          <w:color w:val="000000" w:themeColor="text1"/>
          <w:sz w:val="24"/>
          <w:szCs w:val="24"/>
        </w:rPr>
        <w:t>amount a taxpayer actually claimed</w:t>
      </w:r>
      <w:r w:rsidR="000A0C9B">
        <w:rPr>
          <w:rFonts w:asciiTheme="majorHAnsi" w:eastAsiaTheme="majorEastAsia" w:hAnsiTheme="majorHAnsi" w:cstheme="majorBidi"/>
          <w:bCs/>
          <w:color w:val="000000" w:themeColor="text1"/>
          <w:sz w:val="24"/>
          <w:szCs w:val="24"/>
        </w:rPr>
        <w:t>. “S</w:t>
      </w:r>
      <w:r w:rsidR="00F14ADD">
        <w:rPr>
          <w:rFonts w:asciiTheme="majorHAnsi" w:eastAsiaTheme="majorEastAsia" w:hAnsiTheme="majorHAnsi" w:cstheme="majorBidi"/>
          <w:bCs/>
          <w:color w:val="000000" w:themeColor="text1"/>
          <w:sz w:val="24"/>
          <w:szCs w:val="24"/>
        </w:rPr>
        <w:t>hared credit</w:t>
      </w:r>
      <w:r w:rsidR="000A0C9B">
        <w:rPr>
          <w:rFonts w:asciiTheme="majorHAnsi" w:eastAsiaTheme="majorEastAsia" w:hAnsiTheme="majorHAnsi" w:cstheme="majorBidi"/>
          <w:bCs/>
          <w:color w:val="000000" w:themeColor="text1"/>
          <w:sz w:val="24"/>
          <w:szCs w:val="24"/>
        </w:rPr>
        <w:t>”</w:t>
      </w:r>
      <w:r w:rsidR="00F14ADD">
        <w:rPr>
          <w:rFonts w:asciiTheme="majorHAnsi" w:eastAsiaTheme="majorEastAsia" w:hAnsiTheme="majorHAnsi" w:cstheme="majorBidi"/>
          <w:bCs/>
          <w:color w:val="000000" w:themeColor="text1"/>
          <w:sz w:val="24"/>
          <w:szCs w:val="24"/>
        </w:rPr>
        <w:t xml:space="preserve"> is </w:t>
      </w:r>
      <w:r w:rsidR="00E671D5">
        <w:rPr>
          <w:rFonts w:asciiTheme="majorHAnsi" w:eastAsiaTheme="majorEastAsia" w:hAnsiTheme="majorHAnsi" w:cstheme="majorBidi"/>
          <w:bCs/>
          <w:color w:val="000000" w:themeColor="text1"/>
          <w:sz w:val="24"/>
          <w:szCs w:val="24"/>
        </w:rPr>
        <w:t xml:space="preserve">the </w:t>
      </w:r>
      <w:r w:rsidR="00F14ADD">
        <w:rPr>
          <w:rFonts w:asciiTheme="majorHAnsi" w:eastAsiaTheme="majorEastAsia" w:hAnsiTheme="majorHAnsi" w:cstheme="majorBidi"/>
          <w:bCs/>
          <w:color w:val="000000" w:themeColor="text1"/>
          <w:sz w:val="24"/>
          <w:szCs w:val="24"/>
        </w:rPr>
        <w:t xml:space="preserve">amount </w:t>
      </w:r>
      <w:r w:rsidR="000A0C9B">
        <w:rPr>
          <w:rFonts w:asciiTheme="majorHAnsi" w:eastAsiaTheme="majorEastAsia" w:hAnsiTheme="majorHAnsi" w:cstheme="majorBidi"/>
          <w:bCs/>
          <w:color w:val="000000" w:themeColor="text1"/>
          <w:sz w:val="24"/>
          <w:szCs w:val="24"/>
        </w:rPr>
        <w:t xml:space="preserve">of a taxpayer’s credit that was used by other members of the </w:t>
      </w:r>
      <w:r w:rsidR="000A0C9B" w:rsidRPr="00D4544F">
        <w:rPr>
          <w:rFonts w:asciiTheme="majorHAnsi" w:eastAsiaTheme="majorEastAsia" w:hAnsiTheme="majorHAnsi" w:cstheme="majorBidi"/>
          <w:bCs/>
          <w:color w:val="000000" w:themeColor="text1"/>
          <w:sz w:val="24"/>
          <w:szCs w:val="24"/>
        </w:rPr>
        <w:t>taxpayer</w:t>
      </w:r>
      <w:r w:rsidR="000A0C9B">
        <w:rPr>
          <w:rFonts w:asciiTheme="majorHAnsi" w:eastAsiaTheme="majorEastAsia" w:hAnsiTheme="majorHAnsi" w:cstheme="majorBidi"/>
          <w:bCs/>
          <w:color w:val="000000" w:themeColor="text1"/>
          <w:sz w:val="24"/>
          <w:szCs w:val="24"/>
        </w:rPr>
        <w:t xml:space="preserve">’s combined </w:t>
      </w:r>
      <w:r w:rsidR="000A0C9B" w:rsidRPr="00D4544F">
        <w:rPr>
          <w:rFonts w:asciiTheme="majorHAnsi" w:eastAsiaTheme="majorEastAsia" w:hAnsiTheme="majorHAnsi" w:cstheme="majorBidi"/>
          <w:bCs/>
          <w:color w:val="000000" w:themeColor="text1"/>
          <w:sz w:val="24"/>
          <w:szCs w:val="24"/>
        </w:rPr>
        <w:t>group</w:t>
      </w:r>
      <w:r w:rsidR="000A0C9B" w:rsidRPr="008C7788">
        <w:rPr>
          <w:rFonts w:asciiTheme="majorHAnsi" w:eastAsiaTheme="majorEastAsia" w:hAnsiTheme="majorHAnsi" w:cstheme="majorBidi"/>
          <w:bCs/>
          <w:color w:val="000000" w:themeColor="text1"/>
          <w:sz w:val="24"/>
          <w:szCs w:val="24"/>
        </w:rPr>
        <w:t>.</w:t>
      </w:r>
      <w:r w:rsidR="009B32B9">
        <w:rPr>
          <w:rFonts w:asciiTheme="majorHAnsi" w:eastAsiaTheme="majorEastAsia" w:hAnsiTheme="majorHAnsi" w:cstheme="majorBidi"/>
          <w:bCs/>
          <w:color w:val="000000" w:themeColor="text1"/>
          <w:sz w:val="24"/>
          <w:szCs w:val="24"/>
        </w:rPr>
        <w:t xml:space="preserve"> “Count” refers to the number of credit claims.</w:t>
      </w:r>
    </w:p>
    <w:p w14:paraId="5FACEEA3" w14:textId="77777777" w:rsidR="00F14ADD" w:rsidRDefault="00F14ADD" w:rsidP="00FE42E6">
      <w:pPr>
        <w:spacing w:after="0"/>
        <w:rPr>
          <w:rFonts w:asciiTheme="majorHAnsi" w:eastAsiaTheme="majorEastAsia" w:hAnsiTheme="majorHAnsi" w:cstheme="majorBidi"/>
          <w:bCs/>
          <w:color w:val="000000" w:themeColor="text1"/>
          <w:sz w:val="24"/>
          <w:szCs w:val="24"/>
        </w:rPr>
      </w:pPr>
    </w:p>
    <w:p w14:paraId="084BC646" w14:textId="77777777" w:rsidR="00705C74" w:rsidRDefault="00705C74" w:rsidP="00705C74">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During the tax years 2015 through 2018, the number of credits claimed or shared annually varied from 2,919 to 4,059, and the average claimed or shared amount was about $60,600 - $</w:t>
      </w:r>
      <w:r w:rsidR="00CD4F90">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2,</w:t>
      </w:r>
      <w:r w:rsidR="00CD4F90">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 xml:space="preserve">00 per year.  </w:t>
      </w:r>
      <w:r w:rsidR="002F150A">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total amount of credit claimed or shared was </w:t>
      </w:r>
      <w:r w:rsidR="00CD4F90">
        <w:rPr>
          <w:rFonts w:asciiTheme="majorHAnsi" w:eastAsiaTheme="majorEastAsia" w:hAnsiTheme="majorHAnsi" w:cstheme="majorBidi"/>
          <w:bCs/>
          <w:color w:val="000000" w:themeColor="text1"/>
          <w:sz w:val="24"/>
          <w:szCs w:val="24"/>
        </w:rPr>
        <w:t>6.</w:t>
      </w:r>
      <w:r>
        <w:rPr>
          <w:rFonts w:asciiTheme="majorHAnsi" w:eastAsiaTheme="majorEastAsia" w:hAnsiTheme="majorHAnsi" w:cstheme="majorBidi"/>
          <w:bCs/>
          <w:color w:val="000000" w:themeColor="text1"/>
          <w:sz w:val="24"/>
          <w:szCs w:val="24"/>
        </w:rPr>
        <w:t>3%-8</w:t>
      </w:r>
      <w:r w:rsidR="00CD4F90">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of the amount of credit available, meaning that tax filers did not have enough tax liability to take full advantage of the credit, or certain statutory limitations</w:t>
      </w:r>
      <w:r>
        <w:rPr>
          <w:rStyle w:val="FootnoteReference"/>
          <w:rFonts w:asciiTheme="majorHAnsi" w:eastAsiaTheme="majorEastAsia" w:hAnsiTheme="majorHAnsi"/>
          <w:bCs/>
          <w:color w:val="000000" w:themeColor="text1"/>
          <w:sz w:val="24"/>
          <w:szCs w:val="24"/>
        </w:rPr>
        <w:footnoteReference w:id="1"/>
      </w:r>
      <w:r>
        <w:rPr>
          <w:rFonts w:asciiTheme="majorHAnsi" w:eastAsiaTheme="majorEastAsia" w:hAnsiTheme="majorHAnsi" w:cstheme="majorBidi"/>
          <w:bCs/>
          <w:color w:val="000000" w:themeColor="text1"/>
          <w:sz w:val="24"/>
          <w:szCs w:val="24"/>
        </w:rPr>
        <w:t xml:space="preserve"> prevented them from doing so. </w:t>
      </w:r>
    </w:p>
    <w:p w14:paraId="5E0223D9" w14:textId="77777777" w:rsidR="00A22CE4" w:rsidRDefault="00A22CE4" w:rsidP="00601329">
      <w:pPr>
        <w:spacing w:after="0"/>
        <w:rPr>
          <w:rFonts w:asciiTheme="majorHAnsi" w:eastAsiaTheme="majorEastAsia" w:hAnsiTheme="majorHAnsi" w:cstheme="majorBidi"/>
          <w:bCs/>
          <w:color w:val="000000" w:themeColor="text1"/>
          <w:sz w:val="24"/>
          <w:szCs w:val="24"/>
        </w:rPr>
      </w:pPr>
    </w:p>
    <w:p w14:paraId="1326336C" w14:textId="77777777" w:rsidR="00391E40" w:rsidRDefault="00391E40">
      <w:pPr>
        <w:rPr>
          <w:rFonts w:asciiTheme="majorHAnsi" w:hAnsiTheme="majorHAnsi"/>
          <w:b/>
          <w:sz w:val="24"/>
          <w:szCs w:val="24"/>
        </w:rPr>
      </w:pPr>
      <w:r>
        <w:rPr>
          <w:rFonts w:asciiTheme="majorHAnsi" w:hAnsiTheme="majorHAnsi"/>
          <w:b/>
          <w:sz w:val="24"/>
          <w:szCs w:val="24"/>
        </w:rPr>
        <w:br w:type="page"/>
      </w:r>
    </w:p>
    <w:p w14:paraId="3B8F65D0" w14:textId="77777777" w:rsidR="00D87AE6" w:rsidRDefault="00D87AE6" w:rsidP="005D3BF7">
      <w:pPr>
        <w:spacing w:after="0"/>
        <w:jc w:val="center"/>
        <w:rPr>
          <w:rFonts w:asciiTheme="majorHAnsi" w:hAnsiTheme="majorHAnsi"/>
          <w:b/>
          <w:sz w:val="24"/>
          <w:szCs w:val="24"/>
        </w:rPr>
      </w:pPr>
      <w:r w:rsidRPr="00CA0391">
        <w:rPr>
          <w:rFonts w:asciiTheme="majorHAnsi" w:hAnsiTheme="majorHAnsi"/>
          <w:b/>
          <w:sz w:val="24"/>
          <w:szCs w:val="24"/>
        </w:rPr>
        <w:lastRenderedPageBreak/>
        <w:t xml:space="preserve">Table </w:t>
      </w:r>
      <w:r w:rsidR="00D942E2">
        <w:rPr>
          <w:rFonts w:asciiTheme="majorHAnsi" w:hAnsiTheme="majorHAnsi"/>
          <w:b/>
          <w:sz w:val="24"/>
          <w:szCs w:val="24"/>
        </w:rPr>
        <w:t>2</w:t>
      </w:r>
      <w:r w:rsidRPr="00CA0391">
        <w:rPr>
          <w:rFonts w:asciiTheme="majorHAnsi" w:hAnsiTheme="majorHAnsi"/>
          <w:b/>
          <w:sz w:val="24"/>
          <w:szCs w:val="24"/>
        </w:rPr>
        <w:t xml:space="preserve">. </w:t>
      </w:r>
      <w:r w:rsidR="0038702B">
        <w:rPr>
          <w:rFonts w:asciiTheme="majorHAnsi" w:hAnsiTheme="majorHAnsi"/>
          <w:b/>
          <w:sz w:val="24"/>
          <w:szCs w:val="24"/>
        </w:rPr>
        <w:t>Amount</w:t>
      </w:r>
      <w:r w:rsidR="00A22CE4">
        <w:rPr>
          <w:rFonts w:asciiTheme="majorHAnsi" w:hAnsiTheme="majorHAnsi"/>
          <w:b/>
          <w:sz w:val="24"/>
          <w:szCs w:val="24"/>
        </w:rPr>
        <w:t xml:space="preserve"> and Count</w:t>
      </w:r>
      <w:r w:rsidR="0038702B">
        <w:rPr>
          <w:rFonts w:asciiTheme="majorHAnsi" w:hAnsiTheme="majorHAnsi"/>
          <w:b/>
          <w:sz w:val="24"/>
          <w:szCs w:val="24"/>
        </w:rPr>
        <w:t xml:space="preserve"> of Research Credit by </w:t>
      </w:r>
      <w:r w:rsidR="00651B11">
        <w:rPr>
          <w:rFonts w:asciiTheme="majorHAnsi" w:hAnsiTheme="majorHAnsi"/>
          <w:b/>
          <w:sz w:val="24"/>
          <w:szCs w:val="24"/>
        </w:rPr>
        <w:t xml:space="preserve">Tax </w:t>
      </w:r>
      <w:r w:rsidR="0038702B">
        <w:rPr>
          <w:rFonts w:asciiTheme="majorHAnsi" w:hAnsiTheme="majorHAnsi"/>
          <w:b/>
          <w:sz w:val="24"/>
          <w:szCs w:val="24"/>
        </w:rPr>
        <w:t>Year</w:t>
      </w:r>
    </w:p>
    <w:tbl>
      <w:tblPr>
        <w:tblW w:w="10065" w:type="dxa"/>
        <w:jc w:val="center"/>
        <w:tblLook w:val="04A0" w:firstRow="1" w:lastRow="0" w:firstColumn="1" w:lastColumn="0" w:noHBand="0" w:noVBand="1"/>
      </w:tblPr>
      <w:tblGrid>
        <w:gridCol w:w="1978"/>
        <w:gridCol w:w="1175"/>
        <w:gridCol w:w="819"/>
        <w:gridCol w:w="1175"/>
        <w:gridCol w:w="833"/>
        <w:gridCol w:w="1175"/>
        <w:gridCol w:w="861"/>
        <w:gridCol w:w="1175"/>
        <w:gridCol w:w="890"/>
      </w:tblGrid>
      <w:tr w:rsidR="00CD01DD" w:rsidRPr="00CD01DD" w14:paraId="77C86F18" w14:textId="77777777" w:rsidTr="00B16EC0">
        <w:trPr>
          <w:trHeight w:val="290"/>
          <w:jc w:val="center"/>
        </w:trPr>
        <w:tc>
          <w:tcPr>
            <w:tcW w:w="1978"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tcPr>
          <w:p w14:paraId="0741C385"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p>
        </w:tc>
        <w:tc>
          <w:tcPr>
            <w:tcW w:w="1994"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0F66876" w14:textId="77777777" w:rsidR="00D310F7" w:rsidRPr="005D3BF7" w:rsidRDefault="00D310F7" w:rsidP="00D310F7">
            <w:pPr>
              <w:spacing w:after="0" w:line="240" w:lineRule="auto"/>
              <w:jc w:val="center"/>
              <w:rPr>
                <w:rFonts w:ascii="Cambria" w:eastAsia="Times New Roman" w:hAnsi="Cambria" w:cs="Helvetica"/>
                <w:color w:val="000000"/>
                <w:sz w:val="20"/>
                <w:szCs w:val="20"/>
                <w:lang w:eastAsia="ko-KR"/>
              </w:rPr>
            </w:pPr>
            <w:r w:rsidRPr="005D3BF7">
              <w:rPr>
                <w:rFonts w:ascii="Cambria" w:eastAsia="Times New Roman" w:hAnsi="Cambria" w:cs="Helvetica"/>
                <w:color w:val="000000"/>
                <w:sz w:val="20"/>
                <w:szCs w:val="20"/>
                <w:lang w:eastAsia="ko-KR"/>
              </w:rPr>
              <w:t>2015</w:t>
            </w:r>
          </w:p>
        </w:tc>
        <w:tc>
          <w:tcPr>
            <w:tcW w:w="2008"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812319D" w14:textId="77777777" w:rsidR="00D310F7" w:rsidRPr="005D3BF7" w:rsidRDefault="00D310F7" w:rsidP="00D310F7">
            <w:pPr>
              <w:spacing w:after="0" w:line="240" w:lineRule="auto"/>
              <w:jc w:val="center"/>
              <w:rPr>
                <w:rFonts w:ascii="Cambria" w:eastAsia="Times New Roman" w:hAnsi="Cambria" w:cs="Helvetica"/>
                <w:color w:val="000000"/>
                <w:sz w:val="20"/>
                <w:szCs w:val="20"/>
                <w:lang w:eastAsia="ko-KR"/>
              </w:rPr>
            </w:pPr>
            <w:r w:rsidRPr="005D3BF7">
              <w:rPr>
                <w:rFonts w:ascii="Cambria" w:eastAsia="Times New Roman" w:hAnsi="Cambria" w:cs="Helvetica"/>
                <w:color w:val="000000"/>
                <w:sz w:val="20"/>
                <w:szCs w:val="20"/>
                <w:lang w:eastAsia="ko-KR"/>
              </w:rPr>
              <w:t>2016</w:t>
            </w:r>
          </w:p>
        </w:tc>
        <w:tc>
          <w:tcPr>
            <w:tcW w:w="2036"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3D061719" w14:textId="77777777" w:rsidR="00D310F7" w:rsidRPr="005D3BF7" w:rsidRDefault="00D310F7" w:rsidP="00D310F7">
            <w:pPr>
              <w:spacing w:after="0" w:line="240" w:lineRule="auto"/>
              <w:jc w:val="center"/>
              <w:rPr>
                <w:rFonts w:ascii="Cambria" w:eastAsia="Times New Roman" w:hAnsi="Cambria" w:cs="Helvetica"/>
                <w:color w:val="000000"/>
                <w:sz w:val="20"/>
                <w:szCs w:val="20"/>
                <w:lang w:eastAsia="ko-KR"/>
              </w:rPr>
            </w:pPr>
            <w:r w:rsidRPr="005D3BF7">
              <w:rPr>
                <w:rFonts w:ascii="Cambria" w:eastAsia="Times New Roman" w:hAnsi="Cambria" w:cs="Helvetica"/>
                <w:color w:val="000000"/>
                <w:sz w:val="20"/>
                <w:szCs w:val="20"/>
                <w:lang w:eastAsia="ko-KR"/>
              </w:rPr>
              <w:t>2017</w:t>
            </w:r>
          </w:p>
        </w:tc>
        <w:tc>
          <w:tcPr>
            <w:tcW w:w="2049"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2DB0EEDD" w14:textId="77777777" w:rsidR="00D310F7" w:rsidRPr="005D3BF7" w:rsidRDefault="00D310F7" w:rsidP="00D310F7">
            <w:pPr>
              <w:spacing w:after="0" w:line="240" w:lineRule="auto"/>
              <w:jc w:val="center"/>
              <w:rPr>
                <w:rFonts w:ascii="Cambria" w:eastAsia="Times New Roman" w:hAnsi="Cambria" w:cs="Helvetica"/>
                <w:color w:val="000000"/>
                <w:sz w:val="20"/>
                <w:szCs w:val="20"/>
                <w:lang w:eastAsia="ko-KR"/>
              </w:rPr>
            </w:pPr>
            <w:r w:rsidRPr="005D3BF7">
              <w:rPr>
                <w:rFonts w:ascii="Cambria" w:eastAsia="Times New Roman" w:hAnsi="Cambria" w:cs="Helvetica"/>
                <w:color w:val="000000"/>
                <w:sz w:val="20"/>
                <w:szCs w:val="20"/>
                <w:lang w:eastAsia="ko-KR"/>
              </w:rPr>
              <w:t>2018</w:t>
            </w:r>
          </w:p>
        </w:tc>
      </w:tr>
      <w:tr w:rsidR="00CD01DD" w:rsidRPr="00CD01DD" w14:paraId="175940D8" w14:textId="77777777" w:rsidTr="00B16EC0">
        <w:trPr>
          <w:trHeight w:val="500"/>
          <w:jc w:val="center"/>
        </w:trPr>
        <w:tc>
          <w:tcPr>
            <w:tcW w:w="1978"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14:paraId="5F5AF19D" w14:textId="77777777" w:rsidR="00D310F7" w:rsidRPr="005D3BF7" w:rsidRDefault="00D310F7" w:rsidP="00D310F7">
            <w:pPr>
              <w:spacing w:after="0" w:line="240" w:lineRule="auto"/>
              <w:rPr>
                <w:rFonts w:ascii="Cambria" w:eastAsia="Times New Roman" w:hAnsi="Cambria" w:cs="Helvetica"/>
                <w:sz w:val="20"/>
                <w:szCs w:val="20"/>
                <w:lang w:eastAsia="ko-KR"/>
              </w:rPr>
            </w:pPr>
          </w:p>
        </w:tc>
        <w:tc>
          <w:tcPr>
            <w:tcW w:w="1175" w:type="dxa"/>
            <w:tcBorders>
              <w:top w:val="nil"/>
              <w:left w:val="nil"/>
              <w:bottom w:val="single" w:sz="4" w:space="0" w:color="auto"/>
              <w:right w:val="single" w:sz="4" w:space="0" w:color="auto"/>
            </w:tcBorders>
            <w:shd w:val="clear" w:color="auto" w:fill="B6DDE8" w:themeFill="accent5" w:themeFillTint="66"/>
            <w:vAlign w:val="center"/>
            <w:hideMark/>
          </w:tcPr>
          <w:p w14:paraId="3EF404A7"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Amount</w:t>
            </w:r>
            <w:r w:rsidRPr="005D3BF7">
              <w:rPr>
                <w:rFonts w:ascii="Cambria" w:eastAsia="Times New Roman" w:hAnsi="Cambria" w:cs="Helvetica"/>
                <w:sz w:val="20"/>
                <w:szCs w:val="20"/>
                <w:lang w:eastAsia="ko-KR"/>
              </w:rPr>
              <w:br/>
              <w:t>($000)</w:t>
            </w:r>
          </w:p>
        </w:tc>
        <w:tc>
          <w:tcPr>
            <w:tcW w:w="819" w:type="dxa"/>
            <w:tcBorders>
              <w:top w:val="nil"/>
              <w:left w:val="nil"/>
              <w:bottom w:val="single" w:sz="4" w:space="0" w:color="auto"/>
              <w:right w:val="single" w:sz="4" w:space="0" w:color="auto"/>
            </w:tcBorders>
            <w:shd w:val="clear" w:color="auto" w:fill="B6DDE8" w:themeFill="accent5" w:themeFillTint="66"/>
            <w:noWrap/>
            <w:vAlign w:val="center"/>
            <w:hideMark/>
          </w:tcPr>
          <w:p w14:paraId="326354BC"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Count</w:t>
            </w:r>
          </w:p>
        </w:tc>
        <w:tc>
          <w:tcPr>
            <w:tcW w:w="1175" w:type="dxa"/>
            <w:tcBorders>
              <w:top w:val="nil"/>
              <w:left w:val="nil"/>
              <w:bottom w:val="single" w:sz="4" w:space="0" w:color="auto"/>
              <w:right w:val="single" w:sz="4" w:space="0" w:color="auto"/>
            </w:tcBorders>
            <w:shd w:val="clear" w:color="auto" w:fill="B6DDE8" w:themeFill="accent5" w:themeFillTint="66"/>
            <w:vAlign w:val="center"/>
            <w:hideMark/>
          </w:tcPr>
          <w:p w14:paraId="27B67083"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Amount</w:t>
            </w:r>
            <w:r w:rsidRPr="005D3BF7">
              <w:rPr>
                <w:rFonts w:ascii="Cambria" w:eastAsia="Times New Roman" w:hAnsi="Cambria" w:cs="Helvetica"/>
                <w:sz w:val="20"/>
                <w:szCs w:val="20"/>
                <w:lang w:eastAsia="ko-KR"/>
              </w:rPr>
              <w:br/>
              <w:t>($000)</w:t>
            </w:r>
          </w:p>
        </w:tc>
        <w:tc>
          <w:tcPr>
            <w:tcW w:w="833" w:type="dxa"/>
            <w:tcBorders>
              <w:top w:val="nil"/>
              <w:left w:val="nil"/>
              <w:bottom w:val="single" w:sz="4" w:space="0" w:color="auto"/>
              <w:right w:val="single" w:sz="4" w:space="0" w:color="auto"/>
            </w:tcBorders>
            <w:shd w:val="clear" w:color="auto" w:fill="B6DDE8" w:themeFill="accent5" w:themeFillTint="66"/>
            <w:noWrap/>
            <w:vAlign w:val="center"/>
            <w:hideMark/>
          </w:tcPr>
          <w:p w14:paraId="1D071E9E"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Count</w:t>
            </w:r>
          </w:p>
        </w:tc>
        <w:tc>
          <w:tcPr>
            <w:tcW w:w="1175" w:type="dxa"/>
            <w:tcBorders>
              <w:top w:val="nil"/>
              <w:left w:val="nil"/>
              <w:bottom w:val="single" w:sz="4" w:space="0" w:color="auto"/>
              <w:right w:val="single" w:sz="4" w:space="0" w:color="auto"/>
            </w:tcBorders>
            <w:shd w:val="clear" w:color="auto" w:fill="B6DDE8" w:themeFill="accent5" w:themeFillTint="66"/>
            <w:vAlign w:val="center"/>
            <w:hideMark/>
          </w:tcPr>
          <w:p w14:paraId="352E62C0"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Amount</w:t>
            </w:r>
            <w:r w:rsidRPr="005D3BF7">
              <w:rPr>
                <w:rFonts w:ascii="Cambria" w:eastAsia="Times New Roman" w:hAnsi="Cambria" w:cs="Helvetica"/>
                <w:sz w:val="20"/>
                <w:szCs w:val="20"/>
                <w:lang w:eastAsia="ko-KR"/>
              </w:rPr>
              <w:br/>
              <w:t>($000)</w:t>
            </w:r>
          </w:p>
        </w:tc>
        <w:tc>
          <w:tcPr>
            <w:tcW w:w="861" w:type="dxa"/>
            <w:tcBorders>
              <w:top w:val="nil"/>
              <w:left w:val="nil"/>
              <w:bottom w:val="single" w:sz="4" w:space="0" w:color="auto"/>
              <w:right w:val="single" w:sz="4" w:space="0" w:color="auto"/>
            </w:tcBorders>
            <w:shd w:val="clear" w:color="auto" w:fill="B6DDE8" w:themeFill="accent5" w:themeFillTint="66"/>
            <w:noWrap/>
            <w:vAlign w:val="center"/>
            <w:hideMark/>
          </w:tcPr>
          <w:p w14:paraId="4F8F20F0"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Count</w:t>
            </w:r>
          </w:p>
        </w:tc>
        <w:tc>
          <w:tcPr>
            <w:tcW w:w="1159" w:type="dxa"/>
            <w:tcBorders>
              <w:top w:val="nil"/>
              <w:left w:val="nil"/>
              <w:bottom w:val="single" w:sz="4" w:space="0" w:color="auto"/>
              <w:right w:val="single" w:sz="4" w:space="0" w:color="auto"/>
            </w:tcBorders>
            <w:shd w:val="clear" w:color="auto" w:fill="B6DDE8" w:themeFill="accent5" w:themeFillTint="66"/>
            <w:vAlign w:val="center"/>
            <w:hideMark/>
          </w:tcPr>
          <w:p w14:paraId="40EF7213"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Amount</w:t>
            </w:r>
            <w:r w:rsidRPr="005D3BF7">
              <w:rPr>
                <w:rFonts w:ascii="Cambria" w:eastAsia="Times New Roman" w:hAnsi="Cambria" w:cs="Helvetica"/>
                <w:sz w:val="20"/>
                <w:szCs w:val="20"/>
                <w:lang w:eastAsia="ko-KR"/>
              </w:rPr>
              <w:br/>
              <w:t>($000)</w:t>
            </w:r>
          </w:p>
        </w:tc>
        <w:tc>
          <w:tcPr>
            <w:tcW w:w="890" w:type="dxa"/>
            <w:tcBorders>
              <w:top w:val="nil"/>
              <w:left w:val="nil"/>
              <w:bottom w:val="single" w:sz="4" w:space="0" w:color="auto"/>
              <w:right w:val="single" w:sz="4" w:space="0" w:color="auto"/>
            </w:tcBorders>
            <w:shd w:val="clear" w:color="auto" w:fill="B6DDE8" w:themeFill="accent5" w:themeFillTint="66"/>
            <w:noWrap/>
            <w:vAlign w:val="center"/>
            <w:hideMark/>
          </w:tcPr>
          <w:p w14:paraId="3CF82968"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Count</w:t>
            </w:r>
          </w:p>
        </w:tc>
      </w:tr>
      <w:tr w:rsidR="00CD01DD" w:rsidRPr="00CD01DD" w14:paraId="360E236E" w14:textId="77777777" w:rsidTr="00B16EC0">
        <w:trPr>
          <w:trHeight w:val="500"/>
          <w:jc w:val="center"/>
        </w:trPr>
        <w:tc>
          <w:tcPr>
            <w:tcW w:w="1978" w:type="dxa"/>
            <w:tcBorders>
              <w:top w:val="single" w:sz="4" w:space="0" w:color="000000"/>
              <w:left w:val="single" w:sz="4" w:space="0" w:color="auto"/>
              <w:bottom w:val="single" w:sz="4" w:space="0" w:color="auto"/>
              <w:right w:val="single" w:sz="4" w:space="0" w:color="auto"/>
            </w:tcBorders>
            <w:shd w:val="clear" w:color="000000" w:fill="auto"/>
            <w:vAlign w:val="center"/>
            <w:hideMark/>
          </w:tcPr>
          <w:p w14:paraId="56194B93"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 xml:space="preserve">Available </w:t>
            </w:r>
            <w:r w:rsidR="00CD01DD">
              <w:rPr>
                <w:rFonts w:ascii="Cambria" w:eastAsia="Times New Roman" w:hAnsi="Cambria" w:cs="Helvetica"/>
                <w:sz w:val="20"/>
                <w:szCs w:val="20"/>
                <w:lang w:eastAsia="ko-KR"/>
              </w:rPr>
              <w:t>C</w:t>
            </w:r>
            <w:r w:rsidR="00CD01DD" w:rsidRPr="005D3BF7">
              <w:rPr>
                <w:rFonts w:ascii="Cambria" w:eastAsia="Times New Roman" w:hAnsi="Cambria" w:cs="Helvetica"/>
                <w:sz w:val="20"/>
                <w:szCs w:val="20"/>
                <w:lang w:eastAsia="ko-KR"/>
              </w:rPr>
              <w:t xml:space="preserve">redit </w:t>
            </w:r>
            <w:r w:rsidRPr="005D3BF7">
              <w:rPr>
                <w:rFonts w:ascii="Cambria" w:eastAsia="Times New Roman" w:hAnsi="Cambria" w:cs="Helvetica"/>
                <w:sz w:val="20"/>
                <w:szCs w:val="20"/>
                <w:lang w:eastAsia="ko-KR"/>
              </w:rPr>
              <w:t>-A</w:t>
            </w:r>
          </w:p>
        </w:tc>
        <w:tc>
          <w:tcPr>
            <w:tcW w:w="1175" w:type="dxa"/>
            <w:tcBorders>
              <w:top w:val="nil"/>
              <w:left w:val="nil"/>
              <w:bottom w:val="single" w:sz="4" w:space="0" w:color="auto"/>
              <w:right w:val="single" w:sz="4" w:space="0" w:color="auto"/>
            </w:tcBorders>
            <w:shd w:val="clear" w:color="auto" w:fill="auto"/>
            <w:noWrap/>
            <w:vAlign w:val="center"/>
            <w:hideMark/>
          </w:tcPr>
          <w:p w14:paraId="23752D95"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$3,002,410</w:t>
            </w:r>
          </w:p>
        </w:tc>
        <w:tc>
          <w:tcPr>
            <w:tcW w:w="819" w:type="dxa"/>
            <w:tcBorders>
              <w:top w:val="nil"/>
              <w:left w:val="nil"/>
              <w:bottom w:val="single" w:sz="4" w:space="0" w:color="auto"/>
              <w:right w:val="single" w:sz="4" w:space="0" w:color="auto"/>
            </w:tcBorders>
            <w:shd w:val="clear" w:color="auto" w:fill="auto"/>
            <w:noWrap/>
            <w:vAlign w:val="center"/>
            <w:hideMark/>
          </w:tcPr>
          <w:p w14:paraId="6162652C"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10,666</w:t>
            </w:r>
          </w:p>
        </w:tc>
        <w:tc>
          <w:tcPr>
            <w:tcW w:w="1175" w:type="dxa"/>
            <w:tcBorders>
              <w:top w:val="nil"/>
              <w:left w:val="nil"/>
              <w:bottom w:val="single" w:sz="4" w:space="0" w:color="auto"/>
              <w:right w:val="single" w:sz="4" w:space="0" w:color="auto"/>
            </w:tcBorders>
            <w:shd w:val="clear" w:color="auto" w:fill="auto"/>
            <w:noWrap/>
            <w:vAlign w:val="center"/>
            <w:hideMark/>
          </w:tcPr>
          <w:p w14:paraId="16D04418"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$3,207,342</w:t>
            </w:r>
          </w:p>
        </w:tc>
        <w:tc>
          <w:tcPr>
            <w:tcW w:w="833" w:type="dxa"/>
            <w:tcBorders>
              <w:top w:val="nil"/>
              <w:left w:val="nil"/>
              <w:bottom w:val="single" w:sz="4" w:space="0" w:color="auto"/>
              <w:right w:val="single" w:sz="4" w:space="0" w:color="auto"/>
            </w:tcBorders>
            <w:shd w:val="clear" w:color="auto" w:fill="auto"/>
            <w:noWrap/>
            <w:vAlign w:val="center"/>
            <w:hideMark/>
          </w:tcPr>
          <w:p w14:paraId="4ED110E7"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11,819</w:t>
            </w:r>
          </w:p>
        </w:tc>
        <w:tc>
          <w:tcPr>
            <w:tcW w:w="1175" w:type="dxa"/>
            <w:tcBorders>
              <w:top w:val="nil"/>
              <w:left w:val="nil"/>
              <w:bottom w:val="single" w:sz="4" w:space="0" w:color="auto"/>
              <w:right w:val="single" w:sz="4" w:space="0" w:color="auto"/>
            </w:tcBorders>
            <w:shd w:val="clear" w:color="auto" w:fill="auto"/>
            <w:noWrap/>
            <w:vAlign w:val="center"/>
            <w:hideMark/>
          </w:tcPr>
          <w:p w14:paraId="458252FF"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$3,250,400</w:t>
            </w:r>
          </w:p>
        </w:tc>
        <w:tc>
          <w:tcPr>
            <w:tcW w:w="861" w:type="dxa"/>
            <w:tcBorders>
              <w:top w:val="nil"/>
              <w:left w:val="nil"/>
              <w:bottom w:val="single" w:sz="4" w:space="0" w:color="auto"/>
              <w:right w:val="single" w:sz="4" w:space="0" w:color="auto"/>
            </w:tcBorders>
            <w:shd w:val="clear" w:color="auto" w:fill="auto"/>
            <w:noWrap/>
            <w:vAlign w:val="center"/>
            <w:hideMark/>
          </w:tcPr>
          <w:p w14:paraId="33B6DBC0"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13,361</w:t>
            </w:r>
          </w:p>
        </w:tc>
        <w:tc>
          <w:tcPr>
            <w:tcW w:w="1159" w:type="dxa"/>
            <w:tcBorders>
              <w:top w:val="nil"/>
              <w:left w:val="nil"/>
              <w:bottom w:val="single" w:sz="4" w:space="0" w:color="auto"/>
              <w:right w:val="single" w:sz="4" w:space="0" w:color="auto"/>
            </w:tcBorders>
            <w:shd w:val="clear" w:color="auto" w:fill="auto"/>
            <w:noWrap/>
            <w:vAlign w:val="center"/>
            <w:hideMark/>
          </w:tcPr>
          <w:p w14:paraId="091929CC"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$4,059,419</w:t>
            </w:r>
          </w:p>
        </w:tc>
        <w:tc>
          <w:tcPr>
            <w:tcW w:w="890" w:type="dxa"/>
            <w:tcBorders>
              <w:top w:val="nil"/>
              <w:left w:val="nil"/>
              <w:bottom w:val="single" w:sz="4" w:space="0" w:color="auto"/>
              <w:right w:val="single" w:sz="4" w:space="0" w:color="auto"/>
            </w:tcBorders>
            <w:shd w:val="clear" w:color="auto" w:fill="auto"/>
            <w:noWrap/>
            <w:vAlign w:val="center"/>
            <w:hideMark/>
          </w:tcPr>
          <w:p w14:paraId="256530CE"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15,348</w:t>
            </w:r>
          </w:p>
        </w:tc>
      </w:tr>
      <w:tr w:rsidR="00CD01DD" w:rsidRPr="00CD01DD" w14:paraId="12BBDA5E" w14:textId="77777777" w:rsidTr="00B16EC0">
        <w:trPr>
          <w:trHeight w:val="250"/>
          <w:jc w:val="center"/>
        </w:trPr>
        <w:tc>
          <w:tcPr>
            <w:tcW w:w="197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720F92" w14:textId="77777777" w:rsidR="00D310F7" w:rsidRPr="005D3BF7" w:rsidRDefault="00D310F7" w:rsidP="00D310F7">
            <w:pPr>
              <w:spacing w:after="0" w:line="240" w:lineRule="auto"/>
              <w:jc w:val="center"/>
              <w:rPr>
                <w:rFonts w:ascii="Cambria" w:eastAsia="Times New Roman" w:hAnsi="Cambria" w:cs="Helvetica"/>
                <w:color w:val="000000"/>
                <w:sz w:val="20"/>
                <w:szCs w:val="20"/>
                <w:lang w:eastAsia="ko-KR"/>
              </w:rPr>
            </w:pPr>
            <w:r w:rsidRPr="005D3BF7">
              <w:rPr>
                <w:rFonts w:ascii="Cambria" w:eastAsia="Times New Roman" w:hAnsi="Cambria" w:cs="Helvetica"/>
                <w:color w:val="000000"/>
                <w:sz w:val="20"/>
                <w:szCs w:val="20"/>
                <w:lang w:eastAsia="ko-KR"/>
              </w:rPr>
              <w:t xml:space="preserve"> Claimed </w:t>
            </w:r>
            <w:r w:rsidR="00CD01DD">
              <w:rPr>
                <w:rFonts w:ascii="Cambria" w:eastAsia="Times New Roman" w:hAnsi="Cambria" w:cs="Helvetica"/>
                <w:color w:val="000000"/>
                <w:sz w:val="20"/>
                <w:szCs w:val="20"/>
                <w:lang w:eastAsia="ko-KR"/>
              </w:rPr>
              <w:t>C</w:t>
            </w:r>
            <w:r w:rsidR="00CD01DD" w:rsidRPr="005D3BF7">
              <w:rPr>
                <w:rFonts w:ascii="Cambria" w:eastAsia="Times New Roman" w:hAnsi="Cambria" w:cs="Helvetica"/>
                <w:color w:val="000000"/>
                <w:sz w:val="20"/>
                <w:szCs w:val="20"/>
                <w:lang w:eastAsia="ko-KR"/>
              </w:rPr>
              <w:t xml:space="preserve">redit </w:t>
            </w:r>
          </w:p>
        </w:tc>
        <w:tc>
          <w:tcPr>
            <w:tcW w:w="1175" w:type="dxa"/>
            <w:tcBorders>
              <w:top w:val="nil"/>
              <w:left w:val="nil"/>
              <w:bottom w:val="single" w:sz="4" w:space="0" w:color="auto"/>
              <w:right w:val="single" w:sz="4" w:space="0" w:color="auto"/>
            </w:tcBorders>
            <w:shd w:val="clear" w:color="auto" w:fill="auto"/>
            <w:noWrap/>
            <w:vAlign w:val="center"/>
            <w:hideMark/>
          </w:tcPr>
          <w:p w14:paraId="4DCC415C"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$148,849</w:t>
            </w:r>
          </w:p>
        </w:tc>
        <w:tc>
          <w:tcPr>
            <w:tcW w:w="819" w:type="dxa"/>
            <w:tcBorders>
              <w:top w:val="nil"/>
              <w:left w:val="nil"/>
              <w:bottom w:val="single" w:sz="4" w:space="0" w:color="auto"/>
              <w:right w:val="single" w:sz="4" w:space="0" w:color="auto"/>
            </w:tcBorders>
            <w:shd w:val="clear" w:color="auto" w:fill="auto"/>
            <w:noWrap/>
            <w:vAlign w:val="center"/>
            <w:hideMark/>
          </w:tcPr>
          <w:p w14:paraId="2FF440C9"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2,657</w:t>
            </w:r>
          </w:p>
        </w:tc>
        <w:tc>
          <w:tcPr>
            <w:tcW w:w="1175" w:type="dxa"/>
            <w:tcBorders>
              <w:top w:val="nil"/>
              <w:left w:val="nil"/>
              <w:bottom w:val="single" w:sz="4" w:space="0" w:color="auto"/>
              <w:right w:val="single" w:sz="4" w:space="0" w:color="auto"/>
            </w:tcBorders>
            <w:shd w:val="clear" w:color="auto" w:fill="auto"/>
            <w:noWrap/>
            <w:vAlign w:val="center"/>
            <w:hideMark/>
          </w:tcPr>
          <w:p w14:paraId="48663B1B"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$154,010</w:t>
            </w:r>
          </w:p>
        </w:tc>
        <w:tc>
          <w:tcPr>
            <w:tcW w:w="833" w:type="dxa"/>
            <w:tcBorders>
              <w:top w:val="nil"/>
              <w:left w:val="nil"/>
              <w:bottom w:val="single" w:sz="4" w:space="0" w:color="auto"/>
              <w:right w:val="single" w:sz="4" w:space="0" w:color="auto"/>
            </w:tcBorders>
            <w:shd w:val="clear" w:color="auto" w:fill="auto"/>
            <w:noWrap/>
            <w:vAlign w:val="center"/>
            <w:hideMark/>
          </w:tcPr>
          <w:p w14:paraId="14F65DB8"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2,996</w:t>
            </w:r>
          </w:p>
        </w:tc>
        <w:tc>
          <w:tcPr>
            <w:tcW w:w="1175" w:type="dxa"/>
            <w:tcBorders>
              <w:top w:val="nil"/>
              <w:left w:val="nil"/>
              <w:bottom w:val="single" w:sz="4" w:space="0" w:color="auto"/>
              <w:right w:val="single" w:sz="4" w:space="0" w:color="auto"/>
            </w:tcBorders>
            <w:shd w:val="clear" w:color="auto" w:fill="auto"/>
            <w:noWrap/>
            <w:vAlign w:val="center"/>
            <w:hideMark/>
          </w:tcPr>
          <w:p w14:paraId="4A760654"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$178,598</w:t>
            </w:r>
          </w:p>
        </w:tc>
        <w:tc>
          <w:tcPr>
            <w:tcW w:w="861" w:type="dxa"/>
            <w:tcBorders>
              <w:top w:val="nil"/>
              <w:left w:val="nil"/>
              <w:bottom w:val="single" w:sz="4" w:space="0" w:color="auto"/>
              <w:right w:val="single" w:sz="4" w:space="0" w:color="auto"/>
            </w:tcBorders>
            <w:shd w:val="clear" w:color="auto" w:fill="auto"/>
            <w:noWrap/>
            <w:vAlign w:val="center"/>
            <w:hideMark/>
          </w:tcPr>
          <w:p w14:paraId="2CDD9DFB"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3,280</w:t>
            </w:r>
          </w:p>
        </w:tc>
        <w:tc>
          <w:tcPr>
            <w:tcW w:w="1159" w:type="dxa"/>
            <w:tcBorders>
              <w:top w:val="nil"/>
              <w:left w:val="nil"/>
              <w:bottom w:val="single" w:sz="4" w:space="0" w:color="auto"/>
              <w:right w:val="single" w:sz="4" w:space="0" w:color="auto"/>
            </w:tcBorders>
            <w:shd w:val="clear" w:color="auto" w:fill="auto"/>
            <w:noWrap/>
            <w:vAlign w:val="center"/>
            <w:hideMark/>
          </w:tcPr>
          <w:p w14:paraId="4D027B60"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$266,186</w:t>
            </w:r>
          </w:p>
        </w:tc>
        <w:tc>
          <w:tcPr>
            <w:tcW w:w="890" w:type="dxa"/>
            <w:tcBorders>
              <w:top w:val="nil"/>
              <w:left w:val="nil"/>
              <w:bottom w:val="single" w:sz="4" w:space="0" w:color="auto"/>
              <w:right w:val="single" w:sz="4" w:space="0" w:color="auto"/>
            </w:tcBorders>
            <w:shd w:val="clear" w:color="auto" w:fill="auto"/>
            <w:noWrap/>
            <w:vAlign w:val="center"/>
            <w:hideMark/>
          </w:tcPr>
          <w:p w14:paraId="7343FFDE"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3,714</w:t>
            </w:r>
          </w:p>
        </w:tc>
      </w:tr>
      <w:tr w:rsidR="00CD01DD" w:rsidRPr="00CD01DD" w14:paraId="3F758BC2" w14:textId="77777777" w:rsidTr="00B16EC0">
        <w:trPr>
          <w:trHeight w:val="290"/>
          <w:jc w:val="center"/>
        </w:trPr>
        <w:tc>
          <w:tcPr>
            <w:tcW w:w="197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BB4FF38"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 xml:space="preserve">Shared </w:t>
            </w:r>
            <w:r w:rsidR="00CD01DD">
              <w:rPr>
                <w:rFonts w:ascii="Cambria" w:eastAsia="Times New Roman" w:hAnsi="Cambria" w:cs="Helvetica"/>
                <w:sz w:val="20"/>
                <w:szCs w:val="20"/>
                <w:lang w:eastAsia="ko-KR"/>
              </w:rPr>
              <w:t>C</w:t>
            </w:r>
            <w:r w:rsidR="00CD01DD" w:rsidRPr="005D3BF7">
              <w:rPr>
                <w:rFonts w:ascii="Cambria" w:eastAsia="Times New Roman" w:hAnsi="Cambria" w:cs="Helvetica"/>
                <w:sz w:val="20"/>
                <w:szCs w:val="20"/>
                <w:lang w:eastAsia="ko-KR"/>
              </w:rPr>
              <w:t>redit</w:t>
            </w:r>
          </w:p>
        </w:tc>
        <w:tc>
          <w:tcPr>
            <w:tcW w:w="1175" w:type="dxa"/>
            <w:tcBorders>
              <w:top w:val="nil"/>
              <w:left w:val="nil"/>
              <w:bottom w:val="single" w:sz="4" w:space="0" w:color="auto"/>
              <w:right w:val="single" w:sz="4" w:space="0" w:color="auto"/>
            </w:tcBorders>
            <w:shd w:val="clear" w:color="auto" w:fill="auto"/>
            <w:noWrap/>
            <w:vAlign w:val="center"/>
            <w:hideMark/>
          </w:tcPr>
          <w:p w14:paraId="79AFF496"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$50,152</w:t>
            </w:r>
          </w:p>
        </w:tc>
        <w:tc>
          <w:tcPr>
            <w:tcW w:w="819" w:type="dxa"/>
            <w:tcBorders>
              <w:top w:val="nil"/>
              <w:left w:val="nil"/>
              <w:bottom w:val="single" w:sz="4" w:space="0" w:color="auto"/>
              <w:right w:val="single" w:sz="4" w:space="0" w:color="auto"/>
            </w:tcBorders>
            <w:shd w:val="clear" w:color="auto" w:fill="auto"/>
            <w:noWrap/>
            <w:vAlign w:val="center"/>
            <w:hideMark/>
          </w:tcPr>
          <w:p w14:paraId="6E471840"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262</w:t>
            </w:r>
          </w:p>
        </w:tc>
        <w:tc>
          <w:tcPr>
            <w:tcW w:w="1175" w:type="dxa"/>
            <w:tcBorders>
              <w:top w:val="nil"/>
              <w:left w:val="nil"/>
              <w:bottom w:val="single" w:sz="4" w:space="0" w:color="auto"/>
              <w:right w:val="single" w:sz="4" w:space="0" w:color="auto"/>
            </w:tcBorders>
            <w:shd w:val="clear" w:color="auto" w:fill="auto"/>
            <w:noWrap/>
            <w:vAlign w:val="center"/>
            <w:hideMark/>
          </w:tcPr>
          <w:p w14:paraId="387A2F89"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$48,081</w:t>
            </w:r>
          </w:p>
        </w:tc>
        <w:tc>
          <w:tcPr>
            <w:tcW w:w="833" w:type="dxa"/>
            <w:tcBorders>
              <w:top w:val="nil"/>
              <w:left w:val="nil"/>
              <w:bottom w:val="single" w:sz="4" w:space="0" w:color="auto"/>
              <w:right w:val="single" w:sz="4" w:space="0" w:color="auto"/>
            </w:tcBorders>
            <w:shd w:val="clear" w:color="auto" w:fill="auto"/>
            <w:noWrap/>
            <w:vAlign w:val="center"/>
            <w:hideMark/>
          </w:tcPr>
          <w:p w14:paraId="427E5DFB" w14:textId="18CBBCC8"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338</w:t>
            </w:r>
          </w:p>
        </w:tc>
        <w:tc>
          <w:tcPr>
            <w:tcW w:w="1175" w:type="dxa"/>
            <w:tcBorders>
              <w:top w:val="nil"/>
              <w:left w:val="nil"/>
              <w:bottom w:val="single" w:sz="4" w:space="0" w:color="auto"/>
              <w:right w:val="single" w:sz="4" w:space="0" w:color="auto"/>
            </w:tcBorders>
            <w:shd w:val="clear" w:color="auto" w:fill="auto"/>
            <w:noWrap/>
            <w:vAlign w:val="center"/>
            <w:hideMark/>
          </w:tcPr>
          <w:p w14:paraId="04E83D67"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$63,897</w:t>
            </w:r>
          </w:p>
        </w:tc>
        <w:tc>
          <w:tcPr>
            <w:tcW w:w="861" w:type="dxa"/>
            <w:tcBorders>
              <w:top w:val="nil"/>
              <w:left w:val="nil"/>
              <w:bottom w:val="single" w:sz="4" w:space="0" w:color="auto"/>
              <w:right w:val="single" w:sz="4" w:space="0" w:color="auto"/>
            </w:tcBorders>
            <w:shd w:val="clear" w:color="auto" w:fill="auto"/>
            <w:noWrap/>
            <w:vAlign w:val="center"/>
            <w:hideMark/>
          </w:tcPr>
          <w:p w14:paraId="5C885C60"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348</w:t>
            </w:r>
          </w:p>
        </w:tc>
        <w:tc>
          <w:tcPr>
            <w:tcW w:w="1159" w:type="dxa"/>
            <w:tcBorders>
              <w:top w:val="nil"/>
              <w:left w:val="nil"/>
              <w:bottom w:val="single" w:sz="4" w:space="0" w:color="auto"/>
              <w:right w:val="single" w:sz="4" w:space="0" w:color="auto"/>
            </w:tcBorders>
            <w:shd w:val="clear" w:color="auto" w:fill="auto"/>
            <w:noWrap/>
            <w:vAlign w:val="center"/>
            <w:hideMark/>
          </w:tcPr>
          <w:p w14:paraId="764CC569"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$68,029</w:t>
            </w:r>
          </w:p>
        </w:tc>
        <w:tc>
          <w:tcPr>
            <w:tcW w:w="890" w:type="dxa"/>
            <w:tcBorders>
              <w:top w:val="nil"/>
              <w:left w:val="nil"/>
              <w:bottom w:val="single" w:sz="4" w:space="0" w:color="auto"/>
              <w:right w:val="single" w:sz="4" w:space="0" w:color="auto"/>
            </w:tcBorders>
            <w:shd w:val="clear" w:color="auto" w:fill="auto"/>
            <w:noWrap/>
            <w:vAlign w:val="center"/>
            <w:hideMark/>
          </w:tcPr>
          <w:p w14:paraId="7A3E349E"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345</w:t>
            </w:r>
          </w:p>
        </w:tc>
      </w:tr>
      <w:tr w:rsidR="00CD01DD" w:rsidRPr="00CD01DD" w14:paraId="45291B0E" w14:textId="77777777" w:rsidTr="00B16EC0">
        <w:trPr>
          <w:trHeight w:val="500"/>
          <w:jc w:val="center"/>
        </w:trPr>
        <w:tc>
          <w:tcPr>
            <w:tcW w:w="197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B7F5CC8"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 xml:space="preserve">Claimed plus </w:t>
            </w:r>
            <w:r w:rsidR="00CD01DD">
              <w:rPr>
                <w:rFonts w:ascii="Cambria" w:eastAsia="Times New Roman" w:hAnsi="Cambria" w:cs="Helvetica"/>
                <w:sz w:val="20"/>
                <w:szCs w:val="20"/>
                <w:lang w:eastAsia="ko-KR"/>
              </w:rPr>
              <w:t>S</w:t>
            </w:r>
            <w:r w:rsidR="00CD01DD" w:rsidRPr="005D3BF7">
              <w:rPr>
                <w:rFonts w:ascii="Cambria" w:eastAsia="Times New Roman" w:hAnsi="Cambria" w:cs="Helvetica"/>
                <w:sz w:val="20"/>
                <w:szCs w:val="20"/>
                <w:lang w:eastAsia="ko-KR"/>
              </w:rPr>
              <w:t xml:space="preserve">hared </w:t>
            </w:r>
            <w:r w:rsidR="00CD01DD">
              <w:rPr>
                <w:rFonts w:ascii="Cambria" w:eastAsia="Times New Roman" w:hAnsi="Cambria" w:cs="Helvetica"/>
                <w:sz w:val="20"/>
                <w:szCs w:val="20"/>
                <w:lang w:eastAsia="ko-KR"/>
              </w:rPr>
              <w:t>C</w:t>
            </w:r>
            <w:r w:rsidR="00CD01DD" w:rsidRPr="005D3BF7">
              <w:rPr>
                <w:rFonts w:ascii="Cambria" w:eastAsia="Times New Roman" w:hAnsi="Cambria" w:cs="Helvetica"/>
                <w:sz w:val="20"/>
                <w:szCs w:val="20"/>
                <w:lang w:eastAsia="ko-KR"/>
              </w:rPr>
              <w:t xml:space="preserve">redit </w:t>
            </w:r>
            <w:r w:rsidRPr="005D3BF7">
              <w:rPr>
                <w:rFonts w:ascii="Cambria" w:eastAsia="Times New Roman" w:hAnsi="Cambria" w:cs="Helvetica"/>
                <w:sz w:val="20"/>
                <w:szCs w:val="20"/>
                <w:lang w:eastAsia="ko-KR"/>
              </w:rPr>
              <w:t>- B</w:t>
            </w:r>
          </w:p>
        </w:tc>
        <w:tc>
          <w:tcPr>
            <w:tcW w:w="1175" w:type="dxa"/>
            <w:tcBorders>
              <w:top w:val="nil"/>
              <w:left w:val="nil"/>
              <w:bottom w:val="single" w:sz="4" w:space="0" w:color="auto"/>
              <w:right w:val="single" w:sz="4" w:space="0" w:color="auto"/>
            </w:tcBorders>
            <w:shd w:val="clear" w:color="auto" w:fill="auto"/>
            <w:noWrap/>
            <w:vAlign w:val="center"/>
            <w:hideMark/>
          </w:tcPr>
          <w:p w14:paraId="00172D31"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$199,001</w:t>
            </w:r>
          </w:p>
        </w:tc>
        <w:tc>
          <w:tcPr>
            <w:tcW w:w="819" w:type="dxa"/>
            <w:tcBorders>
              <w:top w:val="nil"/>
              <w:left w:val="nil"/>
              <w:bottom w:val="single" w:sz="4" w:space="0" w:color="auto"/>
              <w:right w:val="single" w:sz="4" w:space="0" w:color="auto"/>
            </w:tcBorders>
            <w:shd w:val="clear" w:color="auto" w:fill="auto"/>
            <w:noWrap/>
            <w:vAlign w:val="center"/>
            <w:hideMark/>
          </w:tcPr>
          <w:p w14:paraId="142D5DB0"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2,919</w:t>
            </w:r>
          </w:p>
        </w:tc>
        <w:tc>
          <w:tcPr>
            <w:tcW w:w="1175" w:type="dxa"/>
            <w:tcBorders>
              <w:top w:val="nil"/>
              <w:left w:val="nil"/>
              <w:bottom w:val="single" w:sz="4" w:space="0" w:color="auto"/>
              <w:right w:val="single" w:sz="4" w:space="0" w:color="auto"/>
            </w:tcBorders>
            <w:shd w:val="clear" w:color="auto" w:fill="auto"/>
            <w:noWrap/>
            <w:vAlign w:val="center"/>
            <w:hideMark/>
          </w:tcPr>
          <w:p w14:paraId="2B6FD4D9"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$202,091</w:t>
            </w:r>
          </w:p>
        </w:tc>
        <w:tc>
          <w:tcPr>
            <w:tcW w:w="833" w:type="dxa"/>
            <w:tcBorders>
              <w:top w:val="nil"/>
              <w:left w:val="nil"/>
              <w:bottom w:val="single" w:sz="4" w:space="0" w:color="auto"/>
              <w:right w:val="single" w:sz="4" w:space="0" w:color="auto"/>
            </w:tcBorders>
            <w:shd w:val="clear" w:color="auto" w:fill="auto"/>
            <w:noWrap/>
            <w:vAlign w:val="center"/>
            <w:hideMark/>
          </w:tcPr>
          <w:p w14:paraId="7C455AE5"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3,334</w:t>
            </w:r>
          </w:p>
        </w:tc>
        <w:tc>
          <w:tcPr>
            <w:tcW w:w="1175" w:type="dxa"/>
            <w:tcBorders>
              <w:top w:val="nil"/>
              <w:left w:val="nil"/>
              <w:bottom w:val="single" w:sz="4" w:space="0" w:color="auto"/>
              <w:right w:val="single" w:sz="4" w:space="0" w:color="auto"/>
            </w:tcBorders>
            <w:shd w:val="clear" w:color="auto" w:fill="auto"/>
            <w:noWrap/>
            <w:vAlign w:val="center"/>
            <w:hideMark/>
          </w:tcPr>
          <w:p w14:paraId="0BBCF78F"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$242,496</w:t>
            </w:r>
          </w:p>
        </w:tc>
        <w:tc>
          <w:tcPr>
            <w:tcW w:w="861" w:type="dxa"/>
            <w:tcBorders>
              <w:top w:val="nil"/>
              <w:left w:val="nil"/>
              <w:bottom w:val="single" w:sz="4" w:space="0" w:color="auto"/>
              <w:right w:val="single" w:sz="4" w:space="0" w:color="auto"/>
            </w:tcBorders>
            <w:shd w:val="clear" w:color="auto" w:fill="auto"/>
            <w:noWrap/>
            <w:vAlign w:val="center"/>
            <w:hideMark/>
          </w:tcPr>
          <w:p w14:paraId="6B71DFDF"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3,628</w:t>
            </w:r>
          </w:p>
        </w:tc>
        <w:tc>
          <w:tcPr>
            <w:tcW w:w="1159" w:type="dxa"/>
            <w:tcBorders>
              <w:top w:val="nil"/>
              <w:left w:val="nil"/>
              <w:bottom w:val="single" w:sz="4" w:space="0" w:color="auto"/>
              <w:right w:val="single" w:sz="4" w:space="0" w:color="auto"/>
            </w:tcBorders>
            <w:shd w:val="clear" w:color="auto" w:fill="auto"/>
            <w:noWrap/>
            <w:vAlign w:val="center"/>
            <w:hideMark/>
          </w:tcPr>
          <w:p w14:paraId="0AA64D53" w14:textId="77777777" w:rsidR="00D310F7" w:rsidRPr="005D3BF7" w:rsidRDefault="00D310F7" w:rsidP="00D310F7">
            <w:pPr>
              <w:spacing w:after="0" w:line="240" w:lineRule="auto"/>
              <w:jc w:val="right"/>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$334,216</w:t>
            </w:r>
          </w:p>
        </w:tc>
        <w:tc>
          <w:tcPr>
            <w:tcW w:w="890" w:type="dxa"/>
            <w:tcBorders>
              <w:top w:val="nil"/>
              <w:left w:val="nil"/>
              <w:bottom w:val="single" w:sz="4" w:space="0" w:color="auto"/>
              <w:right w:val="single" w:sz="4" w:space="0" w:color="auto"/>
            </w:tcBorders>
            <w:shd w:val="clear" w:color="auto" w:fill="auto"/>
            <w:noWrap/>
            <w:vAlign w:val="center"/>
            <w:hideMark/>
          </w:tcPr>
          <w:p w14:paraId="28F11E6E"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4,059</w:t>
            </w:r>
          </w:p>
        </w:tc>
      </w:tr>
      <w:tr w:rsidR="00CD01DD" w:rsidRPr="00CD01DD" w14:paraId="08B7E821" w14:textId="77777777" w:rsidTr="00B16EC0">
        <w:trPr>
          <w:trHeight w:val="290"/>
          <w:jc w:val="center"/>
        </w:trPr>
        <w:tc>
          <w:tcPr>
            <w:tcW w:w="197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4FFD1A9"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B/A</w:t>
            </w:r>
          </w:p>
        </w:tc>
        <w:tc>
          <w:tcPr>
            <w:tcW w:w="1175" w:type="dxa"/>
            <w:tcBorders>
              <w:top w:val="nil"/>
              <w:left w:val="nil"/>
              <w:bottom w:val="single" w:sz="4" w:space="0" w:color="auto"/>
              <w:right w:val="single" w:sz="4" w:space="0" w:color="auto"/>
            </w:tcBorders>
            <w:shd w:val="clear" w:color="auto" w:fill="auto"/>
            <w:noWrap/>
            <w:vAlign w:val="center"/>
            <w:hideMark/>
          </w:tcPr>
          <w:p w14:paraId="751B179C"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6.6%</w:t>
            </w:r>
          </w:p>
        </w:tc>
        <w:tc>
          <w:tcPr>
            <w:tcW w:w="819" w:type="dxa"/>
            <w:tcBorders>
              <w:top w:val="nil"/>
              <w:left w:val="nil"/>
              <w:bottom w:val="single" w:sz="4" w:space="0" w:color="auto"/>
              <w:right w:val="single" w:sz="4" w:space="0" w:color="auto"/>
            </w:tcBorders>
            <w:shd w:val="clear" w:color="auto" w:fill="auto"/>
            <w:noWrap/>
            <w:vAlign w:val="center"/>
            <w:hideMark/>
          </w:tcPr>
          <w:p w14:paraId="2B65A5FF"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27.4%</w:t>
            </w:r>
          </w:p>
        </w:tc>
        <w:tc>
          <w:tcPr>
            <w:tcW w:w="1175" w:type="dxa"/>
            <w:tcBorders>
              <w:top w:val="nil"/>
              <w:left w:val="nil"/>
              <w:bottom w:val="single" w:sz="4" w:space="0" w:color="auto"/>
              <w:right w:val="single" w:sz="4" w:space="0" w:color="auto"/>
            </w:tcBorders>
            <w:shd w:val="clear" w:color="auto" w:fill="auto"/>
            <w:noWrap/>
            <w:vAlign w:val="center"/>
            <w:hideMark/>
          </w:tcPr>
          <w:p w14:paraId="759DF7E2"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6.3%</w:t>
            </w:r>
          </w:p>
        </w:tc>
        <w:tc>
          <w:tcPr>
            <w:tcW w:w="833" w:type="dxa"/>
            <w:tcBorders>
              <w:top w:val="nil"/>
              <w:left w:val="nil"/>
              <w:bottom w:val="single" w:sz="4" w:space="0" w:color="auto"/>
              <w:right w:val="single" w:sz="4" w:space="0" w:color="auto"/>
            </w:tcBorders>
            <w:shd w:val="clear" w:color="auto" w:fill="auto"/>
            <w:noWrap/>
            <w:vAlign w:val="center"/>
            <w:hideMark/>
          </w:tcPr>
          <w:p w14:paraId="483B878C"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28.2%</w:t>
            </w:r>
          </w:p>
        </w:tc>
        <w:tc>
          <w:tcPr>
            <w:tcW w:w="1175" w:type="dxa"/>
            <w:tcBorders>
              <w:top w:val="nil"/>
              <w:left w:val="nil"/>
              <w:bottom w:val="single" w:sz="4" w:space="0" w:color="auto"/>
              <w:right w:val="single" w:sz="4" w:space="0" w:color="auto"/>
            </w:tcBorders>
            <w:shd w:val="clear" w:color="auto" w:fill="auto"/>
            <w:noWrap/>
            <w:vAlign w:val="center"/>
            <w:hideMark/>
          </w:tcPr>
          <w:p w14:paraId="2ECBD5CF"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7.5%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CD638C5"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27.2%</w:t>
            </w:r>
          </w:p>
        </w:tc>
        <w:tc>
          <w:tcPr>
            <w:tcW w:w="1159" w:type="dxa"/>
            <w:tcBorders>
              <w:top w:val="nil"/>
              <w:left w:val="nil"/>
              <w:bottom w:val="single" w:sz="4" w:space="0" w:color="auto"/>
              <w:right w:val="single" w:sz="4" w:space="0" w:color="auto"/>
            </w:tcBorders>
            <w:shd w:val="clear" w:color="auto" w:fill="auto"/>
            <w:noWrap/>
            <w:vAlign w:val="center"/>
            <w:hideMark/>
          </w:tcPr>
          <w:p w14:paraId="214CBDDA"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8.2%</w:t>
            </w:r>
          </w:p>
        </w:tc>
        <w:tc>
          <w:tcPr>
            <w:tcW w:w="890" w:type="dxa"/>
            <w:tcBorders>
              <w:top w:val="nil"/>
              <w:left w:val="nil"/>
              <w:bottom w:val="single" w:sz="4" w:space="0" w:color="auto"/>
              <w:right w:val="single" w:sz="4" w:space="0" w:color="auto"/>
            </w:tcBorders>
            <w:shd w:val="clear" w:color="auto" w:fill="auto"/>
            <w:noWrap/>
            <w:vAlign w:val="center"/>
            <w:hideMark/>
          </w:tcPr>
          <w:p w14:paraId="181C1755" w14:textId="77777777" w:rsidR="00D310F7" w:rsidRPr="005D3BF7" w:rsidRDefault="00D310F7"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26.4%</w:t>
            </w:r>
          </w:p>
        </w:tc>
      </w:tr>
      <w:tr w:rsidR="00B16EC0" w:rsidRPr="00CD01DD" w14:paraId="4680D96D" w14:textId="77777777" w:rsidTr="00B16EC0">
        <w:trPr>
          <w:trHeight w:val="810"/>
          <w:jc w:val="center"/>
        </w:trPr>
        <w:tc>
          <w:tcPr>
            <w:tcW w:w="197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2510213"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Average Claimed or Shared Amount</w:t>
            </w:r>
          </w:p>
        </w:tc>
        <w:tc>
          <w:tcPr>
            <w:tcW w:w="1175" w:type="dxa"/>
            <w:tcBorders>
              <w:top w:val="single" w:sz="4" w:space="0" w:color="auto"/>
              <w:left w:val="nil"/>
              <w:bottom w:val="single" w:sz="4" w:space="0" w:color="auto"/>
              <w:right w:val="single" w:sz="4" w:space="0" w:color="000000"/>
            </w:tcBorders>
            <w:shd w:val="clear" w:color="auto" w:fill="auto"/>
            <w:noWrap/>
            <w:vAlign w:val="center"/>
            <w:hideMark/>
          </w:tcPr>
          <w:p w14:paraId="48C93C56"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$68.2</w:t>
            </w:r>
          </w:p>
        </w:tc>
        <w:tc>
          <w:tcPr>
            <w:tcW w:w="819" w:type="dxa"/>
            <w:tcBorders>
              <w:top w:val="single" w:sz="4" w:space="0" w:color="auto"/>
              <w:left w:val="nil"/>
              <w:bottom w:val="single" w:sz="4" w:space="0" w:color="auto"/>
              <w:right w:val="single" w:sz="4" w:space="0" w:color="000000"/>
            </w:tcBorders>
            <w:shd w:val="clear" w:color="auto" w:fill="auto"/>
            <w:vAlign w:val="center"/>
          </w:tcPr>
          <w:p w14:paraId="6B1C9A3D"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NA</w:t>
            </w:r>
          </w:p>
        </w:tc>
        <w:tc>
          <w:tcPr>
            <w:tcW w:w="1175" w:type="dxa"/>
            <w:tcBorders>
              <w:top w:val="single" w:sz="4" w:space="0" w:color="auto"/>
              <w:left w:val="nil"/>
              <w:bottom w:val="single" w:sz="4" w:space="0" w:color="auto"/>
              <w:right w:val="single" w:sz="4" w:space="0" w:color="000000"/>
            </w:tcBorders>
            <w:shd w:val="clear" w:color="auto" w:fill="auto"/>
            <w:vAlign w:val="center"/>
            <w:hideMark/>
          </w:tcPr>
          <w:p w14:paraId="4355FEAF"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$60.6</w:t>
            </w:r>
          </w:p>
        </w:tc>
        <w:tc>
          <w:tcPr>
            <w:tcW w:w="833" w:type="dxa"/>
            <w:tcBorders>
              <w:top w:val="single" w:sz="4" w:space="0" w:color="auto"/>
              <w:left w:val="nil"/>
              <w:bottom w:val="single" w:sz="4" w:space="0" w:color="auto"/>
              <w:right w:val="single" w:sz="4" w:space="0" w:color="000000"/>
            </w:tcBorders>
            <w:shd w:val="clear" w:color="auto" w:fill="auto"/>
            <w:vAlign w:val="center"/>
          </w:tcPr>
          <w:p w14:paraId="55186866"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NA</w:t>
            </w:r>
          </w:p>
        </w:tc>
        <w:tc>
          <w:tcPr>
            <w:tcW w:w="1175" w:type="dxa"/>
            <w:tcBorders>
              <w:top w:val="single" w:sz="4" w:space="0" w:color="auto"/>
              <w:left w:val="nil"/>
              <w:bottom w:val="single" w:sz="4" w:space="0" w:color="auto"/>
              <w:right w:val="single" w:sz="4" w:space="0" w:color="000000"/>
            </w:tcBorders>
            <w:shd w:val="clear" w:color="auto" w:fill="auto"/>
            <w:noWrap/>
            <w:vAlign w:val="center"/>
            <w:hideMark/>
          </w:tcPr>
          <w:p w14:paraId="2469EF51"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$66.8</w:t>
            </w:r>
          </w:p>
        </w:tc>
        <w:tc>
          <w:tcPr>
            <w:tcW w:w="861" w:type="dxa"/>
            <w:tcBorders>
              <w:top w:val="single" w:sz="4" w:space="0" w:color="auto"/>
              <w:left w:val="nil"/>
              <w:bottom w:val="single" w:sz="4" w:space="0" w:color="auto"/>
              <w:right w:val="single" w:sz="4" w:space="0" w:color="000000"/>
            </w:tcBorders>
            <w:shd w:val="clear" w:color="auto" w:fill="auto"/>
            <w:vAlign w:val="center"/>
          </w:tcPr>
          <w:p w14:paraId="0F0EBD3D"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NA</w:t>
            </w:r>
          </w:p>
        </w:tc>
        <w:tc>
          <w:tcPr>
            <w:tcW w:w="1159" w:type="dxa"/>
            <w:tcBorders>
              <w:top w:val="single" w:sz="4" w:space="0" w:color="auto"/>
              <w:left w:val="nil"/>
              <w:bottom w:val="single" w:sz="4" w:space="0" w:color="auto"/>
              <w:right w:val="single" w:sz="4" w:space="0" w:color="000000"/>
            </w:tcBorders>
            <w:shd w:val="clear" w:color="auto" w:fill="auto"/>
            <w:noWrap/>
            <w:vAlign w:val="center"/>
            <w:hideMark/>
          </w:tcPr>
          <w:p w14:paraId="437E7339"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sidRPr="005D3BF7">
              <w:rPr>
                <w:rFonts w:ascii="Cambria" w:eastAsia="Times New Roman" w:hAnsi="Cambria" w:cs="Helvetica"/>
                <w:sz w:val="20"/>
                <w:szCs w:val="20"/>
                <w:lang w:eastAsia="ko-KR"/>
              </w:rPr>
              <w:t>$82.3</w:t>
            </w:r>
          </w:p>
        </w:tc>
        <w:tc>
          <w:tcPr>
            <w:tcW w:w="890" w:type="dxa"/>
            <w:tcBorders>
              <w:top w:val="single" w:sz="4" w:space="0" w:color="auto"/>
              <w:left w:val="nil"/>
              <w:bottom w:val="single" w:sz="4" w:space="0" w:color="auto"/>
              <w:right w:val="single" w:sz="4" w:space="0" w:color="000000"/>
            </w:tcBorders>
            <w:shd w:val="clear" w:color="auto" w:fill="auto"/>
            <w:vAlign w:val="center"/>
          </w:tcPr>
          <w:p w14:paraId="65173609" w14:textId="77777777" w:rsidR="00B16EC0" w:rsidRPr="005D3BF7" w:rsidRDefault="00B16EC0" w:rsidP="00D310F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NA</w:t>
            </w:r>
          </w:p>
        </w:tc>
      </w:tr>
    </w:tbl>
    <w:p w14:paraId="5822027D" w14:textId="77777777" w:rsidR="00655650" w:rsidRPr="005D3BF7" w:rsidRDefault="00655650" w:rsidP="00655650">
      <w:pPr>
        <w:spacing w:after="0"/>
        <w:rPr>
          <w:rFonts w:asciiTheme="majorHAnsi" w:hAnsiTheme="majorHAnsi"/>
          <w:bCs/>
          <w:sz w:val="20"/>
          <w:szCs w:val="20"/>
        </w:rPr>
      </w:pPr>
      <w:r w:rsidRPr="005D3BF7">
        <w:rPr>
          <w:rFonts w:asciiTheme="majorHAnsi" w:hAnsiTheme="majorHAnsi"/>
          <w:bCs/>
          <w:sz w:val="20"/>
          <w:szCs w:val="20"/>
        </w:rPr>
        <w:t xml:space="preserve">Source: Massachusetts Department of Revenue. </w:t>
      </w:r>
    </w:p>
    <w:p w14:paraId="2BC651B9" w14:textId="77777777" w:rsidR="002F150A" w:rsidRDefault="00655650" w:rsidP="00881BC4">
      <w:pPr>
        <w:spacing w:after="0"/>
        <w:rPr>
          <w:rFonts w:asciiTheme="majorHAnsi" w:hAnsiTheme="majorHAnsi"/>
          <w:bCs/>
          <w:sz w:val="20"/>
          <w:szCs w:val="20"/>
        </w:rPr>
      </w:pPr>
      <w:r w:rsidRPr="005D3BF7">
        <w:rPr>
          <w:rFonts w:asciiTheme="majorHAnsi" w:hAnsiTheme="majorHAnsi"/>
          <w:bCs/>
          <w:sz w:val="20"/>
          <w:szCs w:val="20"/>
        </w:rPr>
        <w:t>Note</w:t>
      </w:r>
      <w:r w:rsidR="00881BC4" w:rsidRPr="005D3BF7">
        <w:rPr>
          <w:rFonts w:asciiTheme="majorHAnsi" w:hAnsiTheme="majorHAnsi"/>
          <w:bCs/>
          <w:sz w:val="20"/>
          <w:szCs w:val="20"/>
        </w:rPr>
        <w:t>s</w:t>
      </w:r>
      <w:r w:rsidRPr="005D3BF7">
        <w:rPr>
          <w:rFonts w:asciiTheme="majorHAnsi" w:hAnsiTheme="majorHAnsi"/>
          <w:bCs/>
          <w:sz w:val="20"/>
          <w:szCs w:val="20"/>
        </w:rPr>
        <w:t xml:space="preserve">: </w:t>
      </w:r>
      <w:r w:rsidR="00881BC4" w:rsidRPr="005D3BF7">
        <w:rPr>
          <w:rFonts w:asciiTheme="majorHAnsi" w:hAnsiTheme="majorHAnsi"/>
          <w:bCs/>
          <w:sz w:val="20"/>
          <w:szCs w:val="20"/>
        </w:rPr>
        <w:t xml:space="preserve">1. </w:t>
      </w:r>
      <w:r w:rsidR="00A355E0" w:rsidRPr="005D3BF7">
        <w:rPr>
          <w:rFonts w:asciiTheme="majorHAnsi" w:hAnsiTheme="majorHAnsi"/>
          <w:bCs/>
          <w:sz w:val="20"/>
          <w:szCs w:val="20"/>
        </w:rPr>
        <w:t xml:space="preserve">2017 and </w:t>
      </w:r>
      <w:r w:rsidR="00BC7CC0" w:rsidRPr="005D3BF7">
        <w:rPr>
          <w:rFonts w:asciiTheme="majorHAnsi" w:hAnsiTheme="majorHAnsi"/>
          <w:bCs/>
          <w:sz w:val="20"/>
          <w:szCs w:val="20"/>
        </w:rPr>
        <w:t xml:space="preserve">2018 data are preliminary and subject to </w:t>
      </w:r>
      <w:r w:rsidR="00CD01DD">
        <w:rPr>
          <w:rFonts w:asciiTheme="majorHAnsi" w:hAnsiTheme="majorHAnsi"/>
          <w:bCs/>
          <w:sz w:val="20"/>
          <w:szCs w:val="20"/>
        </w:rPr>
        <w:t>change</w:t>
      </w:r>
      <w:r w:rsidRPr="005D3BF7">
        <w:rPr>
          <w:rFonts w:asciiTheme="majorHAnsi" w:hAnsiTheme="majorHAnsi"/>
          <w:bCs/>
          <w:sz w:val="20"/>
          <w:szCs w:val="20"/>
        </w:rPr>
        <w:t xml:space="preserve">. </w:t>
      </w:r>
    </w:p>
    <w:p w14:paraId="7239F7A7" w14:textId="4E09BECA" w:rsidR="001D327D" w:rsidRDefault="001D327D" w:rsidP="00EB68D5">
      <w:pPr>
        <w:spacing w:after="0"/>
        <w:rPr>
          <w:rFonts w:asciiTheme="majorHAnsi" w:hAnsiTheme="majorHAnsi"/>
          <w:bCs/>
          <w:sz w:val="20"/>
          <w:szCs w:val="20"/>
        </w:rPr>
      </w:pPr>
      <w:r>
        <w:rPr>
          <w:rFonts w:asciiTheme="majorHAnsi" w:hAnsiTheme="majorHAnsi"/>
          <w:bCs/>
          <w:sz w:val="20"/>
          <w:szCs w:val="20"/>
        </w:rPr>
        <w:t xml:space="preserve">             </w:t>
      </w:r>
      <w:r w:rsidR="009B32B9">
        <w:rPr>
          <w:rFonts w:asciiTheme="majorHAnsi" w:hAnsiTheme="majorHAnsi"/>
          <w:bCs/>
          <w:sz w:val="20"/>
          <w:szCs w:val="20"/>
        </w:rPr>
        <w:t>2</w:t>
      </w:r>
      <w:r>
        <w:rPr>
          <w:rFonts w:asciiTheme="majorHAnsi" w:hAnsiTheme="majorHAnsi"/>
          <w:bCs/>
          <w:sz w:val="20"/>
          <w:szCs w:val="20"/>
        </w:rPr>
        <w:t>. “NA”</w:t>
      </w:r>
      <w:r w:rsidR="00006273">
        <w:rPr>
          <w:rFonts w:asciiTheme="majorHAnsi" w:hAnsiTheme="majorHAnsi"/>
          <w:bCs/>
          <w:sz w:val="20"/>
          <w:szCs w:val="20"/>
        </w:rPr>
        <w:t xml:space="preserve"> means</w:t>
      </w:r>
      <w:r>
        <w:rPr>
          <w:rFonts w:asciiTheme="majorHAnsi" w:hAnsiTheme="majorHAnsi"/>
          <w:bCs/>
          <w:sz w:val="20"/>
          <w:szCs w:val="20"/>
        </w:rPr>
        <w:t xml:space="preserve"> no</w:t>
      </w:r>
      <w:r w:rsidR="00006273">
        <w:rPr>
          <w:rFonts w:asciiTheme="majorHAnsi" w:hAnsiTheme="majorHAnsi"/>
          <w:bCs/>
          <w:sz w:val="20"/>
          <w:szCs w:val="20"/>
        </w:rPr>
        <w:t>t</w:t>
      </w:r>
      <w:r>
        <w:rPr>
          <w:rFonts w:asciiTheme="majorHAnsi" w:hAnsiTheme="majorHAnsi"/>
          <w:bCs/>
          <w:sz w:val="20"/>
          <w:szCs w:val="20"/>
        </w:rPr>
        <w:t xml:space="preserve"> applicable</w:t>
      </w:r>
      <w:r w:rsidR="00006273">
        <w:rPr>
          <w:rFonts w:asciiTheme="majorHAnsi" w:hAnsiTheme="majorHAnsi"/>
          <w:bCs/>
          <w:sz w:val="20"/>
          <w:szCs w:val="20"/>
        </w:rPr>
        <w:t>.</w:t>
      </w:r>
    </w:p>
    <w:p w14:paraId="5D8D1EB1" w14:textId="77777777" w:rsidR="007A5D37" w:rsidRDefault="007A5D37" w:rsidP="002026DE">
      <w:pPr>
        <w:spacing w:after="0"/>
        <w:rPr>
          <w:rFonts w:asciiTheme="majorHAnsi" w:eastAsiaTheme="majorEastAsia" w:hAnsiTheme="majorHAnsi" w:cstheme="majorBidi"/>
          <w:bCs/>
          <w:color w:val="000000" w:themeColor="text1"/>
          <w:sz w:val="24"/>
          <w:szCs w:val="24"/>
        </w:rPr>
      </w:pPr>
    </w:p>
    <w:p w14:paraId="09DF44DF" w14:textId="77777777" w:rsidR="002026DE" w:rsidRDefault="002026DE" w:rsidP="00601329">
      <w:pPr>
        <w:tabs>
          <w:tab w:val="left" w:pos="7050"/>
        </w:tabs>
        <w:spacing w:after="0"/>
        <w:rPr>
          <w:rFonts w:asciiTheme="majorHAnsi" w:hAnsiTheme="majorHAnsi"/>
          <w:sz w:val="24"/>
          <w:szCs w:val="24"/>
        </w:rPr>
      </w:pPr>
    </w:p>
    <w:p w14:paraId="5561C6F3" w14:textId="77777777" w:rsidR="004C0367" w:rsidRPr="006F1786" w:rsidRDefault="009201C7" w:rsidP="006F1786">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231A2B00" w14:textId="7E70EA68" w:rsidR="00000AD8" w:rsidRPr="00000AD8" w:rsidRDefault="00E0413C" w:rsidP="00000AD8">
      <w:pPr>
        <w:spacing w:after="0"/>
        <w:rPr>
          <w:rFonts w:asciiTheme="majorHAnsi" w:eastAsiaTheme="majorEastAsia" w:hAnsiTheme="majorHAnsi" w:cstheme="majorBidi"/>
          <w:bCs/>
          <w:color w:val="000000" w:themeColor="text1"/>
          <w:sz w:val="24"/>
          <w:szCs w:val="24"/>
        </w:rPr>
      </w:pPr>
      <w:r w:rsidRPr="00000AD8">
        <w:rPr>
          <w:rFonts w:asciiTheme="majorHAnsi" w:eastAsiaTheme="majorEastAsia" w:hAnsiTheme="majorHAnsi" w:cstheme="majorBidi"/>
          <w:bCs/>
          <w:color w:val="000000" w:themeColor="text1"/>
          <w:sz w:val="24"/>
          <w:szCs w:val="24"/>
        </w:rPr>
        <w:t xml:space="preserve">This is a popular and </w:t>
      </w:r>
      <w:r w:rsidR="004C1AB9" w:rsidRPr="00000AD8">
        <w:rPr>
          <w:rFonts w:asciiTheme="majorHAnsi" w:eastAsiaTheme="majorEastAsia" w:hAnsiTheme="majorHAnsi" w:cstheme="majorBidi"/>
          <w:bCs/>
          <w:color w:val="000000" w:themeColor="text1"/>
          <w:sz w:val="24"/>
          <w:szCs w:val="24"/>
        </w:rPr>
        <w:t xml:space="preserve">significant </w:t>
      </w:r>
      <w:r w:rsidRPr="00000AD8">
        <w:rPr>
          <w:rFonts w:asciiTheme="majorHAnsi" w:eastAsiaTheme="majorEastAsia" w:hAnsiTheme="majorHAnsi" w:cstheme="majorBidi"/>
          <w:bCs/>
          <w:color w:val="000000" w:themeColor="text1"/>
          <w:sz w:val="24"/>
          <w:szCs w:val="24"/>
        </w:rPr>
        <w:t xml:space="preserve">tax incentive and has been claimed by many corporations, compared to other </w:t>
      </w:r>
      <w:r w:rsidR="0067068D" w:rsidRPr="00000AD8">
        <w:rPr>
          <w:rFonts w:asciiTheme="majorHAnsi" w:eastAsiaTheme="majorEastAsia" w:hAnsiTheme="majorHAnsi" w:cstheme="majorBidi"/>
          <w:bCs/>
          <w:color w:val="000000" w:themeColor="text1"/>
          <w:sz w:val="24"/>
          <w:szCs w:val="24"/>
        </w:rPr>
        <w:t>tax incentives</w:t>
      </w:r>
      <w:r w:rsidRPr="00000AD8">
        <w:rPr>
          <w:rFonts w:asciiTheme="majorHAnsi" w:eastAsiaTheme="majorEastAsia" w:hAnsiTheme="majorHAnsi" w:cstheme="majorBidi"/>
          <w:bCs/>
          <w:color w:val="000000" w:themeColor="text1"/>
          <w:sz w:val="24"/>
          <w:szCs w:val="24"/>
        </w:rPr>
        <w:t xml:space="preserve">. </w:t>
      </w:r>
      <w:r w:rsidR="00BF6683" w:rsidRPr="00000AD8">
        <w:rPr>
          <w:rFonts w:asciiTheme="majorHAnsi" w:eastAsiaTheme="majorEastAsia" w:hAnsiTheme="majorHAnsi" w:cstheme="majorBidi"/>
          <w:bCs/>
          <w:color w:val="000000" w:themeColor="text1"/>
          <w:sz w:val="24"/>
          <w:szCs w:val="24"/>
        </w:rPr>
        <w:t xml:space="preserve">The incentive reduces </w:t>
      </w:r>
      <w:r w:rsidR="00F12BA6" w:rsidRPr="00000AD8">
        <w:rPr>
          <w:rFonts w:asciiTheme="majorHAnsi" w:eastAsiaTheme="majorEastAsia" w:hAnsiTheme="majorHAnsi" w:cstheme="majorBidi"/>
          <w:bCs/>
          <w:color w:val="000000" w:themeColor="text1"/>
          <w:sz w:val="24"/>
          <w:szCs w:val="24"/>
        </w:rPr>
        <w:t>expenses paid by corporations for R&amp;D activities</w:t>
      </w:r>
      <w:r w:rsidR="00BF6683" w:rsidRPr="00000AD8">
        <w:rPr>
          <w:rFonts w:asciiTheme="majorHAnsi" w:eastAsiaTheme="majorEastAsia" w:hAnsiTheme="majorHAnsi" w:cstheme="majorBidi"/>
          <w:bCs/>
          <w:color w:val="000000" w:themeColor="text1"/>
          <w:sz w:val="24"/>
          <w:szCs w:val="24"/>
        </w:rPr>
        <w:t xml:space="preserve">. </w:t>
      </w:r>
      <w:r w:rsidR="00000AD8" w:rsidRPr="00000AD8">
        <w:rPr>
          <w:rFonts w:asciiTheme="majorHAnsi" w:eastAsiaTheme="majorEastAsia" w:hAnsiTheme="majorHAnsi" w:cstheme="majorBidi"/>
          <w:bCs/>
          <w:color w:val="000000" w:themeColor="text1"/>
          <w:sz w:val="24"/>
          <w:szCs w:val="24"/>
        </w:rPr>
        <w:t xml:space="preserve">It is incremental and aims to reimburse </w:t>
      </w:r>
      <w:r w:rsidR="00006273">
        <w:rPr>
          <w:rFonts w:asciiTheme="majorHAnsi" w:eastAsiaTheme="majorEastAsia" w:hAnsiTheme="majorHAnsi" w:cstheme="majorBidi"/>
          <w:bCs/>
          <w:color w:val="000000" w:themeColor="text1"/>
          <w:sz w:val="24"/>
          <w:szCs w:val="24"/>
        </w:rPr>
        <w:t xml:space="preserve">taxpayers for increasing </w:t>
      </w:r>
      <w:r w:rsidR="00000AD8" w:rsidRPr="00000AD8">
        <w:rPr>
          <w:rFonts w:asciiTheme="majorHAnsi" w:eastAsiaTheme="majorEastAsia" w:hAnsiTheme="majorHAnsi" w:cstheme="majorBidi"/>
          <w:bCs/>
          <w:color w:val="000000" w:themeColor="text1"/>
          <w:sz w:val="24"/>
          <w:szCs w:val="24"/>
        </w:rPr>
        <w:t xml:space="preserve">research expenses </w:t>
      </w:r>
      <w:r w:rsidR="00006273">
        <w:rPr>
          <w:rFonts w:asciiTheme="majorHAnsi" w:eastAsiaTheme="majorEastAsia" w:hAnsiTheme="majorHAnsi" w:cstheme="majorBidi"/>
          <w:bCs/>
          <w:color w:val="000000" w:themeColor="text1"/>
          <w:sz w:val="24"/>
          <w:szCs w:val="24"/>
        </w:rPr>
        <w:t>over their historical levels</w:t>
      </w:r>
      <w:r w:rsidR="00000AD8" w:rsidRPr="00000AD8">
        <w:rPr>
          <w:rFonts w:asciiTheme="majorHAnsi" w:eastAsiaTheme="majorEastAsia" w:hAnsiTheme="majorHAnsi" w:cstheme="majorBidi"/>
          <w:bCs/>
          <w:color w:val="000000" w:themeColor="text1"/>
          <w:sz w:val="24"/>
          <w:szCs w:val="24"/>
        </w:rPr>
        <w:t xml:space="preserve">.  </w:t>
      </w:r>
      <w:r w:rsidR="00BF6683" w:rsidRPr="00000AD8">
        <w:rPr>
          <w:rFonts w:asciiTheme="majorHAnsi" w:eastAsiaTheme="majorEastAsia" w:hAnsiTheme="majorHAnsi" w:cstheme="majorBidi"/>
          <w:bCs/>
          <w:color w:val="000000" w:themeColor="text1"/>
          <w:sz w:val="24"/>
          <w:szCs w:val="24"/>
        </w:rPr>
        <w:t>A recent study</w:t>
      </w:r>
      <w:r w:rsidR="00F12BA6" w:rsidRPr="00000AD8">
        <w:rPr>
          <w:rFonts w:asciiTheme="majorHAnsi" w:eastAsiaTheme="majorEastAsia" w:hAnsiTheme="majorHAnsi" w:cstheme="majorBidi"/>
          <w:bCs/>
          <w:color w:val="000000" w:themeColor="text1"/>
          <w:sz w:val="24"/>
          <w:szCs w:val="24"/>
        </w:rPr>
        <w:t xml:space="preserve"> </w:t>
      </w:r>
      <w:sdt>
        <w:sdtPr>
          <w:rPr>
            <w:rFonts w:asciiTheme="majorHAnsi" w:eastAsiaTheme="majorEastAsia" w:hAnsiTheme="majorHAnsi" w:cstheme="majorBidi"/>
            <w:bCs/>
            <w:color w:val="000000" w:themeColor="text1"/>
            <w:sz w:val="24"/>
            <w:szCs w:val="24"/>
          </w:rPr>
          <w:id w:val="462553903"/>
          <w:citation/>
        </w:sdtPr>
        <w:sdtEndPr/>
        <w:sdtContent>
          <w:r w:rsidR="00F12BA6" w:rsidRPr="00000AD8">
            <w:rPr>
              <w:rFonts w:asciiTheme="majorHAnsi" w:eastAsiaTheme="majorEastAsia" w:hAnsiTheme="majorHAnsi" w:cstheme="majorBidi"/>
              <w:bCs/>
              <w:color w:val="000000" w:themeColor="text1"/>
              <w:sz w:val="24"/>
              <w:szCs w:val="24"/>
            </w:rPr>
            <w:fldChar w:fldCharType="begin"/>
          </w:r>
          <w:r w:rsidR="00F12BA6" w:rsidRPr="00000AD8">
            <w:rPr>
              <w:rFonts w:asciiTheme="majorHAnsi" w:eastAsiaTheme="majorEastAsia" w:hAnsiTheme="majorHAnsi" w:cstheme="majorBidi"/>
              <w:bCs/>
              <w:color w:val="000000" w:themeColor="text1"/>
              <w:sz w:val="24"/>
              <w:szCs w:val="24"/>
            </w:rPr>
            <w:instrText xml:space="preserve"> CITATION Rao16 \l 1033 </w:instrText>
          </w:r>
          <w:r w:rsidR="00F12BA6" w:rsidRPr="00000AD8">
            <w:rPr>
              <w:rFonts w:asciiTheme="majorHAnsi" w:eastAsiaTheme="majorEastAsia" w:hAnsiTheme="majorHAnsi" w:cstheme="majorBidi"/>
              <w:bCs/>
              <w:color w:val="000000" w:themeColor="text1"/>
              <w:sz w:val="24"/>
              <w:szCs w:val="24"/>
            </w:rPr>
            <w:fldChar w:fldCharType="separate"/>
          </w:r>
          <w:r w:rsidR="00F12BA6" w:rsidRPr="00000AD8">
            <w:rPr>
              <w:rFonts w:asciiTheme="majorHAnsi" w:eastAsiaTheme="majorEastAsia" w:hAnsiTheme="majorHAnsi" w:cstheme="majorBidi"/>
              <w:bCs/>
              <w:color w:val="000000" w:themeColor="text1"/>
              <w:sz w:val="24"/>
              <w:szCs w:val="24"/>
            </w:rPr>
            <w:t>(Rao, 2016)</w:t>
          </w:r>
          <w:r w:rsidR="00F12BA6" w:rsidRPr="00000AD8">
            <w:rPr>
              <w:rFonts w:asciiTheme="majorHAnsi" w:eastAsiaTheme="majorEastAsia" w:hAnsiTheme="majorHAnsi" w:cstheme="majorBidi"/>
              <w:bCs/>
              <w:color w:val="000000" w:themeColor="text1"/>
              <w:sz w:val="24"/>
              <w:szCs w:val="24"/>
            </w:rPr>
            <w:fldChar w:fldCharType="end"/>
          </w:r>
        </w:sdtContent>
      </w:sdt>
      <w:r w:rsidR="00F12BA6" w:rsidRPr="00000AD8">
        <w:rPr>
          <w:rFonts w:asciiTheme="majorHAnsi" w:eastAsiaTheme="majorEastAsia" w:hAnsiTheme="majorHAnsi" w:cstheme="majorBidi"/>
          <w:bCs/>
          <w:color w:val="000000" w:themeColor="text1"/>
          <w:sz w:val="24"/>
          <w:szCs w:val="24"/>
        </w:rPr>
        <w:t xml:space="preserve"> </w:t>
      </w:r>
      <w:r w:rsidR="00BF6683" w:rsidRPr="00000AD8">
        <w:rPr>
          <w:rFonts w:asciiTheme="majorHAnsi" w:eastAsiaTheme="majorEastAsia" w:hAnsiTheme="majorHAnsi" w:cstheme="majorBidi"/>
          <w:bCs/>
          <w:color w:val="000000" w:themeColor="text1"/>
          <w:sz w:val="24"/>
          <w:szCs w:val="24"/>
        </w:rPr>
        <w:t xml:space="preserve"> demonstrates that a ﬁrm’s research intensity, which is the ratio of R&amp;D expenditures to sales, responds to change</w:t>
      </w:r>
      <w:r w:rsidR="001A2B3C">
        <w:rPr>
          <w:rFonts w:asciiTheme="majorHAnsi" w:eastAsiaTheme="majorEastAsia" w:hAnsiTheme="majorHAnsi" w:cstheme="majorBidi"/>
          <w:bCs/>
          <w:color w:val="000000" w:themeColor="text1"/>
          <w:sz w:val="24"/>
          <w:szCs w:val="24"/>
        </w:rPr>
        <w:t>s</w:t>
      </w:r>
      <w:r w:rsidR="00BF6683" w:rsidRPr="00000AD8">
        <w:rPr>
          <w:rFonts w:asciiTheme="majorHAnsi" w:eastAsiaTheme="majorEastAsia" w:hAnsiTheme="majorHAnsi" w:cstheme="majorBidi"/>
          <w:bCs/>
          <w:color w:val="000000" w:themeColor="text1"/>
          <w:sz w:val="24"/>
          <w:szCs w:val="24"/>
        </w:rPr>
        <w:t xml:space="preserve"> in the cost of R&amp;D.  The</w:t>
      </w:r>
      <w:r w:rsidR="00552398" w:rsidRPr="00000AD8">
        <w:rPr>
          <w:rFonts w:asciiTheme="majorHAnsi" w:eastAsiaTheme="majorEastAsia" w:hAnsiTheme="majorHAnsi" w:cstheme="majorBidi"/>
          <w:bCs/>
          <w:color w:val="000000" w:themeColor="text1"/>
          <w:sz w:val="24"/>
          <w:szCs w:val="24"/>
        </w:rPr>
        <w:t xml:space="preserve"> study finds</w:t>
      </w:r>
      <w:r w:rsidR="00BF6683" w:rsidRPr="00000AD8">
        <w:rPr>
          <w:rFonts w:asciiTheme="majorHAnsi" w:eastAsiaTheme="majorEastAsia" w:hAnsiTheme="majorHAnsi" w:cstheme="majorBidi"/>
          <w:bCs/>
          <w:color w:val="000000" w:themeColor="text1"/>
          <w:sz w:val="24"/>
          <w:szCs w:val="24"/>
        </w:rPr>
        <w:t xml:space="preserve"> that a 10% reduction in the cost of R&amp;D leads the average ﬁrm to increase its research intensity by 19.8% in </w:t>
      </w:r>
      <w:r w:rsidR="001A2B3C">
        <w:rPr>
          <w:rFonts w:asciiTheme="majorHAnsi" w:eastAsiaTheme="majorEastAsia" w:hAnsiTheme="majorHAnsi" w:cstheme="majorBidi"/>
          <w:bCs/>
          <w:color w:val="000000" w:themeColor="text1"/>
          <w:sz w:val="24"/>
          <w:szCs w:val="24"/>
        </w:rPr>
        <w:t xml:space="preserve">the </w:t>
      </w:r>
      <w:r w:rsidR="00BF6683" w:rsidRPr="00000AD8">
        <w:rPr>
          <w:rFonts w:asciiTheme="majorHAnsi" w:eastAsiaTheme="majorEastAsia" w:hAnsiTheme="majorHAnsi" w:cstheme="majorBidi"/>
          <w:bCs/>
          <w:color w:val="000000" w:themeColor="text1"/>
          <w:sz w:val="24"/>
          <w:szCs w:val="24"/>
        </w:rPr>
        <w:t>short</w:t>
      </w:r>
      <w:r w:rsidR="005D3BF7" w:rsidRPr="00000AD8">
        <w:rPr>
          <w:rFonts w:asciiTheme="majorHAnsi" w:eastAsiaTheme="majorEastAsia" w:hAnsiTheme="majorHAnsi" w:cstheme="majorBidi"/>
          <w:bCs/>
          <w:color w:val="000000" w:themeColor="text1"/>
          <w:sz w:val="24"/>
          <w:szCs w:val="24"/>
        </w:rPr>
        <w:t xml:space="preserve"> </w:t>
      </w:r>
      <w:r w:rsidR="00BF6683" w:rsidRPr="00000AD8">
        <w:rPr>
          <w:rFonts w:asciiTheme="majorHAnsi" w:eastAsiaTheme="majorEastAsia" w:hAnsiTheme="majorHAnsi" w:cstheme="majorBidi"/>
          <w:bCs/>
          <w:color w:val="000000" w:themeColor="text1"/>
          <w:sz w:val="24"/>
          <w:szCs w:val="24"/>
        </w:rPr>
        <w:t xml:space="preserve">run.  </w:t>
      </w:r>
      <w:r w:rsidR="00000AD8" w:rsidRPr="00000AD8">
        <w:rPr>
          <w:rFonts w:asciiTheme="majorHAnsi" w:eastAsiaTheme="majorEastAsia" w:hAnsiTheme="majorHAnsi" w:cstheme="majorBidi"/>
          <w:bCs/>
          <w:color w:val="000000" w:themeColor="text1"/>
          <w:sz w:val="24"/>
          <w:szCs w:val="24"/>
        </w:rPr>
        <w:t xml:space="preserve">In </w:t>
      </w:r>
      <w:r w:rsidR="001A2B3C">
        <w:rPr>
          <w:rFonts w:asciiTheme="majorHAnsi" w:eastAsiaTheme="majorEastAsia" w:hAnsiTheme="majorHAnsi" w:cstheme="majorBidi"/>
          <w:bCs/>
          <w:color w:val="000000" w:themeColor="text1"/>
          <w:sz w:val="24"/>
          <w:szCs w:val="24"/>
        </w:rPr>
        <w:t xml:space="preserve">the </w:t>
      </w:r>
      <w:r w:rsidR="00000AD8" w:rsidRPr="00000AD8">
        <w:rPr>
          <w:rFonts w:asciiTheme="majorHAnsi" w:eastAsiaTheme="majorEastAsia" w:hAnsiTheme="majorHAnsi" w:cstheme="majorBidi"/>
          <w:bCs/>
          <w:color w:val="000000" w:themeColor="text1"/>
          <w:sz w:val="24"/>
          <w:szCs w:val="24"/>
        </w:rPr>
        <w:t xml:space="preserve">long run, the average firm </w:t>
      </w:r>
      <w:r w:rsidR="001A2B3C">
        <w:rPr>
          <w:rFonts w:asciiTheme="majorHAnsi" w:eastAsiaTheme="majorEastAsia" w:hAnsiTheme="majorHAnsi" w:cstheme="majorBidi"/>
          <w:bCs/>
          <w:color w:val="000000" w:themeColor="text1"/>
          <w:sz w:val="24"/>
          <w:szCs w:val="24"/>
        </w:rPr>
        <w:t>responds</w:t>
      </w:r>
      <w:r w:rsidR="00000AD8" w:rsidRPr="00000AD8">
        <w:rPr>
          <w:rFonts w:asciiTheme="majorHAnsi" w:eastAsiaTheme="majorEastAsia" w:hAnsiTheme="majorHAnsi" w:cstheme="majorBidi"/>
          <w:bCs/>
          <w:color w:val="000000" w:themeColor="text1"/>
          <w:sz w:val="24"/>
          <w:szCs w:val="24"/>
        </w:rPr>
        <w:t xml:space="preserve"> with further increases in spending. </w:t>
      </w:r>
      <w:r w:rsidR="00000AD8" w:rsidRPr="00000AD8">
        <w:rPr>
          <w:rFonts w:asciiTheme="majorHAnsi" w:eastAsiaTheme="majorEastAsia" w:hAnsiTheme="majorHAnsi" w:cstheme="majorBidi"/>
          <w:bCs/>
          <w:color w:val="000000" w:themeColor="text1"/>
          <w:sz w:val="16"/>
          <w:szCs w:val="16"/>
        </w:rPr>
        <w:t xml:space="preserve"> </w:t>
      </w:r>
    </w:p>
    <w:p w14:paraId="3DF066DB" w14:textId="77777777" w:rsidR="00BF6683" w:rsidRDefault="00BF6683" w:rsidP="00BF6683">
      <w:pPr>
        <w:tabs>
          <w:tab w:val="left" w:pos="7050"/>
        </w:tabs>
        <w:spacing w:after="0"/>
        <w:rPr>
          <w:rFonts w:asciiTheme="majorHAnsi" w:eastAsiaTheme="majorEastAsia" w:hAnsiTheme="majorHAnsi" w:cstheme="majorBidi"/>
          <w:bCs/>
          <w:color w:val="000000" w:themeColor="text1"/>
          <w:sz w:val="24"/>
          <w:szCs w:val="24"/>
        </w:rPr>
      </w:pPr>
    </w:p>
    <w:p w14:paraId="4AA6C0D1" w14:textId="724EC9C3" w:rsidR="000F4D69" w:rsidRDefault="000F4D69" w:rsidP="000F4D69">
      <w:pPr>
        <w:spacing w:after="0"/>
        <w:rPr>
          <w:rFonts w:asciiTheme="majorHAnsi" w:hAnsiTheme="majorHAnsi"/>
          <w:sz w:val="24"/>
          <w:szCs w:val="24"/>
        </w:rPr>
      </w:pPr>
      <w:r>
        <w:rPr>
          <w:rFonts w:asciiTheme="majorHAnsi" w:hAnsiTheme="majorHAnsi"/>
          <w:sz w:val="24"/>
          <w:szCs w:val="24"/>
        </w:rPr>
        <w:t xml:space="preserve">Tables </w:t>
      </w:r>
      <w:r w:rsidR="00AB6158">
        <w:rPr>
          <w:rFonts w:asciiTheme="majorHAnsi" w:hAnsiTheme="majorHAnsi"/>
          <w:sz w:val="24"/>
          <w:szCs w:val="24"/>
        </w:rPr>
        <w:t>3</w:t>
      </w:r>
      <w:r>
        <w:rPr>
          <w:rFonts w:asciiTheme="majorHAnsi" w:hAnsiTheme="majorHAnsi"/>
          <w:sz w:val="24"/>
          <w:szCs w:val="24"/>
        </w:rPr>
        <w:t>-</w:t>
      </w:r>
      <w:r w:rsidR="00AB6158">
        <w:rPr>
          <w:rFonts w:asciiTheme="majorHAnsi" w:hAnsiTheme="majorHAnsi"/>
          <w:sz w:val="24"/>
          <w:szCs w:val="24"/>
        </w:rPr>
        <w:t xml:space="preserve">5 </w:t>
      </w:r>
      <w:r>
        <w:rPr>
          <w:rFonts w:asciiTheme="majorHAnsi" w:hAnsiTheme="majorHAnsi"/>
          <w:sz w:val="24"/>
          <w:szCs w:val="24"/>
        </w:rPr>
        <w:t>show the number of claimants and claim amounts by income level</w:t>
      </w:r>
      <w:r w:rsidR="00AB6158">
        <w:rPr>
          <w:rFonts w:asciiTheme="majorHAnsi" w:hAnsiTheme="majorHAnsi"/>
          <w:sz w:val="24"/>
          <w:szCs w:val="24"/>
        </w:rPr>
        <w:t xml:space="preserve"> (Table 3)</w:t>
      </w:r>
      <w:r>
        <w:rPr>
          <w:rFonts w:asciiTheme="majorHAnsi" w:hAnsiTheme="majorHAnsi"/>
          <w:sz w:val="24"/>
          <w:szCs w:val="24"/>
        </w:rPr>
        <w:t xml:space="preserve">, </w:t>
      </w:r>
      <w:r w:rsidR="0049719D">
        <w:rPr>
          <w:rFonts w:asciiTheme="majorHAnsi" w:hAnsiTheme="majorHAnsi"/>
          <w:sz w:val="24"/>
          <w:szCs w:val="24"/>
        </w:rPr>
        <w:t>industry</w:t>
      </w:r>
      <w:r w:rsidR="00AB6158">
        <w:rPr>
          <w:rFonts w:asciiTheme="majorHAnsi" w:hAnsiTheme="majorHAnsi"/>
          <w:sz w:val="24"/>
          <w:szCs w:val="24"/>
        </w:rPr>
        <w:t xml:space="preserve"> (Table 4)</w:t>
      </w:r>
      <w:r w:rsidR="0049719D">
        <w:rPr>
          <w:rFonts w:asciiTheme="majorHAnsi" w:hAnsiTheme="majorHAnsi"/>
          <w:sz w:val="24"/>
          <w:szCs w:val="24"/>
        </w:rPr>
        <w:t xml:space="preserve">, and </w:t>
      </w:r>
      <w:r>
        <w:rPr>
          <w:rFonts w:asciiTheme="majorHAnsi" w:hAnsiTheme="majorHAnsi"/>
          <w:sz w:val="24"/>
          <w:szCs w:val="24"/>
        </w:rPr>
        <w:t>size of taxpayer in terms of number of employees</w:t>
      </w:r>
      <w:r w:rsidR="00AB6158">
        <w:rPr>
          <w:rFonts w:asciiTheme="majorHAnsi" w:hAnsiTheme="majorHAnsi"/>
          <w:sz w:val="24"/>
          <w:szCs w:val="24"/>
        </w:rPr>
        <w:t xml:space="preserve"> (Table 5)</w:t>
      </w:r>
      <w:r>
        <w:rPr>
          <w:rFonts w:asciiTheme="majorHAnsi" w:hAnsiTheme="majorHAnsi"/>
          <w:sz w:val="24"/>
          <w:szCs w:val="24"/>
        </w:rPr>
        <w:t>, respectively, for the 2017 tax year.</w:t>
      </w:r>
      <w:r>
        <w:rPr>
          <w:rStyle w:val="FootnoteReference"/>
          <w:rFonts w:asciiTheme="majorHAnsi" w:hAnsiTheme="majorHAnsi"/>
          <w:sz w:val="24"/>
          <w:szCs w:val="24"/>
        </w:rPr>
        <w:footnoteReference w:id="2"/>
      </w:r>
      <w:r>
        <w:rPr>
          <w:rFonts w:asciiTheme="majorHAnsi" w:hAnsiTheme="majorHAnsi"/>
          <w:sz w:val="24"/>
          <w:szCs w:val="24"/>
        </w:rPr>
        <w:t xml:space="preserve"> </w:t>
      </w:r>
      <w:r w:rsidR="002E3116">
        <w:rPr>
          <w:rFonts w:asciiTheme="majorHAnsi" w:hAnsiTheme="majorHAnsi"/>
          <w:sz w:val="24"/>
          <w:szCs w:val="24"/>
        </w:rPr>
        <w:t xml:space="preserve">The tables show that, </w:t>
      </w:r>
      <w:r w:rsidR="0049719D">
        <w:rPr>
          <w:rFonts w:asciiTheme="majorHAnsi" w:hAnsiTheme="majorHAnsi"/>
          <w:sz w:val="24"/>
          <w:szCs w:val="24"/>
        </w:rPr>
        <w:t xml:space="preserve">59.2% </w:t>
      </w:r>
      <w:r>
        <w:rPr>
          <w:rFonts w:asciiTheme="majorHAnsi" w:hAnsiTheme="majorHAnsi"/>
          <w:sz w:val="24"/>
          <w:szCs w:val="24"/>
        </w:rPr>
        <w:t xml:space="preserve">of claimants were corporations with taxable income less than $10,000, </w:t>
      </w:r>
      <w:r w:rsidR="0049719D">
        <w:rPr>
          <w:rFonts w:asciiTheme="majorHAnsi" w:hAnsiTheme="majorHAnsi"/>
          <w:sz w:val="24"/>
          <w:szCs w:val="24"/>
        </w:rPr>
        <w:t>68.6</w:t>
      </w:r>
      <w:r>
        <w:rPr>
          <w:rFonts w:asciiTheme="majorHAnsi" w:hAnsiTheme="majorHAnsi"/>
          <w:sz w:val="24"/>
          <w:szCs w:val="24"/>
        </w:rPr>
        <w:t>% of claimants were corporations with less than 100</w:t>
      </w:r>
      <w:r w:rsidR="00F7446C" w:rsidRPr="00F7446C">
        <w:rPr>
          <w:rFonts w:asciiTheme="majorHAnsi" w:hAnsiTheme="majorHAnsi"/>
          <w:sz w:val="24"/>
          <w:szCs w:val="24"/>
        </w:rPr>
        <w:t xml:space="preserve"> </w:t>
      </w:r>
      <w:r w:rsidR="00F7446C">
        <w:rPr>
          <w:rFonts w:asciiTheme="majorHAnsi" w:hAnsiTheme="majorHAnsi"/>
          <w:sz w:val="24"/>
          <w:szCs w:val="24"/>
        </w:rPr>
        <w:t>employees</w:t>
      </w:r>
      <w:r>
        <w:rPr>
          <w:rFonts w:asciiTheme="majorHAnsi" w:hAnsiTheme="majorHAnsi"/>
          <w:sz w:val="24"/>
          <w:szCs w:val="24"/>
        </w:rPr>
        <w:t xml:space="preserve">, and </w:t>
      </w:r>
      <w:r w:rsidR="0049719D">
        <w:rPr>
          <w:rFonts w:asciiTheme="majorHAnsi" w:eastAsiaTheme="majorEastAsia" w:hAnsiTheme="majorHAnsi" w:cstheme="majorBidi"/>
          <w:bCs/>
          <w:color w:val="000000" w:themeColor="text1"/>
          <w:sz w:val="24"/>
          <w:szCs w:val="24"/>
        </w:rPr>
        <w:t>68.0</w:t>
      </w:r>
      <w:r>
        <w:rPr>
          <w:rFonts w:asciiTheme="majorHAnsi" w:eastAsiaTheme="majorEastAsia" w:hAnsiTheme="majorHAnsi" w:cstheme="majorBidi"/>
          <w:bCs/>
          <w:color w:val="000000" w:themeColor="text1"/>
          <w:sz w:val="24"/>
          <w:szCs w:val="24"/>
        </w:rPr>
        <w:t xml:space="preserve">% of </w:t>
      </w:r>
      <w:r>
        <w:rPr>
          <w:rFonts w:asciiTheme="majorHAnsi" w:hAnsiTheme="majorHAnsi"/>
          <w:sz w:val="24"/>
          <w:szCs w:val="24"/>
        </w:rPr>
        <w:t>claimants</w:t>
      </w:r>
      <w:r>
        <w:rPr>
          <w:rFonts w:asciiTheme="majorHAnsi" w:eastAsiaTheme="majorEastAsia" w:hAnsiTheme="majorHAnsi" w:cstheme="majorBidi"/>
          <w:bCs/>
          <w:color w:val="000000" w:themeColor="text1"/>
          <w:sz w:val="24"/>
          <w:szCs w:val="24"/>
        </w:rPr>
        <w:t xml:space="preserve"> were in the industries of manufacturing and professional, scientific, &amp; technical services.</w:t>
      </w:r>
      <w:r>
        <w:rPr>
          <w:rFonts w:asciiTheme="majorHAnsi" w:hAnsiTheme="majorHAnsi"/>
          <w:sz w:val="24"/>
          <w:szCs w:val="24"/>
        </w:rPr>
        <w:t xml:space="preserve"> </w:t>
      </w:r>
    </w:p>
    <w:p w14:paraId="7A3FE2EC" w14:textId="77777777" w:rsidR="000F4D69" w:rsidRDefault="000F4D69" w:rsidP="000F4D69">
      <w:pPr>
        <w:spacing w:after="0"/>
        <w:rPr>
          <w:rFonts w:asciiTheme="majorHAnsi" w:hAnsiTheme="majorHAnsi"/>
          <w:sz w:val="24"/>
          <w:szCs w:val="24"/>
        </w:rPr>
      </w:pPr>
    </w:p>
    <w:p w14:paraId="7FF15F22" w14:textId="77777777" w:rsidR="000F4D69" w:rsidRDefault="000F4D69" w:rsidP="000F4D69">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The tax benefit per claimant averaged $</w:t>
      </w:r>
      <w:r w:rsidR="003301C7">
        <w:rPr>
          <w:rFonts w:asciiTheme="majorHAnsi" w:eastAsiaTheme="majorEastAsia" w:hAnsiTheme="majorHAnsi" w:cstheme="majorBidi"/>
          <w:bCs/>
          <w:color w:val="000000" w:themeColor="text1"/>
          <w:sz w:val="24"/>
          <w:szCs w:val="24"/>
        </w:rPr>
        <w:t>70</w:t>
      </w:r>
      <w:r>
        <w:rPr>
          <w:rFonts w:asciiTheme="majorHAnsi" w:eastAsiaTheme="majorEastAsia" w:hAnsiTheme="majorHAnsi" w:cstheme="majorBidi"/>
          <w:bCs/>
          <w:color w:val="000000" w:themeColor="text1"/>
          <w:sz w:val="24"/>
          <w:szCs w:val="24"/>
        </w:rPr>
        <w:t>,</w:t>
      </w:r>
      <w:r w:rsidR="003301C7">
        <w:rPr>
          <w:rFonts w:asciiTheme="majorHAnsi" w:eastAsiaTheme="majorEastAsia" w:hAnsiTheme="majorHAnsi" w:cstheme="majorBidi"/>
          <w:bCs/>
          <w:color w:val="000000" w:themeColor="text1"/>
          <w:sz w:val="24"/>
          <w:szCs w:val="24"/>
        </w:rPr>
        <w:t>493</w:t>
      </w:r>
      <w:r>
        <w:rPr>
          <w:rFonts w:asciiTheme="majorHAnsi" w:eastAsiaTheme="majorEastAsia" w:hAnsiTheme="majorHAnsi" w:cstheme="majorBidi"/>
          <w:bCs/>
          <w:color w:val="000000" w:themeColor="text1"/>
          <w:sz w:val="24"/>
          <w:szCs w:val="24"/>
        </w:rPr>
        <w:t>, varying from $11,</w:t>
      </w:r>
      <w:r w:rsidR="003301C7">
        <w:rPr>
          <w:rFonts w:asciiTheme="majorHAnsi" w:eastAsiaTheme="majorEastAsia" w:hAnsiTheme="majorHAnsi" w:cstheme="majorBidi"/>
          <w:bCs/>
          <w:color w:val="000000" w:themeColor="text1"/>
          <w:sz w:val="24"/>
          <w:szCs w:val="24"/>
        </w:rPr>
        <w:t>402</w:t>
      </w:r>
      <w:r>
        <w:rPr>
          <w:rFonts w:asciiTheme="majorHAnsi" w:eastAsiaTheme="majorEastAsia" w:hAnsiTheme="majorHAnsi" w:cstheme="majorBidi"/>
          <w:bCs/>
          <w:color w:val="000000" w:themeColor="text1"/>
          <w:sz w:val="24"/>
          <w:szCs w:val="24"/>
        </w:rPr>
        <w:t xml:space="preserve"> for unmatched filers </w:t>
      </w:r>
      <w:r>
        <w:rPr>
          <w:rFonts w:asciiTheme="majorHAnsi" w:hAnsiTheme="majorHAnsi"/>
          <w:sz w:val="24"/>
          <w:szCs w:val="24"/>
        </w:rPr>
        <w:t>to $</w:t>
      </w:r>
      <w:r w:rsidR="003301C7">
        <w:rPr>
          <w:rFonts w:asciiTheme="majorHAnsi" w:hAnsiTheme="majorHAnsi"/>
          <w:sz w:val="24"/>
          <w:szCs w:val="24"/>
        </w:rPr>
        <w:t>913</w:t>
      </w:r>
      <w:r>
        <w:rPr>
          <w:rFonts w:asciiTheme="majorHAnsi" w:hAnsiTheme="majorHAnsi"/>
          <w:sz w:val="24"/>
          <w:szCs w:val="24"/>
        </w:rPr>
        <w:t>,</w:t>
      </w:r>
      <w:r w:rsidR="003301C7">
        <w:rPr>
          <w:rFonts w:asciiTheme="majorHAnsi" w:hAnsiTheme="majorHAnsi"/>
          <w:sz w:val="24"/>
          <w:szCs w:val="24"/>
        </w:rPr>
        <w:t>918</w:t>
      </w:r>
      <w:r>
        <w:rPr>
          <w:rFonts w:asciiTheme="majorHAnsi" w:hAnsiTheme="majorHAnsi"/>
          <w:sz w:val="24"/>
          <w:szCs w:val="24"/>
        </w:rPr>
        <w:t xml:space="preserve"> for the corporations </w:t>
      </w:r>
      <w:r w:rsidR="00AB6158">
        <w:rPr>
          <w:rFonts w:asciiTheme="majorHAnsi" w:hAnsiTheme="majorHAnsi"/>
          <w:sz w:val="24"/>
          <w:szCs w:val="24"/>
        </w:rPr>
        <w:t xml:space="preserve">with </w:t>
      </w:r>
      <w:r>
        <w:rPr>
          <w:rFonts w:asciiTheme="majorHAnsi" w:hAnsiTheme="majorHAnsi"/>
          <w:sz w:val="24"/>
          <w:szCs w:val="24"/>
        </w:rPr>
        <w:t xml:space="preserve">$10 million or higher taxable income, from </w:t>
      </w:r>
      <w:r w:rsidR="003301C7">
        <w:rPr>
          <w:rFonts w:asciiTheme="majorHAnsi" w:eastAsiaTheme="majorEastAsia" w:hAnsiTheme="majorHAnsi" w:cstheme="majorBidi"/>
          <w:bCs/>
          <w:color w:val="000000" w:themeColor="text1"/>
          <w:sz w:val="24"/>
          <w:szCs w:val="24"/>
        </w:rPr>
        <w:t>$11,402 for unmatched filers</w:t>
      </w:r>
      <w:r>
        <w:rPr>
          <w:rFonts w:asciiTheme="majorHAnsi" w:hAnsiTheme="majorHAnsi"/>
          <w:sz w:val="24"/>
          <w:szCs w:val="24"/>
        </w:rPr>
        <w:t xml:space="preserve"> to $</w:t>
      </w:r>
      <w:r w:rsidR="003301C7">
        <w:rPr>
          <w:rFonts w:asciiTheme="majorHAnsi" w:hAnsiTheme="majorHAnsi"/>
          <w:sz w:val="24"/>
          <w:szCs w:val="24"/>
        </w:rPr>
        <w:t>258</w:t>
      </w:r>
      <w:r>
        <w:rPr>
          <w:rFonts w:asciiTheme="majorHAnsi" w:hAnsiTheme="majorHAnsi"/>
          <w:sz w:val="24"/>
          <w:szCs w:val="24"/>
        </w:rPr>
        <w:t>,</w:t>
      </w:r>
      <w:r w:rsidR="003301C7">
        <w:rPr>
          <w:rFonts w:asciiTheme="majorHAnsi" w:hAnsiTheme="majorHAnsi"/>
          <w:sz w:val="24"/>
          <w:szCs w:val="24"/>
        </w:rPr>
        <w:t>438</w:t>
      </w:r>
      <w:r>
        <w:rPr>
          <w:rFonts w:asciiTheme="majorHAnsi" w:hAnsiTheme="majorHAnsi"/>
          <w:sz w:val="24"/>
          <w:szCs w:val="24"/>
        </w:rPr>
        <w:t xml:space="preserve"> for the corporations </w:t>
      </w:r>
      <w:r w:rsidR="00AB6158">
        <w:rPr>
          <w:rFonts w:asciiTheme="majorHAnsi" w:hAnsiTheme="majorHAnsi"/>
          <w:sz w:val="24"/>
          <w:szCs w:val="24"/>
        </w:rPr>
        <w:t xml:space="preserve">with </w:t>
      </w:r>
      <w:r>
        <w:rPr>
          <w:rFonts w:asciiTheme="majorHAnsi" w:hAnsiTheme="majorHAnsi"/>
          <w:sz w:val="24"/>
          <w:szCs w:val="24"/>
        </w:rPr>
        <w:t>500 or more employees, and from $</w:t>
      </w:r>
      <w:r w:rsidR="003301C7">
        <w:rPr>
          <w:rFonts w:asciiTheme="majorHAnsi" w:hAnsiTheme="majorHAnsi"/>
          <w:sz w:val="24"/>
          <w:szCs w:val="24"/>
        </w:rPr>
        <w:t>2,144</w:t>
      </w:r>
      <w:r>
        <w:rPr>
          <w:rFonts w:asciiTheme="majorHAnsi" w:hAnsiTheme="majorHAnsi"/>
          <w:sz w:val="24"/>
          <w:szCs w:val="24"/>
        </w:rPr>
        <w:t xml:space="preserve"> for corporations in the “</w:t>
      </w:r>
      <w:r>
        <w:rPr>
          <w:rFonts w:ascii="Cambria" w:eastAsia="Times New Roman" w:hAnsi="Cambria" w:cs="Helvetica"/>
          <w:color w:val="000000"/>
          <w:sz w:val="24"/>
          <w:szCs w:val="24"/>
          <w:lang w:eastAsia="ko-KR"/>
        </w:rPr>
        <w:t>Accommodation and Food Services” industry</w:t>
      </w:r>
      <w:r>
        <w:rPr>
          <w:rFonts w:asciiTheme="majorHAnsi" w:hAnsiTheme="majorHAnsi"/>
          <w:sz w:val="24"/>
          <w:szCs w:val="24"/>
        </w:rPr>
        <w:t xml:space="preserve"> to $</w:t>
      </w:r>
      <w:r w:rsidR="003301C7">
        <w:rPr>
          <w:rFonts w:asciiTheme="majorHAnsi" w:hAnsiTheme="majorHAnsi"/>
          <w:sz w:val="24"/>
          <w:szCs w:val="24"/>
        </w:rPr>
        <w:t>213,151</w:t>
      </w:r>
      <w:r>
        <w:rPr>
          <w:rFonts w:asciiTheme="majorHAnsi" w:hAnsiTheme="majorHAnsi"/>
          <w:sz w:val="24"/>
          <w:szCs w:val="24"/>
        </w:rPr>
        <w:t xml:space="preserve"> for corporations in the “</w:t>
      </w:r>
      <w:r w:rsidR="00B62D1C" w:rsidRPr="00B62D1C">
        <w:rPr>
          <w:rFonts w:asciiTheme="majorHAnsi" w:hAnsiTheme="majorHAnsi"/>
          <w:sz w:val="24"/>
          <w:szCs w:val="24"/>
        </w:rPr>
        <w:t>Unmatched or others</w:t>
      </w:r>
      <w:r>
        <w:rPr>
          <w:rFonts w:asciiTheme="majorHAnsi" w:hAnsiTheme="majorHAnsi"/>
          <w:sz w:val="24"/>
          <w:szCs w:val="24"/>
        </w:rPr>
        <w:t xml:space="preserve">” industry. </w:t>
      </w:r>
    </w:p>
    <w:p w14:paraId="69DB8EAA" w14:textId="77777777" w:rsidR="00E0413C" w:rsidRDefault="00E0413C" w:rsidP="007E278C">
      <w:pPr>
        <w:spacing w:after="0"/>
        <w:rPr>
          <w:rFonts w:asciiTheme="majorHAnsi" w:eastAsiaTheme="majorEastAsia" w:hAnsiTheme="majorHAnsi" w:cstheme="majorBidi"/>
          <w:bCs/>
          <w:color w:val="000000" w:themeColor="text1"/>
          <w:sz w:val="24"/>
          <w:szCs w:val="24"/>
        </w:rPr>
      </w:pPr>
    </w:p>
    <w:p w14:paraId="26FCFE94" w14:textId="77777777" w:rsidR="006F1786" w:rsidRDefault="00D87AE6" w:rsidP="005D3BF7">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AB6158">
        <w:rPr>
          <w:rFonts w:asciiTheme="majorHAnsi" w:hAnsiTheme="majorHAnsi"/>
          <w:b/>
          <w:sz w:val="24"/>
          <w:szCs w:val="24"/>
        </w:rPr>
        <w:t>3</w:t>
      </w:r>
      <w:r w:rsidRPr="00CA0391">
        <w:rPr>
          <w:rFonts w:asciiTheme="majorHAnsi" w:hAnsiTheme="majorHAnsi"/>
          <w:b/>
          <w:sz w:val="24"/>
          <w:szCs w:val="24"/>
        </w:rPr>
        <w:t xml:space="preserve">. </w:t>
      </w:r>
      <w:r w:rsidR="000F4D69">
        <w:rPr>
          <w:rFonts w:asciiTheme="majorHAnsi" w:hAnsiTheme="majorHAnsi"/>
          <w:b/>
          <w:sz w:val="24"/>
          <w:szCs w:val="24"/>
        </w:rPr>
        <w:t>2017 Research Credit Claims by Taxable Income Level</w:t>
      </w:r>
    </w:p>
    <w:tbl>
      <w:tblPr>
        <w:tblW w:w="9445" w:type="dxa"/>
        <w:jc w:val="center"/>
        <w:tblLayout w:type="fixed"/>
        <w:tblLook w:val="04A0" w:firstRow="1" w:lastRow="0" w:firstColumn="1" w:lastColumn="0" w:noHBand="0" w:noVBand="1"/>
      </w:tblPr>
      <w:tblGrid>
        <w:gridCol w:w="2250"/>
        <w:gridCol w:w="1350"/>
        <w:gridCol w:w="1188"/>
        <w:gridCol w:w="1152"/>
        <w:gridCol w:w="1080"/>
        <w:gridCol w:w="1260"/>
        <w:gridCol w:w="1165"/>
      </w:tblGrid>
      <w:tr w:rsidR="000F4D69" w:rsidRPr="009E1C83" w14:paraId="6FD167EA" w14:textId="77777777" w:rsidTr="005D3BF7">
        <w:trPr>
          <w:trHeight w:val="920"/>
          <w:jc w:val="center"/>
        </w:trPr>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2BF400B"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Taxable Income Range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E08BC64"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 xml:space="preserve">Tax Liability after Credit </w:t>
            </w:r>
            <w:r w:rsidRPr="009E1C83">
              <w:rPr>
                <w:rFonts w:ascii="Cambria" w:eastAsia="Times New Roman" w:hAnsi="Cambria" w:cs="Helvetica"/>
                <w:color w:val="000000"/>
                <w:sz w:val="18"/>
                <w:szCs w:val="18"/>
                <w:lang w:eastAsia="ko-KR"/>
              </w:rPr>
              <w:t xml:space="preserve">($000) </w:t>
            </w:r>
          </w:p>
        </w:tc>
        <w:tc>
          <w:tcPr>
            <w:tcW w:w="118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0300C5E"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 xml:space="preserve">Claimed Credit ($000) </w:t>
            </w:r>
          </w:p>
        </w:tc>
        <w:tc>
          <w:tcPr>
            <w:tcW w:w="115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5722ED"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 xml:space="preserve">Shared Credit ($000) </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FE3C173"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Number of Claimants</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F8161D2"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Percent of Total Number of Claimants</w:t>
            </w:r>
          </w:p>
        </w:tc>
        <w:tc>
          <w:tcPr>
            <w:tcW w:w="116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19297AD" w14:textId="77777777" w:rsidR="000F4D69" w:rsidRPr="009E1C83" w:rsidRDefault="000F4D69" w:rsidP="009E1C83">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Tax Saving per Claimant ($)</w:t>
            </w:r>
          </w:p>
        </w:tc>
      </w:tr>
      <w:tr w:rsidR="0050309B" w:rsidRPr="006F0611" w14:paraId="4D4635ED" w14:textId="77777777" w:rsidTr="005D3BF7">
        <w:trPr>
          <w:trHeight w:val="46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F8C7252"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Less than $0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91F9"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$3,234</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628EE3A8"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$17,668</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EC09AF2"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$3,176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04F381"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1,082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EFE818A"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31.5%</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04BC77A2"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$19,264</w:t>
            </w:r>
          </w:p>
        </w:tc>
      </w:tr>
      <w:tr w:rsidR="000F4D69" w:rsidRPr="006F0611" w14:paraId="3D4C5CA3" w14:textId="77777777" w:rsidTr="005D3BF7">
        <w:trPr>
          <w:trHeight w:val="23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198FA828"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0 to $9,999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3732BEF4"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$1,248</w:t>
            </w:r>
          </w:p>
        </w:tc>
        <w:tc>
          <w:tcPr>
            <w:tcW w:w="1188" w:type="dxa"/>
            <w:tcBorders>
              <w:top w:val="nil"/>
              <w:left w:val="nil"/>
              <w:bottom w:val="single" w:sz="4" w:space="0" w:color="auto"/>
              <w:right w:val="single" w:sz="4" w:space="0" w:color="auto"/>
            </w:tcBorders>
            <w:shd w:val="clear" w:color="auto" w:fill="auto"/>
            <w:vAlign w:val="center"/>
            <w:hideMark/>
          </w:tcPr>
          <w:p w14:paraId="30D467DD"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$75,463</w:t>
            </w:r>
          </w:p>
        </w:tc>
        <w:tc>
          <w:tcPr>
            <w:tcW w:w="1152" w:type="dxa"/>
            <w:tcBorders>
              <w:top w:val="nil"/>
              <w:left w:val="nil"/>
              <w:bottom w:val="single" w:sz="4" w:space="0" w:color="auto"/>
              <w:right w:val="single" w:sz="4" w:space="0" w:color="auto"/>
            </w:tcBorders>
            <w:shd w:val="clear" w:color="auto" w:fill="auto"/>
            <w:vAlign w:val="center"/>
            <w:hideMark/>
          </w:tcPr>
          <w:p w14:paraId="5FA15F3A"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$32,019</w:t>
            </w:r>
          </w:p>
        </w:tc>
        <w:tc>
          <w:tcPr>
            <w:tcW w:w="1080" w:type="dxa"/>
            <w:tcBorders>
              <w:top w:val="nil"/>
              <w:left w:val="nil"/>
              <w:bottom w:val="single" w:sz="4" w:space="0" w:color="auto"/>
              <w:right w:val="single" w:sz="4" w:space="0" w:color="auto"/>
            </w:tcBorders>
            <w:shd w:val="clear" w:color="auto" w:fill="auto"/>
            <w:vAlign w:val="center"/>
            <w:hideMark/>
          </w:tcPr>
          <w:p w14:paraId="4CCF1B05"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951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04C7EAF"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27.7%</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51A4E0AE"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$113,021</w:t>
            </w:r>
          </w:p>
        </w:tc>
      </w:tr>
      <w:tr w:rsidR="000F4D69" w:rsidRPr="006F0611" w14:paraId="075637C1" w14:textId="77777777" w:rsidTr="005D3BF7">
        <w:trPr>
          <w:trHeight w:val="23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58AA27F"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$10,000 to $99,999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2288AE57"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$630</w:t>
            </w:r>
          </w:p>
        </w:tc>
        <w:tc>
          <w:tcPr>
            <w:tcW w:w="1188" w:type="dxa"/>
            <w:tcBorders>
              <w:top w:val="nil"/>
              <w:left w:val="nil"/>
              <w:bottom w:val="single" w:sz="4" w:space="0" w:color="auto"/>
              <w:right w:val="single" w:sz="4" w:space="0" w:color="auto"/>
            </w:tcBorders>
            <w:shd w:val="clear" w:color="auto" w:fill="auto"/>
            <w:vAlign w:val="center"/>
            <w:hideMark/>
          </w:tcPr>
          <w:p w14:paraId="70950F07"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$7,501</w:t>
            </w:r>
          </w:p>
        </w:tc>
        <w:tc>
          <w:tcPr>
            <w:tcW w:w="1152" w:type="dxa"/>
            <w:tcBorders>
              <w:top w:val="nil"/>
              <w:left w:val="nil"/>
              <w:bottom w:val="single" w:sz="4" w:space="0" w:color="auto"/>
              <w:right w:val="single" w:sz="4" w:space="0" w:color="auto"/>
            </w:tcBorders>
            <w:shd w:val="clear" w:color="auto" w:fill="auto"/>
            <w:vAlign w:val="center"/>
            <w:hideMark/>
          </w:tcPr>
          <w:p w14:paraId="216E6E10"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$606</w:t>
            </w:r>
          </w:p>
        </w:tc>
        <w:tc>
          <w:tcPr>
            <w:tcW w:w="1080" w:type="dxa"/>
            <w:tcBorders>
              <w:top w:val="nil"/>
              <w:left w:val="nil"/>
              <w:bottom w:val="single" w:sz="4" w:space="0" w:color="auto"/>
              <w:right w:val="single" w:sz="4" w:space="0" w:color="auto"/>
            </w:tcBorders>
            <w:shd w:val="clear" w:color="auto" w:fill="auto"/>
            <w:vAlign w:val="center"/>
            <w:hideMark/>
          </w:tcPr>
          <w:p w14:paraId="248132A8"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324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B811E84"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9.4%</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737C6C5E"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$25,022</w:t>
            </w:r>
          </w:p>
        </w:tc>
      </w:tr>
      <w:tr w:rsidR="000F4D69" w:rsidRPr="006F0611" w14:paraId="1F4D948A" w14:textId="77777777" w:rsidTr="005D3BF7">
        <w:trPr>
          <w:trHeight w:val="46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11A5A648"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$100,000 to $999,999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1AE8D05B"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$6,585</w:t>
            </w:r>
          </w:p>
        </w:tc>
        <w:tc>
          <w:tcPr>
            <w:tcW w:w="1188" w:type="dxa"/>
            <w:tcBorders>
              <w:top w:val="nil"/>
              <w:left w:val="nil"/>
              <w:bottom w:val="single" w:sz="4" w:space="0" w:color="auto"/>
              <w:right w:val="single" w:sz="4" w:space="0" w:color="auto"/>
            </w:tcBorders>
            <w:shd w:val="clear" w:color="auto" w:fill="auto"/>
            <w:vAlign w:val="center"/>
            <w:hideMark/>
          </w:tcPr>
          <w:p w14:paraId="708DEF60"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$13,306</w:t>
            </w:r>
          </w:p>
        </w:tc>
        <w:tc>
          <w:tcPr>
            <w:tcW w:w="1152" w:type="dxa"/>
            <w:tcBorders>
              <w:top w:val="nil"/>
              <w:left w:val="nil"/>
              <w:bottom w:val="single" w:sz="4" w:space="0" w:color="auto"/>
              <w:right w:val="single" w:sz="4" w:space="0" w:color="auto"/>
            </w:tcBorders>
            <w:shd w:val="clear" w:color="auto" w:fill="auto"/>
            <w:vAlign w:val="center"/>
            <w:hideMark/>
          </w:tcPr>
          <w:p w14:paraId="1025182F"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$2,688</w:t>
            </w:r>
          </w:p>
        </w:tc>
        <w:tc>
          <w:tcPr>
            <w:tcW w:w="1080" w:type="dxa"/>
            <w:tcBorders>
              <w:top w:val="nil"/>
              <w:left w:val="nil"/>
              <w:bottom w:val="single" w:sz="4" w:space="0" w:color="auto"/>
              <w:right w:val="single" w:sz="4" w:space="0" w:color="auto"/>
            </w:tcBorders>
            <w:shd w:val="clear" w:color="auto" w:fill="auto"/>
            <w:vAlign w:val="center"/>
            <w:hideMark/>
          </w:tcPr>
          <w:p w14:paraId="7A1D8289"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536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925BC33"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15.6%</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17B1E93D"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$29,840</w:t>
            </w:r>
          </w:p>
        </w:tc>
      </w:tr>
      <w:tr w:rsidR="000F4D69" w:rsidRPr="006F0611" w14:paraId="72F5A8D9" w14:textId="77777777" w:rsidTr="005D3BF7">
        <w:trPr>
          <w:trHeight w:val="46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E4841A1"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$1,000,000 to $9,999,999</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350AB2FA"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$32,327</w:t>
            </w:r>
          </w:p>
        </w:tc>
        <w:tc>
          <w:tcPr>
            <w:tcW w:w="1188" w:type="dxa"/>
            <w:tcBorders>
              <w:top w:val="nil"/>
              <w:left w:val="nil"/>
              <w:bottom w:val="single" w:sz="4" w:space="0" w:color="auto"/>
              <w:right w:val="single" w:sz="4" w:space="0" w:color="auto"/>
            </w:tcBorders>
            <w:shd w:val="clear" w:color="auto" w:fill="auto"/>
            <w:vAlign w:val="center"/>
            <w:hideMark/>
          </w:tcPr>
          <w:p w14:paraId="7680F377"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$30,855</w:t>
            </w:r>
          </w:p>
        </w:tc>
        <w:tc>
          <w:tcPr>
            <w:tcW w:w="1152" w:type="dxa"/>
            <w:tcBorders>
              <w:top w:val="nil"/>
              <w:left w:val="nil"/>
              <w:bottom w:val="single" w:sz="4" w:space="0" w:color="auto"/>
              <w:right w:val="single" w:sz="4" w:space="0" w:color="auto"/>
            </w:tcBorders>
            <w:shd w:val="clear" w:color="auto" w:fill="auto"/>
            <w:vAlign w:val="center"/>
            <w:hideMark/>
          </w:tcPr>
          <w:p w14:paraId="4C09037B"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$3,831</w:t>
            </w:r>
          </w:p>
        </w:tc>
        <w:tc>
          <w:tcPr>
            <w:tcW w:w="1080" w:type="dxa"/>
            <w:tcBorders>
              <w:top w:val="nil"/>
              <w:left w:val="nil"/>
              <w:bottom w:val="single" w:sz="4" w:space="0" w:color="auto"/>
              <w:right w:val="single" w:sz="4" w:space="0" w:color="auto"/>
            </w:tcBorders>
            <w:shd w:val="clear" w:color="auto" w:fill="auto"/>
            <w:vAlign w:val="center"/>
            <w:hideMark/>
          </w:tcPr>
          <w:p w14:paraId="10D76B37"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439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338D52E"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12.8%</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26570208"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$79,010</w:t>
            </w:r>
          </w:p>
        </w:tc>
      </w:tr>
      <w:tr w:rsidR="000F4D69" w:rsidRPr="006F0611" w14:paraId="55FF815D" w14:textId="77777777" w:rsidTr="005D3BF7">
        <w:trPr>
          <w:trHeight w:val="45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555B72A9"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$10,000,000 or more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304A918A"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$85,900</w:t>
            </w:r>
          </w:p>
        </w:tc>
        <w:tc>
          <w:tcPr>
            <w:tcW w:w="1188" w:type="dxa"/>
            <w:tcBorders>
              <w:top w:val="nil"/>
              <w:left w:val="nil"/>
              <w:bottom w:val="single" w:sz="4" w:space="0" w:color="auto"/>
              <w:right w:val="single" w:sz="4" w:space="0" w:color="auto"/>
            </w:tcBorders>
            <w:shd w:val="clear" w:color="auto" w:fill="auto"/>
            <w:vAlign w:val="center"/>
            <w:hideMark/>
          </w:tcPr>
          <w:p w14:paraId="37BE344C"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$33,257</w:t>
            </w:r>
          </w:p>
        </w:tc>
        <w:tc>
          <w:tcPr>
            <w:tcW w:w="1152" w:type="dxa"/>
            <w:tcBorders>
              <w:top w:val="nil"/>
              <w:left w:val="nil"/>
              <w:bottom w:val="single" w:sz="4" w:space="0" w:color="auto"/>
              <w:right w:val="single" w:sz="4" w:space="0" w:color="auto"/>
            </w:tcBorders>
            <w:shd w:val="clear" w:color="auto" w:fill="auto"/>
            <w:vAlign w:val="center"/>
            <w:hideMark/>
          </w:tcPr>
          <w:p w14:paraId="16E9274C"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$21,578</w:t>
            </w:r>
          </w:p>
        </w:tc>
        <w:tc>
          <w:tcPr>
            <w:tcW w:w="1080" w:type="dxa"/>
            <w:tcBorders>
              <w:top w:val="nil"/>
              <w:left w:val="nil"/>
              <w:bottom w:val="single" w:sz="4" w:space="0" w:color="auto"/>
              <w:right w:val="single" w:sz="4" w:space="0" w:color="auto"/>
            </w:tcBorders>
            <w:shd w:val="clear" w:color="auto" w:fill="auto"/>
            <w:vAlign w:val="center"/>
            <w:hideMark/>
          </w:tcPr>
          <w:p w14:paraId="0995405E"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60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DD2FAA4"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1.7%</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61E62AA9"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$913,918</w:t>
            </w:r>
          </w:p>
        </w:tc>
      </w:tr>
      <w:tr w:rsidR="000F4D69" w:rsidRPr="006F0611" w14:paraId="0137943D" w14:textId="77777777" w:rsidTr="005D3BF7">
        <w:trPr>
          <w:trHeight w:val="23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612C32C"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Unmatched*</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58D64886"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NA</w:t>
            </w:r>
          </w:p>
        </w:tc>
        <w:tc>
          <w:tcPr>
            <w:tcW w:w="1188" w:type="dxa"/>
            <w:tcBorders>
              <w:top w:val="nil"/>
              <w:left w:val="nil"/>
              <w:bottom w:val="single" w:sz="4" w:space="0" w:color="auto"/>
              <w:right w:val="single" w:sz="4" w:space="0" w:color="auto"/>
            </w:tcBorders>
            <w:shd w:val="clear" w:color="auto" w:fill="auto"/>
            <w:vAlign w:val="center"/>
            <w:hideMark/>
          </w:tcPr>
          <w:p w14:paraId="2FA918D8"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$547</w:t>
            </w:r>
          </w:p>
        </w:tc>
        <w:tc>
          <w:tcPr>
            <w:tcW w:w="1152" w:type="dxa"/>
            <w:tcBorders>
              <w:top w:val="nil"/>
              <w:left w:val="nil"/>
              <w:bottom w:val="single" w:sz="4" w:space="0" w:color="auto"/>
              <w:right w:val="single" w:sz="4" w:space="0" w:color="auto"/>
            </w:tcBorders>
            <w:shd w:val="clear" w:color="auto" w:fill="auto"/>
            <w:vAlign w:val="center"/>
            <w:hideMark/>
          </w:tcPr>
          <w:p w14:paraId="052AD9FC" w14:textId="4CDD9416"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w:t>
            </w:r>
            <w:r w:rsidR="006131EC">
              <w:rPr>
                <w:rFonts w:ascii="Cambria" w:hAnsi="Cambria" w:cs="Helvetica"/>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57F93EE9"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48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FEF4A7D"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1.4%</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6A0948B7"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$11,402</w:t>
            </w:r>
          </w:p>
        </w:tc>
      </w:tr>
      <w:tr w:rsidR="000F4D69" w:rsidRPr="006F0611" w14:paraId="32D33FCA" w14:textId="77777777" w:rsidTr="005D3BF7">
        <w:trPr>
          <w:trHeight w:val="23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C3E9006" w14:textId="77777777" w:rsidR="000F4D69" w:rsidRPr="006F0611" w:rsidRDefault="000F4D69" w:rsidP="005D3BF7">
            <w:pPr>
              <w:spacing w:after="0" w:line="240" w:lineRule="auto"/>
              <w:rPr>
                <w:rFonts w:ascii="Cambria" w:eastAsia="Times New Roman" w:hAnsi="Cambria" w:cs="Helvetica"/>
                <w:color w:val="000000"/>
                <w:sz w:val="18"/>
                <w:szCs w:val="18"/>
                <w:lang w:eastAsia="ko-KR"/>
              </w:rPr>
            </w:pPr>
            <w:r w:rsidRPr="006F0611">
              <w:rPr>
                <w:rFonts w:ascii="Cambria" w:eastAsia="Times New Roman" w:hAnsi="Cambria" w:cs="Helvetica"/>
                <w:color w:val="000000"/>
                <w:sz w:val="18"/>
                <w:szCs w:val="18"/>
                <w:lang w:eastAsia="ko-KR"/>
              </w:rPr>
              <w:t>Total or average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172801F0"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$129,924</w:t>
            </w:r>
          </w:p>
        </w:tc>
        <w:tc>
          <w:tcPr>
            <w:tcW w:w="1188" w:type="dxa"/>
            <w:tcBorders>
              <w:top w:val="nil"/>
              <w:left w:val="nil"/>
              <w:bottom w:val="single" w:sz="4" w:space="0" w:color="auto"/>
              <w:right w:val="single" w:sz="4" w:space="0" w:color="auto"/>
            </w:tcBorders>
            <w:shd w:val="clear" w:color="auto" w:fill="auto"/>
            <w:vAlign w:val="center"/>
            <w:hideMark/>
          </w:tcPr>
          <w:p w14:paraId="74DF0543"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$178,598</w:t>
            </w:r>
          </w:p>
        </w:tc>
        <w:tc>
          <w:tcPr>
            <w:tcW w:w="1152" w:type="dxa"/>
            <w:tcBorders>
              <w:top w:val="nil"/>
              <w:left w:val="nil"/>
              <w:bottom w:val="single" w:sz="4" w:space="0" w:color="auto"/>
              <w:right w:val="single" w:sz="4" w:space="0" w:color="auto"/>
            </w:tcBorders>
            <w:shd w:val="clear" w:color="auto" w:fill="auto"/>
            <w:vAlign w:val="center"/>
            <w:hideMark/>
          </w:tcPr>
          <w:p w14:paraId="2AD9DA92"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$63,897</w:t>
            </w:r>
          </w:p>
        </w:tc>
        <w:tc>
          <w:tcPr>
            <w:tcW w:w="1080" w:type="dxa"/>
            <w:tcBorders>
              <w:top w:val="nil"/>
              <w:left w:val="nil"/>
              <w:bottom w:val="single" w:sz="4" w:space="0" w:color="auto"/>
              <w:right w:val="single" w:sz="4" w:space="0" w:color="auto"/>
            </w:tcBorders>
            <w:shd w:val="clear" w:color="auto" w:fill="auto"/>
            <w:vAlign w:val="center"/>
            <w:hideMark/>
          </w:tcPr>
          <w:p w14:paraId="02A2D701"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 xml:space="preserve">        3,440 </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C1EEB2D"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color w:val="000000"/>
                <w:sz w:val="18"/>
                <w:szCs w:val="18"/>
              </w:rPr>
              <w:t>100.0%</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14:paraId="0930DE77" w14:textId="77777777" w:rsidR="000F4D69" w:rsidRPr="006F0611" w:rsidRDefault="000F4D69" w:rsidP="006F0611">
            <w:pPr>
              <w:spacing w:after="0" w:line="240" w:lineRule="auto"/>
              <w:jc w:val="center"/>
              <w:rPr>
                <w:rFonts w:ascii="Cambria" w:eastAsia="Times New Roman" w:hAnsi="Cambria" w:cs="Helvetica"/>
                <w:color w:val="000000"/>
                <w:sz w:val="18"/>
                <w:szCs w:val="18"/>
                <w:lang w:eastAsia="ko-KR"/>
              </w:rPr>
            </w:pPr>
            <w:r w:rsidRPr="006F0611">
              <w:rPr>
                <w:rFonts w:ascii="Cambria" w:hAnsi="Cambria" w:cs="Helvetica"/>
                <w:sz w:val="18"/>
                <w:szCs w:val="18"/>
              </w:rPr>
              <w:t>$70,493</w:t>
            </w:r>
          </w:p>
        </w:tc>
      </w:tr>
    </w:tbl>
    <w:p w14:paraId="6D4309F0" w14:textId="77777777" w:rsidR="00E00515" w:rsidRPr="005D3BF7" w:rsidRDefault="00E00515" w:rsidP="00E00515">
      <w:pPr>
        <w:tabs>
          <w:tab w:val="left" w:pos="7050"/>
        </w:tabs>
        <w:spacing w:after="0"/>
        <w:rPr>
          <w:rFonts w:asciiTheme="majorHAnsi" w:hAnsiTheme="majorHAnsi"/>
          <w:b/>
          <w:sz w:val="18"/>
          <w:szCs w:val="18"/>
        </w:rPr>
      </w:pPr>
      <w:r w:rsidRPr="005D3BF7">
        <w:rPr>
          <w:rFonts w:asciiTheme="majorHAnsi" w:eastAsiaTheme="majorEastAsia" w:hAnsiTheme="majorHAnsi" w:cstheme="majorBidi"/>
          <w:bCs/>
          <w:color w:val="000000" w:themeColor="text1"/>
          <w:sz w:val="18"/>
          <w:szCs w:val="18"/>
        </w:rPr>
        <w:t>Source: Department of Revenue (2017</w:t>
      </w:r>
      <w:r w:rsidR="00483BC5" w:rsidRPr="005D3BF7">
        <w:rPr>
          <w:rFonts w:asciiTheme="majorHAnsi" w:eastAsiaTheme="majorEastAsia" w:hAnsiTheme="majorHAnsi" w:cstheme="majorBidi"/>
          <w:bCs/>
          <w:color w:val="000000" w:themeColor="text1"/>
          <w:sz w:val="18"/>
          <w:szCs w:val="18"/>
        </w:rPr>
        <w:t xml:space="preserve"> </w:t>
      </w:r>
      <w:r w:rsidR="00F15894">
        <w:rPr>
          <w:rFonts w:asciiTheme="majorHAnsi" w:eastAsiaTheme="majorEastAsia" w:hAnsiTheme="majorHAnsi" w:cstheme="majorBidi"/>
          <w:bCs/>
          <w:color w:val="000000" w:themeColor="text1"/>
          <w:sz w:val="18"/>
          <w:szCs w:val="18"/>
        </w:rPr>
        <w:t>corporate excise</w:t>
      </w:r>
      <w:r w:rsidR="00483BC5" w:rsidRPr="005D3BF7">
        <w:rPr>
          <w:rFonts w:asciiTheme="majorHAnsi" w:eastAsiaTheme="majorEastAsia" w:hAnsiTheme="majorHAnsi" w:cstheme="majorBidi"/>
          <w:bCs/>
          <w:color w:val="000000" w:themeColor="text1"/>
          <w:sz w:val="18"/>
          <w:szCs w:val="18"/>
        </w:rPr>
        <w:t xml:space="preserve"> return</w:t>
      </w:r>
      <w:r w:rsidR="00AB6158">
        <w:rPr>
          <w:rFonts w:asciiTheme="majorHAnsi" w:eastAsiaTheme="majorEastAsia" w:hAnsiTheme="majorHAnsi" w:cstheme="majorBidi"/>
          <w:bCs/>
          <w:color w:val="000000" w:themeColor="text1"/>
          <w:sz w:val="18"/>
          <w:szCs w:val="18"/>
        </w:rPr>
        <w:t>s</w:t>
      </w:r>
      <w:r w:rsidRPr="005D3BF7">
        <w:rPr>
          <w:rFonts w:asciiTheme="majorHAnsi" w:eastAsiaTheme="majorEastAsia" w:hAnsiTheme="majorHAnsi" w:cstheme="majorBidi"/>
          <w:bCs/>
          <w:color w:val="000000" w:themeColor="text1"/>
          <w:sz w:val="18"/>
          <w:szCs w:val="18"/>
        </w:rPr>
        <w:t>)</w:t>
      </w:r>
    </w:p>
    <w:p w14:paraId="3FE1290F" w14:textId="77777777" w:rsidR="0050309B" w:rsidRPr="005D3BF7" w:rsidRDefault="00D67E81" w:rsidP="00291074">
      <w:pPr>
        <w:tabs>
          <w:tab w:val="left" w:pos="7050"/>
        </w:tabs>
        <w:spacing w:after="0"/>
        <w:rPr>
          <w:rFonts w:asciiTheme="majorHAnsi" w:eastAsiaTheme="majorEastAsia" w:hAnsiTheme="majorHAnsi" w:cstheme="majorBidi"/>
          <w:bCs/>
          <w:color w:val="000000" w:themeColor="text1"/>
          <w:sz w:val="18"/>
          <w:szCs w:val="18"/>
        </w:rPr>
      </w:pPr>
      <w:r w:rsidRPr="005D3BF7">
        <w:rPr>
          <w:rFonts w:asciiTheme="majorHAnsi" w:eastAsiaTheme="majorEastAsia" w:hAnsiTheme="majorHAnsi" w:cstheme="majorBidi"/>
          <w:bCs/>
          <w:color w:val="000000" w:themeColor="text1"/>
          <w:sz w:val="18"/>
          <w:szCs w:val="18"/>
        </w:rPr>
        <w:t xml:space="preserve">Notes: 1. *Unmatched means that we could not find some taxpayers in one or more of </w:t>
      </w:r>
      <w:r w:rsidR="001A2B3C">
        <w:rPr>
          <w:rFonts w:asciiTheme="majorHAnsi" w:eastAsiaTheme="majorEastAsia" w:hAnsiTheme="majorHAnsi" w:cstheme="majorBidi"/>
          <w:bCs/>
          <w:color w:val="000000" w:themeColor="text1"/>
          <w:sz w:val="18"/>
          <w:szCs w:val="18"/>
        </w:rPr>
        <w:t xml:space="preserve">the </w:t>
      </w:r>
      <w:r w:rsidRPr="005D3BF7">
        <w:rPr>
          <w:rFonts w:asciiTheme="majorHAnsi" w:eastAsiaTheme="majorEastAsia" w:hAnsiTheme="majorHAnsi" w:cstheme="majorBidi"/>
          <w:bCs/>
          <w:color w:val="000000" w:themeColor="text1"/>
          <w:sz w:val="18"/>
          <w:szCs w:val="18"/>
        </w:rPr>
        <w:t xml:space="preserve">data sets to match.  </w:t>
      </w:r>
      <w:r w:rsidR="0050309B" w:rsidRPr="005D3BF7">
        <w:rPr>
          <w:rFonts w:asciiTheme="majorHAnsi" w:eastAsiaTheme="majorEastAsia" w:hAnsiTheme="majorHAnsi" w:cstheme="majorBidi"/>
          <w:bCs/>
          <w:color w:val="000000" w:themeColor="text1"/>
          <w:sz w:val="18"/>
          <w:szCs w:val="18"/>
        </w:rPr>
        <w:t xml:space="preserve">            </w:t>
      </w:r>
    </w:p>
    <w:p w14:paraId="3BF0FB71" w14:textId="77777777" w:rsidR="006777DE" w:rsidRPr="005D3BF7" w:rsidRDefault="0050309B" w:rsidP="00291074">
      <w:pPr>
        <w:tabs>
          <w:tab w:val="left" w:pos="7050"/>
        </w:tabs>
        <w:spacing w:after="0"/>
        <w:rPr>
          <w:rFonts w:asciiTheme="majorHAnsi" w:hAnsiTheme="majorHAnsi"/>
          <w:sz w:val="18"/>
          <w:szCs w:val="18"/>
        </w:rPr>
      </w:pPr>
      <w:r w:rsidRPr="005D3BF7">
        <w:rPr>
          <w:rFonts w:asciiTheme="majorHAnsi" w:eastAsiaTheme="majorEastAsia" w:hAnsiTheme="majorHAnsi" w:cstheme="majorBidi"/>
          <w:bCs/>
          <w:color w:val="000000" w:themeColor="text1"/>
          <w:sz w:val="18"/>
          <w:szCs w:val="18"/>
        </w:rPr>
        <w:t xml:space="preserve">             </w:t>
      </w:r>
      <w:r w:rsidRPr="005D3BF7">
        <w:rPr>
          <w:rFonts w:asciiTheme="majorHAnsi" w:hAnsiTheme="majorHAnsi"/>
          <w:sz w:val="18"/>
          <w:szCs w:val="18"/>
        </w:rPr>
        <w:t>2</w:t>
      </w:r>
      <w:r w:rsidR="00071DD0" w:rsidRPr="005D3BF7">
        <w:rPr>
          <w:rFonts w:asciiTheme="majorHAnsi" w:hAnsiTheme="majorHAnsi"/>
          <w:sz w:val="18"/>
          <w:szCs w:val="18"/>
        </w:rPr>
        <w:t xml:space="preserve">. The data are preliminary and subject to </w:t>
      </w:r>
      <w:r w:rsidRPr="005D3BF7">
        <w:rPr>
          <w:rFonts w:asciiTheme="majorHAnsi" w:hAnsiTheme="majorHAnsi"/>
          <w:sz w:val="18"/>
          <w:szCs w:val="18"/>
        </w:rPr>
        <w:t>change</w:t>
      </w:r>
      <w:r w:rsidR="00071DD0" w:rsidRPr="005D3BF7">
        <w:rPr>
          <w:rFonts w:asciiTheme="majorHAnsi" w:hAnsiTheme="majorHAnsi"/>
          <w:sz w:val="18"/>
          <w:szCs w:val="18"/>
        </w:rPr>
        <w:t>.</w:t>
      </w:r>
    </w:p>
    <w:p w14:paraId="26EAF379" w14:textId="77777777" w:rsidR="001317D7" w:rsidRDefault="001317D7" w:rsidP="00361DEB">
      <w:pPr>
        <w:spacing w:after="0"/>
        <w:rPr>
          <w:rFonts w:asciiTheme="majorHAnsi" w:hAnsiTheme="majorHAnsi"/>
          <w:b/>
          <w:sz w:val="24"/>
          <w:szCs w:val="24"/>
        </w:rPr>
      </w:pPr>
    </w:p>
    <w:p w14:paraId="1E8B1F22" w14:textId="77777777" w:rsidR="00B16EC0" w:rsidRDefault="00B16EC0" w:rsidP="00361DEB">
      <w:pPr>
        <w:spacing w:after="0"/>
        <w:rPr>
          <w:rFonts w:asciiTheme="majorHAnsi" w:hAnsiTheme="majorHAnsi"/>
          <w:b/>
          <w:sz w:val="24"/>
          <w:szCs w:val="24"/>
        </w:rPr>
      </w:pPr>
    </w:p>
    <w:p w14:paraId="5A361B57" w14:textId="77777777" w:rsidR="001317D7" w:rsidRDefault="00361DEB" w:rsidP="001317D7">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AB6158">
        <w:rPr>
          <w:rFonts w:asciiTheme="majorHAnsi" w:hAnsiTheme="majorHAnsi"/>
          <w:b/>
          <w:sz w:val="24"/>
          <w:szCs w:val="24"/>
        </w:rPr>
        <w:t>4</w:t>
      </w:r>
      <w:r w:rsidRPr="00CA0391">
        <w:rPr>
          <w:rFonts w:asciiTheme="majorHAnsi" w:hAnsiTheme="majorHAnsi"/>
          <w:b/>
          <w:sz w:val="24"/>
          <w:szCs w:val="24"/>
        </w:rPr>
        <w:t xml:space="preserve">. </w:t>
      </w:r>
      <w:r w:rsidR="001317D7">
        <w:rPr>
          <w:rFonts w:asciiTheme="majorHAnsi" w:hAnsiTheme="majorHAnsi"/>
          <w:b/>
          <w:sz w:val="24"/>
          <w:szCs w:val="24"/>
        </w:rPr>
        <w:t>2017 Research Credit Claims by Industry</w:t>
      </w:r>
    </w:p>
    <w:tbl>
      <w:tblPr>
        <w:tblW w:w="9361" w:type="dxa"/>
        <w:jc w:val="center"/>
        <w:tblLayout w:type="fixed"/>
        <w:tblLook w:val="04A0" w:firstRow="1" w:lastRow="0" w:firstColumn="1" w:lastColumn="0" w:noHBand="0" w:noVBand="1"/>
      </w:tblPr>
      <w:tblGrid>
        <w:gridCol w:w="3137"/>
        <w:gridCol w:w="1178"/>
        <w:gridCol w:w="990"/>
        <w:gridCol w:w="900"/>
        <w:gridCol w:w="990"/>
        <w:gridCol w:w="1224"/>
        <w:gridCol w:w="942"/>
      </w:tblGrid>
      <w:tr w:rsidR="00323F74" w:rsidRPr="009E1C83" w14:paraId="6D2149E1" w14:textId="77777777" w:rsidTr="005D3BF7">
        <w:trPr>
          <w:trHeight w:val="20"/>
          <w:jc w:val="center"/>
        </w:trPr>
        <w:tc>
          <w:tcPr>
            <w:tcW w:w="31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8C3B716"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Industry</w:t>
            </w:r>
          </w:p>
        </w:tc>
        <w:tc>
          <w:tcPr>
            <w:tcW w:w="117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753C912"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1317D7">
              <w:rPr>
                <w:rFonts w:ascii="Cambria" w:eastAsia="Times New Roman" w:hAnsi="Cambria" w:cs="Helvetica"/>
                <w:color w:val="000000"/>
                <w:sz w:val="18"/>
                <w:szCs w:val="18"/>
                <w:lang w:eastAsia="ko-KR"/>
              </w:rPr>
              <w:t xml:space="preserve">Tax Liability after Credit </w:t>
            </w:r>
            <w:r w:rsidRPr="005D3BF7">
              <w:rPr>
                <w:rFonts w:ascii="Cambria" w:eastAsia="Times New Roman" w:hAnsi="Cambria" w:cs="Helvetica"/>
                <w:color w:val="000000"/>
                <w:sz w:val="18"/>
                <w:szCs w:val="18"/>
                <w:lang w:eastAsia="ko-KR"/>
              </w:rPr>
              <w:t xml:space="preserve">($000) </w:t>
            </w:r>
          </w:p>
        </w:tc>
        <w:tc>
          <w:tcPr>
            <w:tcW w:w="99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455779B"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 xml:space="preserve">Claimed Credit ($000) </w:t>
            </w:r>
          </w:p>
        </w:tc>
        <w:tc>
          <w:tcPr>
            <w:tcW w:w="9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DDA3465"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 xml:space="preserve">Shared Credit ($000) </w:t>
            </w:r>
          </w:p>
        </w:tc>
        <w:tc>
          <w:tcPr>
            <w:tcW w:w="99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71904A6"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Number of Claimants</w:t>
            </w:r>
          </w:p>
        </w:tc>
        <w:tc>
          <w:tcPr>
            <w:tcW w:w="1224"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5D414D1"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1317D7">
              <w:rPr>
                <w:rFonts w:ascii="Cambria" w:eastAsia="Times New Roman" w:hAnsi="Cambria" w:cs="Helvetica"/>
                <w:color w:val="000000"/>
                <w:sz w:val="18"/>
                <w:szCs w:val="18"/>
                <w:lang w:eastAsia="ko-KR"/>
              </w:rPr>
              <w:t>Percent of Total Number of Claimants</w:t>
            </w:r>
          </w:p>
        </w:tc>
        <w:tc>
          <w:tcPr>
            <w:tcW w:w="94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42F7ED3" w14:textId="77777777" w:rsidR="001317D7" w:rsidRPr="005D3BF7" w:rsidRDefault="001317D7" w:rsidP="009E1C83">
            <w:pPr>
              <w:spacing w:after="0" w:line="240" w:lineRule="auto"/>
              <w:jc w:val="center"/>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Tax Saving per Claimant ($)</w:t>
            </w:r>
          </w:p>
        </w:tc>
      </w:tr>
      <w:tr w:rsidR="00323F74" w:rsidRPr="009E1C83" w14:paraId="05CD5340"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311C25CA"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11 Agriculture, Forestry, Fishing and Hunting</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2835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FD5429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69B96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w:t>
            </w:r>
            <w:r w:rsidR="00323F74">
              <w:rPr>
                <w:rFonts w:ascii="Cambria" w:hAnsi="Cambria" w:cs="Helvetica"/>
                <w:sz w:val="18"/>
                <w:szCs w:val="18"/>
              </w:rPr>
              <w:t>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9FBB1D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5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57E248C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0.2%</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1F0E61D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$2,593</w:t>
            </w:r>
          </w:p>
        </w:tc>
      </w:tr>
      <w:tr w:rsidR="00323F74" w:rsidRPr="009E1C83" w14:paraId="52ED0847"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30FF6A4F"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22 Utilities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519E2B0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$293</w:t>
            </w:r>
          </w:p>
        </w:tc>
        <w:tc>
          <w:tcPr>
            <w:tcW w:w="990" w:type="dxa"/>
            <w:tcBorders>
              <w:top w:val="nil"/>
              <w:left w:val="nil"/>
              <w:bottom w:val="single" w:sz="4" w:space="0" w:color="auto"/>
              <w:right w:val="single" w:sz="4" w:space="0" w:color="auto"/>
            </w:tcBorders>
            <w:shd w:val="clear" w:color="auto" w:fill="auto"/>
            <w:vAlign w:val="center"/>
            <w:hideMark/>
          </w:tcPr>
          <w:p w14:paraId="3BE636B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$272</w:t>
            </w:r>
          </w:p>
        </w:tc>
        <w:tc>
          <w:tcPr>
            <w:tcW w:w="900" w:type="dxa"/>
            <w:tcBorders>
              <w:top w:val="nil"/>
              <w:left w:val="nil"/>
              <w:bottom w:val="single" w:sz="4" w:space="0" w:color="auto"/>
              <w:right w:val="single" w:sz="4" w:space="0" w:color="auto"/>
            </w:tcBorders>
            <w:shd w:val="clear" w:color="auto" w:fill="auto"/>
            <w:vAlign w:val="center"/>
            <w:hideMark/>
          </w:tcPr>
          <w:p w14:paraId="09CEC02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w:t>
            </w:r>
            <w:r w:rsidR="00323F74">
              <w:rPr>
                <w:rFonts w:ascii="Cambria" w:hAnsi="Cambria" w:cs="Helvetica"/>
                <w:sz w:val="18"/>
                <w:szCs w:val="18"/>
              </w:rPr>
              <w:t>0</w:t>
            </w:r>
          </w:p>
        </w:tc>
        <w:tc>
          <w:tcPr>
            <w:tcW w:w="990" w:type="dxa"/>
            <w:tcBorders>
              <w:top w:val="nil"/>
              <w:left w:val="nil"/>
              <w:bottom w:val="single" w:sz="4" w:space="0" w:color="auto"/>
              <w:right w:val="single" w:sz="4" w:space="0" w:color="auto"/>
            </w:tcBorders>
            <w:shd w:val="clear" w:color="auto" w:fill="auto"/>
            <w:vAlign w:val="center"/>
            <w:hideMark/>
          </w:tcPr>
          <w:p w14:paraId="5BAEB40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3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583CF67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0.1%</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35C7F41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$90,527</w:t>
            </w:r>
          </w:p>
        </w:tc>
      </w:tr>
      <w:tr w:rsidR="00323F74" w:rsidRPr="009E1C83" w14:paraId="6B885B2D"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6A635C6A"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23 Construction</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0DD396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$1,158</w:t>
            </w:r>
          </w:p>
        </w:tc>
        <w:tc>
          <w:tcPr>
            <w:tcW w:w="990" w:type="dxa"/>
            <w:tcBorders>
              <w:top w:val="nil"/>
              <w:left w:val="nil"/>
              <w:bottom w:val="single" w:sz="4" w:space="0" w:color="auto"/>
              <w:right w:val="single" w:sz="4" w:space="0" w:color="auto"/>
            </w:tcBorders>
            <w:shd w:val="clear" w:color="auto" w:fill="auto"/>
            <w:vAlign w:val="center"/>
            <w:hideMark/>
          </w:tcPr>
          <w:p w14:paraId="41F1128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$1,679</w:t>
            </w:r>
          </w:p>
        </w:tc>
        <w:tc>
          <w:tcPr>
            <w:tcW w:w="900" w:type="dxa"/>
            <w:tcBorders>
              <w:top w:val="nil"/>
              <w:left w:val="nil"/>
              <w:bottom w:val="single" w:sz="4" w:space="0" w:color="auto"/>
              <w:right w:val="single" w:sz="4" w:space="0" w:color="auto"/>
            </w:tcBorders>
            <w:shd w:val="clear" w:color="auto" w:fill="auto"/>
            <w:vAlign w:val="center"/>
            <w:hideMark/>
          </w:tcPr>
          <w:p w14:paraId="58603ED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$3</w:t>
            </w:r>
          </w:p>
        </w:tc>
        <w:tc>
          <w:tcPr>
            <w:tcW w:w="990" w:type="dxa"/>
            <w:tcBorders>
              <w:top w:val="nil"/>
              <w:left w:val="nil"/>
              <w:bottom w:val="single" w:sz="4" w:space="0" w:color="auto"/>
              <w:right w:val="single" w:sz="4" w:space="0" w:color="auto"/>
            </w:tcBorders>
            <w:shd w:val="clear" w:color="auto" w:fill="auto"/>
            <w:vAlign w:val="center"/>
            <w:hideMark/>
          </w:tcPr>
          <w:p w14:paraId="7F570708"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73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48B5AAB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2.1%</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7C628B5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$23,035</w:t>
            </w:r>
          </w:p>
        </w:tc>
      </w:tr>
      <w:tr w:rsidR="00323F74" w:rsidRPr="009E1C83" w14:paraId="7F83E5E1"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691EADC7"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31-33 Manufacturing</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58FDA2C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$55,381</w:t>
            </w:r>
          </w:p>
        </w:tc>
        <w:tc>
          <w:tcPr>
            <w:tcW w:w="990" w:type="dxa"/>
            <w:tcBorders>
              <w:top w:val="nil"/>
              <w:left w:val="nil"/>
              <w:bottom w:val="single" w:sz="4" w:space="0" w:color="auto"/>
              <w:right w:val="single" w:sz="4" w:space="0" w:color="auto"/>
            </w:tcBorders>
            <w:shd w:val="clear" w:color="auto" w:fill="auto"/>
            <w:vAlign w:val="center"/>
            <w:hideMark/>
          </w:tcPr>
          <w:p w14:paraId="155B87D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$58,792</w:t>
            </w:r>
          </w:p>
        </w:tc>
        <w:tc>
          <w:tcPr>
            <w:tcW w:w="900" w:type="dxa"/>
            <w:tcBorders>
              <w:top w:val="nil"/>
              <w:left w:val="nil"/>
              <w:bottom w:val="single" w:sz="4" w:space="0" w:color="auto"/>
              <w:right w:val="single" w:sz="4" w:space="0" w:color="auto"/>
            </w:tcBorders>
            <w:shd w:val="clear" w:color="auto" w:fill="auto"/>
            <w:vAlign w:val="center"/>
            <w:hideMark/>
          </w:tcPr>
          <w:p w14:paraId="7375FB4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$36,300</w:t>
            </w:r>
          </w:p>
        </w:tc>
        <w:tc>
          <w:tcPr>
            <w:tcW w:w="990" w:type="dxa"/>
            <w:tcBorders>
              <w:top w:val="nil"/>
              <w:left w:val="nil"/>
              <w:bottom w:val="single" w:sz="4" w:space="0" w:color="auto"/>
              <w:right w:val="single" w:sz="4" w:space="0" w:color="auto"/>
            </w:tcBorders>
            <w:shd w:val="clear" w:color="auto" w:fill="auto"/>
            <w:vAlign w:val="center"/>
            <w:hideMark/>
          </w:tcPr>
          <w:p w14:paraId="1035759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1,138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6DEBD39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33.1%</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0B20AC6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$83,561</w:t>
            </w:r>
          </w:p>
        </w:tc>
      </w:tr>
      <w:tr w:rsidR="00323F74" w:rsidRPr="009E1C83" w14:paraId="068806C3"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0216D47D"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42 Wholesale Trade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0E27AA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$7,878</w:t>
            </w:r>
          </w:p>
        </w:tc>
        <w:tc>
          <w:tcPr>
            <w:tcW w:w="990" w:type="dxa"/>
            <w:tcBorders>
              <w:top w:val="nil"/>
              <w:left w:val="nil"/>
              <w:bottom w:val="single" w:sz="4" w:space="0" w:color="auto"/>
              <w:right w:val="single" w:sz="4" w:space="0" w:color="auto"/>
            </w:tcBorders>
            <w:shd w:val="clear" w:color="auto" w:fill="auto"/>
            <w:vAlign w:val="center"/>
            <w:hideMark/>
          </w:tcPr>
          <w:p w14:paraId="4B8932B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$4,448</w:t>
            </w:r>
          </w:p>
        </w:tc>
        <w:tc>
          <w:tcPr>
            <w:tcW w:w="900" w:type="dxa"/>
            <w:tcBorders>
              <w:top w:val="nil"/>
              <w:left w:val="nil"/>
              <w:bottom w:val="single" w:sz="4" w:space="0" w:color="auto"/>
              <w:right w:val="single" w:sz="4" w:space="0" w:color="auto"/>
            </w:tcBorders>
            <w:shd w:val="clear" w:color="auto" w:fill="auto"/>
            <w:vAlign w:val="center"/>
            <w:hideMark/>
          </w:tcPr>
          <w:p w14:paraId="696A73BC"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$994</w:t>
            </w:r>
          </w:p>
        </w:tc>
        <w:tc>
          <w:tcPr>
            <w:tcW w:w="990" w:type="dxa"/>
            <w:tcBorders>
              <w:top w:val="nil"/>
              <w:left w:val="nil"/>
              <w:bottom w:val="single" w:sz="4" w:space="0" w:color="auto"/>
              <w:right w:val="single" w:sz="4" w:space="0" w:color="auto"/>
            </w:tcBorders>
            <w:shd w:val="clear" w:color="auto" w:fill="auto"/>
            <w:vAlign w:val="center"/>
            <w:hideMark/>
          </w:tcPr>
          <w:p w14:paraId="33E6DF6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110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3B15E9D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3.2%</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52B861A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$49,477</w:t>
            </w:r>
          </w:p>
        </w:tc>
      </w:tr>
      <w:tr w:rsidR="00323F74" w:rsidRPr="009E1C83" w14:paraId="4BC263D3"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2B78234F"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44-45 Retail Trade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3AEF579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$14,070</w:t>
            </w:r>
          </w:p>
        </w:tc>
        <w:tc>
          <w:tcPr>
            <w:tcW w:w="990" w:type="dxa"/>
            <w:tcBorders>
              <w:top w:val="nil"/>
              <w:left w:val="nil"/>
              <w:bottom w:val="single" w:sz="4" w:space="0" w:color="auto"/>
              <w:right w:val="single" w:sz="4" w:space="0" w:color="auto"/>
            </w:tcBorders>
            <w:shd w:val="clear" w:color="auto" w:fill="auto"/>
            <w:vAlign w:val="center"/>
            <w:hideMark/>
          </w:tcPr>
          <w:p w14:paraId="0AFFA65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$834</w:t>
            </w:r>
          </w:p>
        </w:tc>
        <w:tc>
          <w:tcPr>
            <w:tcW w:w="900" w:type="dxa"/>
            <w:tcBorders>
              <w:top w:val="nil"/>
              <w:left w:val="nil"/>
              <w:bottom w:val="single" w:sz="4" w:space="0" w:color="auto"/>
              <w:right w:val="single" w:sz="4" w:space="0" w:color="auto"/>
            </w:tcBorders>
            <w:shd w:val="clear" w:color="auto" w:fill="auto"/>
            <w:vAlign w:val="center"/>
            <w:hideMark/>
          </w:tcPr>
          <w:p w14:paraId="0C9D9F8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w:t>
            </w:r>
          </w:p>
        </w:tc>
        <w:tc>
          <w:tcPr>
            <w:tcW w:w="990" w:type="dxa"/>
            <w:tcBorders>
              <w:top w:val="nil"/>
              <w:left w:val="nil"/>
              <w:bottom w:val="single" w:sz="4" w:space="0" w:color="auto"/>
              <w:right w:val="single" w:sz="4" w:space="0" w:color="auto"/>
            </w:tcBorders>
            <w:shd w:val="clear" w:color="auto" w:fill="auto"/>
            <w:vAlign w:val="center"/>
            <w:hideMark/>
          </w:tcPr>
          <w:p w14:paraId="15FD561C"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37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32DD2AC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1.1%</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69BE7CB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$22,563</w:t>
            </w:r>
          </w:p>
        </w:tc>
      </w:tr>
      <w:tr w:rsidR="00323F74" w:rsidRPr="009E1C83" w14:paraId="1A38E0B1"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7B7C611A"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48-49 Transportation and Warehousing</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6DA61F4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$52</w:t>
            </w:r>
          </w:p>
        </w:tc>
        <w:tc>
          <w:tcPr>
            <w:tcW w:w="990" w:type="dxa"/>
            <w:tcBorders>
              <w:top w:val="nil"/>
              <w:left w:val="nil"/>
              <w:bottom w:val="single" w:sz="4" w:space="0" w:color="auto"/>
              <w:right w:val="single" w:sz="4" w:space="0" w:color="auto"/>
            </w:tcBorders>
            <w:shd w:val="clear" w:color="auto" w:fill="auto"/>
            <w:vAlign w:val="center"/>
            <w:hideMark/>
          </w:tcPr>
          <w:p w14:paraId="190AB1F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$101</w:t>
            </w:r>
          </w:p>
        </w:tc>
        <w:tc>
          <w:tcPr>
            <w:tcW w:w="900" w:type="dxa"/>
            <w:tcBorders>
              <w:top w:val="nil"/>
              <w:left w:val="nil"/>
              <w:bottom w:val="single" w:sz="4" w:space="0" w:color="auto"/>
              <w:right w:val="single" w:sz="4" w:space="0" w:color="auto"/>
            </w:tcBorders>
            <w:shd w:val="clear" w:color="auto" w:fill="auto"/>
            <w:vAlign w:val="center"/>
            <w:hideMark/>
          </w:tcPr>
          <w:p w14:paraId="4A5971F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$200</w:t>
            </w:r>
          </w:p>
        </w:tc>
        <w:tc>
          <w:tcPr>
            <w:tcW w:w="990" w:type="dxa"/>
            <w:tcBorders>
              <w:top w:val="nil"/>
              <w:left w:val="nil"/>
              <w:bottom w:val="single" w:sz="4" w:space="0" w:color="auto"/>
              <w:right w:val="single" w:sz="4" w:space="0" w:color="auto"/>
            </w:tcBorders>
            <w:shd w:val="clear" w:color="auto" w:fill="auto"/>
            <w:vAlign w:val="center"/>
            <w:hideMark/>
          </w:tcPr>
          <w:p w14:paraId="6475335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7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7F4090E9"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0.2%</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6B042CD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$43,040</w:t>
            </w:r>
          </w:p>
        </w:tc>
      </w:tr>
      <w:tr w:rsidR="00323F74" w:rsidRPr="009E1C83" w14:paraId="0D55102D"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13109CC7"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51 Information</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7F5B33C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$7,424</w:t>
            </w:r>
          </w:p>
        </w:tc>
        <w:tc>
          <w:tcPr>
            <w:tcW w:w="990" w:type="dxa"/>
            <w:tcBorders>
              <w:top w:val="nil"/>
              <w:left w:val="nil"/>
              <w:bottom w:val="single" w:sz="4" w:space="0" w:color="auto"/>
              <w:right w:val="single" w:sz="4" w:space="0" w:color="auto"/>
            </w:tcBorders>
            <w:shd w:val="clear" w:color="auto" w:fill="auto"/>
            <w:vAlign w:val="center"/>
            <w:hideMark/>
          </w:tcPr>
          <w:p w14:paraId="68DEC0B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$10,652</w:t>
            </w:r>
          </w:p>
        </w:tc>
        <w:tc>
          <w:tcPr>
            <w:tcW w:w="900" w:type="dxa"/>
            <w:tcBorders>
              <w:top w:val="nil"/>
              <w:left w:val="nil"/>
              <w:bottom w:val="single" w:sz="4" w:space="0" w:color="auto"/>
              <w:right w:val="single" w:sz="4" w:space="0" w:color="auto"/>
            </w:tcBorders>
            <w:shd w:val="clear" w:color="auto" w:fill="auto"/>
            <w:vAlign w:val="center"/>
            <w:hideMark/>
          </w:tcPr>
          <w:p w14:paraId="44953CAC"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$1,842</w:t>
            </w:r>
          </w:p>
        </w:tc>
        <w:tc>
          <w:tcPr>
            <w:tcW w:w="990" w:type="dxa"/>
            <w:tcBorders>
              <w:top w:val="nil"/>
              <w:left w:val="nil"/>
              <w:bottom w:val="single" w:sz="4" w:space="0" w:color="auto"/>
              <w:right w:val="single" w:sz="4" w:space="0" w:color="auto"/>
            </w:tcBorders>
            <w:shd w:val="clear" w:color="auto" w:fill="auto"/>
            <w:vAlign w:val="center"/>
            <w:hideMark/>
          </w:tcPr>
          <w:p w14:paraId="2C4571C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226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7F2B5461"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6.6%</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3C51131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$55,283</w:t>
            </w:r>
          </w:p>
        </w:tc>
      </w:tr>
      <w:tr w:rsidR="00323F74" w:rsidRPr="009E1C83" w14:paraId="48B3004E"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135A4D24"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52 Finance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A4E19C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$2,315</w:t>
            </w:r>
          </w:p>
        </w:tc>
        <w:tc>
          <w:tcPr>
            <w:tcW w:w="990" w:type="dxa"/>
            <w:tcBorders>
              <w:top w:val="nil"/>
              <w:left w:val="nil"/>
              <w:bottom w:val="single" w:sz="4" w:space="0" w:color="auto"/>
              <w:right w:val="single" w:sz="4" w:space="0" w:color="auto"/>
            </w:tcBorders>
            <w:shd w:val="clear" w:color="auto" w:fill="auto"/>
            <w:vAlign w:val="center"/>
            <w:hideMark/>
          </w:tcPr>
          <w:p w14:paraId="71407807"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$2,003</w:t>
            </w:r>
          </w:p>
        </w:tc>
        <w:tc>
          <w:tcPr>
            <w:tcW w:w="900" w:type="dxa"/>
            <w:tcBorders>
              <w:top w:val="nil"/>
              <w:left w:val="nil"/>
              <w:bottom w:val="single" w:sz="4" w:space="0" w:color="auto"/>
              <w:right w:val="single" w:sz="4" w:space="0" w:color="auto"/>
            </w:tcBorders>
            <w:shd w:val="clear" w:color="auto" w:fill="auto"/>
            <w:vAlign w:val="center"/>
            <w:hideMark/>
          </w:tcPr>
          <w:p w14:paraId="5149AB57"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$531</w:t>
            </w:r>
          </w:p>
        </w:tc>
        <w:tc>
          <w:tcPr>
            <w:tcW w:w="990" w:type="dxa"/>
            <w:tcBorders>
              <w:top w:val="nil"/>
              <w:left w:val="nil"/>
              <w:bottom w:val="single" w:sz="4" w:space="0" w:color="auto"/>
              <w:right w:val="single" w:sz="4" w:space="0" w:color="auto"/>
            </w:tcBorders>
            <w:shd w:val="clear" w:color="auto" w:fill="auto"/>
            <w:vAlign w:val="center"/>
            <w:hideMark/>
          </w:tcPr>
          <w:p w14:paraId="123EF9C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56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15003017"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1.6%</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4341A711"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$45,243</w:t>
            </w:r>
          </w:p>
        </w:tc>
      </w:tr>
      <w:tr w:rsidR="00323F74" w:rsidRPr="009E1C83" w14:paraId="6A7BAB06"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161F94F8"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53 Real Estate and Rental and Leasing</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54A29F6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$98</w:t>
            </w:r>
          </w:p>
        </w:tc>
        <w:tc>
          <w:tcPr>
            <w:tcW w:w="990" w:type="dxa"/>
            <w:tcBorders>
              <w:top w:val="nil"/>
              <w:left w:val="nil"/>
              <w:bottom w:val="single" w:sz="4" w:space="0" w:color="auto"/>
              <w:right w:val="single" w:sz="4" w:space="0" w:color="auto"/>
            </w:tcBorders>
            <w:shd w:val="clear" w:color="auto" w:fill="auto"/>
            <w:vAlign w:val="center"/>
            <w:hideMark/>
          </w:tcPr>
          <w:p w14:paraId="7DC9D375"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$4,653</w:t>
            </w:r>
          </w:p>
        </w:tc>
        <w:tc>
          <w:tcPr>
            <w:tcW w:w="900" w:type="dxa"/>
            <w:tcBorders>
              <w:top w:val="nil"/>
              <w:left w:val="nil"/>
              <w:bottom w:val="single" w:sz="4" w:space="0" w:color="auto"/>
              <w:right w:val="single" w:sz="4" w:space="0" w:color="auto"/>
            </w:tcBorders>
            <w:shd w:val="clear" w:color="auto" w:fill="auto"/>
            <w:vAlign w:val="center"/>
            <w:hideMark/>
          </w:tcPr>
          <w:p w14:paraId="42C233A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$442</w:t>
            </w:r>
          </w:p>
        </w:tc>
        <w:tc>
          <w:tcPr>
            <w:tcW w:w="990" w:type="dxa"/>
            <w:tcBorders>
              <w:top w:val="nil"/>
              <w:left w:val="nil"/>
              <w:bottom w:val="single" w:sz="4" w:space="0" w:color="auto"/>
              <w:right w:val="single" w:sz="4" w:space="0" w:color="auto"/>
            </w:tcBorders>
            <w:shd w:val="clear" w:color="auto" w:fill="auto"/>
            <w:vAlign w:val="center"/>
            <w:hideMark/>
          </w:tcPr>
          <w:p w14:paraId="2F455D9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26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13238F3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0.8%</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56392CE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$195,968</w:t>
            </w:r>
          </w:p>
        </w:tc>
      </w:tr>
      <w:tr w:rsidR="00323F74" w:rsidRPr="009E1C83" w14:paraId="36E54C6B"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255CE59D"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54 Professional, Scientific, and Technical Services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77E1891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$23,693</w:t>
            </w:r>
          </w:p>
        </w:tc>
        <w:tc>
          <w:tcPr>
            <w:tcW w:w="990" w:type="dxa"/>
            <w:tcBorders>
              <w:top w:val="nil"/>
              <w:left w:val="nil"/>
              <w:bottom w:val="single" w:sz="4" w:space="0" w:color="auto"/>
              <w:right w:val="single" w:sz="4" w:space="0" w:color="auto"/>
            </w:tcBorders>
            <w:shd w:val="clear" w:color="auto" w:fill="auto"/>
            <w:vAlign w:val="center"/>
            <w:hideMark/>
          </w:tcPr>
          <w:p w14:paraId="2255BF2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$25,234</w:t>
            </w:r>
          </w:p>
        </w:tc>
        <w:tc>
          <w:tcPr>
            <w:tcW w:w="900" w:type="dxa"/>
            <w:tcBorders>
              <w:top w:val="nil"/>
              <w:left w:val="nil"/>
              <w:bottom w:val="single" w:sz="4" w:space="0" w:color="auto"/>
              <w:right w:val="single" w:sz="4" w:space="0" w:color="auto"/>
            </w:tcBorders>
            <w:shd w:val="clear" w:color="auto" w:fill="auto"/>
            <w:vAlign w:val="center"/>
            <w:hideMark/>
          </w:tcPr>
          <w:p w14:paraId="4E94109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$5,541</w:t>
            </w:r>
          </w:p>
        </w:tc>
        <w:tc>
          <w:tcPr>
            <w:tcW w:w="990" w:type="dxa"/>
            <w:tcBorders>
              <w:top w:val="nil"/>
              <w:left w:val="nil"/>
              <w:bottom w:val="single" w:sz="4" w:space="0" w:color="auto"/>
              <w:right w:val="single" w:sz="4" w:space="0" w:color="auto"/>
            </w:tcBorders>
            <w:shd w:val="clear" w:color="auto" w:fill="auto"/>
            <w:vAlign w:val="center"/>
            <w:hideMark/>
          </w:tcPr>
          <w:p w14:paraId="214E4D2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1,200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53F1824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34.9%</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73203D87"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$25,646</w:t>
            </w:r>
          </w:p>
        </w:tc>
      </w:tr>
      <w:tr w:rsidR="00323F74" w:rsidRPr="009E1C83" w14:paraId="03753143"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15B17FC3"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55 Management of Companies and Enterprises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557F1BF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$9,128</w:t>
            </w:r>
          </w:p>
        </w:tc>
        <w:tc>
          <w:tcPr>
            <w:tcW w:w="990" w:type="dxa"/>
            <w:tcBorders>
              <w:top w:val="nil"/>
              <w:left w:val="nil"/>
              <w:bottom w:val="single" w:sz="4" w:space="0" w:color="auto"/>
              <w:right w:val="single" w:sz="4" w:space="0" w:color="auto"/>
            </w:tcBorders>
            <w:shd w:val="clear" w:color="auto" w:fill="auto"/>
            <w:vAlign w:val="center"/>
            <w:hideMark/>
          </w:tcPr>
          <w:p w14:paraId="0861323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$17,149</w:t>
            </w:r>
          </w:p>
        </w:tc>
        <w:tc>
          <w:tcPr>
            <w:tcW w:w="900" w:type="dxa"/>
            <w:tcBorders>
              <w:top w:val="nil"/>
              <w:left w:val="nil"/>
              <w:bottom w:val="single" w:sz="4" w:space="0" w:color="auto"/>
              <w:right w:val="single" w:sz="4" w:space="0" w:color="auto"/>
            </w:tcBorders>
            <w:shd w:val="clear" w:color="auto" w:fill="auto"/>
            <w:vAlign w:val="center"/>
            <w:hideMark/>
          </w:tcPr>
          <w:p w14:paraId="13D147F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$1,323</w:t>
            </w:r>
          </w:p>
        </w:tc>
        <w:tc>
          <w:tcPr>
            <w:tcW w:w="990" w:type="dxa"/>
            <w:tcBorders>
              <w:top w:val="nil"/>
              <w:left w:val="nil"/>
              <w:bottom w:val="single" w:sz="4" w:space="0" w:color="auto"/>
              <w:right w:val="single" w:sz="4" w:space="0" w:color="auto"/>
            </w:tcBorders>
            <w:shd w:val="clear" w:color="auto" w:fill="auto"/>
            <w:vAlign w:val="center"/>
            <w:hideMark/>
          </w:tcPr>
          <w:p w14:paraId="5EC3C27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143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17079431"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4.2%</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18CCCA2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$129,175</w:t>
            </w:r>
          </w:p>
        </w:tc>
      </w:tr>
      <w:tr w:rsidR="00323F74" w:rsidRPr="009E1C83" w14:paraId="0B1C6205"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41EF960E"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56 Administrative and Support and Waste Management and Remediation Services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1F5C723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$1,134</w:t>
            </w:r>
          </w:p>
        </w:tc>
        <w:tc>
          <w:tcPr>
            <w:tcW w:w="990" w:type="dxa"/>
            <w:tcBorders>
              <w:top w:val="nil"/>
              <w:left w:val="nil"/>
              <w:bottom w:val="single" w:sz="4" w:space="0" w:color="auto"/>
              <w:right w:val="single" w:sz="4" w:space="0" w:color="auto"/>
            </w:tcBorders>
            <w:shd w:val="clear" w:color="auto" w:fill="auto"/>
            <w:vAlign w:val="center"/>
            <w:hideMark/>
          </w:tcPr>
          <w:p w14:paraId="3895E39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$1,571</w:t>
            </w:r>
          </w:p>
        </w:tc>
        <w:tc>
          <w:tcPr>
            <w:tcW w:w="900" w:type="dxa"/>
            <w:tcBorders>
              <w:top w:val="nil"/>
              <w:left w:val="nil"/>
              <w:bottom w:val="single" w:sz="4" w:space="0" w:color="auto"/>
              <w:right w:val="single" w:sz="4" w:space="0" w:color="auto"/>
            </w:tcBorders>
            <w:shd w:val="clear" w:color="auto" w:fill="auto"/>
            <w:vAlign w:val="center"/>
            <w:hideMark/>
          </w:tcPr>
          <w:p w14:paraId="69483818"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$183</w:t>
            </w:r>
          </w:p>
        </w:tc>
        <w:tc>
          <w:tcPr>
            <w:tcW w:w="990" w:type="dxa"/>
            <w:tcBorders>
              <w:top w:val="nil"/>
              <w:left w:val="nil"/>
              <w:bottom w:val="single" w:sz="4" w:space="0" w:color="auto"/>
              <w:right w:val="single" w:sz="4" w:space="0" w:color="auto"/>
            </w:tcBorders>
            <w:shd w:val="clear" w:color="auto" w:fill="auto"/>
            <w:vAlign w:val="center"/>
            <w:hideMark/>
          </w:tcPr>
          <w:p w14:paraId="129CEBA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35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290A287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1.0%</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05BEFDD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$50,118</w:t>
            </w:r>
          </w:p>
        </w:tc>
      </w:tr>
      <w:tr w:rsidR="00323F74" w:rsidRPr="009E1C83" w14:paraId="2E7EAD41"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5AE90F8A"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lastRenderedPageBreak/>
              <w:t>61 Educational Services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3A06040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$366</w:t>
            </w:r>
          </w:p>
        </w:tc>
        <w:tc>
          <w:tcPr>
            <w:tcW w:w="990" w:type="dxa"/>
            <w:tcBorders>
              <w:top w:val="nil"/>
              <w:left w:val="nil"/>
              <w:bottom w:val="single" w:sz="4" w:space="0" w:color="auto"/>
              <w:right w:val="single" w:sz="4" w:space="0" w:color="auto"/>
            </w:tcBorders>
            <w:shd w:val="clear" w:color="auto" w:fill="auto"/>
            <w:vAlign w:val="center"/>
            <w:hideMark/>
          </w:tcPr>
          <w:p w14:paraId="13D5C47C"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$79</w:t>
            </w:r>
          </w:p>
        </w:tc>
        <w:tc>
          <w:tcPr>
            <w:tcW w:w="900" w:type="dxa"/>
            <w:tcBorders>
              <w:top w:val="nil"/>
              <w:left w:val="nil"/>
              <w:bottom w:val="single" w:sz="4" w:space="0" w:color="auto"/>
              <w:right w:val="single" w:sz="4" w:space="0" w:color="auto"/>
            </w:tcBorders>
            <w:shd w:val="clear" w:color="auto" w:fill="auto"/>
            <w:vAlign w:val="center"/>
            <w:hideMark/>
          </w:tcPr>
          <w:p w14:paraId="0ADF7C27"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w:t>
            </w:r>
            <w:r w:rsidR="00323F74">
              <w:rPr>
                <w:rFonts w:ascii="Cambria" w:hAnsi="Cambria" w:cs="Helvetica"/>
                <w:sz w:val="18"/>
                <w:szCs w:val="18"/>
              </w:rPr>
              <w:t>0</w:t>
            </w:r>
          </w:p>
        </w:tc>
        <w:tc>
          <w:tcPr>
            <w:tcW w:w="990" w:type="dxa"/>
            <w:tcBorders>
              <w:top w:val="nil"/>
              <w:left w:val="nil"/>
              <w:bottom w:val="single" w:sz="4" w:space="0" w:color="auto"/>
              <w:right w:val="single" w:sz="4" w:space="0" w:color="auto"/>
            </w:tcBorders>
            <w:shd w:val="clear" w:color="auto" w:fill="auto"/>
            <w:vAlign w:val="center"/>
            <w:hideMark/>
          </w:tcPr>
          <w:p w14:paraId="3AAA930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10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3CD62EA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0.3%</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7FC7C93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$7,887</w:t>
            </w:r>
          </w:p>
        </w:tc>
      </w:tr>
      <w:tr w:rsidR="00323F74" w:rsidRPr="009E1C83" w14:paraId="4119D573"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4CC956AD"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62 Health Care and Social Assistance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630F104C"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$60</w:t>
            </w:r>
          </w:p>
        </w:tc>
        <w:tc>
          <w:tcPr>
            <w:tcW w:w="990" w:type="dxa"/>
            <w:tcBorders>
              <w:top w:val="nil"/>
              <w:left w:val="nil"/>
              <w:bottom w:val="single" w:sz="4" w:space="0" w:color="auto"/>
              <w:right w:val="single" w:sz="4" w:space="0" w:color="auto"/>
            </w:tcBorders>
            <w:shd w:val="clear" w:color="auto" w:fill="auto"/>
            <w:vAlign w:val="center"/>
            <w:hideMark/>
          </w:tcPr>
          <w:p w14:paraId="53F1319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$1,095</w:t>
            </w:r>
          </w:p>
        </w:tc>
        <w:tc>
          <w:tcPr>
            <w:tcW w:w="900" w:type="dxa"/>
            <w:tcBorders>
              <w:top w:val="nil"/>
              <w:left w:val="nil"/>
              <w:bottom w:val="single" w:sz="4" w:space="0" w:color="auto"/>
              <w:right w:val="single" w:sz="4" w:space="0" w:color="auto"/>
            </w:tcBorders>
            <w:shd w:val="clear" w:color="auto" w:fill="auto"/>
            <w:vAlign w:val="center"/>
            <w:hideMark/>
          </w:tcPr>
          <w:p w14:paraId="6707481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$538</w:t>
            </w:r>
          </w:p>
        </w:tc>
        <w:tc>
          <w:tcPr>
            <w:tcW w:w="990" w:type="dxa"/>
            <w:tcBorders>
              <w:top w:val="nil"/>
              <w:left w:val="nil"/>
              <w:bottom w:val="single" w:sz="4" w:space="0" w:color="auto"/>
              <w:right w:val="single" w:sz="4" w:space="0" w:color="auto"/>
            </w:tcBorders>
            <w:shd w:val="clear" w:color="auto" w:fill="auto"/>
            <w:vAlign w:val="center"/>
            <w:hideMark/>
          </w:tcPr>
          <w:p w14:paraId="1D666278"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40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7BDC5894"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1.2%</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4F3F0E71"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$40,816</w:t>
            </w:r>
          </w:p>
        </w:tc>
      </w:tr>
      <w:tr w:rsidR="00323F74" w:rsidRPr="009E1C83" w14:paraId="4EEB3770"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171E72CC"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71 Arts, Entertainment, and Recreation</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626C3A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w:t>
            </w:r>
          </w:p>
        </w:tc>
        <w:tc>
          <w:tcPr>
            <w:tcW w:w="990" w:type="dxa"/>
            <w:tcBorders>
              <w:top w:val="nil"/>
              <w:left w:val="nil"/>
              <w:bottom w:val="single" w:sz="4" w:space="0" w:color="auto"/>
              <w:right w:val="single" w:sz="4" w:space="0" w:color="auto"/>
            </w:tcBorders>
            <w:shd w:val="clear" w:color="auto" w:fill="auto"/>
            <w:vAlign w:val="center"/>
            <w:hideMark/>
          </w:tcPr>
          <w:p w14:paraId="182D3C82"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14:paraId="1A770259"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$22</w:t>
            </w:r>
          </w:p>
        </w:tc>
        <w:tc>
          <w:tcPr>
            <w:tcW w:w="990" w:type="dxa"/>
            <w:tcBorders>
              <w:top w:val="nil"/>
              <w:left w:val="nil"/>
              <w:bottom w:val="single" w:sz="4" w:space="0" w:color="auto"/>
              <w:right w:val="single" w:sz="4" w:space="0" w:color="auto"/>
            </w:tcBorders>
            <w:shd w:val="clear" w:color="auto" w:fill="auto"/>
            <w:vAlign w:val="center"/>
            <w:hideMark/>
          </w:tcPr>
          <w:p w14:paraId="62A1CFD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3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74B0790C"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0.1%</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3120B5C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$14,852</w:t>
            </w:r>
          </w:p>
        </w:tc>
      </w:tr>
      <w:tr w:rsidR="00323F74" w:rsidRPr="009E1C83" w14:paraId="5E2A9CD0"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30BAA5D8"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72 Accommodation and Food Services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379275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$53</w:t>
            </w:r>
          </w:p>
        </w:tc>
        <w:tc>
          <w:tcPr>
            <w:tcW w:w="990" w:type="dxa"/>
            <w:tcBorders>
              <w:top w:val="nil"/>
              <w:left w:val="nil"/>
              <w:bottom w:val="single" w:sz="4" w:space="0" w:color="auto"/>
              <w:right w:val="single" w:sz="4" w:space="0" w:color="auto"/>
            </w:tcBorders>
            <w:shd w:val="clear" w:color="auto" w:fill="auto"/>
            <w:vAlign w:val="center"/>
            <w:hideMark/>
          </w:tcPr>
          <w:p w14:paraId="59E7D0BB"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$9</w:t>
            </w:r>
          </w:p>
        </w:tc>
        <w:tc>
          <w:tcPr>
            <w:tcW w:w="900" w:type="dxa"/>
            <w:tcBorders>
              <w:top w:val="nil"/>
              <w:left w:val="nil"/>
              <w:bottom w:val="single" w:sz="4" w:space="0" w:color="auto"/>
              <w:right w:val="single" w:sz="4" w:space="0" w:color="auto"/>
            </w:tcBorders>
            <w:shd w:val="clear" w:color="auto" w:fill="auto"/>
            <w:vAlign w:val="center"/>
            <w:hideMark/>
          </w:tcPr>
          <w:p w14:paraId="2D3F8DB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w:t>
            </w:r>
            <w:r w:rsidR="00323F74">
              <w:rPr>
                <w:rFonts w:ascii="Cambria" w:hAnsi="Cambria" w:cs="Helvetica"/>
                <w:sz w:val="18"/>
                <w:szCs w:val="18"/>
              </w:rPr>
              <w:t>0</w:t>
            </w:r>
          </w:p>
        </w:tc>
        <w:tc>
          <w:tcPr>
            <w:tcW w:w="990" w:type="dxa"/>
            <w:tcBorders>
              <w:top w:val="nil"/>
              <w:left w:val="nil"/>
              <w:bottom w:val="single" w:sz="4" w:space="0" w:color="auto"/>
              <w:right w:val="single" w:sz="4" w:space="0" w:color="auto"/>
            </w:tcBorders>
            <w:shd w:val="clear" w:color="auto" w:fill="auto"/>
            <w:vAlign w:val="center"/>
            <w:hideMark/>
          </w:tcPr>
          <w:p w14:paraId="7A2D9CD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4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42E7F19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0.1%</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572C6BA6"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$2,144</w:t>
            </w:r>
          </w:p>
        </w:tc>
      </w:tr>
      <w:tr w:rsidR="00323F74" w:rsidRPr="009E1C83" w14:paraId="7AB148C9"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23CECBC7"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81 Other Services (except Public Administration)</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F6C6091"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$191</w:t>
            </w:r>
          </w:p>
        </w:tc>
        <w:tc>
          <w:tcPr>
            <w:tcW w:w="990" w:type="dxa"/>
            <w:tcBorders>
              <w:top w:val="nil"/>
              <w:left w:val="nil"/>
              <w:bottom w:val="single" w:sz="4" w:space="0" w:color="auto"/>
              <w:right w:val="single" w:sz="4" w:space="0" w:color="auto"/>
            </w:tcBorders>
            <w:shd w:val="clear" w:color="auto" w:fill="auto"/>
            <w:vAlign w:val="center"/>
            <w:hideMark/>
          </w:tcPr>
          <w:p w14:paraId="0BC17B4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$316</w:t>
            </w:r>
          </w:p>
        </w:tc>
        <w:tc>
          <w:tcPr>
            <w:tcW w:w="900" w:type="dxa"/>
            <w:tcBorders>
              <w:top w:val="nil"/>
              <w:left w:val="nil"/>
              <w:bottom w:val="single" w:sz="4" w:space="0" w:color="auto"/>
              <w:right w:val="single" w:sz="4" w:space="0" w:color="auto"/>
            </w:tcBorders>
            <w:shd w:val="clear" w:color="auto" w:fill="auto"/>
            <w:vAlign w:val="center"/>
            <w:hideMark/>
          </w:tcPr>
          <w:p w14:paraId="18A271F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$3</w:t>
            </w:r>
          </w:p>
        </w:tc>
        <w:tc>
          <w:tcPr>
            <w:tcW w:w="990" w:type="dxa"/>
            <w:tcBorders>
              <w:top w:val="nil"/>
              <w:left w:val="nil"/>
              <w:bottom w:val="single" w:sz="4" w:space="0" w:color="auto"/>
              <w:right w:val="single" w:sz="4" w:space="0" w:color="auto"/>
            </w:tcBorders>
            <w:shd w:val="clear" w:color="auto" w:fill="auto"/>
            <w:vAlign w:val="center"/>
            <w:hideMark/>
          </w:tcPr>
          <w:p w14:paraId="2AFBB6A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16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159BD46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0.5%</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163141AD"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$19,977</w:t>
            </w:r>
          </w:p>
        </w:tc>
      </w:tr>
      <w:tr w:rsidR="00323F74" w:rsidRPr="009E1C83" w14:paraId="551BB7C0"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7E423709"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Unmatched* or others</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D464363"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$6,629</w:t>
            </w:r>
          </w:p>
        </w:tc>
        <w:tc>
          <w:tcPr>
            <w:tcW w:w="990" w:type="dxa"/>
            <w:tcBorders>
              <w:top w:val="nil"/>
              <w:left w:val="nil"/>
              <w:bottom w:val="single" w:sz="4" w:space="0" w:color="auto"/>
              <w:right w:val="single" w:sz="4" w:space="0" w:color="auto"/>
            </w:tcBorders>
            <w:shd w:val="clear" w:color="auto" w:fill="auto"/>
            <w:vAlign w:val="center"/>
            <w:hideMark/>
          </w:tcPr>
          <w:p w14:paraId="1B941531"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$49,676</w:t>
            </w:r>
          </w:p>
        </w:tc>
        <w:tc>
          <w:tcPr>
            <w:tcW w:w="900" w:type="dxa"/>
            <w:tcBorders>
              <w:top w:val="nil"/>
              <w:left w:val="nil"/>
              <w:bottom w:val="single" w:sz="4" w:space="0" w:color="auto"/>
              <w:right w:val="single" w:sz="4" w:space="0" w:color="auto"/>
            </w:tcBorders>
            <w:shd w:val="clear" w:color="auto" w:fill="auto"/>
            <w:vAlign w:val="center"/>
            <w:hideMark/>
          </w:tcPr>
          <w:p w14:paraId="1AFDC5A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$15,974</w:t>
            </w:r>
          </w:p>
        </w:tc>
        <w:tc>
          <w:tcPr>
            <w:tcW w:w="990" w:type="dxa"/>
            <w:tcBorders>
              <w:top w:val="nil"/>
              <w:left w:val="nil"/>
              <w:bottom w:val="single" w:sz="4" w:space="0" w:color="auto"/>
              <w:right w:val="single" w:sz="4" w:space="0" w:color="auto"/>
            </w:tcBorders>
            <w:shd w:val="clear" w:color="auto" w:fill="auto"/>
            <w:vAlign w:val="center"/>
            <w:hideMark/>
          </w:tcPr>
          <w:p w14:paraId="149565A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308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4268748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9.0%</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3C4C45B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$213,151</w:t>
            </w:r>
          </w:p>
        </w:tc>
      </w:tr>
      <w:tr w:rsidR="00323F74" w:rsidRPr="009E1C83" w14:paraId="5113FC2B" w14:textId="77777777" w:rsidTr="005D3BF7">
        <w:trPr>
          <w:trHeight w:val="20"/>
          <w:jc w:val="center"/>
        </w:trPr>
        <w:tc>
          <w:tcPr>
            <w:tcW w:w="3137" w:type="dxa"/>
            <w:tcBorders>
              <w:top w:val="nil"/>
              <w:left w:val="single" w:sz="4" w:space="0" w:color="auto"/>
              <w:bottom w:val="single" w:sz="4" w:space="0" w:color="auto"/>
              <w:right w:val="single" w:sz="4" w:space="0" w:color="auto"/>
            </w:tcBorders>
            <w:shd w:val="clear" w:color="auto" w:fill="auto"/>
            <w:vAlign w:val="center"/>
            <w:hideMark/>
          </w:tcPr>
          <w:p w14:paraId="23653005" w14:textId="77777777" w:rsidR="001317D7" w:rsidRPr="005D3BF7" w:rsidRDefault="001317D7" w:rsidP="005D3BF7">
            <w:pPr>
              <w:spacing w:after="0" w:line="240" w:lineRule="auto"/>
              <w:rPr>
                <w:rFonts w:ascii="Cambria" w:eastAsia="Times New Roman" w:hAnsi="Cambria" w:cs="Helvetica"/>
                <w:color w:val="000000"/>
                <w:sz w:val="18"/>
                <w:szCs w:val="18"/>
                <w:lang w:eastAsia="ko-KR"/>
              </w:rPr>
            </w:pPr>
            <w:r w:rsidRPr="005D3BF7">
              <w:rPr>
                <w:rFonts w:ascii="Cambria" w:eastAsia="Times New Roman" w:hAnsi="Cambria" w:cs="Helvetica"/>
                <w:color w:val="000000"/>
                <w:sz w:val="18"/>
                <w:szCs w:val="18"/>
                <w:lang w:eastAsia="ko-KR"/>
              </w:rPr>
              <w:t>Total or average</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7BEFFF89"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$129,924</w:t>
            </w:r>
          </w:p>
        </w:tc>
        <w:tc>
          <w:tcPr>
            <w:tcW w:w="990" w:type="dxa"/>
            <w:tcBorders>
              <w:top w:val="nil"/>
              <w:left w:val="nil"/>
              <w:bottom w:val="single" w:sz="4" w:space="0" w:color="auto"/>
              <w:right w:val="single" w:sz="4" w:space="0" w:color="auto"/>
            </w:tcBorders>
            <w:shd w:val="clear" w:color="auto" w:fill="auto"/>
            <w:vAlign w:val="center"/>
            <w:hideMark/>
          </w:tcPr>
          <w:p w14:paraId="412B352A"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$178,598</w:t>
            </w:r>
          </w:p>
        </w:tc>
        <w:tc>
          <w:tcPr>
            <w:tcW w:w="900" w:type="dxa"/>
            <w:tcBorders>
              <w:top w:val="nil"/>
              <w:left w:val="nil"/>
              <w:bottom w:val="single" w:sz="4" w:space="0" w:color="auto"/>
              <w:right w:val="single" w:sz="4" w:space="0" w:color="auto"/>
            </w:tcBorders>
            <w:shd w:val="clear" w:color="auto" w:fill="auto"/>
            <w:vAlign w:val="center"/>
            <w:hideMark/>
          </w:tcPr>
          <w:p w14:paraId="31A3529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$63,897</w:t>
            </w:r>
          </w:p>
        </w:tc>
        <w:tc>
          <w:tcPr>
            <w:tcW w:w="990" w:type="dxa"/>
            <w:tcBorders>
              <w:top w:val="nil"/>
              <w:left w:val="nil"/>
              <w:bottom w:val="single" w:sz="4" w:space="0" w:color="auto"/>
              <w:right w:val="single" w:sz="4" w:space="0" w:color="auto"/>
            </w:tcBorders>
            <w:shd w:val="clear" w:color="auto" w:fill="auto"/>
            <w:vAlign w:val="center"/>
            <w:hideMark/>
          </w:tcPr>
          <w:p w14:paraId="61A54060"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 xml:space="preserve">        3,440 </w:t>
            </w:r>
          </w:p>
        </w:tc>
        <w:tc>
          <w:tcPr>
            <w:tcW w:w="1224" w:type="dxa"/>
            <w:tcBorders>
              <w:top w:val="single" w:sz="4" w:space="0" w:color="auto"/>
              <w:left w:val="nil"/>
              <w:bottom w:val="single" w:sz="4" w:space="0" w:color="auto"/>
              <w:right w:val="single" w:sz="4" w:space="0" w:color="auto"/>
            </w:tcBorders>
            <w:shd w:val="clear" w:color="000000" w:fill="auto"/>
            <w:vAlign w:val="center"/>
            <w:hideMark/>
          </w:tcPr>
          <w:p w14:paraId="1BA39FEF"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color w:val="000000"/>
                <w:sz w:val="18"/>
                <w:szCs w:val="18"/>
              </w:rPr>
              <w:t>100.0%</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6F3B4D5E" w14:textId="77777777" w:rsidR="001317D7" w:rsidRPr="005D3BF7" w:rsidRDefault="001317D7" w:rsidP="006F0611">
            <w:pPr>
              <w:spacing w:after="0" w:line="240" w:lineRule="auto"/>
              <w:jc w:val="center"/>
              <w:rPr>
                <w:rFonts w:ascii="Cambria" w:eastAsia="Times New Roman" w:hAnsi="Cambria" w:cs="Helvetica"/>
                <w:color w:val="000000"/>
                <w:sz w:val="18"/>
                <w:szCs w:val="18"/>
                <w:lang w:eastAsia="ko-KR"/>
              </w:rPr>
            </w:pPr>
            <w:r w:rsidRPr="005D3BF7">
              <w:rPr>
                <w:rFonts w:ascii="Cambria" w:hAnsi="Cambria" w:cs="Helvetica"/>
                <w:sz w:val="18"/>
                <w:szCs w:val="18"/>
              </w:rPr>
              <w:t>$70,493</w:t>
            </w:r>
          </w:p>
        </w:tc>
      </w:tr>
    </w:tbl>
    <w:p w14:paraId="06BDE28E" w14:textId="77777777" w:rsidR="00E00515" w:rsidRPr="005D3BF7" w:rsidRDefault="00E00515" w:rsidP="00E00515">
      <w:pPr>
        <w:tabs>
          <w:tab w:val="left" w:pos="7050"/>
        </w:tabs>
        <w:spacing w:after="0"/>
        <w:rPr>
          <w:rFonts w:asciiTheme="majorHAnsi" w:hAnsiTheme="majorHAnsi"/>
          <w:b/>
          <w:sz w:val="18"/>
          <w:szCs w:val="18"/>
        </w:rPr>
      </w:pPr>
      <w:r w:rsidRPr="005D3BF7">
        <w:rPr>
          <w:rFonts w:asciiTheme="majorHAnsi" w:eastAsiaTheme="majorEastAsia" w:hAnsiTheme="majorHAnsi" w:cstheme="majorBidi"/>
          <w:bCs/>
          <w:color w:val="000000" w:themeColor="text1"/>
          <w:sz w:val="18"/>
          <w:szCs w:val="18"/>
        </w:rPr>
        <w:t>Source: Department of Revenue (2017</w:t>
      </w:r>
      <w:r w:rsidR="00483BC5" w:rsidRPr="005D3BF7">
        <w:rPr>
          <w:rFonts w:asciiTheme="majorHAnsi" w:eastAsiaTheme="majorEastAsia" w:hAnsiTheme="majorHAnsi" w:cstheme="majorBidi"/>
          <w:bCs/>
          <w:color w:val="000000" w:themeColor="text1"/>
          <w:sz w:val="18"/>
          <w:szCs w:val="18"/>
        </w:rPr>
        <w:t xml:space="preserve"> </w:t>
      </w:r>
      <w:r w:rsidR="00F15894">
        <w:rPr>
          <w:rFonts w:asciiTheme="majorHAnsi" w:eastAsiaTheme="majorEastAsia" w:hAnsiTheme="majorHAnsi" w:cstheme="majorBidi"/>
          <w:bCs/>
          <w:color w:val="000000" w:themeColor="text1"/>
          <w:sz w:val="18"/>
          <w:szCs w:val="18"/>
        </w:rPr>
        <w:t>corporate excise</w:t>
      </w:r>
      <w:r w:rsidR="00483BC5" w:rsidRPr="005D3BF7">
        <w:rPr>
          <w:rFonts w:asciiTheme="majorHAnsi" w:eastAsiaTheme="majorEastAsia" w:hAnsiTheme="majorHAnsi" w:cstheme="majorBidi"/>
          <w:bCs/>
          <w:color w:val="000000" w:themeColor="text1"/>
          <w:sz w:val="18"/>
          <w:szCs w:val="18"/>
        </w:rPr>
        <w:t xml:space="preserve"> return</w:t>
      </w:r>
      <w:r w:rsidR="002E3116">
        <w:rPr>
          <w:rFonts w:asciiTheme="majorHAnsi" w:eastAsiaTheme="majorEastAsia" w:hAnsiTheme="majorHAnsi" w:cstheme="majorBidi"/>
          <w:bCs/>
          <w:color w:val="000000" w:themeColor="text1"/>
          <w:sz w:val="18"/>
          <w:szCs w:val="18"/>
        </w:rPr>
        <w:t>s</w:t>
      </w:r>
      <w:r w:rsidRPr="005D3BF7">
        <w:rPr>
          <w:rFonts w:asciiTheme="majorHAnsi" w:eastAsiaTheme="majorEastAsia" w:hAnsiTheme="majorHAnsi" w:cstheme="majorBidi"/>
          <w:bCs/>
          <w:color w:val="000000" w:themeColor="text1"/>
          <w:sz w:val="18"/>
          <w:szCs w:val="18"/>
        </w:rPr>
        <w:t>)</w:t>
      </w:r>
    </w:p>
    <w:p w14:paraId="3DA90866" w14:textId="54232807" w:rsidR="00C7114C" w:rsidRDefault="00E00515" w:rsidP="00291074">
      <w:pPr>
        <w:tabs>
          <w:tab w:val="left" w:pos="7050"/>
        </w:tabs>
        <w:spacing w:after="0"/>
        <w:rPr>
          <w:rFonts w:asciiTheme="majorHAnsi" w:eastAsiaTheme="majorEastAsia" w:hAnsiTheme="majorHAnsi" w:cstheme="majorBidi"/>
          <w:bCs/>
          <w:color w:val="000000" w:themeColor="text1"/>
          <w:sz w:val="18"/>
          <w:szCs w:val="18"/>
        </w:rPr>
      </w:pPr>
      <w:r w:rsidRPr="005D3BF7">
        <w:rPr>
          <w:rFonts w:asciiTheme="majorHAnsi" w:eastAsiaTheme="majorEastAsia" w:hAnsiTheme="majorHAnsi" w:cstheme="majorBidi"/>
          <w:bCs/>
          <w:color w:val="000000" w:themeColor="text1"/>
          <w:sz w:val="18"/>
          <w:szCs w:val="18"/>
        </w:rPr>
        <w:t>Note</w:t>
      </w:r>
      <w:r w:rsidR="00071DD0" w:rsidRPr="005D3BF7">
        <w:rPr>
          <w:rFonts w:asciiTheme="majorHAnsi" w:eastAsiaTheme="majorEastAsia" w:hAnsiTheme="majorHAnsi" w:cstheme="majorBidi"/>
          <w:bCs/>
          <w:color w:val="000000" w:themeColor="text1"/>
          <w:sz w:val="18"/>
          <w:szCs w:val="18"/>
        </w:rPr>
        <w:t>s</w:t>
      </w:r>
      <w:r w:rsidRPr="005D3BF7">
        <w:rPr>
          <w:rFonts w:asciiTheme="majorHAnsi" w:eastAsiaTheme="majorEastAsia" w:hAnsiTheme="majorHAnsi" w:cstheme="majorBidi"/>
          <w:bCs/>
          <w:color w:val="000000" w:themeColor="text1"/>
          <w:sz w:val="18"/>
          <w:szCs w:val="18"/>
        </w:rPr>
        <w:t xml:space="preserve">: </w:t>
      </w:r>
      <w:r w:rsidR="00071DD0" w:rsidRPr="005D3BF7">
        <w:rPr>
          <w:rFonts w:asciiTheme="majorHAnsi" w:eastAsiaTheme="majorEastAsia" w:hAnsiTheme="majorHAnsi" w:cstheme="majorBidi"/>
          <w:bCs/>
          <w:color w:val="000000" w:themeColor="text1"/>
          <w:sz w:val="18"/>
          <w:szCs w:val="18"/>
        </w:rPr>
        <w:t xml:space="preserve">1. </w:t>
      </w:r>
      <w:r w:rsidRPr="005D3BF7">
        <w:rPr>
          <w:rFonts w:asciiTheme="majorHAnsi" w:eastAsiaTheme="majorEastAsia" w:hAnsiTheme="majorHAnsi" w:cstheme="majorBidi"/>
          <w:bCs/>
          <w:color w:val="000000" w:themeColor="text1"/>
          <w:sz w:val="18"/>
          <w:szCs w:val="18"/>
        </w:rPr>
        <w:t xml:space="preserve">*Unmatched means that we could not find some taxpayers in one or more of </w:t>
      </w:r>
      <w:r w:rsidR="0000484D">
        <w:rPr>
          <w:rFonts w:asciiTheme="majorHAnsi" w:eastAsiaTheme="majorEastAsia" w:hAnsiTheme="majorHAnsi" w:cstheme="majorBidi"/>
          <w:bCs/>
          <w:color w:val="000000" w:themeColor="text1"/>
          <w:sz w:val="18"/>
          <w:szCs w:val="18"/>
        </w:rPr>
        <w:t xml:space="preserve">the </w:t>
      </w:r>
      <w:r w:rsidRPr="005D3BF7">
        <w:rPr>
          <w:rFonts w:asciiTheme="majorHAnsi" w:eastAsiaTheme="majorEastAsia" w:hAnsiTheme="majorHAnsi" w:cstheme="majorBidi"/>
          <w:bCs/>
          <w:color w:val="000000" w:themeColor="text1"/>
          <w:sz w:val="18"/>
          <w:szCs w:val="18"/>
        </w:rPr>
        <w:t xml:space="preserve">data sets to match. </w:t>
      </w:r>
    </w:p>
    <w:p w14:paraId="18B40E58" w14:textId="77777777" w:rsidR="009E1C83" w:rsidRPr="005D3BF7" w:rsidRDefault="00C7114C" w:rsidP="00291074">
      <w:pPr>
        <w:tabs>
          <w:tab w:val="left" w:pos="7050"/>
        </w:tabs>
        <w:spacing w:after="0"/>
        <w:rPr>
          <w:rFonts w:asciiTheme="majorHAnsi" w:hAnsiTheme="majorHAnsi"/>
          <w:sz w:val="18"/>
          <w:szCs w:val="18"/>
        </w:rPr>
      </w:pPr>
      <w:r>
        <w:rPr>
          <w:rFonts w:asciiTheme="majorHAnsi" w:eastAsiaTheme="majorEastAsia" w:hAnsiTheme="majorHAnsi" w:cstheme="majorBidi"/>
          <w:bCs/>
          <w:color w:val="000000" w:themeColor="text1"/>
          <w:sz w:val="18"/>
          <w:szCs w:val="18"/>
        </w:rPr>
        <w:t xml:space="preserve">             </w:t>
      </w:r>
      <w:r w:rsidR="00071DD0" w:rsidRPr="005D3BF7">
        <w:rPr>
          <w:rFonts w:asciiTheme="majorHAnsi" w:hAnsiTheme="majorHAnsi"/>
          <w:sz w:val="18"/>
          <w:szCs w:val="18"/>
        </w:rPr>
        <w:t xml:space="preserve">2. The data are preliminary and subject to </w:t>
      </w:r>
      <w:r>
        <w:rPr>
          <w:rFonts w:asciiTheme="majorHAnsi" w:hAnsiTheme="majorHAnsi"/>
          <w:sz w:val="18"/>
          <w:szCs w:val="18"/>
        </w:rPr>
        <w:t>change</w:t>
      </w:r>
      <w:r w:rsidR="00071DD0" w:rsidRPr="005D3BF7">
        <w:rPr>
          <w:rFonts w:asciiTheme="majorHAnsi" w:hAnsiTheme="majorHAnsi"/>
          <w:sz w:val="18"/>
          <w:szCs w:val="18"/>
        </w:rPr>
        <w:t>.</w:t>
      </w:r>
    </w:p>
    <w:p w14:paraId="4E96FEEA" w14:textId="77777777" w:rsidR="006777DE" w:rsidRDefault="006777DE" w:rsidP="00291074">
      <w:pPr>
        <w:tabs>
          <w:tab w:val="left" w:pos="7050"/>
        </w:tabs>
        <w:spacing w:after="0"/>
        <w:rPr>
          <w:rFonts w:asciiTheme="majorHAnsi" w:hAnsiTheme="majorHAnsi"/>
          <w:sz w:val="24"/>
          <w:szCs w:val="24"/>
        </w:rPr>
      </w:pPr>
    </w:p>
    <w:p w14:paraId="11BE32A6" w14:textId="77777777" w:rsidR="00B16EC0" w:rsidRDefault="00B16EC0" w:rsidP="00291074">
      <w:pPr>
        <w:tabs>
          <w:tab w:val="left" w:pos="7050"/>
        </w:tabs>
        <w:spacing w:after="0"/>
        <w:rPr>
          <w:rFonts w:asciiTheme="majorHAnsi" w:hAnsiTheme="majorHAnsi"/>
          <w:sz w:val="24"/>
          <w:szCs w:val="24"/>
        </w:rPr>
      </w:pPr>
    </w:p>
    <w:p w14:paraId="48A9C366" w14:textId="77777777" w:rsidR="008B668C" w:rsidRDefault="008B668C" w:rsidP="005D3BF7">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AB6158">
        <w:rPr>
          <w:rFonts w:asciiTheme="majorHAnsi" w:hAnsiTheme="majorHAnsi"/>
          <w:b/>
          <w:sz w:val="24"/>
          <w:szCs w:val="24"/>
        </w:rPr>
        <w:t>5</w:t>
      </w:r>
      <w:r w:rsidRPr="00CA0391">
        <w:rPr>
          <w:rFonts w:asciiTheme="majorHAnsi" w:hAnsiTheme="majorHAnsi"/>
          <w:b/>
          <w:sz w:val="24"/>
          <w:szCs w:val="24"/>
        </w:rPr>
        <w:t xml:space="preserve">. </w:t>
      </w:r>
      <w:r w:rsidR="001317D7">
        <w:rPr>
          <w:rFonts w:asciiTheme="majorHAnsi" w:hAnsiTheme="majorHAnsi"/>
          <w:b/>
          <w:sz w:val="24"/>
          <w:szCs w:val="24"/>
        </w:rPr>
        <w:t>2017 Research Credit Claims by Taxpayer Size (Number of Employees)</w:t>
      </w:r>
    </w:p>
    <w:tbl>
      <w:tblPr>
        <w:tblW w:w="9162" w:type="dxa"/>
        <w:jc w:val="center"/>
        <w:tblLayout w:type="fixed"/>
        <w:tblLook w:val="04A0" w:firstRow="1" w:lastRow="0" w:firstColumn="1" w:lastColumn="0" w:noHBand="0" w:noVBand="1"/>
      </w:tblPr>
      <w:tblGrid>
        <w:gridCol w:w="1980"/>
        <w:gridCol w:w="1525"/>
        <w:gridCol w:w="1170"/>
        <w:gridCol w:w="1085"/>
        <w:gridCol w:w="1080"/>
        <w:gridCol w:w="1380"/>
        <w:gridCol w:w="942"/>
      </w:tblGrid>
      <w:tr w:rsidR="00323F74" w:rsidRPr="009E1C83" w14:paraId="232F604B" w14:textId="77777777" w:rsidTr="002E3116">
        <w:trPr>
          <w:trHeight w:val="920"/>
          <w:jc w:val="center"/>
        </w:trPr>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3BA09A1"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Employees Range</w:t>
            </w:r>
            <w:r w:rsidR="00AB6158">
              <w:rPr>
                <w:rFonts w:ascii="Cambria" w:eastAsia="Times New Roman" w:hAnsi="Cambria" w:cs="Helvetica"/>
                <w:color w:val="000000"/>
                <w:sz w:val="18"/>
                <w:szCs w:val="18"/>
                <w:lang w:eastAsia="ko-KR"/>
              </w:rPr>
              <w:t>*</w:t>
            </w:r>
          </w:p>
        </w:tc>
        <w:tc>
          <w:tcPr>
            <w:tcW w:w="152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3103CB5"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 xml:space="preserve">Tax Liability after Credit </w:t>
            </w:r>
            <w:r w:rsidRPr="009E1C83">
              <w:rPr>
                <w:rFonts w:ascii="Cambria" w:eastAsia="Times New Roman" w:hAnsi="Cambria" w:cs="Helvetica"/>
                <w:color w:val="000000"/>
                <w:sz w:val="18"/>
                <w:szCs w:val="18"/>
                <w:lang w:eastAsia="ko-KR"/>
              </w:rPr>
              <w:t xml:space="preserve">($000) </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0F5AFB7"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 xml:space="preserve">Claimed Credit ($000) </w:t>
            </w:r>
          </w:p>
        </w:tc>
        <w:tc>
          <w:tcPr>
            <w:tcW w:w="108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C62CFA9"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 xml:space="preserve">Shared Credit ($000) </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5C53826"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Number of Claimants</w:t>
            </w:r>
          </w:p>
        </w:tc>
        <w:tc>
          <w:tcPr>
            <w:tcW w:w="13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A07D4A9"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Percent of Total Number of Claimants</w:t>
            </w:r>
          </w:p>
        </w:tc>
        <w:tc>
          <w:tcPr>
            <w:tcW w:w="94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9761C7A"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Tax Saving per Claimant ($)</w:t>
            </w:r>
          </w:p>
        </w:tc>
      </w:tr>
      <w:tr w:rsidR="00323F74" w:rsidRPr="009E1C83" w14:paraId="72CEA298"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8DED44"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Less than 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499B"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$20,563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1189B8B"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$44,920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58141456"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$26,610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55D165D"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717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2F2FAF93"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20.8%</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536F604F"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$99,763</w:t>
            </w:r>
          </w:p>
        </w:tc>
      </w:tr>
      <w:tr w:rsidR="00323F74" w:rsidRPr="009E1C83" w14:paraId="14D1738E"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4090A2"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5 to 49</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53F99AF3"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$19,921</w:t>
            </w:r>
          </w:p>
        </w:tc>
        <w:tc>
          <w:tcPr>
            <w:tcW w:w="1170" w:type="dxa"/>
            <w:tcBorders>
              <w:top w:val="nil"/>
              <w:left w:val="nil"/>
              <w:bottom w:val="single" w:sz="4" w:space="0" w:color="auto"/>
              <w:right w:val="single" w:sz="4" w:space="0" w:color="auto"/>
            </w:tcBorders>
            <w:shd w:val="clear" w:color="auto" w:fill="auto"/>
            <w:vAlign w:val="center"/>
            <w:hideMark/>
          </w:tcPr>
          <w:p w14:paraId="29BA3F1C"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$14,918</w:t>
            </w:r>
          </w:p>
        </w:tc>
        <w:tc>
          <w:tcPr>
            <w:tcW w:w="1085" w:type="dxa"/>
            <w:tcBorders>
              <w:top w:val="nil"/>
              <w:left w:val="nil"/>
              <w:bottom w:val="single" w:sz="4" w:space="0" w:color="auto"/>
              <w:right w:val="single" w:sz="4" w:space="0" w:color="auto"/>
            </w:tcBorders>
            <w:shd w:val="clear" w:color="auto" w:fill="auto"/>
            <w:vAlign w:val="center"/>
            <w:hideMark/>
          </w:tcPr>
          <w:p w14:paraId="6913DF0D"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$1,831</w:t>
            </w:r>
          </w:p>
        </w:tc>
        <w:tc>
          <w:tcPr>
            <w:tcW w:w="1080" w:type="dxa"/>
            <w:tcBorders>
              <w:top w:val="nil"/>
              <w:left w:val="nil"/>
              <w:bottom w:val="single" w:sz="4" w:space="0" w:color="auto"/>
              <w:right w:val="single" w:sz="4" w:space="0" w:color="auto"/>
            </w:tcBorders>
            <w:shd w:val="clear" w:color="auto" w:fill="auto"/>
            <w:vAlign w:val="center"/>
            <w:hideMark/>
          </w:tcPr>
          <w:p w14:paraId="3A60D34F"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1,223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2F975285"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35.6%</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5B458378"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$13,695</w:t>
            </w:r>
          </w:p>
        </w:tc>
      </w:tr>
      <w:tr w:rsidR="00323F74" w:rsidRPr="009E1C83" w14:paraId="674DE506"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24AC3B6"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50 to 99</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4942EEA4"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$6,753</w:t>
            </w:r>
          </w:p>
        </w:tc>
        <w:tc>
          <w:tcPr>
            <w:tcW w:w="1170" w:type="dxa"/>
            <w:tcBorders>
              <w:top w:val="nil"/>
              <w:left w:val="nil"/>
              <w:bottom w:val="single" w:sz="4" w:space="0" w:color="auto"/>
              <w:right w:val="single" w:sz="4" w:space="0" w:color="auto"/>
            </w:tcBorders>
            <w:shd w:val="clear" w:color="auto" w:fill="auto"/>
            <w:vAlign w:val="center"/>
            <w:hideMark/>
          </w:tcPr>
          <w:p w14:paraId="27C9D508"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$8,221</w:t>
            </w:r>
          </w:p>
        </w:tc>
        <w:tc>
          <w:tcPr>
            <w:tcW w:w="1085" w:type="dxa"/>
            <w:tcBorders>
              <w:top w:val="nil"/>
              <w:left w:val="nil"/>
              <w:bottom w:val="single" w:sz="4" w:space="0" w:color="auto"/>
              <w:right w:val="single" w:sz="4" w:space="0" w:color="auto"/>
            </w:tcBorders>
            <w:shd w:val="clear" w:color="auto" w:fill="auto"/>
            <w:vAlign w:val="center"/>
            <w:hideMark/>
          </w:tcPr>
          <w:p w14:paraId="04FE6A61"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$796</w:t>
            </w:r>
          </w:p>
        </w:tc>
        <w:tc>
          <w:tcPr>
            <w:tcW w:w="1080" w:type="dxa"/>
            <w:tcBorders>
              <w:top w:val="nil"/>
              <w:left w:val="nil"/>
              <w:bottom w:val="single" w:sz="4" w:space="0" w:color="auto"/>
              <w:right w:val="single" w:sz="4" w:space="0" w:color="auto"/>
            </w:tcBorders>
            <w:shd w:val="clear" w:color="auto" w:fill="auto"/>
            <w:vAlign w:val="center"/>
            <w:hideMark/>
          </w:tcPr>
          <w:p w14:paraId="2F43AFE1"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420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52BF1DC2"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12.2%</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08E57F36"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$21,470</w:t>
            </w:r>
          </w:p>
        </w:tc>
      </w:tr>
      <w:tr w:rsidR="00323F74" w:rsidRPr="009E1C83" w14:paraId="5804DB38"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258100A"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100 to 199</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776C28F2"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$8,653</w:t>
            </w:r>
          </w:p>
        </w:tc>
        <w:tc>
          <w:tcPr>
            <w:tcW w:w="1170" w:type="dxa"/>
            <w:tcBorders>
              <w:top w:val="nil"/>
              <w:left w:val="nil"/>
              <w:bottom w:val="single" w:sz="4" w:space="0" w:color="auto"/>
              <w:right w:val="single" w:sz="4" w:space="0" w:color="auto"/>
            </w:tcBorders>
            <w:shd w:val="clear" w:color="auto" w:fill="auto"/>
            <w:vAlign w:val="center"/>
            <w:hideMark/>
          </w:tcPr>
          <w:p w14:paraId="0B6BB98A"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$18,756</w:t>
            </w:r>
          </w:p>
        </w:tc>
        <w:tc>
          <w:tcPr>
            <w:tcW w:w="1085" w:type="dxa"/>
            <w:tcBorders>
              <w:top w:val="nil"/>
              <w:left w:val="nil"/>
              <w:bottom w:val="single" w:sz="4" w:space="0" w:color="auto"/>
              <w:right w:val="single" w:sz="4" w:space="0" w:color="auto"/>
            </w:tcBorders>
            <w:shd w:val="clear" w:color="auto" w:fill="auto"/>
            <w:vAlign w:val="center"/>
            <w:hideMark/>
          </w:tcPr>
          <w:p w14:paraId="3EB98CB8"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$8,370</w:t>
            </w:r>
          </w:p>
        </w:tc>
        <w:tc>
          <w:tcPr>
            <w:tcW w:w="1080" w:type="dxa"/>
            <w:tcBorders>
              <w:top w:val="nil"/>
              <w:left w:val="nil"/>
              <w:bottom w:val="single" w:sz="4" w:space="0" w:color="auto"/>
              <w:right w:val="single" w:sz="4" w:space="0" w:color="auto"/>
            </w:tcBorders>
            <w:shd w:val="clear" w:color="auto" w:fill="auto"/>
            <w:vAlign w:val="center"/>
            <w:hideMark/>
          </w:tcPr>
          <w:p w14:paraId="6F58416A"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342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27D25FCB"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9.9%</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4CB1B1F5"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$79,317</w:t>
            </w:r>
          </w:p>
        </w:tc>
      </w:tr>
      <w:tr w:rsidR="00323F74" w:rsidRPr="009E1C83" w14:paraId="45F3883C"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5ADDAB"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200 to 499</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31F6B94C"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$7,076</w:t>
            </w:r>
          </w:p>
        </w:tc>
        <w:tc>
          <w:tcPr>
            <w:tcW w:w="1170" w:type="dxa"/>
            <w:tcBorders>
              <w:top w:val="nil"/>
              <w:left w:val="nil"/>
              <w:bottom w:val="single" w:sz="4" w:space="0" w:color="auto"/>
              <w:right w:val="single" w:sz="4" w:space="0" w:color="auto"/>
            </w:tcBorders>
            <w:shd w:val="clear" w:color="auto" w:fill="auto"/>
            <w:vAlign w:val="center"/>
            <w:hideMark/>
          </w:tcPr>
          <w:p w14:paraId="612F59B8"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$15,032</w:t>
            </w:r>
          </w:p>
        </w:tc>
        <w:tc>
          <w:tcPr>
            <w:tcW w:w="1085" w:type="dxa"/>
            <w:tcBorders>
              <w:top w:val="nil"/>
              <w:left w:val="nil"/>
              <w:bottom w:val="single" w:sz="4" w:space="0" w:color="auto"/>
              <w:right w:val="single" w:sz="4" w:space="0" w:color="auto"/>
            </w:tcBorders>
            <w:shd w:val="clear" w:color="auto" w:fill="auto"/>
            <w:vAlign w:val="center"/>
            <w:hideMark/>
          </w:tcPr>
          <w:p w14:paraId="7091E220"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$2,479</w:t>
            </w:r>
          </w:p>
        </w:tc>
        <w:tc>
          <w:tcPr>
            <w:tcW w:w="1080" w:type="dxa"/>
            <w:tcBorders>
              <w:top w:val="nil"/>
              <w:left w:val="nil"/>
              <w:bottom w:val="single" w:sz="4" w:space="0" w:color="auto"/>
              <w:right w:val="single" w:sz="4" w:space="0" w:color="auto"/>
            </w:tcBorders>
            <w:shd w:val="clear" w:color="auto" w:fill="auto"/>
            <w:vAlign w:val="center"/>
            <w:hideMark/>
          </w:tcPr>
          <w:p w14:paraId="279CD040"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303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45EDED02"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8.8%</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53AA43B0"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$57,790</w:t>
            </w:r>
          </w:p>
        </w:tc>
      </w:tr>
      <w:tr w:rsidR="00323F74" w:rsidRPr="009E1C83" w14:paraId="033164A1"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BE42B6"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500 or more</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6011FC95"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$66,958</w:t>
            </w:r>
          </w:p>
        </w:tc>
        <w:tc>
          <w:tcPr>
            <w:tcW w:w="1170" w:type="dxa"/>
            <w:tcBorders>
              <w:top w:val="nil"/>
              <w:left w:val="nil"/>
              <w:bottom w:val="single" w:sz="4" w:space="0" w:color="auto"/>
              <w:right w:val="single" w:sz="4" w:space="0" w:color="auto"/>
            </w:tcBorders>
            <w:shd w:val="clear" w:color="auto" w:fill="auto"/>
            <w:vAlign w:val="center"/>
            <w:hideMark/>
          </w:tcPr>
          <w:p w14:paraId="2D13D05F"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$76,204</w:t>
            </w:r>
          </w:p>
        </w:tc>
        <w:tc>
          <w:tcPr>
            <w:tcW w:w="1085" w:type="dxa"/>
            <w:tcBorders>
              <w:top w:val="nil"/>
              <w:left w:val="nil"/>
              <w:bottom w:val="single" w:sz="4" w:space="0" w:color="auto"/>
              <w:right w:val="single" w:sz="4" w:space="0" w:color="auto"/>
            </w:tcBorders>
            <w:shd w:val="clear" w:color="auto" w:fill="auto"/>
            <w:vAlign w:val="center"/>
            <w:hideMark/>
          </w:tcPr>
          <w:p w14:paraId="6C2DAA18"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$23,811</w:t>
            </w:r>
          </w:p>
        </w:tc>
        <w:tc>
          <w:tcPr>
            <w:tcW w:w="1080" w:type="dxa"/>
            <w:tcBorders>
              <w:top w:val="nil"/>
              <w:left w:val="nil"/>
              <w:bottom w:val="single" w:sz="4" w:space="0" w:color="auto"/>
              <w:right w:val="single" w:sz="4" w:space="0" w:color="auto"/>
            </w:tcBorders>
            <w:shd w:val="clear" w:color="auto" w:fill="auto"/>
            <w:vAlign w:val="center"/>
            <w:hideMark/>
          </w:tcPr>
          <w:p w14:paraId="2EE355E7"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387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62634A12"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11.3%</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161D7580"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$258,438</w:t>
            </w:r>
          </w:p>
        </w:tc>
      </w:tr>
      <w:tr w:rsidR="00323F74" w:rsidRPr="009E1C83" w14:paraId="0635F184"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EE1FA6"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Unmatched</w:t>
            </w:r>
            <w:r>
              <w:rPr>
                <w:rFonts w:ascii="Cambria" w:eastAsia="Times New Roman" w:hAnsi="Cambria" w:cs="Helvetica"/>
                <w:color w:val="000000"/>
                <w:sz w:val="18"/>
                <w:szCs w:val="18"/>
                <w:lang w:eastAsia="ko-KR"/>
              </w:rPr>
              <w:t>**</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0240EEC4"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14:paraId="101475F3"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$547</w:t>
            </w:r>
          </w:p>
        </w:tc>
        <w:tc>
          <w:tcPr>
            <w:tcW w:w="1085" w:type="dxa"/>
            <w:tcBorders>
              <w:top w:val="nil"/>
              <w:left w:val="nil"/>
              <w:bottom w:val="single" w:sz="4" w:space="0" w:color="auto"/>
              <w:right w:val="single" w:sz="4" w:space="0" w:color="auto"/>
            </w:tcBorders>
            <w:shd w:val="clear" w:color="auto" w:fill="auto"/>
            <w:vAlign w:val="center"/>
            <w:hideMark/>
          </w:tcPr>
          <w:p w14:paraId="7BFDAD37"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w:t>
            </w:r>
            <w:r w:rsidR="00B16EC0">
              <w:rPr>
                <w:rFonts w:ascii="Cambria" w:hAnsi="Cambria" w:cs="Helvetica"/>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4DEB01D4"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48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4BB1FCC1"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1.4%</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063A50AF"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$11,402</w:t>
            </w:r>
          </w:p>
        </w:tc>
      </w:tr>
      <w:tr w:rsidR="00323F74" w:rsidRPr="009E1C83" w14:paraId="4824B046" w14:textId="77777777" w:rsidTr="002E3116">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7F014F" w14:textId="77777777" w:rsidR="00323F74" w:rsidRPr="009E1C83" w:rsidRDefault="00323F74" w:rsidP="005D3BF7">
            <w:pPr>
              <w:spacing w:after="0" w:line="240" w:lineRule="auto"/>
              <w:rPr>
                <w:rFonts w:ascii="Cambria" w:eastAsia="Times New Roman" w:hAnsi="Cambria" w:cs="Helvetica"/>
                <w:color w:val="000000"/>
                <w:sz w:val="18"/>
                <w:szCs w:val="18"/>
                <w:lang w:eastAsia="ko-KR"/>
              </w:rPr>
            </w:pPr>
            <w:r w:rsidRPr="009E1C83">
              <w:rPr>
                <w:rFonts w:ascii="Cambria" w:eastAsia="Times New Roman" w:hAnsi="Cambria" w:cs="Helvetica"/>
                <w:color w:val="000000"/>
                <w:sz w:val="18"/>
                <w:szCs w:val="18"/>
                <w:lang w:eastAsia="ko-KR"/>
              </w:rPr>
              <w:t>Total or average</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14:paraId="496221EB"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$129,924</w:t>
            </w:r>
          </w:p>
        </w:tc>
        <w:tc>
          <w:tcPr>
            <w:tcW w:w="1170" w:type="dxa"/>
            <w:tcBorders>
              <w:top w:val="nil"/>
              <w:left w:val="nil"/>
              <w:bottom w:val="single" w:sz="4" w:space="0" w:color="auto"/>
              <w:right w:val="single" w:sz="4" w:space="0" w:color="auto"/>
            </w:tcBorders>
            <w:shd w:val="clear" w:color="auto" w:fill="auto"/>
            <w:vAlign w:val="center"/>
            <w:hideMark/>
          </w:tcPr>
          <w:p w14:paraId="54BC15A1"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$178,598</w:t>
            </w:r>
          </w:p>
        </w:tc>
        <w:tc>
          <w:tcPr>
            <w:tcW w:w="1085" w:type="dxa"/>
            <w:tcBorders>
              <w:top w:val="nil"/>
              <w:left w:val="nil"/>
              <w:bottom w:val="single" w:sz="4" w:space="0" w:color="auto"/>
              <w:right w:val="single" w:sz="4" w:space="0" w:color="auto"/>
            </w:tcBorders>
            <w:shd w:val="clear" w:color="auto" w:fill="auto"/>
            <w:vAlign w:val="center"/>
            <w:hideMark/>
          </w:tcPr>
          <w:p w14:paraId="4E96927C"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$63,897</w:t>
            </w:r>
          </w:p>
        </w:tc>
        <w:tc>
          <w:tcPr>
            <w:tcW w:w="1080" w:type="dxa"/>
            <w:tcBorders>
              <w:top w:val="nil"/>
              <w:left w:val="nil"/>
              <w:bottom w:val="single" w:sz="4" w:space="0" w:color="auto"/>
              <w:right w:val="single" w:sz="4" w:space="0" w:color="auto"/>
            </w:tcBorders>
            <w:shd w:val="clear" w:color="auto" w:fill="auto"/>
            <w:vAlign w:val="center"/>
            <w:hideMark/>
          </w:tcPr>
          <w:p w14:paraId="017E8674"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 xml:space="preserve">        3,440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14:paraId="6DF8B6BA"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100.0%</w:t>
            </w:r>
          </w:p>
        </w:tc>
        <w:tc>
          <w:tcPr>
            <w:tcW w:w="942" w:type="dxa"/>
            <w:tcBorders>
              <w:top w:val="single" w:sz="4" w:space="0" w:color="auto"/>
              <w:left w:val="nil"/>
              <w:bottom w:val="single" w:sz="4" w:space="0" w:color="auto"/>
              <w:right w:val="single" w:sz="4" w:space="0" w:color="auto"/>
            </w:tcBorders>
            <w:shd w:val="clear" w:color="000000" w:fill="auto"/>
            <w:vAlign w:val="center"/>
            <w:hideMark/>
          </w:tcPr>
          <w:p w14:paraId="7986EC50" w14:textId="77777777" w:rsidR="00323F74" w:rsidRPr="009E1C83" w:rsidRDefault="00323F74" w:rsidP="008A76F7">
            <w:pPr>
              <w:spacing w:after="0" w:line="240" w:lineRule="auto"/>
              <w:jc w:val="center"/>
              <w:rPr>
                <w:rFonts w:ascii="Cambria" w:eastAsia="Times New Roman" w:hAnsi="Cambria" w:cs="Helvetica"/>
                <w:color w:val="000000"/>
                <w:sz w:val="18"/>
                <w:szCs w:val="18"/>
                <w:lang w:eastAsia="ko-KR"/>
              </w:rPr>
            </w:pPr>
            <w:r>
              <w:rPr>
                <w:rFonts w:ascii="Cambria" w:hAnsi="Cambria" w:cs="Helvetica"/>
                <w:sz w:val="18"/>
                <w:szCs w:val="18"/>
              </w:rPr>
              <w:t>$70,493</w:t>
            </w:r>
          </w:p>
        </w:tc>
      </w:tr>
    </w:tbl>
    <w:p w14:paraId="428B46F8" w14:textId="77777777" w:rsidR="008B668C" w:rsidRPr="005D3BF7" w:rsidRDefault="002E3116" w:rsidP="008B668C">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008B668C" w:rsidRPr="005D3BF7">
        <w:rPr>
          <w:rFonts w:asciiTheme="majorHAnsi" w:eastAsiaTheme="majorEastAsia" w:hAnsiTheme="majorHAnsi" w:cstheme="majorBidi"/>
          <w:bCs/>
          <w:color w:val="000000" w:themeColor="text1"/>
          <w:sz w:val="18"/>
          <w:szCs w:val="18"/>
        </w:rPr>
        <w:t xml:space="preserve">Source: Department of Revenue (2017 </w:t>
      </w:r>
      <w:r w:rsidR="00F15894">
        <w:rPr>
          <w:rFonts w:asciiTheme="majorHAnsi" w:eastAsiaTheme="majorEastAsia" w:hAnsiTheme="majorHAnsi" w:cstheme="majorBidi"/>
          <w:bCs/>
          <w:color w:val="000000" w:themeColor="text1"/>
          <w:sz w:val="18"/>
          <w:szCs w:val="18"/>
        </w:rPr>
        <w:t>corporate excise</w:t>
      </w:r>
      <w:r w:rsidR="008B668C" w:rsidRPr="005D3BF7">
        <w:rPr>
          <w:rFonts w:asciiTheme="majorHAnsi" w:eastAsiaTheme="majorEastAsia" w:hAnsiTheme="majorHAnsi" w:cstheme="majorBidi"/>
          <w:bCs/>
          <w:color w:val="000000" w:themeColor="text1"/>
          <w:sz w:val="18"/>
          <w:szCs w:val="18"/>
        </w:rPr>
        <w:t xml:space="preserve"> return</w:t>
      </w:r>
      <w:r>
        <w:rPr>
          <w:rFonts w:asciiTheme="majorHAnsi" w:eastAsiaTheme="majorEastAsia" w:hAnsiTheme="majorHAnsi" w:cstheme="majorBidi"/>
          <w:bCs/>
          <w:color w:val="000000" w:themeColor="text1"/>
          <w:sz w:val="18"/>
          <w:szCs w:val="18"/>
        </w:rPr>
        <w:t>s</w:t>
      </w:r>
      <w:r w:rsidR="008B668C" w:rsidRPr="005D3BF7">
        <w:rPr>
          <w:rFonts w:asciiTheme="majorHAnsi" w:eastAsiaTheme="majorEastAsia" w:hAnsiTheme="majorHAnsi" w:cstheme="majorBidi"/>
          <w:bCs/>
          <w:color w:val="000000" w:themeColor="text1"/>
          <w:sz w:val="18"/>
          <w:szCs w:val="18"/>
        </w:rPr>
        <w:t>)</w:t>
      </w:r>
    </w:p>
    <w:p w14:paraId="742E7441" w14:textId="77777777" w:rsidR="00C7114C" w:rsidRDefault="002E3116" w:rsidP="008B668C">
      <w:pPr>
        <w:tabs>
          <w:tab w:val="left" w:pos="7050"/>
        </w:tabs>
        <w:spacing w:after="0"/>
        <w:rPr>
          <w:rFonts w:asciiTheme="majorHAnsi" w:eastAsiaTheme="majorEastAsia" w:hAnsiTheme="majorHAnsi" w:cstheme="majorBidi"/>
          <w:bCs/>
          <w:color w:val="000000" w:themeColor="text1"/>
          <w:sz w:val="18"/>
          <w:szCs w:val="18"/>
        </w:rPr>
      </w:pPr>
      <w:bookmarkStart w:id="0" w:name="_Hlk48212267"/>
      <w:r>
        <w:rPr>
          <w:rFonts w:asciiTheme="majorHAnsi" w:hAnsiTheme="majorHAnsi"/>
          <w:sz w:val="18"/>
          <w:szCs w:val="18"/>
        </w:rPr>
        <w:t xml:space="preserve">  </w:t>
      </w:r>
      <w:r w:rsidR="008B668C" w:rsidRPr="005D3BF7">
        <w:rPr>
          <w:rFonts w:asciiTheme="majorHAnsi" w:hAnsiTheme="majorHAnsi"/>
          <w:sz w:val="18"/>
          <w:szCs w:val="18"/>
        </w:rPr>
        <w:t xml:space="preserve">Notes: 1. * </w:t>
      </w:r>
      <w:r w:rsidR="00AB6158">
        <w:rPr>
          <w:rFonts w:asciiTheme="majorHAnsi" w:hAnsiTheme="majorHAnsi"/>
          <w:sz w:val="18"/>
          <w:szCs w:val="18"/>
        </w:rPr>
        <w:t>I</w:t>
      </w:r>
      <w:r w:rsidR="00AB6158" w:rsidRPr="003A3522">
        <w:rPr>
          <w:rFonts w:asciiTheme="majorHAnsi" w:hAnsiTheme="majorHAnsi"/>
          <w:sz w:val="18"/>
          <w:szCs w:val="18"/>
        </w:rPr>
        <w:t xml:space="preserve">nformation </w:t>
      </w:r>
      <w:r w:rsidR="00AB6158">
        <w:rPr>
          <w:rFonts w:asciiTheme="majorHAnsi" w:hAnsiTheme="majorHAnsi"/>
          <w:sz w:val="18"/>
          <w:szCs w:val="18"/>
        </w:rPr>
        <w:t xml:space="preserve">is based on number of employees as reported by </w:t>
      </w:r>
      <w:r w:rsidR="00AB6158" w:rsidRPr="003A3522">
        <w:rPr>
          <w:rFonts w:asciiTheme="majorHAnsi" w:hAnsiTheme="majorHAnsi"/>
          <w:sz w:val="18"/>
          <w:szCs w:val="18"/>
        </w:rPr>
        <w:t>taxpayers.</w:t>
      </w:r>
      <w:bookmarkEnd w:id="0"/>
    </w:p>
    <w:p w14:paraId="352ECB7D" w14:textId="5FDBA869" w:rsidR="00C7114C" w:rsidRDefault="00C7114C" w:rsidP="008B668C">
      <w:pPr>
        <w:tabs>
          <w:tab w:val="left" w:pos="7050"/>
        </w:tabs>
        <w:spacing w:after="0"/>
        <w:rPr>
          <w:rFonts w:asciiTheme="majorHAnsi" w:hAnsiTheme="majorHAnsi"/>
          <w:sz w:val="18"/>
          <w:szCs w:val="18"/>
        </w:rPr>
      </w:pPr>
      <w:r>
        <w:rPr>
          <w:rFonts w:asciiTheme="majorHAnsi" w:eastAsiaTheme="majorEastAsia" w:hAnsiTheme="majorHAnsi" w:cstheme="majorBidi"/>
          <w:bCs/>
          <w:color w:val="000000" w:themeColor="text1"/>
          <w:sz w:val="18"/>
          <w:szCs w:val="18"/>
        </w:rPr>
        <w:t xml:space="preserve">          </w:t>
      </w:r>
      <w:r w:rsidR="002E3116">
        <w:rPr>
          <w:rFonts w:asciiTheme="majorHAnsi" w:eastAsiaTheme="majorEastAsia" w:hAnsiTheme="majorHAnsi" w:cstheme="majorBidi"/>
          <w:bCs/>
          <w:color w:val="000000" w:themeColor="text1"/>
          <w:sz w:val="18"/>
          <w:szCs w:val="18"/>
        </w:rPr>
        <w:t xml:space="preserve">  </w:t>
      </w:r>
      <w:r>
        <w:rPr>
          <w:rFonts w:asciiTheme="majorHAnsi" w:eastAsiaTheme="majorEastAsia" w:hAnsiTheme="majorHAnsi" w:cstheme="majorBidi"/>
          <w:bCs/>
          <w:color w:val="000000" w:themeColor="text1"/>
          <w:sz w:val="18"/>
          <w:szCs w:val="18"/>
        </w:rPr>
        <w:t xml:space="preserve">   </w:t>
      </w:r>
      <w:r w:rsidR="008B668C" w:rsidRPr="005D3BF7">
        <w:rPr>
          <w:rFonts w:asciiTheme="majorHAnsi" w:eastAsiaTheme="majorEastAsia" w:hAnsiTheme="majorHAnsi" w:cstheme="majorBidi"/>
          <w:bCs/>
          <w:color w:val="000000" w:themeColor="text1"/>
          <w:sz w:val="18"/>
          <w:szCs w:val="18"/>
        </w:rPr>
        <w:t xml:space="preserve">2. **Unmatched means that we could not find some taxpayers in one or more of </w:t>
      </w:r>
      <w:r w:rsidR="004B6A11">
        <w:rPr>
          <w:rFonts w:asciiTheme="majorHAnsi" w:eastAsiaTheme="majorEastAsia" w:hAnsiTheme="majorHAnsi" w:cstheme="majorBidi"/>
          <w:bCs/>
          <w:color w:val="000000" w:themeColor="text1"/>
          <w:sz w:val="18"/>
          <w:szCs w:val="18"/>
        </w:rPr>
        <w:t xml:space="preserve">the </w:t>
      </w:r>
      <w:r w:rsidR="008B668C" w:rsidRPr="005D3BF7">
        <w:rPr>
          <w:rFonts w:asciiTheme="majorHAnsi" w:eastAsiaTheme="majorEastAsia" w:hAnsiTheme="majorHAnsi" w:cstheme="majorBidi"/>
          <w:bCs/>
          <w:color w:val="000000" w:themeColor="text1"/>
          <w:sz w:val="18"/>
          <w:szCs w:val="18"/>
        </w:rPr>
        <w:t xml:space="preserve">data sets to match. </w:t>
      </w:r>
    </w:p>
    <w:p w14:paraId="5F414736" w14:textId="77777777" w:rsidR="008B668C" w:rsidRPr="005D3BF7" w:rsidRDefault="00C7114C" w:rsidP="008B668C">
      <w:pPr>
        <w:tabs>
          <w:tab w:val="left" w:pos="7050"/>
        </w:tabs>
        <w:spacing w:after="0"/>
        <w:rPr>
          <w:rFonts w:asciiTheme="majorHAnsi" w:eastAsiaTheme="majorEastAsia" w:hAnsiTheme="majorHAnsi" w:cstheme="majorBidi"/>
          <w:bCs/>
          <w:color w:val="000000" w:themeColor="text1"/>
          <w:sz w:val="18"/>
          <w:szCs w:val="18"/>
        </w:rPr>
      </w:pPr>
      <w:r>
        <w:rPr>
          <w:rFonts w:asciiTheme="majorHAnsi" w:hAnsiTheme="majorHAnsi"/>
          <w:sz w:val="18"/>
          <w:szCs w:val="18"/>
        </w:rPr>
        <w:t xml:space="preserve">       </w:t>
      </w:r>
      <w:r w:rsidR="002E3116">
        <w:rPr>
          <w:rFonts w:asciiTheme="majorHAnsi" w:hAnsiTheme="majorHAnsi"/>
          <w:sz w:val="18"/>
          <w:szCs w:val="18"/>
        </w:rPr>
        <w:t xml:space="preserve">   </w:t>
      </w:r>
      <w:r>
        <w:rPr>
          <w:rFonts w:asciiTheme="majorHAnsi" w:hAnsiTheme="majorHAnsi"/>
          <w:sz w:val="18"/>
          <w:szCs w:val="18"/>
        </w:rPr>
        <w:t xml:space="preserve">     3</w:t>
      </w:r>
      <w:r w:rsidR="008B668C" w:rsidRPr="005D3BF7">
        <w:rPr>
          <w:rFonts w:asciiTheme="majorHAnsi" w:hAnsiTheme="majorHAnsi"/>
          <w:sz w:val="18"/>
          <w:szCs w:val="18"/>
        </w:rPr>
        <w:t xml:space="preserve">. The data are preliminary and subject to </w:t>
      </w:r>
      <w:r>
        <w:rPr>
          <w:rFonts w:asciiTheme="majorHAnsi" w:hAnsiTheme="majorHAnsi"/>
          <w:sz w:val="18"/>
          <w:szCs w:val="18"/>
        </w:rPr>
        <w:t>change</w:t>
      </w:r>
      <w:r w:rsidR="008B668C" w:rsidRPr="005D3BF7">
        <w:rPr>
          <w:rFonts w:asciiTheme="majorHAnsi" w:hAnsiTheme="majorHAnsi"/>
          <w:sz w:val="18"/>
          <w:szCs w:val="18"/>
        </w:rPr>
        <w:t>.</w:t>
      </w:r>
    </w:p>
    <w:p w14:paraId="6655C36C" w14:textId="77777777" w:rsidR="008B668C" w:rsidRDefault="008B668C" w:rsidP="00291074">
      <w:pPr>
        <w:tabs>
          <w:tab w:val="left" w:pos="7050"/>
        </w:tabs>
        <w:spacing w:after="0"/>
        <w:rPr>
          <w:rFonts w:asciiTheme="majorHAnsi" w:hAnsiTheme="majorHAnsi"/>
          <w:sz w:val="24"/>
          <w:szCs w:val="24"/>
        </w:rPr>
      </w:pPr>
    </w:p>
    <w:p w14:paraId="0336FA27" w14:textId="77777777" w:rsidR="007D5207" w:rsidRDefault="007D5207" w:rsidP="00291074">
      <w:pPr>
        <w:tabs>
          <w:tab w:val="left" w:pos="7050"/>
        </w:tabs>
        <w:spacing w:after="0"/>
        <w:rPr>
          <w:rFonts w:asciiTheme="majorHAnsi" w:hAnsiTheme="majorHAnsi"/>
          <w:sz w:val="24"/>
          <w:szCs w:val="24"/>
        </w:rPr>
      </w:pPr>
    </w:p>
    <w:p w14:paraId="6F275D91" w14:textId="77777777" w:rsidR="007D5207" w:rsidRDefault="007D5207" w:rsidP="007D5207">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54B49189" w14:textId="3D1967A3" w:rsidR="00D334C1" w:rsidRDefault="003C031E" w:rsidP="003C031E">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reported the direct costs (to the Commonwealth</w:t>
      </w:r>
      <w:r w:rsidR="00A95050">
        <w:rPr>
          <w:rFonts w:asciiTheme="majorHAnsi" w:hAnsiTheme="majorHAnsi"/>
          <w:bCs/>
          <w:sz w:val="24"/>
          <w:szCs w:val="24"/>
        </w:rPr>
        <w:t xml:space="preserve">, or to the residents and businesses who </w:t>
      </w:r>
      <w:r w:rsidR="00DE493E">
        <w:rPr>
          <w:rFonts w:asciiTheme="majorHAnsi" w:hAnsiTheme="majorHAnsi"/>
          <w:bCs/>
          <w:sz w:val="24"/>
          <w:szCs w:val="24"/>
        </w:rPr>
        <w:t>ultimately bear the costs when the Commonwealth cuts government spending or increase tax to finance the research credit</w:t>
      </w:r>
      <w:r>
        <w:rPr>
          <w:rFonts w:asciiTheme="majorHAnsi" w:hAnsiTheme="majorHAnsi"/>
          <w:bCs/>
          <w:sz w:val="24"/>
          <w:szCs w:val="24"/>
        </w:rPr>
        <w:t xml:space="preserve">) and direct benefits (to taxpayers who claim the benefits) of this tax expenditure. </w:t>
      </w:r>
      <w:r w:rsidR="00D334C1">
        <w:rPr>
          <w:rFonts w:asciiTheme="majorHAnsi" w:hAnsiTheme="majorHAnsi"/>
          <w:bCs/>
          <w:sz w:val="24"/>
          <w:szCs w:val="24"/>
        </w:rPr>
        <w:t>Since the direct costs to the Commonwealth are the direct benefits to taxpayers, they are equal.</w:t>
      </w:r>
    </w:p>
    <w:p w14:paraId="2E401FEB" w14:textId="77777777" w:rsidR="00D334C1" w:rsidRDefault="00D334C1" w:rsidP="003C031E">
      <w:pPr>
        <w:tabs>
          <w:tab w:val="left" w:pos="7050"/>
        </w:tabs>
        <w:spacing w:after="0"/>
        <w:rPr>
          <w:rFonts w:asciiTheme="majorHAnsi" w:hAnsiTheme="majorHAnsi"/>
          <w:bCs/>
          <w:sz w:val="24"/>
          <w:szCs w:val="24"/>
        </w:rPr>
      </w:pPr>
    </w:p>
    <w:p w14:paraId="6D154A78" w14:textId="77777777" w:rsidR="003C031E" w:rsidRDefault="003C031E" w:rsidP="003C031E">
      <w:pPr>
        <w:tabs>
          <w:tab w:val="left" w:pos="7050"/>
        </w:tabs>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 xml:space="preserve">However, when looking at the broader economy, there are, in addition to direct impacts, indirect and induced impacts on other residents and businesses in Massachusetts. </w:t>
      </w:r>
      <w:r w:rsidR="00C408DC">
        <w:rPr>
          <w:rFonts w:asciiTheme="majorHAnsi" w:eastAsiaTheme="majorEastAsia" w:hAnsiTheme="majorHAnsi" w:cstheme="majorBidi"/>
          <w:bCs/>
          <w:color w:val="000000" w:themeColor="text1"/>
          <w:sz w:val="24"/>
          <w:szCs w:val="24"/>
        </w:rPr>
        <w:t>See the appendix</w:t>
      </w:r>
      <w:r w:rsidR="00633B2E">
        <w:rPr>
          <w:rFonts w:asciiTheme="majorHAnsi" w:eastAsiaTheme="majorEastAsia" w:hAnsiTheme="majorHAnsi" w:cstheme="majorBidi"/>
          <w:bCs/>
          <w:color w:val="000000" w:themeColor="text1"/>
          <w:sz w:val="24"/>
          <w:szCs w:val="24"/>
        </w:rPr>
        <w:t xml:space="preserve"> for more discussion</w:t>
      </w:r>
      <w:r w:rsidR="00C408DC">
        <w:rPr>
          <w:rFonts w:asciiTheme="majorHAnsi" w:eastAsiaTheme="majorEastAsia" w:hAnsiTheme="majorHAnsi" w:cstheme="majorBidi"/>
          <w:bCs/>
          <w:color w:val="000000" w:themeColor="text1"/>
          <w:sz w:val="24"/>
          <w:szCs w:val="24"/>
        </w:rPr>
        <w:t>.</w:t>
      </w:r>
    </w:p>
    <w:p w14:paraId="64D6BE19" w14:textId="77777777" w:rsidR="002E5D41" w:rsidRDefault="00AB6158" w:rsidP="003051E5">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 </w:t>
      </w:r>
    </w:p>
    <w:p w14:paraId="1D47C37D" w14:textId="77777777" w:rsidR="002E5D41" w:rsidRDefault="002E5D41" w:rsidP="003051E5">
      <w:pPr>
        <w:spacing w:after="0"/>
        <w:rPr>
          <w:rFonts w:asciiTheme="majorHAnsi" w:eastAsiaTheme="majorEastAsia" w:hAnsiTheme="majorHAnsi" w:cstheme="majorBidi"/>
          <w:bCs/>
          <w:color w:val="000000" w:themeColor="text1"/>
          <w:sz w:val="24"/>
          <w:szCs w:val="24"/>
        </w:rPr>
      </w:pPr>
    </w:p>
    <w:p w14:paraId="17B26AD1" w14:textId="77777777" w:rsidR="009201C7" w:rsidRDefault="003051E5" w:rsidP="003051E5">
      <w:pPr>
        <w:spacing w:after="0"/>
        <w:rPr>
          <w:rFonts w:asciiTheme="majorHAnsi" w:hAnsiTheme="majorHAnsi"/>
          <w:bCs/>
          <w:sz w:val="24"/>
          <w:szCs w:val="23"/>
        </w:rPr>
      </w:pPr>
      <w:r w:rsidRPr="00DF1213">
        <w:rPr>
          <w:rFonts w:asciiTheme="majorHAnsi" w:eastAsiaTheme="majorEastAsia" w:hAnsiTheme="majorHAnsi" w:cstheme="majorBidi"/>
          <w:bCs/>
          <w:color w:val="000000" w:themeColor="text1"/>
          <w:sz w:val="24"/>
          <w:szCs w:val="24"/>
        </w:rPr>
        <w:lastRenderedPageBreak/>
        <w:t xml:space="preserve">To </w:t>
      </w:r>
      <w:r w:rsidR="00C33F4E">
        <w:rPr>
          <w:rFonts w:asciiTheme="majorHAnsi" w:eastAsiaTheme="majorEastAsia" w:hAnsiTheme="majorHAnsi" w:cstheme="majorBidi"/>
          <w:bCs/>
          <w:color w:val="000000" w:themeColor="text1"/>
          <w:sz w:val="24"/>
          <w:szCs w:val="24"/>
        </w:rPr>
        <w:t xml:space="preserve">determine the net impact of </w:t>
      </w:r>
      <w:r w:rsidR="00C408DC">
        <w:rPr>
          <w:rFonts w:asciiTheme="majorHAnsi" w:eastAsiaTheme="majorEastAsia" w:hAnsiTheme="majorHAnsi" w:cstheme="majorBidi"/>
          <w:bCs/>
          <w:color w:val="000000" w:themeColor="text1"/>
          <w:sz w:val="24"/>
          <w:szCs w:val="24"/>
        </w:rPr>
        <w:t>the tax expenditure, i.e.</w:t>
      </w:r>
      <w:r w:rsidR="00AE1996">
        <w:rPr>
          <w:rFonts w:asciiTheme="majorHAnsi" w:eastAsiaTheme="majorEastAsia" w:hAnsiTheme="majorHAnsi" w:cstheme="majorBidi"/>
          <w:bCs/>
          <w:color w:val="000000" w:themeColor="text1"/>
          <w:sz w:val="24"/>
          <w:szCs w:val="24"/>
        </w:rPr>
        <w:t>,</w:t>
      </w:r>
      <w:r w:rsidR="00C408DC">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total </w:t>
      </w:r>
      <w:r w:rsidR="00C33F4E">
        <w:rPr>
          <w:rFonts w:asciiTheme="majorHAnsi" w:eastAsiaTheme="majorEastAsia" w:hAnsiTheme="majorHAnsi" w:cstheme="majorBidi"/>
          <w:bCs/>
          <w:color w:val="000000" w:themeColor="text1"/>
          <w:sz w:val="24"/>
          <w:szCs w:val="24"/>
        </w:rPr>
        <w:t>benefits</w:t>
      </w:r>
      <w:r w:rsidR="003C031E">
        <w:rPr>
          <w:rFonts w:asciiTheme="majorHAnsi" w:eastAsiaTheme="majorEastAsia" w:hAnsiTheme="majorHAnsi" w:cstheme="majorBidi"/>
          <w:bCs/>
          <w:color w:val="000000" w:themeColor="text1"/>
          <w:sz w:val="24"/>
          <w:szCs w:val="24"/>
        </w:rPr>
        <w:t xml:space="preserve"> (including direct, indirect and induced </w:t>
      </w:r>
      <w:r w:rsidR="00FC6996">
        <w:rPr>
          <w:rFonts w:asciiTheme="majorHAnsi" w:eastAsiaTheme="majorEastAsia" w:hAnsiTheme="majorHAnsi" w:cstheme="majorBidi"/>
          <w:bCs/>
          <w:color w:val="000000" w:themeColor="text1"/>
          <w:sz w:val="24"/>
          <w:szCs w:val="24"/>
        </w:rPr>
        <w:t>benefits</w:t>
      </w:r>
      <w:r w:rsidR="00AE1996">
        <w:rPr>
          <w:rFonts w:asciiTheme="majorHAnsi" w:eastAsiaTheme="majorEastAsia" w:hAnsiTheme="majorHAnsi" w:cstheme="majorBidi"/>
          <w:bCs/>
          <w:color w:val="000000" w:themeColor="text1"/>
          <w:sz w:val="24"/>
          <w:szCs w:val="24"/>
        </w:rPr>
        <w:t>)</w:t>
      </w:r>
      <w:r w:rsidR="00C33F4E">
        <w:rPr>
          <w:rFonts w:asciiTheme="majorHAnsi" w:eastAsiaTheme="majorEastAsia" w:hAnsiTheme="majorHAnsi" w:cstheme="majorBidi"/>
          <w:bCs/>
          <w:color w:val="000000" w:themeColor="text1"/>
          <w:sz w:val="24"/>
          <w:szCs w:val="24"/>
        </w:rPr>
        <w:t xml:space="preserve"> </w:t>
      </w:r>
      <w:r w:rsidR="00AE1996">
        <w:rPr>
          <w:rFonts w:asciiTheme="majorHAnsi" w:eastAsiaTheme="majorEastAsia" w:hAnsiTheme="majorHAnsi" w:cstheme="majorBidi"/>
          <w:bCs/>
          <w:color w:val="000000" w:themeColor="text1"/>
          <w:sz w:val="24"/>
          <w:szCs w:val="24"/>
        </w:rPr>
        <w:t>offset by</w:t>
      </w:r>
      <w:r w:rsidR="00C408DC">
        <w:rPr>
          <w:rFonts w:asciiTheme="majorHAnsi" w:eastAsiaTheme="majorEastAsia" w:hAnsiTheme="majorHAnsi" w:cstheme="majorBidi"/>
          <w:bCs/>
          <w:color w:val="000000" w:themeColor="text1"/>
          <w:sz w:val="24"/>
          <w:szCs w:val="24"/>
        </w:rPr>
        <w:t xml:space="preserve"> </w:t>
      </w:r>
      <w:r w:rsidR="00C33F4E">
        <w:rPr>
          <w:rFonts w:asciiTheme="majorHAnsi" w:eastAsiaTheme="majorEastAsia" w:hAnsiTheme="majorHAnsi" w:cstheme="majorBidi"/>
          <w:bCs/>
          <w:color w:val="000000" w:themeColor="text1"/>
          <w:sz w:val="24"/>
          <w:szCs w:val="24"/>
        </w:rPr>
        <w:t xml:space="preserve">the </w:t>
      </w:r>
      <w:r w:rsidR="00FC6996">
        <w:rPr>
          <w:rFonts w:asciiTheme="majorHAnsi" w:eastAsiaTheme="majorEastAsia" w:hAnsiTheme="majorHAnsi" w:cstheme="majorBidi"/>
          <w:bCs/>
          <w:color w:val="000000" w:themeColor="text1"/>
          <w:sz w:val="24"/>
          <w:szCs w:val="24"/>
        </w:rPr>
        <w:t>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sidR="00633B2E">
        <w:rPr>
          <w:rFonts w:asciiTheme="majorHAnsi" w:eastAsiaTheme="majorEastAsia" w:hAnsiTheme="majorHAnsi" w:cstheme="majorBidi"/>
          <w:bCs/>
          <w:color w:val="000000" w:themeColor="text1"/>
          <w:sz w:val="24"/>
          <w:szCs w:val="24"/>
        </w:rPr>
        <w:t xml:space="preserve">the model of </w:t>
      </w:r>
      <w:r w:rsidR="00C33F4E">
        <w:rPr>
          <w:rFonts w:asciiTheme="majorHAnsi" w:eastAsiaTheme="majorEastAsia" w:hAnsiTheme="majorHAnsi" w:cstheme="majorBidi"/>
          <w:bCs/>
          <w:color w:val="000000" w:themeColor="text1"/>
          <w:sz w:val="24"/>
          <w:szCs w:val="24"/>
        </w:rPr>
        <w:t>“</w:t>
      </w:r>
      <w:r w:rsidRPr="00DF1213">
        <w:rPr>
          <w:rFonts w:asciiTheme="majorHAnsi" w:eastAsiaTheme="majorEastAsia" w:hAnsiTheme="majorHAnsi" w:cstheme="majorBidi"/>
          <w:bCs/>
          <w:color w:val="000000" w:themeColor="text1"/>
          <w:sz w:val="24"/>
          <w:szCs w:val="24"/>
        </w:rPr>
        <w:t>Tax-PI</w:t>
      </w:r>
      <w:r w:rsidR="00C33F4E">
        <w:rPr>
          <w:rFonts w:asciiTheme="majorHAnsi" w:eastAsiaTheme="majorEastAsia" w:hAnsiTheme="majorHAnsi" w:cstheme="majorBidi"/>
          <w:bCs/>
          <w:color w:val="000000" w:themeColor="text1"/>
          <w:sz w:val="24"/>
          <w:szCs w:val="24"/>
        </w:rPr>
        <w:t>” developed by Regional Economic Models Incorporated (“REMI”).</w:t>
      </w:r>
      <w:r w:rsidR="00F95C5D">
        <w:rPr>
          <w:rStyle w:val="FootnoteReference"/>
          <w:rFonts w:asciiTheme="majorHAnsi" w:eastAsiaTheme="majorEastAsia" w:hAnsiTheme="majorHAnsi"/>
          <w:bCs/>
          <w:color w:val="000000" w:themeColor="text1"/>
          <w:sz w:val="24"/>
          <w:szCs w:val="24"/>
        </w:rPr>
        <w:footnoteReference w:id="3"/>
      </w:r>
      <w:r w:rsidR="00C33F4E">
        <w:rPr>
          <w:rFonts w:asciiTheme="majorHAnsi" w:eastAsiaTheme="majorEastAsia" w:hAnsiTheme="majorHAnsi" w:cstheme="majorBidi"/>
          <w:bCs/>
          <w:color w:val="000000" w:themeColor="text1"/>
          <w:sz w:val="24"/>
          <w:szCs w:val="24"/>
        </w:rPr>
        <w:t xml:space="preserve">  </w:t>
      </w:r>
      <w:r w:rsidR="00C408DC">
        <w:rPr>
          <w:rFonts w:asciiTheme="majorHAnsi" w:eastAsiaTheme="majorEastAsia" w:hAnsiTheme="majorHAnsi" w:cstheme="majorBidi"/>
          <w:bCs/>
          <w:color w:val="000000" w:themeColor="text1"/>
          <w:sz w:val="24"/>
          <w:szCs w:val="24"/>
        </w:rPr>
        <w:t>See the appendix for details.</w:t>
      </w:r>
    </w:p>
    <w:p w14:paraId="32B89929" w14:textId="77777777" w:rsidR="009201C7" w:rsidRDefault="009201C7" w:rsidP="009201C7">
      <w:pPr>
        <w:tabs>
          <w:tab w:val="left" w:pos="7050"/>
        </w:tabs>
        <w:spacing w:after="0"/>
        <w:rPr>
          <w:rFonts w:asciiTheme="majorHAnsi" w:hAnsiTheme="majorHAnsi"/>
          <w:bCs/>
          <w:sz w:val="24"/>
          <w:szCs w:val="23"/>
        </w:rPr>
      </w:pPr>
    </w:p>
    <w:p w14:paraId="6ED88D70" w14:textId="6511C01E" w:rsidR="009201C7" w:rsidRDefault="003051E5" w:rsidP="009201C7">
      <w:pPr>
        <w:tabs>
          <w:tab w:val="left" w:pos="7050"/>
        </w:tabs>
        <w:spacing w:after="0"/>
        <w:rPr>
          <w:rFonts w:asciiTheme="majorHAnsi" w:hAnsiTheme="majorHAnsi"/>
          <w:bCs/>
          <w:sz w:val="24"/>
          <w:szCs w:val="23"/>
        </w:rPr>
      </w:pPr>
      <w:r>
        <w:rPr>
          <w:rFonts w:asciiTheme="majorHAnsi" w:hAnsiTheme="majorHAnsi"/>
          <w:bCs/>
          <w:sz w:val="24"/>
          <w:szCs w:val="23"/>
        </w:rPr>
        <w:t xml:space="preserve">The </w:t>
      </w:r>
      <w:r w:rsidR="001A2B3C">
        <w:rPr>
          <w:rFonts w:asciiTheme="majorHAnsi" w:hAnsiTheme="majorHAnsi"/>
          <w:bCs/>
          <w:sz w:val="24"/>
          <w:szCs w:val="23"/>
        </w:rPr>
        <w:t xml:space="preserve">estimated </w:t>
      </w:r>
      <w:r>
        <w:rPr>
          <w:rFonts w:asciiTheme="majorHAnsi" w:hAnsiTheme="majorHAnsi"/>
          <w:bCs/>
          <w:sz w:val="24"/>
          <w:szCs w:val="23"/>
        </w:rPr>
        <w:t xml:space="preserve">net </w:t>
      </w:r>
      <w:r w:rsidR="00BA41E7">
        <w:rPr>
          <w:rFonts w:asciiTheme="majorHAnsi" w:hAnsiTheme="majorHAnsi"/>
          <w:bCs/>
          <w:sz w:val="24"/>
          <w:szCs w:val="23"/>
        </w:rPr>
        <w:t>impact</w:t>
      </w:r>
      <w:r>
        <w:rPr>
          <w:rFonts w:asciiTheme="majorHAnsi" w:hAnsiTheme="majorHAnsi"/>
          <w:bCs/>
          <w:sz w:val="24"/>
          <w:szCs w:val="23"/>
        </w:rPr>
        <w:t xml:space="preserve"> of the tax expenditure </w:t>
      </w:r>
      <w:r w:rsidR="001A2B3C">
        <w:rPr>
          <w:rFonts w:asciiTheme="majorHAnsi" w:hAnsiTheme="majorHAnsi"/>
          <w:bCs/>
          <w:sz w:val="24"/>
          <w:szCs w:val="23"/>
        </w:rPr>
        <w:t xml:space="preserve">for fiscal years 2018 through 2022 </w:t>
      </w:r>
      <w:r>
        <w:rPr>
          <w:rFonts w:asciiTheme="majorHAnsi" w:hAnsiTheme="majorHAnsi"/>
          <w:bCs/>
          <w:sz w:val="24"/>
          <w:szCs w:val="23"/>
        </w:rPr>
        <w:t xml:space="preserve">are shown in </w:t>
      </w:r>
      <w:r w:rsidR="009201C7" w:rsidRPr="00A76DAE">
        <w:rPr>
          <w:rFonts w:asciiTheme="majorHAnsi" w:hAnsiTheme="majorHAnsi"/>
          <w:bCs/>
          <w:sz w:val="24"/>
          <w:szCs w:val="23"/>
        </w:rPr>
        <w:t xml:space="preserve">Tables </w:t>
      </w:r>
      <w:r w:rsidR="00FB737B">
        <w:rPr>
          <w:rFonts w:asciiTheme="majorHAnsi" w:hAnsiTheme="majorHAnsi"/>
          <w:bCs/>
          <w:sz w:val="24"/>
          <w:szCs w:val="23"/>
        </w:rPr>
        <w:t>6</w:t>
      </w:r>
      <w:r w:rsidR="00FB737B" w:rsidRPr="00A76DAE">
        <w:rPr>
          <w:rFonts w:asciiTheme="majorHAnsi" w:hAnsiTheme="majorHAnsi"/>
          <w:bCs/>
          <w:sz w:val="24"/>
          <w:szCs w:val="23"/>
        </w:rPr>
        <w:t xml:space="preserve"> </w:t>
      </w:r>
      <w:r w:rsidR="009201C7" w:rsidRPr="00A76DAE">
        <w:rPr>
          <w:rFonts w:asciiTheme="majorHAnsi" w:hAnsiTheme="majorHAnsi"/>
          <w:bCs/>
          <w:sz w:val="24"/>
          <w:szCs w:val="23"/>
        </w:rPr>
        <w:t xml:space="preserve">and </w:t>
      </w:r>
      <w:r w:rsidR="00FB737B">
        <w:rPr>
          <w:rFonts w:asciiTheme="majorHAnsi" w:hAnsiTheme="majorHAnsi"/>
          <w:bCs/>
          <w:sz w:val="24"/>
          <w:szCs w:val="23"/>
        </w:rPr>
        <w:t>7</w:t>
      </w:r>
      <w:r>
        <w:rPr>
          <w:rFonts w:asciiTheme="majorHAnsi" w:hAnsiTheme="majorHAnsi"/>
          <w:bCs/>
          <w:sz w:val="24"/>
          <w:szCs w:val="23"/>
        </w:rPr>
        <w:t>.  As</w:t>
      </w:r>
      <w:r w:rsidR="009201C7" w:rsidRPr="00A76DAE">
        <w:rPr>
          <w:rFonts w:asciiTheme="majorHAnsi" w:hAnsiTheme="majorHAnsi"/>
          <w:bCs/>
          <w:sz w:val="24"/>
          <w:szCs w:val="23"/>
        </w:rPr>
        <w:t xml:space="preserve"> show</w:t>
      </w:r>
      <w:r>
        <w:rPr>
          <w:rFonts w:asciiTheme="majorHAnsi" w:hAnsiTheme="majorHAnsi"/>
          <w:bCs/>
          <w:sz w:val="24"/>
          <w:szCs w:val="23"/>
        </w:rPr>
        <w:t>n,</w:t>
      </w:r>
      <w:r w:rsidR="009201C7" w:rsidRPr="00A76DAE">
        <w:rPr>
          <w:rFonts w:asciiTheme="majorHAnsi" w:hAnsiTheme="majorHAnsi"/>
          <w:bCs/>
          <w:sz w:val="24"/>
          <w:szCs w:val="23"/>
        </w:rPr>
        <w:t xml:space="preserve"> the </w:t>
      </w:r>
      <w:r w:rsidR="009201C7">
        <w:rPr>
          <w:rFonts w:asciiTheme="majorHAnsi" w:hAnsiTheme="majorHAnsi"/>
          <w:bCs/>
          <w:sz w:val="24"/>
          <w:szCs w:val="23"/>
        </w:rPr>
        <w:t>research</w:t>
      </w:r>
      <w:r w:rsidR="009201C7" w:rsidRPr="00A76DAE">
        <w:rPr>
          <w:rFonts w:asciiTheme="majorHAnsi" w:hAnsiTheme="majorHAnsi"/>
          <w:bCs/>
          <w:sz w:val="24"/>
          <w:szCs w:val="23"/>
        </w:rPr>
        <w:t xml:space="preserve"> tax credit combined with a cut in state government spending of the same amount results in less economic activities, with real state GDP decreasing</w:t>
      </w:r>
      <w:r w:rsidR="009201C7">
        <w:rPr>
          <w:rFonts w:asciiTheme="majorHAnsi" w:hAnsiTheme="majorHAnsi"/>
          <w:bCs/>
          <w:sz w:val="24"/>
          <w:szCs w:val="23"/>
        </w:rPr>
        <w:t xml:space="preserve"> by $128 million-</w:t>
      </w:r>
      <w:r w:rsidR="009201C7" w:rsidRPr="00A76DAE">
        <w:rPr>
          <w:rFonts w:asciiTheme="majorHAnsi" w:hAnsiTheme="majorHAnsi"/>
          <w:bCs/>
          <w:sz w:val="24"/>
          <w:szCs w:val="23"/>
        </w:rPr>
        <w:t>$</w:t>
      </w:r>
      <w:r w:rsidR="009201C7">
        <w:rPr>
          <w:rFonts w:asciiTheme="majorHAnsi" w:hAnsiTheme="majorHAnsi"/>
          <w:bCs/>
          <w:sz w:val="24"/>
          <w:szCs w:val="23"/>
        </w:rPr>
        <w:t>191</w:t>
      </w:r>
      <w:r w:rsidR="009201C7" w:rsidRPr="00A76DAE">
        <w:rPr>
          <w:rFonts w:asciiTheme="majorHAnsi" w:hAnsiTheme="majorHAnsi"/>
          <w:bCs/>
          <w:sz w:val="24"/>
          <w:szCs w:val="23"/>
        </w:rPr>
        <w:t xml:space="preserve"> million. The net impact on total employment is negative</w:t>
      </w:r>
      <w:r w:rsidR="00D334C1">
        <w:rPr>
          <w:rFonts w:asciiTheme="majorHAnsi" w:hAnsiTheme="majorHAnsi"/>
          <w:bCs/>
          <w:sz w:val="24"/>
          <w:szCs w:val="23"/>
        </w:rPr>
        <w:t>,</w:t>
      </w:r>
      <w:r w:rsidR="009201C7" w:rsidRPr="00A76DAE">
        <w:rPr>
          <w:rFonts w:asciiTheme="majorHAnsi" w:hAnsiTheme="majorHAnsi"/>
          <w:bCs/>
          <w:sz w:val="24"/>
          <w:szCs w:val="23"/>
        </w:rPr>
        <w:t xml:space="preserve"> decreasing </w:t>
      </w:r>
      <w:r w:rsidR="009201C7">
        <w:rPr>
          <w:rFonts w:asciiTheme="majorHAnsi" w:hAnsiTheme="majorHAnsi"/>
          <w:bCs/>
          <w:sz w:val="24"/>
          <w:szCs w:val="23"/>
        </w:rPr>
        <w:t>by 2,479 – 3,226</w:t>
      </w:r>
      <w:r w:rsidR="009201C7" w:rsidRPr="00A76DAE">
        <w:rPr>
          <w:rFonts w:asciiTheme="majorHAnsi" w:hAnsiTheme="majorHAnsi"/>
          <w:bCs/>
          <w:sz w:val="24"/>
          <w:szCs w:val="23"/>
        </w:rPr>
        <w:t xml:space="preserve"> </w:t>
      </w:r>
      <w:r w:rsidR="009201C7">
        <w:rPr>
          <w:rFonts w:asciiTheme="majorHAnsi" w:hAnsiTheme="majorHAnsi"/>
          <w:bCs/>
          <w:sz w:val="24"/>
          <w:szCs w:val="23"/>
        </w:rPr>
        <w:t xml:space="preserve">jobs </w:t>
      </w:r>
      <w:r w:rsidR="009201C7" w:rsidRPr="00A76DAE">
        <w:rPr>
          <w:rFonts w:asciiTheme="majorHAnsi" w:hAnsiTheme="majorHAnsi"/>
          <w:bCs/>
          <w:sz w:val="24"/>
          <w:szCs w:val="23"/>
        </w:rPr>
        <w:t xml:space="preserve">annually. The </w:t>
      </w:r>
      <w:r w:rsidR="00D334C1">
        <w:rPr>
          <w:rFonts w:asciiTheme="majorHAnsi" w:hAnsiTheme="majorHAnsi"/>
          <w:bCs/>
          <w:sz w:val="24"/>
          <w:szCs w:val="23"/>
        </w:rPr>
        <w:t xml:space="preserve">net additional </w:t>
      </w:r>
      <w:r w:rsidR="009201C7" w:rsidRPr="00A76DAE">
        <w:rPr>
          <w:rFonts w:asciiTheme="majorHAnsi" w:hAnsiTheme="majorHAnsi"/>
          <w:bCs/>
          <w:sz w:val="24"/>
          <w:szCs w:val="23"/>
        </w:rPr>
        <w:t xml:space="preserve">impact on </w:t>
      </w:r>
      <w:r w:rsidR="009201C7">
        <w:rPr>
          <w:rFonts w:asciiTheme="majorHAnsi" w:hAnsiTheme="majorHAnsi"/>
          <w:bCs/>
          <w:sz w:val="24"/>
          <w:szCs w:val="23"/>
        </w:rPr>
        <w:t xml:space="preserve">state </w:t>
      </w:r>
      <w:r w:rsidR="009201C7" w:rsidRPr="00A76DAE">
        <w:rPr>
          <w:rFonts w:asciiTheme="majorHAnsi" w:hAnsiTheme="majorHAnsi"/>
          <w:bCs/>
          <w:sz w:val="24"/>
          <w:szCs w:val="23"/>
        </w:rPr>
        <w:t>revenues</w:t>
      </w:r>
      <w:r w:rsidR="00AF22CA">
        <w:rPr>
          <w:rStyle w:val="FootnoteReference"/>
          <w:rFonts w:asciiTheme="majorHAnsi" w:hAnsiTheme="majorHAnsi"/>
          <w:bCs/>
          <w:sz w:val="24"/>
          <w:szCs w:val="23"/>
        </w:rPr>
        <w:footnoteReference w:id="4"/>
      </w:r>
      <w:r w:rsidR="009201C7" w:rsidRPr="00A76DAE">
        <w:rPr>
          <w:rFonts w:asciiTheme="majorHAnsi" w:hAnsiTheme="majorHAnsi"/>
          <w:bCs/>
          <w:sz w:val="24"/>
          <w:szCs w:val="23"/>
        </w:rPr>
        <w:t xml:space="preserve"> is also negative, decreasing </w:t>
      </w:r>
      <w:r w:rsidR="009201C7">
        <w:rPr>
          <w:rFonts w:asciiTheme="majorHAnsi" w:hAnsiTheme="majorHAnsi"/>
          <w:bCs/>
          <w:sz w:val="24"/>
          <w:szCs w:val="23"/>
        </w:rPr>
        <w:t>by</w:t>
      </w:r>
      <w:r w:rsidR="009201C7" w:rsidRPr="00A76DAE">
        <w:rPr>
          <w:rFonts w:asciiTheme="majorHAnsi" w:hAnsiTheme="majorHAnsi"/>
          <w:bCs/>
          <w:sz w:val="24"/>
          <w:szCs w:val="23"/>
        </w:rPr>
        <w:t xml:space="preserve"> $</w:t>
      </w:r>
      <w:r w:rsidR="009201C7">
        <w:rPr>
          <w:rFonts w:asciiTheme="majorHAnsi" w:hAnsiTheme="majorHAnsi"/>
          <w:bCs/>
          <w:sz w:val="24"/>
          <w:szCs w:val="23"/>
        </w:rPr>
        <w:t>4.4</w:t>
      </w:r>
      <w:r w:rsidR="009201C7" w:rsidRPr="00A76DAE">
        <w:rPr>
          <w:rFonts w:asciiTheme="majorHAnsi" w:hAnsiTheme="majorHAnsi"/>
          <w:bCs/>
          <w:sz w:val="24"/>
          <w:szCs w:val="23"/>
        </w:rPr>
        <w:t xml:space="preserve"> million</w:t>
      </w:r>
      <w:r w:rsidR="009201C7">
        <w:rPr>
          <w:rFonts w:asciiTheme="majorHAnsi" w:hAnsiTheme="majorHAnsi"/>
          <w:bCs/>
          <w:sz w:val="24"/>
          <w:szCs w:val="23"/>
        </w:rPr>
        <w:t>-</w:t>
      </w:r>
      <w:r w:rsidR="009201C7" w:rsidRPr="00A76DAE">
        <w:rPr>
          <w:rFonts w:asciiTheme="majorHAnsi" w:hAnsiTheme="majorHAnsi"/>
          <w:bCs/>
          <w:sz w:val="24"/>
          <w:szCs w:val="23"/>
        </w:rPr>
        <w:t xml:space="preserve"> $</w:t>
      </w:r>
      <w:r w:rsidR="009201C7">
        <w:rPr>
          <w:rFonts w:asciiTheme="majorHAnsi" w:hAnsiTheme="majorHAnsi"/>
          <w:bCs/>
          <w:sz w:val="24"/>
          <w:szCs w:val="23"/>
        </w:rPr>
        <w:t>10.0</w:t>
      </w:r>
      <w:r w:rsidR="009201C7" w:rsidRPr="00A76DAE">
        <w:rPr>
          <w:rFonts w:asciiTheme="majorHAnsi" w:hAnsiTheme="majorHAnsi"/>
          <w:bCs/>
          <w:sz w:val="24"/>
          <w:szCs w:val="23"/>
        </w:rPr>
        <w:t xml:space="preserve"> million annually.</w:t>
      </w:r>
    </w:p>
    <w:p w14:paraId="04B6EFD6" w14:textId="77777777" w:rsidR="003051E5" w:rsidRDefault="003051E5" w:rsidP="009201C7">
      <w:pPr>
        <w:tabs>
          <w:tab w:val="left" w:pos="7050"/>
        </w:tabs>
        <w:spacing w:after="0"/>
        <w:rPr>
          <w:rFonts w:asciiTheme="majorHAnsi" w:hAnsiTheme="majorHAnsi"/>
          <w:bCs/>
          <w:sz w:val="24"/>
          <w:szCs w:val="23"/>
        </w:rPr>
      </w:pPr>
    </w:p>
    <w:p w14:paraId="791B98D0" w14:textId="77777777" w:rsidR="009201C7" w:rsidRDefault="009201C7" w:rsidP="009201C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FB737B">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Research Credit*</w:t>
      </w:r>
    </w:p>
    <w:tbl>
      <w:tblPr>
        <w:tblW w:w="9350" w:type="dxa"/>
        <w:tblLook w:val="04A0" w:firstRow="1" w:lastRow="0" w:firstColumn="1" w:lastColumn="0" w:noHBand="0" w:noVBand="1"/>
      </w:tblPr>
      <w:tblGrid>
        <w:gridCol w:w="3835"/>
        <w:gridCol w:w="1103"/>
        <w:gridCol w:w="1103"/>
        <w:gridCol w:w="1103"/>
        <w:gridCol w:w="1103"/>
        <w:gridCol w:w="1103"/>
      </w:tblGrid>
      <w:tr w:rsidR="009201C7" w:rsidRPr="00E072E2" w14:paraId="38BD4917" w14:textId="77777777" w:rsidTr="002E5D41">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2C26CFB"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67DBB81E"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333360E"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0EADAB27"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378BB895"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0634F590"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9201C7" w:rsidRPr="00E072E2" w14:paraId="562C2FAB" w14:textId="77777777" w:rsidTr="002E5D41">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0A9BE89" w14:textId="77777777" w:rsidR="009201C7" w:rsidRPr="00E072E2" w:rsidRDefault="009201C7" w:rsidP="002E5D41">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7D0A"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-$4,367</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66CB85B"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-$8,755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23E95F17"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-$8,279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AF1BBA3"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-$9,284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6B84497" w14:textId="77777777" w:rsidR="009201C7" w:rsidRPr="00E072E2"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-$10,035</w:t>
            </w:r>
          </w:p>
        </w:tc>
      </w:tr>
    </w:tbl>
    <w:p w14:paraId="782D92A7" w14:textId="77777777" w:rsidR="009201C7" w:rsidRDefault="009201C7" w:rsidP="009201C7">
      <w:pPr>
        <w:tabs>
          <w:tab w:val="left" w:pos="7050"/>
        </w:tabs>
        <w:spacing w:after="0"/>
        <w:rPr>
          <w:rFonts w:asciiTheme="majorHAnsi" w:hAnsiTheme="majorHAnsi"/>
          <w:bCs/>
          <w:sz w:val="20"/>
          <w:szCs w:val="20"/>
        </w:rPr>
      </w:pPr>
      <w:r>
        <w:rPr>
          <w:rFonts w:asciiTheme="majorHAnsi" w:hAnsiTheme="majorHAnsi"/>
          <w:bCs/>
          <w:sz w:val="20"/>
          <w:szCs w:val="20"/>
        </w:rPr>
        <w:t>* assuming state government spending is cut by the same amount as the research tax credit to balance budget.</w:t>
      </w:r>
    </w:p>
    <w:p w14:paraId="07600137" w14:textId="77777777" w:rsidR="009201C7" w:rsidRDefault="009201C7" w:rsidP="009201C7">
      <w:pPr>
        <w:tabs>
          <w:tab w:val="left" w:pos="7050"/>
        </w:tabs>
        <w:spacing w:after="0"/>
        <w:rPr>
          <w:rFonts w:asciiTheme="majorHAnsi" w:hAnsiTheme="majorHAnsi"/>
          <w:sz w:val="24"/>
          <w:szCs w:val="24"/>
        </w:rPr>
      </w:pPr>
    </w:p>
    <w:p w14:paraId="091B47DE" w14:textId="77777777" w:rsidR="009201C7" w:rsidRDefault="009201C7" w:rsidP="009201C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FB737B">
        <w:rPr>
          <w:rFonts w:asciiTheme="majorHAnsi" w:eastAsiaTheme="majorEastAsia" w:hAnsiTheme="majorHAnsi" w:cstheme="majorBidi"/>
          <w:b/>
          <w:color w:val="000000" w:themeColor="text1"/>
          <w:sz w:val="24"/>
          <w:szCs w:val="24"/>
        </w:rPr>
        <w:t>7</w:t>
      </w:r>
      <w:r w:rsidRPr="00366FFC">
        <w:rPr>
          <w:rFonts w:asciiTheme="majorHAnsi" w:eastAsiaTheme="majorEastAsia" w:hAnsiTheme="majorHAnsi" w:cstheme="majorBidi"/>
          <w:b/>
          <w:color w:val="000000" w:themeColor="text1"/>
          <w:sz w:val="24"/>
          <w:szCs w:val="24"/>
        </w:rPr>
        <w:t xml:space="preserve">. </w:t>
      </w:r>
      <w:r w:rsidR="00501246">
        <w:rPr>
          <w:rFonts w:asciiTheme="majorHAnsi" w:eastAsiaTheme="majorEastAsia" w:hAnsiTheme="majorHAnsi" w:cstheme="majorBidi"/>
          <w:b/>
          <w:color w:val="000000" w:themeColor="text1"/>
          <w:sz w:val="24"/>
          <w:szCs w:val="24"/>
        </w:rPr>
        <w:t xml:space="preserve">Net </w:t>
      </w:r>
      <w:r>
        <w:rPr>
          <w:rFonts w:asciiTheme="majorHAnsi" w:eastAsiaTheme="majorEastAsia" w:hAnsiTheme="majorHAnsi" w:cstheme="majorBidi"/>
          <w:b/>
          <w:color w:val="000000" w:themeColor="text1"/>
          <w:sz w:val="24"/>
          <w:szCs w:val="24"/>
        </w:rPr>
        <w:t>Economic Impacts of Research Credit</w:t>
      </w:r>
      <w:r w:rsidR="00501246">
        <w:rPr>
          <w:rFonts w:asciiTheme="majorHAnsi" w:eastAsiaTheme="majorEastAsia" w:hAnsiTheme="majorHAnsi" w:cstheme="majorBidi"/>
          <w:b/>
          <w:color w:val="000000" w:themeColor="text1"/>
          <w:sz w:val="24"/>
          <w:szCs w:val="24"/>
        </w:rPr>
        <w:t xml:space="preserve"> by Selected Economic Measure</w:t>
      </w:r>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365"/>
        <w:gridCol w:w="1197"/>
        <w:gridCol w:w="1197"/>
        <w:gridCol w:w="1197"/>
        <w:gridCol w:w="1197"/>
        <w:gridCol w:w="1197"/>
      </w:tblGrid>
      <w:tr w:rsidR="009201C7" w:rsidRPr="00A94F48" w14:paraId="37211E4A" w14:textId="77777777" w:rsidTr="002E5D41">
        <w:trPr>
          <w:trHeight w:val="380"/>
        </w:trPr>
        <w:tc>
          <w:tcPr>
            <w:tcW w:w="287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6A0BB8E"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0F48215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5D349A1E"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609469E"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6CE6ED71"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2300447"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9201C7" w:rsidRPr="00A94F48" w14:paraId="0C3A7056" w14:textId="77777777" w:rsidTr="002E5D41">
        <w:trPr>
          <w:trHeight w:val="58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C93D886" w14:textId="77777777" w:rsidR="009201C7" w:rsidRPr="00A94F48" w:rsidRDefault="009201C7" w:rsidP="002E5D41">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45C7"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-3,071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30FA682"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-2,731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A737A15"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-2,479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B1F3B98"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-3,226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F706"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-2,880</w:t>
            </w:r>
          </w:p>
        </w:tc>
      </w:tr>
      <w:tr w:rsidR="009201C7" w:rsidRPr="00A94F48" w14:paraId="03F9B0C2" w14:textId="77777777" w:rsidTr="002E5D41">
        <w:trPr>
          <w:trHeight w:val="5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8F446F2" w14:textId="77777777" w:rsidR="009201C7" w:rsidRPr="00A94F48" w:rsidRDefault="009201C7" w:rsidP="002E5D41">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E527222"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-67</w:t>
            </w:r>
          </w:p>
        </w:tc>
        <w:tc>
          <w:tcPr>
            <w:tcW w:w="1008" w:type="dxa"/>
            <w:tcBorders>
              <w:top w:val="nil"/>
              <w:left w:val="nil"/>
              <w:bottom w:val="single" w:sz="4" w:space="0" w:color="auto"/>
              <w:right w:val="single" w:sz="4" w:space="0" w:color="auto"/>
            </w:tcBorders>
            <w:shd w:val="clear" w:color="auto" w:fill="auto"/>
            <w:noWrap/>
            <w:vAlign w:val="center"/>
            <w:hideMark/>
          </w:tcPr>
          <w:p w14:paraId="0BF12905"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267</w:t>
            </w:r>
          </w:p>
        </w:tc>
        <w:tc>
          <w:tcPr>
            <w:tcW w:w="1008" w:type="dxa"/>
            <w:tcBorders>
              <w:top w:val="nil"/>
              <w:left w:val="nil"/>
              <w:bottom w:val="single" w:sz="4" w:space="0" w:color="auto"/>
              <w:right w:val="single" w:sz="4" w:space="0" w:color="auto"/>
            </w:tcBorders>
            <w:shd w:val="clear" w:color="auto" w:fill="auto"/>
            <w:noWrap/>
            <w:vAlign w:val="center"/>
            <w:hideMark/>
          </w:tcPr>
          <w:p w14:paraId="3DBF4DC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466</w:t>
            </w:r>
          </w:p>
        </w:tc>
        <w:tc>
          <w:tcPr>
            <w:tcW w:w="1008" w:type="dxa"/>
            <w:tcBorders>
              <w:top w:val="nil"/>
              <w:left w:val="nil"/>
              <w:bottom w:val="single" w:sz="4" w:space="0" w:color="auto"/>
              <w:right w:val="single" w:sz="4" w:space="0" w:color="auto"/>
            </w:tcBorders>
            <w:shd w:val="clear" w:color="auto" w:fill="auto"/>
            <w:noWrap/>
            <w:vAlign w:val="center"/>
            <w:hideMark/>
          </w:tcPr>
          <w:p w14:paraId="6F189905"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633</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DB35612"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892</w:t>
            </w:r>
          </w:p>
        </w:tc>
      </w:tr>
      <w:tr w:rsidR="009201C7" w:rsidRPr="00A94F48" w14:paraId="3F7BCB5D" w14:textId="77777777" w:rsidTr="002E5D41">
        <w:trPr>
          <w:trHeight w:val="5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CFEA924" w14:textId="77777777" w:rsidR="009201C7" w:rsidRPr="00A94F48" w:rsidRDefault="009201C7" w:rsidP="002E5D41">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0AB996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-$191,000</w:t>
            </w:r>
          </w:p>
        </w:tc>
        <w:tc>
          <w:tcPr>
            <w:tcW w:w="1008" w:type="dxa"/>
            <w:tcBorders>
              <w:top w:val="nil"/>
              <w:left w:val="nil"/>
              <w:bottom w:val="single" w:sz="4" w:space="0" w:color="auto"/>
              <w:right w:val="single" w:sz="4" w:space="0" w:color="auto"/>
            </w:tcBorders>
            <w:shd w:val="clear" w:color="auto" w:fill="auto"/>
            <w:noWrap/>
            <w:vAlign w:val="center"/>
            <w:hideMark/>
          </w:tcPr>
          <w:p w14:paraId="0229D227"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-$155,000</w:t>
            </w:r>
          </w:p>
        </w:tc>
        <w:tc>
          <w:tcPr>
            <w:tcW w:w="1008" w:type="dxa"/>
            <w:tcBorders>
              <w:top w:val="nil"/>
              <w:left w:val="nil"/>
              <w:bottom w:val="single" w:sz="4" w:space="0" w:color="auto"/>
              <w:right w:val="single" w:sz="4" w:space="0" w:color="auto"/>
            </w:tcBorders>
            <w:shd w:val="clear" w:color="auto" w:fill="auto"/>
            <w:noWrap/>
            <w:vAlign w:val="center"/>
            <w:hideMark/>
          </w:tcPr>
          <w:p w14:paraId="196FD6D8"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-$129,000</w:t>
            </w:r>
          </w:p>
        </w:tc>
        <w:tc>
          <w:tcPr>
            <w:tcW w:w="1008" w:type="dxa"/>
            <w:tcBorders>
              <w:top w:val="nil"/>
              <w:left w:val="nil"/>
              <w:bottom w:val="single" w:sz="4" w:space="0" w:color="auto"/>
              <w:right w:val="single" w:sz="4" w:space="0" w:color="auto"/>
            </w:tcBorders>
            <w:shd w:val="clear" w:color="auto" w:fill="auto"/>
            <w:noWrap/>
            <w:vAlign w:val="center"/>
            <w:hideMark/>
          </w:tcPr>
          <w:p w14:paraId="7291EA8B"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-$164,000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2DFD1A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-$128,000</w:t>
            </w:r>
          </w:p>
        </w:tc>
      </w:tr>
      <w:tr w:rsidR="009201C7" w:rsidRPr="00A94F48" w14:paraId="6AE2AE8B" w14:textId="77777777" w:rsidTr="002E5D41">
        <w:trPr>
          <w:trHeight w:val="5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B358FBF" w14:textId="77777777" w:rsidR="009201C7" w:rsidRPr="00A94F48" w:rsidRDefault="009201C7" w:rsidP="002E5D41">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0D84783"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-$204,000</w:t>
            </w:r>
          </w:p>
        </w:tc>
        <w:tc>
          <w:tcPr>
            <w:tcW w:w="1008" w:type="dxa"/>
            <w:tcBorders>
              <w:top w:val="nil"/>
              <w:left w:val="nil"/>
              <w:bottom w:val="single" w:sz="4" w:space="0" w:color="auto"/>
              <w:right w:val="single" w:sz="4" w:space="0" w:color="auto"/>
            </w:tcBorders>
            <w:shd w:val="clear" w:color="auto" w:fill="auto"/>
            <w:noWrap/>
            <w:vAlign w:val="center"/>
            <w:hideMark/>
          </w:tcPr>
          <w:p w14:paraId="243C3E1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-$200,000</w:t>
            </w:r>
          </w:p>
        </w:tc>
        <w:tc>
          <w:tcPr>
            <w:tcW w:w="1008" w:type="dxa"/>
            <w:tcBorders>
              <w:top w:val="nil"/>
              <w:left w:val="nil"/>
              <w:bottom w:val="single" w:sz="4" w:space="0" w:color="auto"/>
              <w:right w:val="single" w:sz="4" w:space="0" w:color="auto"/>
            </w:tcBorders>
            <w:shd w:val="clear" w:color="auto" w:fill="auto"/>
            <w:noWrap/>
            <w:vAlign w:val="center"/>
            <w:hideMark/>
          </w:tcPr>
          <w:p w14:paraId="3627A9F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-$195,000</w:t>
            </w:r>
          </w:p>
        </w:tc>
        <w:tc>
          <w:tcPr>
            <w:tcW w:w="1008" w:type="dxa"/>
            <w:tcBorders>
              <w:top w:val="nil"/>
              <w:left w:val="nil"/>
              <w:bottom w:val="single" w:sz="4" w:space="0" w:color="auto"/>
              <w:right w:val="single" w:sz="4" w:space="0" w:color="auto"/>
            </w:tcBorders>
            <w:shd w:val="clear" w:color="auto" w:fill="auto"/>
            <w:noWrap/>
            <w:vAlign w:val="center"/>
            <w:hideMark/>
          </w:tcPr>
          <w:p w14:paraId="2AB12561"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-$255,000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8F3C53D" w14:textId="77777777" w:rsidR="009201C7" w:rsidRPr="00A94F48" w:rsidRDefault="009201C7" w:rsidP="002E5D41">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-$242,000</w:t>
            </w:r>
          </w:p>
        </w:tc>
      </w:tr>
    </w:tbl>
    <w:p w14:paraId="154EEE3B" w14:textId="77777777" w:rsidR="009201C7" w:rsidRDefault="009201C7" w:rsidP="009201C7">
      <w:pPr>
        <w:tabs>
          <w:tab w:val="left" w:pos="7050"/>
        </w:tabs>
        <w:spacing w:after="0"/>
        <w:rPr>
          <w:rFonts w:asciiTheme="majorHAnsi" w:hAnsiTheme="majorHAnsi"/>
          <w:bCs/>
          <w:sz w:val="20"/>
          <w:szCs w:val="20"/>
        </w:rPr>
      </w:pPr>
      <w:r>
        <w:rPr>
          <w:rFonts w:asciiTheme="majorHAnsi" w:hAnsiTheme="majorHAnsi"/>
          <w:bCs/>
          <w:sz w:val="20"/>
          <w:szCs w:val="20"/>
        </w:rPr>
        <w:t>* assuming state government spending is cut by the same amount as the research tax credit to balance budget.</w:t>
      </w:r>
    </w:p>
    <w:p w14:paraId="1015F7EC" w14:textId="77777777" w:rsidR="003051E5" w:rsidRDefault="003051E5" w:rsidP="003051E5">
      <w:pPr>
        <w:tabs>
          <w:tab w:val="left" w:pos="7050"/>
        </w:tabs>
        <w:spacing w:after="0"/>
        <w:rPr>
          <w:rFonts w:asciiTheme="majorHAnsi" w:hAnsiTheme="majorHAnsi"/>
          <w:bCs/>
          <w:sz w:val="24"/>
          <w:szCs w:val="23"/>
        </w:rPr>
      </w:pPr>
    </w:p>
    <w:p w14:paraId="35D4CBD6" w14:textId="75043C8D" w:rsidR="003051E5" w:rsidRDefault="003051E5" w:rsidP="003051E5">
      <w:pPr>
        <w:tabs>
          <w:tab w:val="left" w:pos="7050"/>
        </w:tabs>
        <w:spacing w:after="0"/>
        <w:rPr>
          <w:rFonts w:asciiTheme="majorHAnsi" w:hAnsiTheme="majorHAnsi"/>
          <w:bCs/>
          <w:sz w:val="24"/>
          <w:szCs w:val="23"/>
        </w:rPr>
      </w:pPr>
      <w:r>
        <w:rPr>
          <w:rFonts w:asciiTheme="majorHAnsi" w:hAnsiTheme="majorHAnsi"/>
          <w:bCs/>
          <w:sz w:val="24"/>
          <w:szCs w:val="23"/>
        </w:rPr>
        <w:t xml:space="preserve">Because the </w:t>
      </w:r>
      <w:r w:rsidR="00BA41E7">
        <w:rPr>
          <w:rFonts w:asciiTheme="majorHAnsi" w:hAnsiTheme="majorHAnsi"/>
          <w:bCs/>
          <w:sz w:val="24"/>
          <w:szCs w:val="23"/>
        </w:rPr>
        <w:t xml:space="preserve">tax </w:t>
      </w:r>
      <w:r w:rsidR="00D334C1">
        <w:rPr>
          <w:rFonts w:asciiTheme="majorHAnsi" w:hAnsiTheme="majorHAnsi"/>
          <w:bCs/>
          <w:sz w:val="24"/>
          <w:szCs w:val="23"/>
        </w:rPr>
        <w:t>expenditure</w:t>
      </w:r>
      <w:r>
        <w:rPr>
          <w:rFonts w:asciiTheme="majorHAnsi" w:hAnsiTheme="majorHAnsi"/>
          <w:bCs/>
          <w:sz w:val="24"/>
          <w:szCs w:val="23"/>
        </w:rPr>
        <w:t xml:space="preserve"> has its own specific purpose, the net negative impacts do not necessarily imply that the tax </w:t>
      </w:r>
      <w:r w:rsidR="00BA41E7">
        <w:rPr>
          <w:rFonts w:asciiTheme="majorHAnsi" w:hAnsiTheme="majorHAnsi"/>
          <w:bCs/>
          <w:sz w:val="24"/>
          <w:szCs w:val="23"/>
        </w:rPr>
        <w:t>expenditure</w:t>
      </w:r>
      <w:r>
        <w:rPr>
          <w:rFonts w:asciiTheme="majorHAnsi" w:hAnsiTheme="majorHAnsi"/>
          <w:bCs/>
          <w:sz w:val="24"/>
          <w:szCs w:val="23"/>
        </w:rPr>
        <w:t xml:space="preserve"> is not desirable. Research credits encourage research and development activities that may create new products and new technologies, the value of which is hard to measure before they </w:t>
      </w:r>
      <w:r w:rsidR="00D334C1">
        <w:rPr>
          <w:rFonts w:asciiTheme="majorHAnsi" w:hAnsiTheme="majorHAnsi"/>
          <w:bCs/>
          <w:sz w:val="24"/>
          <w:szCs w:val="23"/>
        </w:rPr>
        <w:t>go to</w:t>
      </w:r>
      <w:r>
        <w:rPr>
          <w:rFonts w:asciiTheme="majorHAnsi" w:hAnsiTheme="majorHAnsi"/>
          <w:bCs/>
          <w:sz w:val="24"/>
          <w:szCs w:val="23"/>
        </w:rPr>
        <w:t xml:space="preserve"> market, and therefore it is also difficult for the model to capture the impact of research and development activities on the economy accurately.</w:t>
      </w:r>
    </w:p>
    <w:p w14:paraId="3F9CA5F0" w14:textId="77777777" w:rsidR="003051E5" w:rsidRDefault="003051E5" w:rsidP="009201C7">
      <w:pPr>
        <w:tabs>
          <w:tab w:val="left" w:pos="7050"/>
        </w:tabs>
        <w:spacing w:after="0"/>
        <w:rPr>
          <w:rFonts w:asciiTheme="majorHAnsi" w:hAnsiTheme="majorHAnsi"/>
          <w:bCs/>
          <w:sz w:val="24"/>
          <w:szCs w:val="23"/>
        </w:rPr>
      </w:pPr>
      <w:r w:rsidDel="0047670C">
        <w:rPr>
          <w:rFonts w:asciiTheme="majorHAnsi" w:hAnsiTheme="majorHAnsi"/>
          <w:bCs/>
          <w:sz w:val="24"/>
          <w:szCs w:val="23"/>
        </w:rPr>
        <w:lastRenderedPageBreak/>
        <w:t xml:space="preserve"> </w:t>
      </w:r>
    </w:p>
    <w:p w14:paraId="7796AFD1" w14:textId="68E4A061" w:rsidR="009201C7" w:rsidRPr="00A05217" w:rsidRDefault="009201C7" w:rsidP="009201C7">
      <w:pPr>
        <w:tabs>
          <w:tab w:val="left" w:pos="7050"/>
        </w:tabs>
        <w:spacing w:after="0"/>
        <w:rPr>
          <w:rFonts w:asciiTheme="majorHAnsi" w:hAnsiTheme="majorHAnsi"/>
          <w:bCs/>
          <w:sz w:val="24"/>
          <w:szCs w:val="23"/>
        </w:rPr>
      </w:pPr>
      <w:r w:rsidRPr="00A05217">
        <w:rPr>
          <w:rFonts w:asciiTheme="majorHAnsi" w:hAnsiTheme="majorHAnsi"/>
          <w:bCs/>
          <w:sz w:val="24"/>
          <w:szCs w:val="23"/>
        </w:rPr>
        <w:t xml:space="preserve">There are other costs and benefits that are </w:t>
      </w:r>
      <w:r w:rsidR="00D334C1">
        <w:rPr>
          <w:rFonts w:asciiTheme="majorHAnsi" w:hAnsiTheme="majorHAnsi"/>
          <w:bCs/>
          <w:sz w:val="24"/>
          <w:szCs w:val="23"/>
        </w:rPr>
        <w:t>difficult</w:t>
      </w:r>
      <w:r w:rsidRPr="00A05217">
        <w:rPr>
          <w:rFonts w:asciiTheme="majorHAnsi" w:hAnsiTheme="majorHAnsi"/>
          <w:bCs/>
          <w:sz w:val="24"/>
          <w:szCs w:val="23"/>
        </w:rPr>
        <w:t xml:space="preserve"> to quantify </w:t>
      </w:r>
      <w:r w:rsidR="00440258">
        <w:rPr>
          <w:rFonts w:asciiTheme="majorHAnsi" w:hAnsiTheme="majorHAnsi"/>
          <w:bCs/>
          <w:sz w:val="24"/>
          <w:szCs w:val="23"/>
        </w:rPr>
        <w:t>due to lack</w:t>
      </w:r>
      <w:r w:rsidRPr="00A05217">
        <w:rPr>
          <w:rFonts w:asciiTheme="majorHAnsi" w:hAnsiTheme="majorHAnsi"/>
          <w:bCs/>
          <w:sz w:val="24"/>
          <w:szCs w:val="23"/>
        </w:rPr>
        <w:t xml:space="preserve"> of data </w:t>
      </w:r>
      <w:r w:rsidR="00440258">
        <w:rPr>
          <w:rFonts w:asciiTheme="majorHAnsi" w:hAnsiTheme="majorHAnsi"/>
          <w:bCs/>
          <w:sz w:val="24"/>
          <w:szCs w:val="23"/>
        </w:rPr>
        <w:t>or</w:t>
      </w:r>
      <w:r w:rsidRPr="00A05217">
        <w:rPr>
          <w:rFonts w:asciiTheme="majorHAnsi" w:hAnsiTheme="majorHAnsi"/>
          <w:bCs/>
          <w:sz w:val="24"/>
          <w:szCs w:val="23"/>
        </w:rPr>
        <w:t xml:space="preserve"> </w:t>
      </w:r>
      <w:r w:rsidR="00AF22CA">
        <w:rPr>
          <w:rFonts w:asciiTheme="majorHAnsi" w:hAnsiTheme="majorHAnsi"/>
          <w:bCs/>
          <w:sz w:val="24"/>
          <w:szCs w:val="23"/>
        </w:rPr>
        <w:t>other challenges</w:t>
      </w:r>
      <w:r w:rsidRPr="00A05217">
        <w:rPr>
          <w:rFonts w:asciiTheme="majorHAnsi" w:hAnsiTheme="majorHAnsi"/>
          <w:bCs/>
          <w:sz w:val="24"/>
          <w:szCs w:val="23"/>
        </w:rPr>
        <w:t>.</w:t>
      </w:r>
      <w:r w:rsidR="003051E5">
        <w:rPr>
          <w:rFonts w:asciiTheme="majorHAnsi" w:hAnsiTheme="majorHAnsi"/>
          <w:bCs/>
          <w:sz w:val="24"/>
          <w:szCs w:val="23"/>
        </w:rPr>
        <w:t xml:space="preserve">  </w:t>
      </w:r>
      <w:r w:rsidR="00AF22CA">
        <w:rPr>
          <w:rFonts w:asciiTheme="majorHAnsi" w:hAnsiTheme="majorHAnsi"/>
          <w:bCs/>
          <w:sz w:val="24"/>
          <w:szCs w:val="23"/>
        </w:rPr>
        <w:t xml:space="preserve">See the appendix for more discussion.  </w:t>
      </w:r>
    </w:p>
    <w:p w14:paraId="6AE3D7A4" w14:textId="77777777" w:rsidR="00C956FD" w:rsidRDefault="00C956FD" w:rsidP="00F52585">
      <w:pPr>
        <w:spacing w:after="0"/>
        <w:rPr>
          <w:rFonts w:asciiTheme="majorHAnsi" w:eastAsiaTheme="majorEastAsia" w:hAnsiTheme="majorHAnsi" w:cstheme="majorBidi"/>
          <w:b/>
          <w:color w:val="000000" w:themeColor="text1"/>
          <w:sz w:val="24"/>
          <w:szCs w:val="24"/>
        </w:rPr>
      </w:pPr>
    </w:p>
    <w:p w14:paraId="41D48C04" w14:textId="77777777" w:rsidR="00944351" w:rsidRPr="00A05217" w:rsidRDefault="00944351" w:rsidP="00A05217">
      <w:pPr>
        <w:tabs>
          <w:tab w:val="left" w:pos="7050"/>
        </w:tabs>
        <w:spacing w:after="0"/>
        <w:rPr>
          <w:rFonts w:asciiTheme="majorHAnsi" w:hAnsiTheme="majorHAnsi"/>
          <w:bCs/>
          <w:sz w:val="24"/>
          <w:szCs w:val="23"/>
        </w:rPr>
      </w:pPr>
    </w:p>
    <w:p w14:paraId="120C3C6A" w14:textId="77777777" w:rsidR="007D5207" w:rsidRPr="004C3153" w:rsidRDefault="007D5207" w:rsidP="007D5207">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w:t>
      </w:r>
      <w:r>
        <w:rPr>
          <w:rFonts w:asciiTheme="majorHAnsi" w:eastAsiaTheme="majorEastAsia" w:hAnsiTheme="majorHAnsi" w:cstheme="majorBidi"/>
          <w:b/>
          <w:bCs/>
          <w:color w:val="E36C0A" w:themeColor="accent6" w:themeShade="BF"/>
          <w:sz w:val="28"/>
          <w:szCs w:val="28"/>
        </w:rPr>
        <w:t>IMILAR TAX EXPENDITURES OFFERED by OTHER STATES</w:t>
      </w:r>
    </w:p>
    <w:p w14:paraId="7A766281" w14:textId="77777777" w:rsidR="003051E5" w:rsidRDefault="003051E5" w:rsidP="00203CCA">
      <w:pPr>
        <w:tabs>
          <w:tab w:val="left" w:pos="7050"/>
        </w:tabs>
        <w:spacing w:after="0"/>
        <w:rPr>
          <w:rFonts w:asciiTheme="majorHAnsi" w:hAnsiTheme="majorHAnsi"/>
          <w:bCs/>
          <w:sz w:val="24"/>
          <w:szCs w:val="23"/>
        </w:rPr>
      </w:pPr>
    </w:p>
    <w:p w14:paraId="2AADF151" w14:textId="77777777" w:rsidR="00137EDD" w:rsidRDefault="003173F7" w:rsidP="00203CCA">
      <w:pPr>
        <w:tabs>
          <w:tab w:val="left" w:pos="7050"/>
        </w:tabs>
        <w:spacing w:after="0"/>
        <w:rPr>
          <w:rFonts w:asciiTheme="majorHAnsi" w:hAnsiTheme="majorHAnsi"/>
          <w:bCs/>
          <w:sz w:val="24"/>
          <w:szCs w:val="23"/>
        </w:rPr>
      </w:pPr>
      <w:r w:rsidRPr="003173F7">
        <w:rPr>
          <w:rFonts w:asciiTheme="majorHAnsi" w:hAnsiTheme="majorHAnsi"/>
          <w:bCs/>
          <w:sz w:val="24"/>
          <w:szCs w:val="23"/>
        </w:rPr>
        <w:t xml:space="preserve">Over 30 states have </w:t>
      </w:r>
      <w:r w:rsidR="00137EDD">
        <w:rPr>
          <w:rFonts w:asciiTheme="majorHAnsi" w:hAnsiTheme="majorHAnsi"/>
          <w:bCs/>
          <w:sz w:val="24"/>
          <w:szCs w:val="23"/>
        </w:rPr>
        <w:t xml:space="preserve">some form of research credit. The following are some examples. </w:t>
      </w:r>
    </w:p>
    <w:p w14:paraId="45CCEBE6" w14:textId="77777777" w:rsidR="00A10F10" w:rsidRDefault="00A10F10" w:rsidP="00A10F10">
      <w:pPr>
        <w:shd w:val="clear" w:color="auto" w:fill="FFFFFF"/>
        <w:spacing w:before="100" w:beforeAutospacing="1" w:after="150" w:line="390" w:lineRule="atLeast"/>
        <w:rPr>
          <w:rFonts w:ascii="Arial" w:hAnsi="Arial" w:cs="Arial"/>
          <w:bCs/>
          <w:sz w:val="20"/>
          <w:szCs w:val="20"/>
        </w:rPr>
      </w:pPr>
      <w:r w:rsidRPr="005B30C2">
        <w:rPr>
          <w:rFonts w:asciiTheme="majorHAnsi" w:hAnsiTheme="majorHAnsi"/>
          <w:b/>
          <w:sz w:val="24"/>
          <w:szCs w:val="23"/>
        </w:rPr>
        <w:t xml:space="preserve">Maine </w:t>
      </w:r>
    </w:p>
    <w:p w14:paraId="6182A7C6" w14:textId="77777777" w:rsidR="00A10F10" w:rsidRPr="009121B7" w:rsidRDefault="00A10F10" w:rsidP="00A10F10">
      <w:pPr>
        <w:tabs>
          <w:tab w:val="left" w:pos="7050"/>
        </w:tabs>
        <w:spacing w:after="0"/>
        <w:rPr>
          <w:rFonts w:ascii="Arial" w:eastAsia="Times New Roman" w:hAnsi="Arial" w:cs="Arial"/>
          <w:b/>
          <w:bCs/>
          <w:color w:val="000000"/>
          <w:spacing w:val="-8"/>
          <w:sz w:val="20"/>
          <w:szCs w:val="20"/>
        </w:rPr>
      </w:pPr>
      <w:r w:rsidRPr="005B30C2">
        <w:rPr>
          <w:rFonts w:asciiTheme="majorHAnsi" w:hAnsiTheme="majorHAnsi"/>
          <w:bCs/>
          <w:sz w:val="24"/>
          <w:szCs w:val="23"/>
        </w:rPr>
        <w:t xml:space="preserve">Maine offers a research credit to corporations, sole proprietors, and members of pass- through entities such as partnerships, joint ventures or subchapter S corporations.  The credit is based on the incremental increase in spending for qualifying research activities in Maine. The credit is equal to 5% of the excess, if any, of the qualified research expense in Maine for the taxable year over the average spent by the taxpayer on qualified research in Maine during the three prior tax years, plus 7.5% of the basic research payments made during the taxable year. An enhanced credit is available for research expenses that exceed 150% of the prior three year’s research expenses.  The total credit claimed may not reduce the taxpayer’s income tax liability for any tax year to less than zero. For corporations, the credit is limited to 100% of the first $25,000 in income tax determined before other credits, plus 75% of the tax amount in excess of $25,000. Any unused credit amount may be carried forward for a total of 15 years.  The Maine credit is not refundable.  </w:t>
      </w:r>
    </w:p>
    <w:p w14:paraId="6C6B533C" w14:textId="77777777" w:rsidR="00A10F10" w:rsidRDefault="00A10F10" w:rsidP="00A10F10">
      <w:pPr>
        <w:shd w:val="clear" w:color="auto" w:fill="FFFFFF"/>
        <w:spacing w:before="100" w:beforeAutospacing="1" w:after="150" w:line="390" w:lineRule="atLeast"/>
        <w:rPr>
          <w:rFonts w:ascii="Arial" w:hAnsi="Arial" w:cs="Arial"/>
          <w:color w:val="0A0A0A"/>
          <w:sz w:val="20"/>
          <w:szCs w:val="20"/>
          <w:shd w:val="clear" w:color="auto" w:fill="FEFEFE"/>
        </w:rPr>
      </w:pPr>
      <w:r w:rsidRPr="005B30C2">
        <w:rPr>
          <w:rFonts w:asciiTheme="majorHAnsi" w:hAnsiTheme="majorHAnsi"/>
          <w:b/>
          <w:sz w:val="24"/>
          <w:szCs w:val="23"/>
        </w:rPr>
        <w:t xml:space="preserve">Connecticut </w:t>
      </w:r>
    </w:p>
    <w:p w14:paraId="6C650BBF" w14:textId="17250F00" w:rsidR="00A10F10" w:rsidRPr="005B30C2" w:rsidRDefault="00A10F10" w:rsidP="00A10F10">
      <w:pPr>
        <w:tabs>
          <w:tab w:val="left" w:pos="7050"/>
        </w:tabs>
        <w:spacing w:after="0"/>
        <w:rPr>
          <w:rFonts w:asciiTheme="majorHAnsi" w:hAnsiTheme="majorHAnsi"/>
          <w:bCs/>
          <w:sz w:val="24"/>
          <w:szCs w:val="23"/>
        </w:rPr>
      </w:pPr>
      <w:r w:rsidRPr="005B30C2">
        <w:rPr>
          <w:rFonts w:asciiTheme="majorHAnsi" w:hAnsiTheme="majorHAnsi"/>
          <w:bCs/>
          <w:sz w:val="24"/>
          <w:szCs w:val="23"/>
        </w:rPr>
        <w:t xml:space="preserve">Connecticut allows corporations a research credit for the incremental increase in research expenditures conducted in Connecticut.  The credit amount is 20% </w:t>
      </w:r>
      <w:r w:rsidR="00A00AF1">
        <w:rPr>
          <w:rFonts w:asciiTheme="majorHAnsi" w:hAnsiTheme="majorHAnsi"/>
          <w:bCs/>
          <w:sz w:val="24"/>
          <w:szCs w:val="23"/>
        </w:rPr>
        <w:t xml:space="preserve">of </w:t>
      </w:r>
      <w:r w:rsidRPr="005B30C2">
        <w:rPr>
          <w:rFonts w:asciiTheme="majorHAnsi" w:hAnsiTheme="majorHAnsi"/>
          <w:bCs/>
          <w:sz w:val="24"/>
          <w:szCs w:val="23"/>
        </w:rPr>
        <w:t>the excess of the</w:t>
      </w:r>
      <w:r>
        <w:rPr>
          <w:rFonts w:asciiTheme="majorHAnsi" w:hAnsiTheme="majorHAnsi"/>
          <w:bCs/>
          <w:sz w:val="24"/>
          <w:szCs w:val="23"/>
        </w:rPr>
        <w:t xml:space="preserve"> </w:t>
      </w:r>
      <w:r w:rsidRPr="005B30C2">
        <w:rPr>
          <w:rFonts w:asciiTheme="majorHAnsi" w:hAnsiTheme="majorHAnsi"/>
          <w:bCs/>
          <w:sz w:val="24"/>
          <w:szCs w:val="23"/>
        </w:rPr>
        <w:t>research expenditures incurred in Connecticut during the current tax year over the amount of such expenditures during the preceding tax year. The credit can be carried forward for 15 years. The credit is generally not refundable.  However, a qualified small business that cannot take the credit in a tax year as a result of having no tax liability may exchange the  credit for a refund equal to 65% of the value of the tax credit, or may elect to carry the tax credit forward.</w:t>
      </w:r>
    </w:p>
    <w:p w14:paraId="7B808E67" w14:textId="77777777" w:rsidR="00A10F10" w:rsidRPr="005B30C2" w:rsidRDefault="00A10F10" w:rsidP="00A10F10">
      <w:pPr>
        <w:shd w:val="clear" w:color="auto" w:fill="FFFFFF"/>
        <w:spacing w:before="100" w:beforeAutospacing="1" w:after="150" w:line="390" w:lineRule="atLeast"/>
        <w:rPr>
          <w:rFonts w:asciiTheme="majorHAnsi" w:hAnsiTheme="majorHAnsi"/>
          <w:b/>
          <w:sz w:val="24"/>
          <w:szCs w:val="23"/>
        </w:rPr>
      </w:pPr>
      <w:r w:rsidRPr="005B30C2">
        <w:rPr>
          <w:rFonts w:asciiTheme="majorHAnsi" w:hAnsiTheme="majorHAnsi"/>
          <w:b/>
          <w:sz w:val="24"/>
          <w:szCs w:val="23"/>
        </w:rPr>
        <w:t>Rhode Island</w:t>
      </w:r>
    </w:p>
    <w:p w14:paraId="0DE3F48A" w14:textId="3E93DE84" w:rsidR="00A10F10" w:rsidRPr="005B30C2" w:rsidRDefault="00A10F10" w:rsidP="00A10F10">
      <w:pPr>
        <w:tabs>
          <w:tab w:val="left" w:pos="7050"/>
        </w:tabs>
        <w:spacing w:after="0"/>
        <w:rPr>
          <w:rFonts w:asciiTheme="majorHAnsi" w:hAnsiTheme="majorHAnsi"/>
          <w:bCs/>
          <w:sz w:val="24"/>
          <w:szCs w:val="23"/>
        </w:rPr>
      </w:pPr>
      <w:r w:rsidRPr="005B30C2">
        <w:rPr>
          <w:rFonts w:asciiTheme="majorHAnsi" w:hAnsiTheme="majorHAnsi"/>
          <w:bCs/>
          <w:sz w:val="24"/>
          <w:szCs w:val="23"/>
        </w:rPr>
        <w:t>Rhode Island offers an incremental research credit to corporations, sole proprietors, and members of pass-through entities. The credit is based on the taxpayer’s research expenses that are eligible for the federal credit (</w:t>
      </w:r>
      <w:proofErr w:type="gramStart"/>
      <w:r w:rsidRPr="005B30C2">
        <w:rPr>
          <w:rFonts w:asciiTheme="majorHAnsi" w:hAnsiTheme="majorHAnsi"/>
          <w:bCs/>
          <w:sz w:val="24"/>
          <w:szCs w:val="23"/>
        </w:rPr>
        <w:t>taking into account</w:t>
      </w:r>
      <w:proofErr w:type="gramEnd"/>
      <w:r w:rsidRPr="005B30C2">
        <w:rPr>
          <w:rFonts w:asciiTheme="majorHAnsi" w:hAnsiTheme="majorHAnsi"/>
          <w:bCs/>
          <w:sz w:val="24"/>
          <w:szCs w:val="23"/>
        </w:rPr>
        <w:t xml:space="preserve"> the federal base amount), to the extent that the expenses are incurred in Rhode Island. For periods January 1, 1998 and </w:t>
      </w:r>
      <w:r w:rsidRPr="005B30C2">
        <w:rPr>
          <w:rFonts w:asciiTheme="majorHAnsi" w:hAnsiTheme="majorHAnsi"/>
          <w:bCs/>
          <w:sz w:val="24"/>
          <w:szCs w:val="23"/>
        </w:rPr>
        <w:lastRenderedPageBreak/>
        <w:t xml:space="preserve">thereafter, the credit is 22.5% of eligible Rhode Island expenses up to $111,111 and 16.9% of the remaining expenses.  The credit may not be used to reduce the tax below the minimum tax imposed by Rhode Island law. The credit that may be claimed is further limited to 50% of the tax otherwise payable, after all other credits available to the taxpayer have been used.  Any amount of credit not used may be carried </w:t>
      </w:r>
      <w:r w:rsidR="00A00AF1">
        <w:rPr>
          <w:rFonts w:asciiTheme="majorHAnsi" w:hAnsiTheme="majorHAnsi"/>
          <w:bCs/>
          <w:sz w:val="24"/>
          <w:szCs w:val="23"/>
        </w:rPr>
        <w:t>forward</w:t>
      </w:r>
      <w:r w:rsidR="00A00AF1" w:rsidRPr="005B30C2">
        <w:rPr>
          <w:rFonts w:asciiTheme="majorHAnsi" w:hAnsiTheme="majorHAnsi"/>
          <w:bCs/>
          <w:sz w:val="24"/>
          <w:szCs w:val="23"/>
        </w:rPr>
        <w:t xml:space="preserve"> </w:t>
      </w:r>
      <w:r w:rsidRPr="005B30C2">
        <w:rPr>
          <w:rFonts w:asciiTheme="majorHAnsi" w:hAnsiTheme="majorHAnsi"/>
          <w:bCs/>
          <w:sz w:val="24"/>
          <w:szCs w:val="23"/>
        </w:rPr>
        <w:t xml:space="preserve">for a maximum of seven years. The credit is not refundable.  </w:t>
      </w:r>
    </w:p>
    <w:p w14:paraId="7D2913FE" w14:textId="77777777" w:rsidR="00A10F10" w:rsidRPr="005B30C2" w:rsidRDefault="00A10F10" w:rsidP="00A10F10">
      <w:pPr>
        <w:shd w:val="clear" w:color="auto" w:fill="FFFFFF"/>
        <w:spacing w:before="100" w:beforeAutospacing="1" w:after="150" w:line="390" w:lineRule="atLeast"/>
        <w:rPr>
          <w:rFonts w:asciiTheme="majorHAnsi" w:hAnsiTheme="majorHAnsi"/>
          <w:b/>
          <w:sz w:val="24"/>
          <w:szCs w:val="23"/>
        </w:rPr>
      </w:pPr>
      <w:r w:rsidRPr="005B30C2">
        <w:rPr>
          <w:rFonts w:asciiTheme="majorHAnsi" w:hAnsiTheme="majorHAnsi"/>
          <w:b/>
          <w:sz w:val="24"/>
          <w:szCs w:val="23"/>
        </w:rPr>
        <w:t>New Hampshire</w:t>
      </w:r>
    </w:p>
    <w:p w14:paraId="2BF0EA84" w14:textId="77777777" w:rsidR="00A10F10" w:rsidRPr="005B30C2" w:rsidRDefault="00A10F10" w:rsidP="00A10F10">
      <w:pPr>
        <w:tabs>
          <w:tab w:val="left" w:pos="7050"/>
        </w:tabs>
        <w:spacing w:after="0"/>
        <w:rPr>
          <w:rFonts w:asciiTheme="majorHAnsi" w:hAnsiTheme="majorHAnsi"/>
          <w:bCs/>
          <w:sz w:val="24"/>
          <w:szCs w:val="23"/>
        </w:rPr>
      </w:pPr>
      <w:r w:rsidRPr="005B30C2">
        <w:rPr>
          <w:rFonts w:asciiTheme="majorHAnsi" w:hAnsiTheme="majorHAnsi"/>
          <w:bCs/>
          <w:sz w:val="24"/>
          <w:szCs w:val="23"/>
        </w:rPr>
        <w:t>New Hampshire offers a research credit against business taxes.  The credit is available only by application to the state. Businesses that have qualified manufacturing research and development expenditures may apply for the credit. The amount of the credit is the lesser of 10% of the business organization's qualified manufacturing research and development expenditures or $50,000.  Unused credit may be carried forward for five tax years.  As of July1, 2017 the annual cap on the credit is $7 million. The credit is not refundable.</w:t>
      </w:r>
    </w:p>
    <w:p w14:paraId="54618B84" w14:textId="77777777" w:rsidR="00A10F10" w:rsidRPr="005B30C2" w:rsidRDefault="00A10F10" w:rsidP="00A10F10">
      <w:pPr>
        <w:shd w:val="clear" w:color="auto" w:fill="FFFFFF"/>
        <w:spacing w:before="100" w:beforeAutospacing="1" w:after="150" w:line="390" w:lineRule="atLeast"/>
        <w:rPr>
          <w:rFonts w:asciiTheme="majorHAnsi" w:hAnsiTheme="majorHAnsi"/>
          <w:b/>
          <w:sz w:val="24"/>
          <w:szCs w:val="23"/>
        </w:rPr>
      </w:pPr>
      <w:r w:rsidRPr="005B30C2">
        <w:rPr>
          <w:rFonts w:asciiTheme="majorHAnsi" w:hAnsiTheme="majorHAnsi"/>
          <w:b/>
          <w:sz w:val="24"/>
          <w:szCs w:val="23"/>
        </w:rPr>
        <w:t>Vermont</w:t>
      </w:r>
    </w:p>
    <w:p w14:paraId="3D321E52" w14:textId="77777777" w:rsidR="00A10F10" w:rsidRPr="005B30C2" w:rsidRDefault="00A10F10" w:rsidP="00A10F10">
      <w:pPr>
        <w:tabs>
          <w:tab w:val="left" w:pos="7050"/>
        </w:tabs>
        <w:spacing w:after="0"/>
        <w:rPr>
          <w:rFonts w:asciiTheme="majorHAnsi" w:hAnsiTheme="majorHAnsi"/>
          <w:bCs/>
          <w:sz w:val="24"/>
          <w:szCs w:val="23"/>
        </w:rPr>
      </w:pPr>
      <w:r w:rsidRPr="005B30C2">
        <w:rPr>
          <w:rFonts w:asciiTheme="majorHAnsi" w:hAnsiTheme="majorHAnsi"/>
          <w:bCs/>
          <w:sz w:val="24"/>
          <w:szCs w:val="23"/>
        </w:rPr>
        <w:t xml:space="preserve">Vermont provides a tax credit for increasing qualifying research activities. The Vermont credit is 27% of the federal tax credit that is attributable to research conducted in Vermont. This credit applies to personal income tax or business or corporate income tax. Any unused credit available may be carried forward up to 10 years. The credit is not refundable. </w:t>
      </w:r>
    </w:p>
    <w:p w14:paraId="46C201B0" w14:textId="77777777" w:rsidR="00A10F10" w:rsidRPr="005B30C2" w:rsidRDefault="00A10F10" w:rsidP="00A10F10">
      <w:pPr>
        <w:shd w:val="clear" w:color="auto" w:fill="FFFFFF"/>
        <w:spacing w:before="100" w:beforeAutospacing="1" w:after="150" w:line="390" w:lineRule="atLeast"/>
        <w:rPr>
          <w:rFonts w:asciiTheme="majorHAnsi" w:hAnsiTheme="majorHAnsi"/>
          <w:b/>
          <w:sz w:val="24"/>
          <w:szCs w:val="23"/>
        </w:rPr>
      </w:pPr>
      <w:r w:rsidRPr="005B30C2">
        <w:rPr>
          <w:rFonts w:asciiTheme="majorHAnsi" w:hAnsiTheme="majorHAnsi"/>
          <w:b/>
          <w:sz w:val="24"/>
          <w:szCs w:val="23"/>
        </w:rPr>
        <w:t>New York</w:t>
      </w:r>
    </w:p>
    <w:p w14:paraId="1BC784DF" w14:textId="77777777" w:rsidR="00A10F10" w:rsidRPr="005B30C2" w:rsidRDefault="00A10F10" w:rsidP="00A10F10">
      <w:pPr>
        <w:tabs>
          <w:tab w:val="left" w:pos="7050"/>
        </w:tabs>
        <w:spacing w:after="0"/>
        <w:rPr>
          <w:rFonts w:asciiTheme="majorHAnsi" w:hAnsiTheme="majorHAnsi"/>
          <w:bCs/>
          <w:sz w:val="24"/>
          <w:szCs w:val="23"/>
        </w:rPr>
      </w:pPr>
      <w:r w:rsidRPr="005B30C2">
        <w:rPr>
          <w:rFonts w:asciiTheme="majorHAnsi" w:hAnsiTheme="majorHAnsi"/>
          <w:bCs/>
          <w:sz w:val="24"/>
          <w:szCs w:val="23"/>
        </w:rPr>
        <w:t xml:space="preserve">New York offers a research credit to companies in certain industries that are considered strategic, including technology, financial services, manufacturing and agriculture.  The credit is available only by application to the state. Approval criteria are based largely on the number of jobs created in the state.  The credit is equal to 50% of the federal credit that is (i) allowed in the taxable year and (ii) attributable to research conducted in New York.  Unused credit is </w:t>
      </w:r>
      <w:proofErr w:type="gramStart"/>
      <w:r w:rsidRPr="005B30C2">
        <w:rPr>
          <w:rFonts w:asciiTheme="majorHAnsi" w:hAnsiTheme="majorHAnsi"/>
          <w:bCs/>
          <w:sz w:val="24"/>
          <w:szCs w:val="23"/>
        </w:rPr>
        <w:t>refundable</w:t>
      </w:r>
      <w:proofErr w:type="gramEnd"/>
      <w:r w:rsidRPr="005B30C2">
        <w:rPr>
          <w:rFonts w:asciiTheme="majorHAnsi" w:hAnsiTheme="majorHAnsi"/>
          <w:bCs/>
          <w:sz w:val="24"/>
          <w:szCs w:val="23"/>
        </w:rPr>
        <w:t xml:space="preserve"> and the credit may only be claimed over a ten year period.    </w:t>
      </w:r>
    </w:p>
    <w:p w14:paraId="504120DF" w14:textId="77777777" w:rsidR="00A10F10" w:rsidRPr="005B30C2" w:rsidRDefault="00A10F10" w:rsidP="00A10F10">
      <w:pPr>
        <w:shd w:val="clear" w:color="auto" w:fill="FFFFFF"/>
        <w:spacing w:before="100" w:beforeAutospacing="1" w:after="150" w:line="390" w:lineRule="atLeast"/>
        <w:rPr>
          <w:rFonts w:ascii="Arial" w:eastAsia="Times New Roman" w:hAnsi="Arial" w:cs="Arial"/>
          <w:b/>
          <w:color w:val="333333"/>
          <w:sz w:val="20"/>
          <w:szCs w:val="20"/>
        </w:rPr>
      </w:pPr>
      <w:r w:rsidRPr="005B30C2">
        <w:rPr>
          <w:rFonts w:asciiTheme="majorHAnsi" w:hAnsiTheme="majorHAnsi"/>
          <w:b/>
          <w:sz w:val="24"/>
          <w:szCs w:val="23"/>
        </w:rPr>
        <w:t>California</w:t>
      </w:r>
    </w:p>
    <w:p w14:paraId="6D96FE40" w14:textId="49CC3A01" w:rsidR="00A10F10" w:rsidRDefault="00A10F10" w:rsidP="00A10F10">
      <w:pPr>
        <w:tabs>
          <w:tab w:val="left" w:pos="7050"/>
        </w:tabs>
        <w:spacing w:after="0"/>
        <w:rPr>
          <w:rFonts w:ascii="Arial" w:hAnsi="Arial" w:cs="Arial"/>
          <w:bCs/>
          <w:sz w:val="20"/>
          <w:szCs w:val="20"/>
        </w:rPr>
      </w:pPr>
      <w:r w:rsidRPr="005B30C2">
        <w:rPr>
          <w:rFonts w:asciiTheme="majorHAnsi" w:hAnsiTheme="majorHAnsi"/>
          <w:bCs/>
          <w:sz w:val="24"/>
          <w:szCs w:val="23"/>
        </w:rPr>
        <w:t xml:space="preserve">California offers an incremental research credit to both corporate and non-corporate taxpayers for qualified research and basic research conducted in California.  The credit is equal to 15% of the excess of the qualified research expenses incurred in California, over the base amount, plus 24% of the basic research payments. The base amount is the portion of the federal base amount attributable to California.  If the credit exceeds the tax for the taxable year, the excess may be carried </w:t>
      </w:r>
      <w:r w:rsidR="00A00AF1">
        <w:rPr>
          <w:rFonts w:asciiTheme="majorHAnsi" w:hAnsiTheme="majorHAnsi"/>
          <w:bCs/>
          <w:sz w:val="24"/>
          <w:szCs w:val="23"/>
        </w:rPr>
        <w:t>forward</w:t>
      </w:r>
      <w:r w:rsidR="00A00AF1" w:rsidRPr="005B30C2">
        <w:rPr>
          <w:rFonts w:asciiTheme="majorHAnsi" w:hAnsiTheme="majorHAnsi"/>
          <w:bCs/>
          <w:sz w:val="24"/>
          <w:szCs w:val="23"/>
        </w:rPr>
        <w:t xml:space="preserve"> </w:t>
      </w:r>
      <w:r w:rsidRPr="005B30C2">
        <w:rPr>
          <w:rFonts w:asciiTheme="majorHAnsi" w:hAnsiTheme="majorHAnsi"/>
          <w:bCs/>
          <w:sz w:val="24"/>
          <w:szCs w:val="23"/>
        </w:rPr>
        <w:t xml:space="preserve">to reduce the tax in the following year, and succeeding years, if necessary, until the credit has been exhausted.  The credit is not refundable.  </w:t>
      </w:r>
    </w:p>
    <w:p w14:paraId="54A4C506" w14:textId="77777777" w:rsidR="00A10F10" w:rsidRPr="00635213" w:rsidRDefault="00A10F10" w:rsidP="00A10F10">
      <w:pPr>
        <w:shd w:val="clear" w:color="auto" w:fill="FFFFFF"/>
        <w:spacing w:before="100" w:beforeAutospacing="1" w:after="150" w:line="390" w:lineRule="atLeast"/>
        <w:rPr>
          <w:rFonts w:asciiTheme="majorHAnsi" w:hAnsiTheme="majorHAnsi"/>
          <w:b/>
          <w:sz w:val="24"/>
          <w:szCs w:val="23"/>
        </w:rPr>
      </w:pPr>
      <w:r w:rsidRPr="00635213">
        <w:rPr>
          <w:rFonts w:asciiTheme="majorHAnsi" w:hAnsiTheme="majorHAnsi"/>
          <w:b/>
          <w:sz w:val="24"/>
          <w:szCs w:val="23"/>
        </w:rPr>
        <w:lastRenderedPageBreak/>
        <w:t>Georgia</w:t>
      </w:r>
    </w:p>
    <w:p w14:paraId="5027670C" w14:textId="77777777" w:rsidR="00A10F10" w:rsidRPr="00635213" w:rsidRDefault="00A10F10" w:rsidP="00A10F10">
      <w:pPr>
        <w:tabs>
          <w:tab w:val="left" w:pos="7050"/>
        </w:tabs>
        <w:spacing w:after="0"/>
        <w:rPr>
          <w:rFonts w:asciiTheme="majorHAnsi" w:hAnsiTheme="majorHAnsi"/>
          <w:bCs/>
          <w:sz w:val="24"/>
          <w:szCs w:val="23"/>
        </w:rPr>
      </w:pPr>
      <w:r w:rsidRPr="00635213">
        <w:rPr>
          <w:rFonts w:asciiTheme="majorHAnsi" w:hAnsiTheme="majorHAnsi"/>
          <w:bCs/>
          <w:sz w:val="24"/>
          <w:szCs w:val="23"/>
        </w:rPr>
        <w:t>Georgia offers a tax credit for incremental increases in research expenses for research conducted within Georgia for any business, or headquarters of any such business, engaged in manufacturing, warehousing, distribution, processing, telecommunications, tourism, broadcasting or research and development activities. The credit is 10% of the additional research expense incurred in Georgia over the base amount. The base amount is the average of Georgia research expenses incurred in the three prior years. To claim the Georgia credit for a tax year, a taxpayer must be able to claim a federal research credit in the same tax year. The credit may not exceed 50% of the business’ Georgia income tax liability, after all other credits have been applied. Any unused credit may be carried forward 10 years. Excess research tax credit earned in taxable years beginning on or after January 1, 2012, may be used to offset payroll tax withholding, as provided in the research credit regulation.</w:t>
      </w:r>
    </w:p>
    <w:p w14:paraId="7C1C76A7" w14:textId="77777777" w:rsidR="00A10F10" w:rsidRPr="009121B7" w:rsidRDefault="00A10F10" w:rsidP="00A10F10">
      <w:pPr>
        <w:autoSpaceDE w:val="0"/>
        <w:autoSpaceDN w:val="0"/>
        <w:adjustRightInd w:val="0"/>
        <w:spacing w:after="0" w:line="240" w:lineRule="auto"/>
        <w:rPr>
          <w:rFonts w:ascii="Arial" w:hAnsi="Arial" w:cs="Arial"/>
          <w:b/>
          <w:bCs/>
          <w:color w:val="777777"/>
          <w:sz w:val="20"/>
          <w:szCs w:val="20"/>
          <w:bdr w:val="none" w:sz="0" w:space="0" w:color="auto" w:frame="1"/>
        </w:rPr>
      </w:pPr>
    </w:p>
    <w:p w14:paraId="5755500F" w14:textId="77777777" w:rsidR="00A05217" w:rsidRPr="00A05217" w:rsidRDefault="00A05217" w:rsidP="00A05217">
      <w:pPr>
        <w:tabs>
          <w:tab w:val="left" w:pos="7050"/>
        </w:tabs>
        <w:spacing w:after="0" w:line="240" w:lineRule="auto"/>
        <w:rPr>
          <w:rFonts w:asciiTheme="majorHAnsi" w:hAnsiTheme="majorHAnsi"/>
          <w:b/>
          <w:sz w:val="23"/>
          <w:szCs w:val="23"/>
        </w:rPr>
      </w:pPr>
    </w:p>
    <w:p w14:paraId="7EED3B0B" w14:textId="77777777" w:rsidR="00A05217" w:rsidRPr="00A05217" w:rsidRDefault="00A05217" w:rsidP="00A05217">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sidRPr="00A05217">
        <w:rPr>
          <w:rFonts w:asciiTheme="majorHAnsi" w:eastAsiaTheme="majorEastAsia" w:hAnsiTheme="majorHAnsi" w:cstheme="majorBidi"/>
          <w:b/>
          <w:bCs/>
          <w:color w:val="E36C0A" w:themeColor="accent6" w:themeShade="BF"/>
          <w:sz w:val="28"/>
          <w:szCs w:val="28"/>
        </w:rPr>
        <w:t xml:space="preserve">IS THE INCENTIVE AS DESIGNED ACCOMPLISHING ITS PURPOSE?  </w:t>
      </w:r>
    </w:p>
    <w:p w14:paraId="6DFF0EE7" w14:textId="77777777" w:rsidR="003872B7" w:rsidRDefault="003872B7" w:rsidP="003872B7">
      <w:pPr>
        <w:tabs>
          <w:tab w:val="left" w:pos="7050"/>
        </w:tabs>
        <w:spacing w:after="0" w:line="240" w:lineRule="auto"/>
        <w:rPr>
          <w:rFonts w:asciiTheme="majorHAnsi" w:eastAsiaTheme="majorEastAsia" w:hAnsiTheme="majorHAnsi" w:cstheme="majorBidi"/>
          <w:bCs/>
          <w:color w:val="000000" w:themeColor="text1"/>
          <w:sz w:val="24"/>
          <w:szCs w:val="24"/>
        </w:rPr>
      </w:pPr>
      <w:bookmarkStart w:id="2" w:name="_Hlk51155631"/>
      <w:r>
        <w:rPr>
          <w:rFonts w:asciiTheme="majorHAnsi" w:eastAsiaTheme="majorEastAsia" w:hAnsiTheme="majorHAnsi" w:cstheme="majorBidi"/>
          <w:bCs/>
          <w:color w:val="000000" w:themeColor="text1"/>
          <w:sz w:val="24"/>
          <w:szCs w:val="24"/>
        </w:rPr>
        <w:t>[FOR TERC TO COMPLETE]</w:t>
      </w:r>
      <w:bookmarkEnd w:id="2"/>
    </w:p>
    <w:p w14:paraId="6CEBA223" w14:textId="77777777" w:rsidR="00C46039" w:rsidRDefault="00C46039" w:rsidP="00A05217">
      <w:pPr>
        <w:tabs>
          <w:tab w:val="left" w:pos="7050"/>
        </w:tabs>
        <w:rPr>
          <w:rFonts w:asciiTheme="majorHAnsi" w:eastAsiaTheme="majorEastAsia" w:hAnsiTheme="majorHAnsi" w:cstheme="majorBidi"/>
          <w:bCs/>
          <w:color w:val="000000" w:themeColor="text1"/>
          <w:sz w:val="24"/>
          <w:szCs w:val="28"/>
        </w:rPr>
      </w:pPr>
    </w:p>
    <w:sdt>
      <w:sdtPr>
        <w:rPr>
          <w:rFonts w:asciiTheme="majorHAnsi" w:eastAsiaTheme="majorEastAsia" w:hAnsiTheme="majorHAnsi" w:cstheme="majorBidi"/>
          <w:color w:val="365F91" w:themeColor="accent1" w:themeShade="BF"/>
          <w:sz w:val="32"/>
          <w:szCs w:val="32"/>
        </w:rPr>
        <w:id w:val="1570537072"/>
        <w:docPartObj>
          <w:docPartGallery w:val="Bibliographies"/>
          <w:docPartUnique/>
        </w:docPartObj>
      </w:sdtPr>
      <w:sdtEndPr>
        <w:rPr>
          <w:rFonts w:asciiTheme="minorHAnsi" w:eastAsiaTheme="minorHAnsi" w:hAnsiTheme="minorHAnsi" w:cstheme="minorBidi"/>
          <w:color w:val="auto"/>
          <w:sz w:val="22"/>
          <w:szCs w:val="22"/>
        </w:rPr>
      </w:sdtEndPr>
      <w:sdtContent>
        <w:p w14:paraId="26B7FA0C" w14:textId="77777777" w:rsidR="00A05217" w:rsidRPr="00027314" w:rsidRDefault="00A05217" w:rsidP="00A05217">
          <w:pPr>
            <w:keepNext/>
            <w:keepLines/>
            <w:spacing w:before="240" w:after="0" w:line="259" w:lineRule="auto"/>
            <w:outlineLvl w:val="0"/>
            <w:rPr>
              <w:rFonts w:asciiTheme="majorHAnsi" w:eastAsiaTheme="majorEastAsia" w:hAnsiTheme="majorHAnsi" w:cstheme="majorBidi"/>
              <w:color w:val="000000" w:themeColor="text1"/>
              <w:sz w:val="32"/>
              <w:szCs w:val="32"/>
            </w:rPr>
          </w:pPr>
          <w:r w:rsidRPr="00027314">
            <w:rPr>
              <w:rFonts w:asciiTheme="majorHAnsi" w:eastAsiaTheme="majorEastAsia" w:hAnsiTheme="majorHAnsi" w:cstheme="majorBidi"/>
              <w:color w:val="000000" w:themeColor="text1"/>
              <w:sz w:val="32"/>
              <w:szCs w:val="32"/>
            </w:rPr>
            <w:t>References</w:t>
          </w:r>
        </w:p>
        <w:p w14:paraId="49AA1771" w14:textId="77777777" w:rsidR="0099648A" w:rsidRDefault="00777CDB" w:rsidP="009D5439">
          <w:pPr>
            <w:pStyle w:val="Bibliography"/>
            <w:ind w:left="720" w:hanging="720"/>
            <w:rPr>
              <w:rFonts w:asciiTheme="majorHAnsi" w:hAnsiTheme="majorHAnsi"/>
              <w:noProof/>
            </w:rPr>
          </w:pPr>
          <w:r w:rsidRPr="00C546F4">
            <w:rPr>
              <w:rFonts w:asciiTheme="majorHAnsi" w:hAnsiTheme="majorHAnsi"/>
              <w:noProof/>
            </w:rPr>
            <w:t xml:space="preserve">Felix, R. </w:t>
          </w:r>
          <w:r>
            <w:rPr>
              <w:rFonts w:asciiTheme="majorHAnsi" w:hAnsiTheme="majorHAnsi"/>
              <w:noProof/>
            </w:rPr>
            <w:t>A</w:t>
          </w:r>
          <w:r w:rsidRPr="00C546F4">
            <w:rPr>
              <w:rFonts w:asciiTheme="majorHAnsi" w:hAnsiTheme="majorHAnsi"/>
              <w:noProof/>
            </w:rPr>
            <w:t>. (2009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sidR="00642DA4">
            <w:rPr>
              <w:rFonts w:asciiTheme="majorHAnsi" w:hAnsiTheme="majorHAnsi"/>
              <w:i/>
              <w:iCs/>
              <w:noProof/>
            </w:rPr>
            <w:t>,</w:t>
          </w:r>
          <w:r w:rsidRPr="00C546F4">
            <w:rPr>
              <w:rFonts w:asciiTheme="majorHAnsi" w:hAnsiTheme="majorHAnsi"/>
              <w:noProof/>
            </w:rPr>
            <w:t xml:space="preserve"> Economic Review, FEDERAL RESERVE BANK OF KANSAS CITY.</w:t>
          </w:r>
        </w:p>
        <w:sdt>
          <w:sdtPr>
            <w:id w:val="1792173601"/>
            <w:bibliography/>
          </w:sdtPr>
          <w:sdtEndPr/>
          <w:sdtContent>
            <w:p w14:paraId="77BD0ADE" w14:textId="7C905F6F" w:rsidR="009D5439" w:rsidRPr="0099648A" w:rsidRDefault="009D5439" w:rsidP="009D5439">
              <w:pPr>
                <w:pStyle w:val="Bibliography"/>
                <w:ind w:left="720" w:hanging="720"/>
                <w:rPr>
                  <w:rFonts w:ascii="Cambria" w:hAnsi="Cambria"/>
                  <w:noProof/>
                  <w:sz w:val="2"/>
                  <w:szCs w:val="2"/>
                </w:rPr>
              </w:pPr>
            </w:p>
            <w:sdt>
              <w:sdtPr>
                <w:rPr>
                  <w:rFonts w:asciiTheme="majorHAnsi" w:hAnsiTheme="majorHAnsi"/>
                </w:rPr>
                <w:id w:val="-619375087"/>
                <w:bibliography/>
              </w:sdtPr>
              <w:sdtEndPr>
                <w:rPr>
                  <w:rFonts w:asciiTheme="minorHAnsi" w:hAnsiTheme="minorHAnsi"/>
                </w:rPr>
              </w:sdtEndPr>
              <w:sdtContent>
                <w:p w14:paraId="61E61652" w14:textId="77777777" w:rsidR="00A05217" w:rsidRPr="00A05217" w:rsidRDefault="00A05217" w:rsidP="00A05217">
                  <w:pPr>
                    <w:ind w:left="720" w:hanging="720"/>
                    <w:rPr>
                      <w:rFonts w:asciiTheme="majorHAnsi" w:hAnsiTheme="majorHAnsi"/>
                      <w:noProof/>
                      <w:sz w:val="24"/>
                      <w:szCs w:val="24"/>
                    </w:rPr>
                  </w:pPr>
                  <w:r w:rsidRPr="00A05217">
                    <w:rPr>
                      <w:rFonts w:asciiTheme="majorHAnsi" w:hAnsiTheme="majorHAnsi"/>
                    </w:rPr>
                    <w:fldChar w:fldCharType="begin"/>
                  </w:r>
                  <w:r w:rsidRPr="00A05217">
                    <w:rPr>
                      <w:rFonts w:asciiTheme="majorHAnsi" w:hAnsiTheme="majorHAnsi"/>
                    </w:rPr>
                    <w:instrText xml:space="preserve"> BIBLIOGRAPHY </w:instrText>
                  </w:r>
                  <w:r w:rsidRPr="00A05217">
                    <w:rPr>
                      <w:rFonts w:asciiTheme="majorHAnsi" w:hAnsiTheme="majorHAnsi"/>
                    </w:rPr>
                    <w:fldChar w:fldCharType="separate"/>
                  </w:r>
                  <w:r w:rsidRPr="00A05217">
                    <w:rPr>
                      <w:rFonts w:asciiTheme="majorHAnsi" w:hAnsiTheme="majorHAnsi"/>
                      <w:noProof/>
                    </w:rPr>
                    <w:t xml:space="preserve">Keith R. Ihlanfeldt, David L. Sjoquist. (2001, August). Conducting an Analysis of Georgia’s Economic Development Tax Incentive Program. </w:t>
                  </w:r>
                  <w:r w:rsidRPr="00A05217">
                    <w:rPr>
                      <w:rFonts w:asciiTheme="majorHAnsi" w:hAnsiTheme="majorHAnsi"/>
                      <w:i/>
                      <w:iCs/>
                      <w:noProof/>
                    </w:rPr>
                    <w:t>ECONOMIC DEVELOPMENT QUARTERLY, 15</w:t>
                  </w:r>
                  <w:r w:rsidRPr="00A05217">
                    <w:rPr>
                      <w:rFonts w:asciiTheme="majorHAnsi" w:hAnsiTheme="majorHAnsi"/>
                      <w:noProof/>
                    </w:rPr>
                    <w:t>(3), 217-228.</w:t>
                  </w:r>
                </w:p>
                <w:p w14:paraId="57F2E5E7" w14:textId="77777777" w:rsidR="00A05217" w:rsidRDefault="00A05217" w:rsidP="00A05217">
                  <w:pPr>
                    <w:ind w:left="720" w:hanging="720"/>
                    <w:rPr>
                      <w:rFonts w:asciiTheme="majorHAnsi" w:hAnsiTheme="majorHAnsi"/>
                      <w:noProof/>
                    </w:rPr>
                  </w:pPr>
                  <w:r w:rsidRPr="00A05217">
                    <w:rPr>
                      <w:rFonts w:asciiTheme="majorHAnsi" w:hAnsiTheme="majorHAnsi"/>
                      <w:i/>
                      <w:iCs/>
                      <w:noProof/>
                    </w:rPr>
                    <w:t>MODELS: TAX-PI</w:t>
                  </w:r>
                  <w:r w:rsidRPr="00A05217">
                    <w:rPr>
                      <w:rFonts w:asciiTheme="majorHAnsi" w:hAnsiTheme="majorHAnsi"/>
                      <w:noProof/>
                    </w:rPr>
                    <w:t>. (n.d.). Retrieved from Regional Economic Models, Inc.: https://www.remi.com/model/tax-pi/</w:t>
                  </w:r>
                </w:p>
                <w:p w14:paraId="1C6AC468" w14:textId="4015905D" w:rsidR="00AE6A50" w:rsidRPr="0099648A" w:rsidRDefault="00AE6A50" w:rsidP="00AE6A50">
                  <w:pPr>
                    <w:pStyle w:val="Bibliography"/>
                    <w:ind w:left="720" w:hanging="720"/>
                    <w:rPr>
                      <w:rFonts w:ascii="Cambria" w:hAnsi="Cambria"/>
                      <w:noProof/>
                      <w:sz w:val="2"/>
                      <w:szCs w:val="2"/>
                    </w:rPr>
                  </w:pPr>
                </w:p>
                <w:p w14:paraId="46FD9C6D" w14:textId="77777777" w:rsidR="00A05217" w:rsidRDefault="00A05217" w:rsidP="00A05217">
                  <w:pPr>
                    <w:pStyle w:val="Bibliography"/>
                    <w:ind w:left="720" w:hanging="720"/>
                    <w:rPr>
                      <w:rFonts w:asciiTheme="majorHAnsi" w:hAnsiTheme="majorHAnsi"/>
                      <w:noProof/>
                    </w:rPr>
                  </w:pPr>
                  <w:r w:rsidRPr="00B0235B">
                    <w:rPr>
                      <w:rFonts w:asciiTheme="majorHAnsi" w:hAnsiTheme="majorHAnsi"/>
                      <w:noProof/>
                    </w:rPr>
                    <w:t xml:space="preserve">Rao, N. (2016). Do tax credits stimulate R&amp;D spending? The effect of the R&amp;D tax credit in its ﬁrst decade. </w:t>
                  </w:r>
                  <w:r w:rsidRPr="00B0235B">
                    <w:rPr>
                      <w:rFonts w:asciiTheme="majorHAnsi" w:hAnsiTheme="majorHAnsi"/>
                      <w:i/>
                      <w:iCs/>
                      <w:noProof/>
                    </w:rPr>
                    <w:t>Journal of Public Economics</w:t>
                  </w:r>
                  <w:r w:rsidRPr="00B0235B">
                    <w:rPr>
                      <w:rFonts w:asciiTheme="majorHAnsi" w:hAnsiTheme="majorHAnsi"/>
                      <w:noProof/>
                    </w:rPr>
                    <w:t>, 2.</w:t>
                  </w:r>
                </w:p>
                <w:p w14:paraId="28FFB236" w14:textId="77777777" w:rsidR="009D5439" w:rsidRPr="009D5439" w:rsidRDefault="009D5439" w:rsidP="009D5439"/>
                <w:p w14:paraId="7464923D" w14:textId="68129B8F" w:rsidR="00A05217" w:rsidRPr="00A05217" w:rsidRDefault="00A05217" w:rsidP="00A05217">
                  <w:r w:rsidRPr="00A05217">
                    <w:rPr>
                      <w:rFonts w:asciiTheme="majorHAnsi" w:hAnsiTheme="majorHAnsi"/>
                      <w:b/>
                      <w:bCs/>
                      <w:noProof/>
                    </w:rPr>
                    <w:fldChar w:fldCharType="end"/>
                  </w:r>
                </w:p>
              </w:sdtContent>
            </w:sdt>
            <w:p w14:paraId="514B1915" w14:textId="77777777" w:rsidR="00F63CB6" w:rsidRDefault="00D471C5" w:rsidP="00A05217"/>
          </w:sdtContent>
        </w:sdt>
      </w:sdtContent>
    </w:sdt>
    <w:p w14:paraId="490E1C43" w14:textId="77777777" w:rsidR="00F63CB6" w:rsidRDefault="00F63CB6">
      <w:r>
        <w:br w:type="page"/>
      </w:r>
    </w:p>
    <w:p w14:paraId="3D5F03D1" w14:textId="7F1F706F" w:rsidR="00245D07" w:rsidRPr="008C67C1" w:rsidRDefault="00F63CB6" w:rsidP="008C67C1">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sidR="004E7895">
        <w:rPr>
          <w:rFonts w:asciiTheme="majorHAnsi" w:hAnsiTheme="majorHAnsi"/>
          <w:b/>
          <w:sz w:val="32"/>
          <w:szCs w:val="32"/>
        </w:rPr>
        <w:t>Further</w:t>
      </w:r>
      <w:r w:rsidR="000F033A" w:rsidRPr="008C67C1">
        <w:rPr>
          <w:rFonts w:asciiTheme="majorHAnsi" w:hAnsiTheme="majorHAnsi"/>
          <w:b/>
          <w:sz w:val="32"/>
          <w:szCs w:val="32"/>
        </w:rPr>
        <w:t xml:space="preserve"> Discussion on </w:t>
      </w:r>
      <w:r w:rsidR="00A046B8" w:rsidRPr="008C67C1">
        <w:rPr>
          <w:rFonts w:asciiTheme="majorHAnsi" w:hAnsiTheme="majorHAnsi"/>
          <w:b/>
          <w:sz w:val="32"/>
          <w:szCs w:val="32"/>
        </w:rPr>
        <w:t>Costs and Benefits</w:t>
      </w:r>
    </w:p>
    <w:p w14:paraId="1959F709" w14:textId="6705208D" w:rsidR="00F63CB6" w:rsidRDefault="00D334C1" w:rsidP="00A05217">
      <w:pPr>
        <w:rPr>
          <w:rFonts w:asciiTheme="majorHAnsi" w:hAnsiTheme="majorHAnsi"/>
          <w:bCs/>
          <w:sz w:val="24"/>
          <w:szCs w:val="24"/>
        </w:rPr>
      </w:pPr>
      <w:r>
        <w:rPr>
          <w:rFonts w:asciiTheme="majorHAnsi" w:hAnsiTheme="majorHAnsi"/>
          <w:bCs/>
          <w:sz w:val="24"/>
          <w:szCs w:val="24"/>
        </w:rPr>
        <w:t>T</w:t>
      </w:r>
      <w:r w:rsidR="00F63CB6">
        <w:rPr>
          <w:rFonts w:asciiTheme="majorHAnsi" w:hAnsiTheme="majorHAnsi"/>
          <w:bCs/>
          <w:sz w:val="24"/>
          <w:szCs w:val="24"/>
        </w:rPr>
        <w:t>he text</w:t>
      </w:r>
      <w:r>
        <w:rPr>
          <w:rFonts w:asciiTheme="majorHAnsi" w:hAnsiTheme="majorHAnsi"/>
          <w:bCs/>
          <w:sz w:val="24"/>
          <w:szCs w:val="24"/>
        </w:rPr>
        <w:t xml:space="preserve"> of the report discussed</w:t>
      </w:r>
      <w:r w:rsidR="00F63CB6">
        <w:rPr>
          <w:rFonts w:asciiTheme="majorHAnsi" w:hAnsiTheme="majorHAnsi"/>
          <w:bCs/>
          <w:sz w:val="24"/>
          <w:szCs w:val="24"/>
        </w:rPr>
        <w:t xml:space="preserve"> the direct costs (to the Commonwealth</w:t>
      </w:r>
      <w:r w:rsidR="00E0511F">
        <w:rPr>
          <w:rFonts w:asciiTheme="majorHAnsi" w:hAnsiTheme="majorHAnsi"/>
          <w:bCs/>
          <w:sz w:val="24"/>
          <w:szCs w:val="24"/>
        </w:rPr>
        <w:t>, or more specifically, to the Massachusetts residents or businesses who benefit from state expenditures</w:t>
      </w:r>
      <w:r w:rsidR="00E0511F">
        <w:rPr>
          <w:rStyle w:val="FootnoteReference"/>
          <w:rFonts w:asciiTheme="majorHAnsi" w:hAnsiTheme="majorHAnsi"/>
          <w:bCs/>
          <w:sz w:val="24"/>
          <w:szCs w:val="24"/>
        </w:rPr>
        <w:footnoteReference w:id="5"/>
      </w:r>
      <w:r w:rsidR="00F63CB6">
        <w:rPr>
          <w:rFonts w:asciiTheme="majorHAnsi" w:hAnsiTheme="majorHAnsi"/>
          <w:bCs/>
          <w:sz w:val="24"/>
          <w:szCs w:val="24"/>
        </w:rPr>
        <w:t xml:space="preserve">) and direct benefits (to taxpayers who claim the benefits) of this tax expenditure. </w:t>
      </w:r>
      <w:r>
        <w:rPr>
          <w:rFonts w:asciiTheme="majorHAnsi" w:hAnsiTheme="majorHAnsi"/>
          <w:bCs/>
          <w:sz w:val="24"/>
          <w:szCs w:val="24"/>
        </w:rPr>
        <w:t>It also summarized</w:t>
      </w:r>
      <w:r w:rsidR="00F63CB6">
        <w:rPr>
          <w:rFonts w:asciiTheme="majorHAnsi" w:hAnsiTheme="majorHAnsi"/>
          <w:bCs/>
          <w:sz w:val="24"/>
          <w:szCs w:val="24"/>
        </w:rPr>
        <w:t xml:space="preserve"> </w:t>
      </w:r>
      <w:r w:rsidR="00CE5F53">
        <w:rPr>
          <w:rFonts w:asciiTheme="majorHAnsi" w:hAnsiTheme="majorHAnsi"/>
          <w:bCs/>
          <w:sz w:val="24"/>
          <w:szCs w:val="24"/>
        </w:rPr>
        <w:t xml:space="preserve">indirect and induced </w:t>
      </w:r>
      <w:r w:rsidR="00F63CB6">
        <w:rPr>
          <w:rFonts w:asciiTheme="majorHAnsi" w:hAnsiTheme="majorHAnsi"/>
          <w:bCs/>
          <w:sz w:val="24"/>
          <w:szCs w:val="24"/>
        </w:rPr>
        <w:t>costs and benefits associated</w:t>
      </w:r>
      <w:r w:rsidR="00E0511F">
        <w:rPr>
          <w:rFonts w:asciiTheme="majorHAnsi" w:hAnsiTheme="majorHAnsi"/>
          <w:bCs/>
          <w:sz w:val="24"/>
          <w:szCs w:val="24"/>
        </w:rPr>
        <w:t xml:space="preserve"> with </w:t>
      </w:r>
      <w:r w:rsidR="00063041">
        <w:rPr>
          <w:rFonts w:asciiTheme="majorHAnsi" w:hAnsiTheme="majorHAnsi"/>
          <w:bCs/>
          <w:sz w:val="24"/>
          <w:szCs w:val="24"/>
        </w:rPr>
        <w:t>this tax expenditure</w:t>
      </w:r>
      <w:r w:rsidR="00A046B8">
        <w:rPr>
          <w:rFonts w:asciiTheme="majorHAnsi" w:hAnsiTheme="majorHAnsi"/>
          <w:bCs/>
          <w:sz w:val="24"/>
          <w:szCs w:val="24"/>
        </w:rPr>
        <w:t xml:space="preserve">.  </w:t>
      </w:r>
      <w:r>
        <w:rPr>
          <w:rFonts w:asciiTheme="majorHAnsi" w:hAnsiTheme="majorHAnsi"/>
          <w:bCs/>
          <w:sz w:val="24"/>
          <w:szCs w:val="24"/>
        </w:rPr>
        <w:t>T</w:t>
      </w:r>
      <w:r w:rsidR="00F63CB6">
        <w:rPr>
          <w:rFonts w:asciiTheme="majorHAnsi" w:hAnsiTheme="majorHAnsi"/>
          <w:bCs/>
          <w:sz w:val="24"/>
          <w:szCs w:val="24"/>
        </w:rPr>
        <w:t>his appendix</w:t>
      </w:r>
      <w:r>
        <w:rPr>
          <w:rFonts w:asciiTheme="majorHAnsi" w:hAnsiTheme="majorHAnsi"/>
          <w:bCs/>
          <w:sz w:val="24"/>
          <w:szCs w:val="24"/>
        </w:rPr>
        <w:t xml:space="preserve"> will</w:t>
      </w:r>
      <w:r w:rsidR="00F63CB6">
        <w:rPr>
          <w:rFonts w:asciiTheme="majorHAnsi" w:hAnsiTheme="majorHAnsi"/>
          <w:bCs/>
          <w:sz w:val="24"/>
          <w:szCs w:val="24"/>
        </w:rPr>
        <w:t xml:space="preserve"> discuss the</w:t>
      </w:r>
      <w:r w:rsidR="00CE5F53">
        <w:rPr>
          <w:rFonts w:asciiTheme="majorHAnsi" w:hAnsiTheme="majorHAnsi"/>
          <w:bCs/>
          <w:sz w:val="24"/>
          <w:szCs w:val="24"/>
        </w:rPr>
        <w:t xml:space="preserve"> indirect and induced, as well as</w:t>
      </w:r>
      <w:r w:rsidR="00F63CB6">
        <w:rPr>
          <w:rFonts w:asciiTheme="majorHAnsi" w:hAnsiTheme="majorHAnsi"/>
          <w:bCs/>
          <w:sz w:val="24"/>
          <w:szCs w:val="24"/>
        </w:rPr>
        <w:t xml:space="preserve"> </w:t>
      </w:r>
      <w:r>
        <w:rPr>
          <w:rFonts w:asciiTheme="majorHAnsi" w:hAnsiTheme="majorHAnsi"/>
          <w:bCs/>
          <w:sz w:val="24"/>
          <w:szCs w:val="24"/>
        </w:rPr>
        <w:t xml:space="preserve">other </w:t>
      </w:r>
      <w:r w:rsidR="00F63CB6">
        <w:rPr>
          <w:rFonts w:asciiTheme="majorHAnsi" w:hAnsiTheme="majorHAnsi"/>
          <w:bCs/>
          <w:sz w:val="24"/>
          <w:szCs w:val="24"/>
        </w:rPr>
        <w:t>costs and benefits in more detail.</w:t>
      </w:r>
    </w:p>
    <w:p w14:paraId="2B66CB0B" w14:textId="77777777" w:rsidR="00782E31" w:rsidRDefault="00782E31" w:rsidP="00A05217">
      <w:pPr>
        <w:rPr>
          <w:rFonts w:asciiTheme="majorHAnsi" w:hAnsiTheme="majorHAnsi"/>
          <w:b/>
          <w:sz w:val="24"/>
          <w:szCs w:val="24"/>
        </w:rPr>
      </w:pPr>
      <w:r w:rsidRPr="00782E31">
        <w:rPr>
          <w:rFonts w:asciiTheme="majorHAnsi" w:hAnsiTheme="majorHAnsi"/>
          <w:b/>
          <w:sz w:val="24"/>
          <w:szCs w:val="24"/>
        </w:rPr>
        <w:t>Other costs</w:t>
      </w:r>
      <w:r w:rsidR="005F1773">
        <w:rPr>
          <w:rFonts w:asciiTheme="majorHAnsi" w:hAnsiTheme="majorHAnsi"/>
          <w:b/>
          <w:sz w:val="24"/>
          <w:szCs w:val="24"/>
        </w:rPr>
        <w:t xml:space="preserve"> and benefits</w:t>
      </w:r>
      <w:r w:rsidR="00A046B8" w:rsidRPr="00A046B8">
        <w:rPr>
          <w:rFonts w:asciiTheme="majorHAnsi" w:hAnsiTheme="majorHAnsi"/>
          <w:b/>
          <w:sz w:val="24"/>
          <w:szCs w:val="24"/>
        </w:rPr>
        <w:t>:  Indirect and Induced</w:t>
      </w:r>
    </w:p>
    <w:p w14:paraId="218841DF" w14:textId="77777777" w:rsidR="000F033A" w:rsidRPr="00EB68D5" w:rsidRDefault="000F033A" w:rsidP="00EB68D5">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0353D42E" w14:textId="7B6EAD09" w:rsidR="00F63CB6" w:rsidRDefault="00F63CB6" w:rsidP="00F63CB6">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sidR="00191A7E">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sidR="00191A7E">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sidR="00191A7E">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sidR="00191A7E">
        <w:rPr>
          <w:rFonts w:asciiTheme="majorHAnsi" w:eastAsiaTheme="majorEastAsia" w:hAnsiTheme="majorHAnsi" w:cstheme="majorBidi"/>
          <w:bCs/>
          <w:color w:val="000000" w:themeColor="text1"/>
          <w:sz w:val="24"/>
          <w:szCs w:val="24"/>
        </w:rPr>
        <w:t>’s</w:t>
      </w:r>
      <w:r w:rsidR="009A02FB" w:rsidRPr="009A02FB">
        <w:rPr>
          <w:rFonts w:asciiTheme="majorHAnsi" w:eastAsiaTheme="majorEastAsia" w:hAnsiTheme="majorHAnsi" w:cstheme="majorBidi"/>
          <w:bCs/>
          <w:color w:val="000000" w:themeColor="text1"/>
          <w:sz w:val="24"/>
          <w:szCs w:val="24"/>
        </w:rPr>
        <w:t xml:space="preserve"> </w:t>
      </w:r>
      <w:r w:rsidR="009A02FB">
        <w:rPr>
          <w:rFonts w:asciiTheme="majorHAnsi" w:eastAsiaTheme="majorEastAsia" w:hAnsiTheme="majorHAnsi" w:cstheme="majorBidi"/>
          <w:bCs/>
          <w:color w:val="000000" w:themeColor="text1"/>
          <w:sz w:val="24"/>
          <w:szCs w:val="24"/>
        </w:rPr>
        <w:t xml:space="preserve">balanced budget requirement </w:t>
      </w:r>
      <w:r w:rsidR="00CE5F53">
        <w:rPr>
          <w:rFonts w:asciiTheme="majorHAnsi" w:eastAsiaTheme="majorEastAsia" w:hAnsiTheme="majorHAnsi" w:cstheme="majorBidi"/>
          <w:bCs/>
          <w:color w:val="000000" w:themeColor="text1"/>
          <w:sz w:val="24"/>
          <w:szCs w:val="24"/>
        </w:rPr>
        <w:t>assuming</w:t>
      </w:r>
      <w:r w:rsidR="009A02FB">
        <w:rPr>
          <w:rFonts w:asciiTheme="majorHAnsi" w:eastAsiaTheme="majorEastAsia" w:hAnsiTheme="majorHAnsi" w:cstheme="majorBidi"/>
          <w:bCs/>
          <w:color w:val="000000" w:themeColor="text1"/>
          <w:sz w:val="24"/>
          <w:szCs w:val="24"/>
        </w:rPr>
        <w:t xml:space="preserve"> no increase in state revenues. R</w:t>
      </w:r>
      <w:r w:rsidR="009A02FB" w:rsidRPr="00DF1213">
        <w:rPr>
          <w:rFonts w:asciiTheme="majorHAnsi" w:eastAsiaTheme="majorEastAsia" w:hAnsiTheme="majorHAnsi" w:cstheme="majorBidi"/>
          <w:bCs/>
          <w:color w:val="000000" w:themeColor="text1"/>
          <w:sz w:val="24"/>
          <w:szCs w:val="24"/>
        </w:rPr>
        <w:t xml:space="preserve">educed </w:t>
      </w:r>
      <w:r w:rsidRPr="00DF1213">
        <w:rPr>
          <w:rFonts w:asciiTheme="majorHAnsi" w:eastAsiaTheme="majorEastAsia" w:hAnsiTheme="majorHAnsi" w:cstheme="majorBidi"/>
          <w:bCs/>
          <w:color w:val="000000" w:themeColor="text1"/>
          <w:sz w:val="24"/>
          <w:szCs w:val="24"/>
        </w:rPr>
        <w:t xml:space="preserve">spending on </w:t>
      </w:r>
      <w:r w:rsidR="0099648A">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w:t>
      </w:r>
      <w:r w:rsidR="0099648A">
        <w:rPr>
          <w:rFonts w:asciiTheme="majorHAnsi" w:eastAsiaTheme="majorEastAsia" w:hAnsiTheme="majorHAnsi" w:cstheme="majorBidi"/>
          <w:bCs/>
          <w:color w:val="000000" w:themeColor="text1"/>
          <w:sz w:val="24"/>
          <w:szCs w:val="24"/>
        </w:rPr>
        <w:t>o</w:t>
      </w:r>
      <w:r>
        <w:rPr>
          <w:rFonts w:asciiTheme="majorHAnsi" w:eastAsiaTheme="majorEastAsia" w:hAnsiTheme="majorHAnsi" w:cstheme="majorBidi"/>
          <w:bCs/>
          <w:color w:val="000000" w:themeColor="text1"/>
          <w:sz w:val="24"/>
          <w:szCs w:val="24"/>
        </w:rPr>
        <w:t>se</w:t>
      </w:r>
      <w:r w:rsidRPr="00DF1213">
        <w:rPr>
          <w:rFonts w:asciiTheme="majorHAnsi" w:eastAsiaTheme="majorEastAsia" w:hAnsiTheme="majorHAnsi" w:cstheme="majorBidi"/>
          <w:bCs/>
          <w:color w:val="000000" w:themeColor="text1"/>
          <w:sz w:val="24"/>
          <w:szCs w:val="24"/>
        </w:rPr>
        <w:t xml:space="preserve"> items. This is an </w:t>
      </w:r>
      <w:r w:rsidRPr="002E73F2">
        <w:rPr>
          <w:rFonts w:asciiTheme="majorHAnsi" w:eastAsiaTheme="majorEastAsia" w:hAnsiTheme="majorHAnsi" w:cstheme="majorBidi"/>
          <w:b/>
          <w:color w:val="000000" w:themeColor="text1"/>
          <w:sz w:val="24"/>
          <w:szCs w:val="24"/>
        </w:rPr>
        <w:t>opportunity cost</w:t>
      </w:r>
      <w:r w:rsidRPr="00DF1213">
        <w:rPr>
          <w:rFonts w:asciiTheme="majorHAnsi" w:eastAsiaTheme="majorEastAsia" w:hAnsiTheme="majorHAnsi" w:cstheme="majorBidi"/>
          <w:bCs/>
          <w:color w:val="000000" w:themeColor="text1"/>
          <w:sz w:val="24"/>
          <w:szCs w:val="24"/>
        </w:rPr>
        <w:t xml:space="preserve"> to the Commonwealth. </w:t>
      </w:r>
      <w:r w:rsidR="009201C7">
        <w:rPr>
          <w:rFonts w:asciiTheme="majorHAnsi" w:eastAsiaTheme="majorEastAsia" w:hAnsiTheme="majorHAnsi" w:cstheme="majorBidi"/>
          <w:bCs/>
          <w:color w:val="000000" w:themeColor="text1"/>
          <w:sz w:val="24"/>
          <w:szCs w:val="24"/>
        </w:rPr>
        <w:t xml:space="preserve">The opportunity cost </w:t>
      </w:r>
      <w:r w:rsidR="005F1773">
        <w:rPr>
          <w:rFonts w:asciiTheme="majorHAnsi" w:eastAsiaTheme="majorEastAsia" w:hAnsiTheme="majorHAnsi" w:cstheme="majorBidi"/>
          <w:bCs/>
          <w:color w:val="000000" w:themeColor="text1"/>
          <w:sz w:val="24"/>
          <w:szCs w:val="24"/>
        </w:rPr>
        <w:t>to the state</w:t>
      </w:r>
      <w:r w:rsidR="009201C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include not only the impact on the businesses and their employees that directly benefit from </w:t>
      </w:r>
      <w:r w:rsidR="009F1B99">
        <w:rPr>
          <w:rFonts w:asciiTheme="majorHAnsi" w:eastAsiaTheme="majorEastAsia" w:hAnsiTheme="majorHAnsi" w:cstheme="majorBidi"/>
          <w:bCs/>
          <w:color w:val="000000" w:themeColor="text1"/>
          <w:sz w:val="24"/>
          <w:szCs w:val="24"/>
        </w:rPr>
        <w:t xml:space="preserve">those </w:t>
      </w:r>
      <w:r>
        <w:rPr>
          <w:rFonts w:asciiTheme="majorHAnsi" w:eastAsiaTheme="majorEastAsia" w:hAnsiTheme="majorHAnsi" w:cstheme="majorBidi"/>
          <w:bCs/>
          <w:color w:val="000000" w:themeColor="text1"/>
          <w:sz w:val="24"/>
          <w:szCs w:val="24"/>
        </w:rPr>
        <w:t>expenditure items (this is called “direct impact”), but also the indirect impact on the chain of businesses that provide intermediate products and services to the directly impacted businesses (this is called “indirect impact”)</w:t>
      </w:r>
      <w:r w:rsidR="009201C7">
        <w:rPr>
          <w:rFonts w:asciiTheme="majorHAnsi" w:eastAsiaTheme="majorEastAsia" w:hAnsiTheme="majorHAnsi" w:cstheme="majorBidi"/>
          <w:bCs/>
          <w:color w:val="000000" w:themeColor="text1"/>
          <w:sz w:val="24"/>
          <w:szCs w:val="24"/>
        </w:rPr>
        <w:t>.  In addition, there is the cost to the</w:t>
      </w:r>
      <w:r>
        <w:rPr>
          <w:rFonts w:asciiTheme="majorHAnsi" w:eastAsiaTheme="majorEastAsia" w:hAnsiTheme="majorHAnsi" w:cstheme="majorBidi"/>
          <w:bCs/>
          <w:color w:val="000000" w:themeColor="text1"/>
          <w:sz w:val="24"/>
          <w:szCs w:val="24"/>
        </w:rPr>
        <w:t xml:space="preserv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w:t>
      </w:r>
      <w:r w:rsidR="003C031E">
        <w:rPr>
          <w:rStyle w:val="FootnoteReference"/>
          <w:rFonts w:asciiTheme="majorHAnsi" w:eastAsiaTheme="majorEastAsia" w:hAnsiTheme="majorHAnsi"/>
          <w:bCs/>
          <w:color w:val="000000" w:themeColor="text1"/>
          <w:sz w:val="24"/>
          <w:szCs w:val="24"/>
        </w:rPr>
        <w:footnoteReference w:id="6"/>
      </w:r>
      <w:r w:rsidR="00E0511F">
        <w:rPr>
          <w:rFonts w:asciiTheme="majorHAnsi" w:eastAsiaTheme="majorEastAsia" w:hAnsiTheme="majorHAnsi" w:cstheme="majorBidi"/>
          <w:bCs/>
          <w:color w:val="000000" w:themeColor="text1"/>
          <w:sz w:val="24"/>
          <w:szCs w:val="24"/>
        </w:rPr>
        <w:t xml:space="preserve"> </w:t>
      </w:r>
    </w:p>
    <w:p w14:paraId="41FFA178" w14:textId="77777777" w:rsidR="00F63CB6" w:rsidRDefault="00F63CB6" w:rsidP="00F63CB6">
      <w:pPr>
        <w:spacing w:after="0"/>
        <w:rPr>
          <w:rFonts w:asciiTheme="majorHAnsi" w:eastAsiaTheme="majorEastAsia" w:hAnsiTheme="majorHAnsi" w:cstheme="majorBidi"/>
          <w:bCs/>
          <w:color w:val="000000" w:themeColor="text1"/>
          <w:sz w:val="24"/>
          <w:szCs w:val="24"/>
        </w:rPr>
      </w:pPr>
    </w:p>
    <w:p w14:paraId="06E255FF" w14:textId="77777777" w:rsidR="00F63CB6" w:rsidRDefault="00F63CB6" w:rsidP="00F63CB6">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sidR="005F1773">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is</w:t>
      </w:r>
      <w:r>
        <w:rPr>
          <w:rFonts w:asciiTheme="majorHAnsi" w:eastAsiaTheme="majorEastAsia" w:hAnsiTheme="majorHAnsi" w:cstheme="majorBidi"/>
          <w:bCs/>
          <w:color w:val="000000" w:themeColor="text1"/>
          <w:sz w:val="24"/>
          <w:szCs w:val="24"/>
        </w:rPr>
        <w:t xml:space="preserve"> for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 made according to the current composition of the Commonwealth’s expenditure.</w:t>
      </w:r>
    </w:p>
    <w:p w14:paraId="3409DED2" w14:textId="77777777" w:rsidR="00F63CB6" w:rsidRDefault="00F63CB6" w:rsidP="00F63CB6">
      <w:pPr>
        <w:spacing w:after="0"/>
        <w:rPr>
          <w:rFonts w:asciiTheme="majorHAnsi" w:eastAsiaTheme="majorEastAsia" w:hAnsiTheme="majorHAnsi" w:cstheme="majorBidi"/>
          <w:bCs/>
          <w:color w:val="000000" w:themeColor="text1"/>
          <w:sz w:val="24"/>
          <w:szCs w:val="24"/>
        </w:rPr>
      </w:pPr>
    </w:p>
    <w:p w14:paraId="79B5E731" w14:textId="77777777" w:rsidR="00F919DD" w:rsidRPr="00E0511F" w:rsidRDefault="00F919DD" w:rsidP="00F63CB6">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sidR="00A50785">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sidR="00A50785">
        <w:rPr>
          <w:rFonts w:asciiTheme="majorHAnsi" w:eastAsiaTheme="majorEastAsia" w:hAnsiTheme="majorHAnsi" w:cstheme="majorBidi"/>
          <w:bCs/>
          <w:i/>
          <w:iCs/>
          <w:color w:val="000000" w:themeColor="text1"/>
          <w:sz w:val="24"/>
          <w:szCs w:val="24"/>
        </w:rPr>
        <w:t>(direct, indirect and induced)</w:t>
      </w:r>
    </w:p>
    <w:p w14:paraId="527338E3" w14:textId="77777777" w:rsidR="00F63CB6" w:rsidRDefault="00F63CB6" w:rsidP="00F63CB6">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sidR="00E0511F">
        <w:rPr>
          <w:rFonts w:asciiTheme="majorHAnsi" w:eastAsiaTheme="majorEastAsia" w:hAnsiTheme="majorHAnsi" w:cstheme="majorBidi"/>
          <w:bCs/>
          <w:color w:val="000000" w:themeColor="text1"/>
          <w:sz w:val="24"/>
          <w:szCs w:val="24"/>
        </w:rPr>
        <w:t>A1</w:t>
      </w:r>
      <w:r w:rsidR="00E0511F" w:rsidRPr="00537A8B">
        <w:rPr>
          <w:rFonts w:asciiTheme="majorHAnsi" w:eastAsiaTheme="majorEastAsia" w:hAnsiTheme="majorHAnsi" w:cstheme="majorBidi"/>
          <w:bCs/>
          <w:color w:val="000000" w:themeColor="text1"/>
          <w:sz w:val="24"/>
          <w:szCs w:val="24"/>
        </w:rPr>
        <w:t xml:space="preserve"> </w:t>
      </w:r>
      <w:r w:rsidRPr="00537A8B">
        <w:rPr>
          <w:rFonts w:asciiTheme="majorHAnsi" w:eastAsiaTheme="majorEastAsia" w:hAnsiTheme="majorHAnsi" w:cstheme="majorBidi"/>
          <w:bCs/>
          <w:color w:val="000000" w:themeColor="text1"/>
          <w:sz w:val="24"/>
          <w:szCs w:val="24"/>
        </w:rPr>
        <w:t xml:space="preserve">and </w:t>
      </w:r>
      <w:r w:rsidR="00E0511F">
        <w:rPr>
          <w:rFonts w:asciiTheme="majorHAnsi" w:eastAsiaTheme="majorEastAsia" w:hAnsiTheme="majorHAnsi" w:cstheme="majorBidi"/>
          <w:bCs/>
          <w:color w:val="000000" w:themeColor="text1"/>
          <w:sz w:val="24"/>
          <w:szCs w:val="24"/>
        </w:rPr>
        <w:t>A2</w:t>
      </w:r>
      <w:r w:rsidR="00E0511F" w:rsidRPr="00537A8B">
        <w:rPr>
          <w:rFonts w:asciiTheme="majorHAnsi" w:eastAsiaTheme="majorEastAsia" w:hAnsiTheme="majorHAnsi" w:cstheme="majorBidi"/>
          <w:bCs/>
          <w:color w:val="000000" w:themeColor="text1"/>
          <w:sz w:val="24"/>
          <w:szCs w:val="24"/>
        </w:rPr>
        <w:t xml:space="preserve"> </w:t>
      </w:r>
      <w:r w:rsidRPr="00537A8B">
        <w:rPr>
          <w:rFonts w:asciiTheme="majorHAnsi" w:eastAsiaTheme="majorEastAsia" w:hAnsiTheme="majorHAnsi" w:cstheme="majorBidi"/>
          <w:bCs/>
          <w:color w:val="000000" w:themeColor="text1"/>
          <w:sz w:val="24"/>
          <w:szCs w:val="24"/>
        </w:rPr>
        <w:t xml:space="preserve">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295A407F" w14:textId="77777777" w:rsidR="00F63CB6" w:rsidRDefault="00F63CB6" w:rsidP="00F63CB6">
      <w:pPr>
        <w:spacing w:after="0"/>
        <w:rPr>
          <w:rFonts w:asciiTheme="majorHAnsi" w:hAnsiTheme="majorHAnsi"/>
          <w:bCs/>
          <w:sz w:val="24"/>
          <w:szCs w:val="24"/>
        </w:rPr>
      </w:pPr>
    </w:p>
    <w:p w14:paraId="06690E6C" w14:textId="49238FDF" w:rsidR="00F63CB6" w:rsidRDefault="00F63CB6" w:rsidP="00F63CB6">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sidR="00246F32">
        <w:rPr>
          <w:rFonts w:asciiTheme="majorHAnsi" w:eastAsiaTheme="majorEastAsia" w:hAnsiTheme="majorHAnsi" w:cstheme="majorBidi"/>
          <w:bCs/>
          <w:color w:val="000000" w:themeColor="text1"/>
          <w:sz w:val="24"/>
          <w:szCs w:val="24"/>
        </w:rPr>
        <w:t>A1</w:t>
      </w:r>
      <w:r w:rsidR="00246F32" w:rsidRPr="00D86973">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and </w:t>
      </w:r>
      <w:r w:rsidR="00246F32">
        <w:rPr>
          <w:rFonts w:asciiTheme="majorHAnsi" w:eastAsiaTheme="majorEastAsia" w:hAnsiTheme="majorHAnsi" w:cstheme="majorBidi"/>
          <w:bCs/>
          <w:color w:val="000000" w:themeColor="text1"/>
          <w:sz w:val="24"/>
          <w:szCs w:val="24"/>
        </w:rPr>
        <w:t>A2</w:t>
      </w:r>
      <w:r w:rsidR="00246F32" w:rsidRPr="00D86973">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D86973">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608</w:t>
      </w:r>
      <w:r w:rsidRPr="00D86973">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845</w:t>
      </w:r>
      <w:r w:rsidRPr="00D86973">
        <w:rPr>
          <w:rFonts w:asciiTheme="majorHAnsi" w:eastAsiaTheme="majorEastAsia" w:hAnsiTheme="majorHAnsi" w:cstheme="majorBidi"/>
          <w:bCs/>
          <w:color w:val="000000" w:themeColor="text1"/>
          <w:sz w:val="24"/>
          <w:szCs w:val="24"/>
        </w:rPr>
        <w:t xml:space="preserve"> million and total employment declining </w:t>
      </w:r>
      <w:r>
        <w:rPr>
          <w:rFonts w:asciiTheme="majorHAnsi" w:eastAsiaTheme="majorEastAsia" w:hAnsiTheme="majorHAnsi" w:cstheme="majorBidi"/>
          <w:bCs/>
          <w:color w:val="000000" w:themeColor="text1"/>
          <w:sz w:val="24"/>
          <w:szCs w:val="24"/>
        </w:rPr>
        <w:t>by 7,034</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9,475</w:t>
      </w:r>
      <w:r w:rsidRPr="00D86973">
        <w:rPr>
          <w:rFonts w:asciiTheme="majorHAnsi" w:eastAsiaTheme="majorEastAsia" w:hAnsiTheme="majorHAnsi" w:cstheme="majorBidi"/>
          <w:bCs/>
          <w:color w:val="000000" w:themeColor="text1"/>
          <w:sz w:val="24"/>
          <w:szCs w:val="24"/>
        </w:rPr>
        <w:t xml:space="preserve"> </w:t>
      </w:r>
      <w:r w:rsidR="00246F32">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sidR="00A33087">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 ranging from $</w:t>
      </w:r>
      <w:r>
        <w:rPr>
          <w:rFonts w:asciiTheme="majorHAnsi" w:eastAsiaTheme="majorEastAsia" w:hAnsiTheme="majorHAnsi" w:cstheme="majorBidi"/>
          <w:bCs/>
          <w:color w:val="000000" w:themeColor="text1"/>
          <w:sz w:val="24"/>
          <w:szCs w:val="24"/>
        </w:rPr>
        <w:t>13.0</w:t>
      </w:r>
      <w:r w:rsidRPr="00D86973">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45.4</w:t>
      </w:r>
      <w:r w:rsidRPr="00D86973">
        <w:rPr>
          <w:rFonts w:asciiTheme="majorHAnsi" w:eastAsiaTheme="majorEastAsia" w:hAnsiTheme="majorHAnsi" w:cstheme="majorBidi"/>
          <w:bCs/>
          <w:color w:val="000000" w:themeColor="text1"/>
          <w:sz w:val="24"/>
          <w:szCs w:val="24"/>
        </w:rPr>
        <w:t xml:space="preserve"> million annually. </w:t>
      </w:r>
      <w:r>
        <w:rPr>
          <w:rFonts w:asciiTheme="majorHAnsi" w:eastAsiaTheme="majorEastAsia" w:hAnsiTheme="majorHAnsi" w:cstheme="majorBidi"/>
          <w:bCs/>
          <w:color w:val="000000" w:themeColor="text1"/>
          <w:sz w:val="24"/>
          <w:szCs w:val="24"/>
        </w:rPr>
        <w:t xml:space="preserve">Note that the revenue impact reported in Table </w:t>
      </w:r>
      <w:r w:rsidR="00246F32">
        <w:rPr>
          <w:rFonts w:asciiTheme="majorHAnsi" w:eastAsiaTheme="majorEastAsia" w:hAnsiTheme="majorHAnsi" w:cstheme="majorBidi"/>
          <w:bCs/>
          <w:color w:val="000000" w:themeColor="text1"/>
          <w:sz w:val="24"/>
          <w:szCs w:val="24"/>
        </w:rPr>
        <w:t xml:space="preserve">A1 </w:t>
      </w:r>
      <w:r>
        <w:rPr>
          <w:rFonts w:asciiTheme="majorHAnsi" w:eastAsiaTheme="majorEastAsia" w:hAnsiTheme="majorHAnsi" w:cstheme="majorBidi"/>
          <w:bCs/>
          <w:color w:val="000000" w:themeColor="text1"/>
          <w:sz w:val="24"/>
          <w:szCs w:val="24"/>
        </w:rPr>
        <w:t>does not include the estimated direct impact of the tax expenditure from Table 1, but only the additional indirect</w:t>
      </w:r>
      <w:r w:rsidR="006672BF">
        <w:rPr>
          <w:rFonts w:asciiTheme="majorHAnsi" w:eastAsiaTheme="majorEastAsia" w:hAnsiTheme="majorHAnsi" w:cstheme="majorBidi"/>
          <w:bCs/>
          <w:color w:val="000000" w:themeColor="text1"/>
          <w:sz w:val="24"/>
          <w:szCs w:val="24"/>
        </w:rPr>
        <w:t>/induced</w:t>
      </w:r>
      <w:r>
        <w:rPr>
          <w:rFonts w:asciiTheme="majorHAnsi" w:eastAsiaTheme="majorEastAsia" w:hAnsiTheme="majorHAnsi" w:cstheme="majorBidi"/>
          <w:bCs/>
          <w:color w:val="000000" w:themeColor="text1"/>
          <w:sz w:val="24"/>
          <w:szCs w:val="24"/>
        </w:rPr>
        <w:t xml:space="preserve"> impact.</w:t>
      </w:r>
    </w:p>
    <w:p w14:paraId="075B0740" w14:textId="77777777" w:rsidR="00F63CB6" w:rsidRDefault="00F63CB6" w:rsidP="00F63CB6">
      <w:pPr>
        <w:spacing w:after="0"/>
        <w:rPr>
          <w:rFonts w:asciiTheme="majorHAnsi" w:hAnsiTheme="majorHAnsi"/>
          <w:bCs/>
          <w:sz w:val="24"/>
          <w:szCs w:val="24"/>
        </w:rPr>
      </w:pPr>
    </w:p>
    <w:p w14:paraId="4A31D6B3" w14:textId="77777777" w:rsidR="00F63CB6" w:rsidRDefault="00F63CB6" w:rsidP="00F63CB6">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0511F">
        <w:rPr>
          <w:rFonts w:asciiTheme="majorHAnsi" w:eastAsiaTheme="majorEastAsia" w:hAnsiTheme="majorHAnsi" w:cstheme="majorBidi"/>
          <w:b/>
          <w:color w:val="000000" w:themeColor="text1"/>
          <w:sz w:val="24"/>
          <w:szCs w:val="24"/>
        </w:rPr>
        <w:t>A1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F63CB6" w:rsidRPr="008B33E0" w14:paraId="55089267" w14:textId="77777777" w:rsidTr="00F63CB6">
        <w:trPr>
          <w:trHeight w:val="500"/>
          <w:jc w:val="center"/>
        </w:trPr>
        <w:tc>
          <w:tcPr>
            <w:tcW w:w="32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506708F"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3190E7F"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34DCB05"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A725117"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E9DA3C4"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0A069D2"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F63CB6" w:rsidRPr="008B33E0" w14:paraId="7F46A225" w14:textId="77777777" w:rsidTr="00F63CB6">
        <w:trPr>
          <w:trHeight w:val="500"/>
          <w:jc w:val="center"/>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44E54FA9"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DE2DC"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-$12,961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7764CAF0"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-$28,371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70CA6227"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-$31,820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1F2473DF"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-$39,016</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47DF5AC" w14:textId="77777777" w:rsidR="00F63CB6" w:rsidRPr="008B33E0"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-$45,366</w:t>
            </w:r>
          </w:p>
        </w:tc>
      </w:tr>
    </w:tbl>
    <w:p w14:paraId="53C75D67" w14:textId="77777777" w:rsidR="00F63CB6" w:rsidRPr="00304366" w:rsidRDefault="00F63CB6" w:rsidP="00F63CB6">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the </w:t>
      </w:r>
      <w:r>
        <w:rPr>
          <w:rFonts w:asciiTheme="majorHAnsi" w:eastAsiaTheme="majorEastAsia" w:hAnsiTheme="majorHAnsi" w:cstheme="majorBidi"/>
          <w:bCs/>
          <w:color w:val="000000" w:themeColor="text1"/>
          <w:sz w:val="20"/>
          <w:szCs w:val="20"/>
        </w:rPr>
        <w:t>research</w:t>
      </w:r>
      <w:r w:rsidRPr="00304366">
        <w:rPr>
          <w:rFonts w:asciiTheme="majorHAnsi" w:eastAsiaTheme="majorEastAsia" w:hAnsiTheme="majorHAnsi" w:cstheme="majorBidi"/>
          <w:bCs/>
          <w:color w:val="000000" w:themeColor="text1"/>
          <w:sz w:val="20"/>
          <w:szCs w:val="20"/>
        </w:rPr>
        <w:t xml:space="preserve"> tax credit.</w:t>
      </w:r>
    </w:p>
    <w:p w14:paraId="22570AEB" w14:textId="77777777" w:rsidR="00F63CB6" w:rsidRDefault="00F63CB6" w:rsidP="00F63CB6">
      <w:pPr>
        <w:spacing w:after="0"/>
        <w:rPr>
          <w:rFonts w:asciiTheme="majorHAnsi" w:eastAsiaTheme="majorEastAsia" w:hAnsiTheme="majorHAnsi" w:cstheme="majorBidi"/>
          <w:bCs/>
          <w:color w:val="000000" w:themeColor="text1"/>
          <w:sz w:val="24"/>
          <w:szCs w:val="24"/>
        </w:rPr>
      </w:pPr>
    </w:p>
    <w:p w14:paraId="004A8C54" w14:textId="77777777" w:rsidR="00F63CB6" w:rsidRDefault="00F63CB6" w:rsidP="00F63CB6">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0511F">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w:t>
      </w:r>
      <w:r w:rsidR="00F30600">
        <w:rPr>
          <w:rFonts w:asciiTheme="majorHAnsi" w:eastAsiaTheme="majorEastAsia" w:hAnsiTheme="majorHAnsi" w:cstheme="majorBidi"/>
          <w:b/>
          <w:color w:val="000000" w:themeColor="text1"/>
          <w:sz w:val="24"/>
          <w:szCs w:val="24"/>
        </w:rPr>
        <w:t xml:space="preserve"> by Selected Economic Measure</w:t>
      </w:r>
      <w:r>
        <w:rPr>
          <w:rFonts w:asciiTheme="majorHAnsi" w:eastAsiaTheme="majorEastAsia" w:hAnsiTheme="majorHAnsi" w:cstheme="majorBidi"/>
          <w:b/>
          <w:color w:val="000000" w:themeColor="text1"/>
          <w:sz w:val="24"/>
          <w:szCs w:val="24"/>
        </w:rPr>
        <w:t>*</w:t>
      </w:r>
    </w:p>
    <w:tbl>
      <w:tblPr>
        <w:tblW w:w="9265" w:type="dxa"/>
        <w:jc w:val="center"/>
        <w:tblLook w:val="04A0" w:firstRow="1" w:lastRow="0" w:firstColumn="1" w:lastColumn="0" w:noHBand="0" w:noVBand="1"/>
      </w:tblPr>
      <w:tblGrid>
        <w:gridCol w:w="2735"/>
        <w:gridCol w:w="1323"/>
        <w:gridCol w:w="1323"/>
        <w:gridCol w:w="1323"/>
        <w:gridCol w:w="1323"/>
        <w:gridCol w:w="1238"/>
      </w:tblGrid>
      <w:tr w:rsidR="00F63CB6" w:rsidRPr="00DC336F" w14:paraId="7A387EBD" w14:textId="77777777" w:rsidTr="00F63CB6">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6F61369"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9537304"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417060CE"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0F3E9E73"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70514C8F"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79F2FF49"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F63CB6" w:rsidRPr="00DC336F" w14:paraId="7E00432C" w14:textId="77777777" w:rsidTr="00F63CB6">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463162A" w14:textId="77777777" w:rsidR="00F63CB6" w:rsidRPr="00DC336F" w:rsidRDefault="00F63CB6" w:rsidP="00F63CB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2CB0"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-7,034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CFD3734"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-7,228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93B8283"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-7,446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B0A8D0B"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-9,475</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B456"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-9,152</w:t>
            </w:r>
          </w:p>
        </w:tc>
      </w:tr>
      <w:tr w:rsidR="00F63CB6" w:rsidRPr="00DC336F" w14:paraId="530761AB" w14:textId="77777777" w:rsidTr="00F63CB6">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B1DD99B" w14:textId="77777777" w:rsidR="00F63CB6" w:rsidRPr="00DC336F" w:rsidRDefault="00F63CB6" w:rsidP="00F63CB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31FB6D"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-3,879</w:t>
            </w:r>
          </w:p>
        </w:tc>
        <w:tc>
          <w:tcPr>
            <w:tcW w:w="1323" w:type="dxa"/>
            <w:tcBorders>
              <w:top w:val="nil"/>
              <w:left w:val="nil"/>
              <w:bottom w:val="single" w:sz="4" w:space="0" w:color="auto"/>
              <w:right w:val="single" w:sz="4" w:space="0" w:color="auto"/>
            </w:tcBorders>
            <w:shd w:val="clear" w:color="auto" w:fill="auto"/>
            <w:noWrap/>
            <w:vAlign w:val="center"/>
            <w:hideMark/>
          </w:tcPr>
          <w:p w14:paraId="5F8788FF"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-3,985</w:t>
            </w:r>
          </w:p>
        </w:tc>
        <w:tc>
          <w:tcPr>
            <w:tcW w:w="1323" w:type="dxa"/>
            <w:tcBorders>
              <w:top w:val="nil"/>
              <w:left w:val="nil"/>
              <w:bottom w:val="single" w:sz="4" w:space="0" w:color="auto"/>
              <w:right w:val="single" w:sz="4" w:space="0" w:color="auto"/>
            </w:tcBorders>
            <w:shd w:val="clear" w:color="auto" w:fill="auto"/>
            <w:noWrap/>
            <w:vAlign w:val="center"/>
            <w:hideMark/>
          </w:tcPr>
          <w:p w14:paraId="6D9F76FA"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-4,122</w:t>
            </w:r>
          </w:p>
        </w:tc>
        <w:tc>
          <w:tcPr>
            <w:tcW w:w="1323" w:type="dxa"/>
            <w:tcBorders>
              <w:top w:val="nil"/>
              <w:left w:val="nil"/>
              <w:bottom w:val="single" w:sz="4" w:space="0" w:color="auto"/>
              <w:right w:val="single" w:sz="4" w:space="0" w:color="auto"/>
            </w:tcBorders>
            <w:shd w:val="clear" w:color="auto" w:fill="auto"/>
            <w:noWrap/>
            <w:vAlign w:val="center"/>
            <w:hideMark/>
          </w:tcPr>
          <w:p w14:paraId="19A43495"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-5,159</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4B81F100"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-4,889</w:t>
            </w:r>
          </w:p>
        </w:tc>
      </w:tr>
      <w:tr w:rsidR="00F63CB6" w:rsidRPr="00DC336F" w14:paraId="118E5A5A" w14:textId="77777777" w:rsidTr="00F63CB6">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5D3AC0B3" w14:textId="77777777" w:rsidR="00F63CB6" w:rsidRPr="00DC336F" w:rsidRDefault="00F63CB6" w:rsidP="00F63CB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FF7C3A"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-$608,000</w:t>
            </w:r>
          </w:p>
        </w:tc>
        <w:tc>
          <w:tcPr>
            <w:tcW w:w="1323" w:type="dxa"/>
            <w:tcBorders>
              <w:top w:val="nil"/>
              <w:left w:val="nil"/>
              <w:bottom w:val="single" w:sz="4" w:space="0" w:color="auto"/>
              <w:right w:val="single" w:sz="4" w:space="0" w:color="auto"/>
            </w:tcBorders>
            <w:shd w:val="clear" w:color="auto" w:fill="auto"/>
            <w:noWrap/>
            <w:vAlign w:val="center"/>
            <w:hideMark/>
          </w:tcPr>
          <w:p w14:paraId="314D97CF"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-$630,000</w:t>
            </w:r>
          </w:p>
        </w:tc>
        <w:tc>
          <w:tcPr>
            <w:tcW w:w="1323" w:type="dxa"/>
            <w:tcBorders>
              <w:top w:val="nil"/>
              <w:left w:val="nil"/>
              <w:bottom w:val="single" w:sz="4" w:space="0" w:color="auto"/>
              <w:right w:val="single" w:sz="4" w:space="0" w:color="auto"/>
            </w:tcBorders>
            <w:shd w:val="clear" w:color="auto" w:fill="auto"/>
            <w:noWrap/>
            <w:vAlign w:val="center"/>
            <w:hideMark/>
          </w:tcPr>
          <w:p w14:paraId="08C5B8C5"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-$656,000</w:t>
            </w:r>
          </w:p>
        </w:tc>
        <w:tc>
          <w:tcPr>
            <w:tcW w:w="1323" w:type="dxa"/>
            <w:tcBorders>
              <w:top w:val="nil"/>
              <w:left w:val="nil"/>
              <w:bottom w:val="single" w:sz="4" w:space="0" w:color="auto"/>
              <w:right w:val="single" w:sz="4" w:space="0" w:color="auto"/>
            </w:tcBorders>
            <w:shd w:val="clear" w:color="auto" w:fill="auto"/>
            <w:noWrap/>
            <w:vAlign w:val="center"/>
            <w:hideMark/>
          </w:tcPr>
          <w:p w14:paraId="244E0581"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-$845,000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035F895"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-$827,000</w:t>
            </w:r>
          </w:p>
        </w:tc>
      </w:tr>
      <w:tr w:rsidR="00F63CB6" w:rsidRPr="00DC336F" w14:paraId="26DB2DD6" w14:textId="77777777" w:rsidTr="00F63CB6">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1D2CE997" w14:textId="77777777" w:rsidR="00F63CB6" w:rsidRPr="00DC336F" w:rsidRDefault="00F63CB6" w:rsidP="00F63CB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0A16DA"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-$507,000</w:t>
            </w:r>
          </w:p>
        </w:tc>
        <w:tc>
          <w:tcPr>
            <w:tcW w:w="1323" w:type="dxa"/>
            <w:tcBorders>
              <w:top w:val="nil"/>
              <w:left w:val="nil"/>
              <w:bottom w:val="single" w:sz="4" w:space="0" w:color="auto"/>
              <w:right w:val="single" w:sz="4" w:space="0" w:color="auto"/>
            </w:tcBorders>
            <w:shd w:val="clear" w:color="auto" w:fill="auto"/>
            <w:noWrap/>
            <w:vAlign w:val="center"/>
            <w:hideMark/>
          </w:tcPr>
          <w:p w14:paraId="211B9099"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-$578,000</w:t>
            </w:r>
          </w:p>
        </w:tc>
        <w:tc>
          <w:tcPr>
            <w:tcW w:w="1323" w:type="dxa"/>
            <w:tcBorders>
              <w:top w:val="nil"/>
              <w:left w:val="nil"/>
              <w:bottom w:val="single" w:sz="4" w:space="0" w:color="auto"/>
              <w:right w:val="single" w:sz="4" w:space="0" w:color="auto"/>
            </w:tcBorders>
            <w:shd w:val="clear" w:color="auto" w:fill="auto"/>
            <w:noWrap/>
            <w:vAlign w:val="center"/>
            <w:hideMark/>
          </w:tcPr>
          <w:p w14:paraId="39870A89"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-$646,000</w:t>
            </w:r>
          </w:p>
        </w:tc>
        <w:tc>
          <w:tcPr>
            <w:tcW w:w="1323" w:type="dxa"/>
            <w:tcBorders>
              <w:top w:val="nil"/>
              <w:left w:val="nil"/>
              <w:bottom w:val="single" w:sz="4" w:space="0" w:color="auto"/>
              <w:right w:val="single" w:sz="4" w:space="0" w:color="auto"/>
            </w:tcBorders>
            <w:shd w:val="clear" w:color="auto" w:fill="auto"/>
            <w:noWrap/>
            <w:vAlign w:val="center"/>
            <w:hideMark/>
          </w:tcPr>
          <w:p w14:paraId="0CABF227"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-$855,000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3B75877A" w14:textId="77777777" w:rsidR="00F63CB6" w:rsidRPr="00DC336F" w:rsidRDefault="00F63CB6" w:rsidP="00F63CB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-$893,000</w:t>
            </w:r>
          </w:p>
        </w:tc>
      </w:tr>
    </w:tbl>
    <w:p w14:paraId="417A2E67" w14:textId="77777777" w:rsidR="00F63CB6" w:rsidRPr="008A3AB7" w:rsidRDefault="00F63CB6" w:rsidP="00F63CB6">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the </w:t>
      </w:r>
      <w:r>
        <w:rPr>
          <w:rFonts w:asciiTheme="majorHAnsi" w:eastAsiaTheme="majorEastAsia" w:hAnsiTheme="majorHAnsi" w:cstheme="majorBidi"/>
          <w:bCs/>
          <w:color w:val="000000" w:themeColor="text1"/>
          <w:sz w:val="20"/>
          <w:szCs w:val="20"/>
        </w:rPr>
        <w:t>research</w:t>
      </w:r>
      <w:r w:rsidRPr="008A3AB7">
        <w:rPr>
          <w:rFonts w:asciiTheme="majorHAnsi" w:eastAsiaTheme="majorEastAsia" w:hAnsiTheme="majorHAnsi" w:cstheme="majorBidi"/>
          <w:bCs/>
          <w:color w:val="000000" w:themeColor="text1"/>
          <w:sz w:val="20"/>
          <w:szCs w:val="20"/>
        </w:rPr>
        <w:t xml:space="preserve"> tax credit.</w:t>
      </w:r>
    </w:p>
    <w:p w14:paraId="07530016" w14:textId="77777777" w:rsidR="00782E31" w:rsidRDefault="00782E31" w:rsidP="00A05217">
      <w:pPr>
        <w:rPr>
          <w:rFonts w:asciiTheme="majorHAnsi" w:hAnsiTheme="majorHAnsi"/>
          <w:bCs/>
          <w:sz w:val="24"/>
          <w:szCs w:val="24"/>
        </w:rPr>
      </w:pPr>
    </w:p>
    <w:p w14:paraId="1636F73B" w14:textId="77777777" w:rsidR="00782E31" w:rsidRPr="00782E31" w:rsidRDefault="000F033A" w:rsidP="00A05217">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00782E31" w:rsidRPr="00EB68D5">
        <w:rPr>
          <w:rFonts w:asciiTheme="majorHAnsi" w:eastAsiaTheme="majorEastAsia" w:hAnsiTheme="majorHAnsi" w:cstheme="majorBidi"/>
          <w:bCs/>
          <w:i/>
          <w:iCs/>
          <w:color w:val="000000" w:themeColor="text1"/>
          <w:sz w:val="24"/>
          <w:szCs w:val="24"/>
        </w:rPr>
        <w:t>Benefits</w:t>
      </w:r>
    </w:p>
    <w:p w14:paraId="55B73E7E" w14:textId="35AF8D98" w:rsidR="00782E31" w:rsidRDefault="00782E31" w:rsidP="00782E3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cost savings due to the research credit encourages the directly affected businesses to increase research and development spending, invest in new technology and equipment, </w:t>
      </w:r>
      <w:r w:rsidR="00A33087">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 xml:space="preserve">hire additional researchers and workers. Such decisions would increase demand for </w:t>
      </w:r>
      <w:r>
        <w:rPr>
          <w:rFonts w:asciiTheme="majorHAnsi" w:eastAsiaTheme="majorEastAsia" w:hAnsiTheme="majorHAnsi" w:cstheme="majorBidi"/>
          <w:bCs/>
          <w:color w:val="000000" w:themeColor="text1"/>
          <w:sz w:val="24"/>
          <w:szCs w:val="24"/>
        </w:rPr>
        <w:lastRenderedPageBreak/>
        <w:t xml:space="preserve">goods and services provided by other individuals and businesses in the economy, or put another way, generate a “Multiplier Effect” (see discussion </w:t>
      </w:r>
      <w:r w:rsidR="00AF6CC3">
        <w:rPr>
          <w:rFonts w:asciiTheme="majorHAnsi" w:eastAsiaTheme="majorEastAsia" w:hAnsiTheme="majorHAnsi" w:cstheme="majorBidi"/>
          <w:bCs/>
          <w:color w:val="000000" w:themeColor="text1"/>
          <w:sz w:val="24"/>
          <w:szCs w:val="24"/>
        </w:rPr>
        <w:t>in the</w:t>
      </w:r>
      <w:r>
        <w:rPr>
          <w:rFonts w:asciiTheme="majorHAnsi" w:eastAsiaTheme="majorEastAsia" w:hAnsiTheme="majorHAnsi" w:cstheme="majorBidi"/>
          <w:bCs/>
          <w:color w:val="000000" w:themeColor="text1"/>
          <w:sz w:val="24"/>
          <w:szCs w:val="24"/>
        </w:rPr>
        <w:t xml:space="preserve"> previous section) from the initial </w:t>
      </w:r>
      <w:r w:rsidR="002E73F2">
        <w:rPr>
          <w:rFonts w:asciiTheme="majorHAnsi" w:eastAsiaTheme="majorEastAsia" w:hAnsiTheme="majorHAnsi" w:cstheme="majorBidi"/>
          <w:bCs/>
          <w:color w:val="000000" w:themeColor="text1"/>
          <w:sz w:val="24"/>
          <w:szCs w:val="24"/>
        </w:rPr>
        <w:t xml:space="preserve">or direct </w:t>
      </w:r>
      <w:r>
        <w:rPr>
          <w:rFonts w:asciiTheme="majorHAnsi" w:eastAsiaTheme="majorEastAsia" w:hAnsiTheme="majorHAnsi" w:cstheme="majorBidi"/>
          <w:bCs/>
          <w:color w:val="000000" w:themeColor="text1"/>
          <w:sz w:val="24"/>
          <w:szCs w:val="24"/>
        </w:rPr>
        <w:t>benefits</w:t>
      </w:r>
      <w:r w:rsidR="002E73F2">
        <w:rPr>
          <w:rFonts w:asciiTheme="majorHAnsi" w:eastAsiaTheme="majorEastAsia" w:hAnsiTheme="majorHAnsi" w:cstheme="majorBidi"/>
          <w:bCs/>
          <w:color w:val="000000" w:themeColor="text1"/>
          <w:sz w:val="24"/>
          <w:szCs w:val="24"/>
        </w:rPr>
        <w:t xml:space="preserve"> as reported in the text</w:t>
      </w:r>
      <w:r>
        <w:rPr>
          <w:rFonts w:asciiTheme="majorHAnsi" w:eastAsiaTheme="majorEastAsia" w:hAnsiTheme="majorHAnsi" w:cstheme="majorBidi"/>
          <w:bCs/>
          <w:color w:val="000000" w:themeColor="text1"/>
          <w:sz w:val="24"/>
          <w:szCs w:val="24"/>
        </w:rPr>
        <w:t>. As a result, the total benefits of the tax credit would be larger than the initial or direct benefits.</w:t>
      </w:r>
    </w:p>
    <w:p w14:paraId="71E53A1E" w14:textId="77777777" w:rsidR="00782E31" w:rsidRDefault="00782E31" w:rsidP="00782E31">
      <w:pPr>
        <w:spacing w:after="0"/>
        <w:rPr>
          <w:rFonts w:asciiTheme="majorHAnsi" w:eastAsiaTheme="majorEastAsia" w:hAnsiTheme="majorHAnsi" w:cstheme="majorBidi"/>
          <w:bCs/>
          <w:color w:val="000000" w:themeColor="text1"/>
          <w:sz w:val="24"/>
          <w:szCs w:val="24"/>
        </w:rPr>
      </w:pPr>
    </w:p>
    <w:p w14:paraId="01F382A5" w14:textId="77777777" w:rsidR="000F033A" w:rsidRDefault="000F033A" w:rsidP="00782E31">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sidR="00A50785">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w:t>
      </w:r>
      <w:r w:rsidR="00A50785">
        <w:rPr>
          <w:rFonts w:asciiTheme="majorHAnsi" w:eastAsiaTheme="majorEastAsia" w:hAnsiTheme="majorHAnsi" w:cstheme="majorBidi"/>
          <w:bCs/>
          <w:i/>
          <w:iCs/>
          <w:color w:val="000000" w:themeColor="text1"/>
          <w:sz w:val="24"/>
          <w:szCs w:val="24"/>
        </w:rPr>
        <w:t xml:space="preserve"> (direct, indirect and induced)</w:t>
      </w:r>
    </w:p>
    <w:p w14:paraId="75E79D39" w14:textId="77777777" w:rsidR="00782E31" w:rsidRDefault="00782E31" w:rsidP="00782E31">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w:t>
      </w:r>
      <w:r w:rsidR="005A45FF">
        <w:rPr>
          <w:rFonts w:asciiTheme="majorHAnsi" w:eastAsiaTheme="majorEastAsia" w:hAnsiTheme="majorHAnsi" w:cstheme="majorBidi"/>
          <w:bCs/>
          <w:color w:val="000000" w:themeColor="text1"/>
          <w:sz w:val="24"/>
          <w:szCs w:val="24"/>
        </w:rPr>
        <w:t>benefit</w:t>
      </w:r>
      <w:r>
        <w:rPr>
          <w:rFonts w:asciiTheme="majorHAnsi" w:eastAsiaTheme="majorEastAsia" w:hAnsiTheme="majorHAnsi" w:cstheme="majorBidi"/>
          <w:bCs/>
          <w:color w:val="000000" w:themeColor="text1"/>
          <w:sz w:val="24"/>
          <w:szCs w:val="24"/>
        </w:rPr>
        <w:t xml:space="preserve">s, including indirect/induced </w:t>
      </w:r>
      <w:r w:rsidR="005A45FF">
        <w:rPr>
          <w:rFonts w:asciiTheme="majorHAnsi" w:eastAsiaTheme="majorEastAsia" w:hAnsiTheme="majorHAnsi" w:cstheme="majorBidi"/>
          <w:bCs/>
          <w:color w:val="000000" w:themeColor="text1"/>
          <w:sz w:val="24"/>
          <w:szCs w:val="24"/>
        </w:rPr>
        <w:t>benefit</w:t>
      </w:r>
      <w:r>
        <w:rPr>
          <w:rFonts w:asciiTheme="majorHAnsi" w:eastAsiaTheme="majorEastAsia" w:hAnsiTheme="majorHAnsi" w:cstheme="majorBidi"/>
          <w:bCs/>
          <w:color w:val="000000" w:themeColor="text1"/>
          <w:sz w:val="24"/>
          <w:szCs w:val="24"/>
        </w:rPr>
        <w:t xml:space="preserve">s, we </w:t>
      </w:r>
      <w:r w:rsidR="00F919DD">
        <w:rPr>
          <w:rFonts w:asciiTheme="majorHAnsi" w:eastAsiaTheme="majorEastAsia" w:hAnsiTheme="majorHAnsi" w:cstheme="majorBidi"/>
          <w:bCs/>
          <w:color w:val="000000" w:themeColor="text1"/>
          <w:sz w:val="24"/>
          <w:szCs w:val="24"/>
        </w:rPr>
        <w:t xml:space="preserve">again </w:t>
      </w:r>
      <w:r>
        <w:rPr>
          <w:rFonts w:asciiTheme="majorHAnsi" w:eastAsiaTheme="majorEastAsia" w:hAnsiTheme="majorHAnsi" w:cstheme="majorBidi"/>
          <w:bCs/>
          <w:color w:val="000000" w:themeColor="text1"/>
          <w:sz w:val="24"/>
          <w:szCs w:val="24"/>
        </w:rPr>
        <w:t xml:space="preserve">employed Tax-PI.  A summary of the revenue impact of the research credit </w:t>
      </w:r>
      <w:r>
        <w:rPr>
          <w:rFonts w:asciiTheme="majorHAnsi" w:eastAsiaTheme="majorEastAsia" w:hAnsiTheme="majorHAnsi" w:cstheme="majorBidi"/>
          <w:noProof/>
          <w:color w:val="000000" w:themeColor="text1"/>
          <w:sz w:val="24"/>
          <w:szCs w:val="24"/>
        </w:rPr>
        <w:t xml:space="preserve">is reported in Table </w:t>
      </w:r>
      <w:r w:rsidR="00AF6CC3">
        <w:rPr>
          <w:rFonts w:asciiTheme="majorHAnsi" w:eastAsiaTheme="majorEastAsia" w:hAnsiTheme="majorHAnsi" w:cstheme="majorBidi"/>
          <w:noProof/>
          <w:color w:val="000000" w:themeColor="text1"/>
          <w:sz w:val="24"/>
          <w:szCs w:val="24"/>
        </w:rPr>
        <w:t>A3</w:t>
      </w:r>
      <w:r>
        <w:rPr>
          <w:rFonts w:asciiTheme="majorHAnsi" w:eastAsiaTheme="majorEastAsia" w:hAnsiTheme="majorHAnsi" w:cstheme="majorBidi"/>
          <w:noProof/>
          <w:color w:val="000000" w:themeColor="text1"/>
          <w:sz w:val="24"/>
          <w:szCs w:val="24"/>
        </w:rPr>
        <w:t xml:space="preserve">, and the economic benefit from the credit is reflected in Table </w:t>
      </w:r>
      <w:r w:rsidR="00AF6CC3">
        <w:rPr>
          <w:rFonts w:asciiTheme="majorHAnsi" w:eastAsiaTheme="majorEastAsia" w:hAnsiTheme="majorHAnsi" w:cstheme="majorBidi"/>
          <w:noProof/>
          <w:color w:val="000000" w:themeColor="text1"/>
          <w:sz w:val="24"/>
          <w:szCs w:val="24"/>
        </w:rPr>
        <w:t xml:space="preserve">A4 </w:t>
      </w:r>
      <w:r>
        <w:rPr>
          <w:rFonts w:asciiTheme="majorHAnsi" w:eastAsiaTheme="majorEastAsia" w:hAnsiTheme="majorHAnsi" w:cstheme="majorBidi"/>
          <w:noProof/>
          <w:color w:val="000000" w:themeColor="text1"/>
          <w:sz w:val="24"/>
          <w:szCs w:val="24"/>
        </w:rPr>
        <w:t xml:space="preserve">below. The figures for 2018 and 2019 are estimates of benefits that the Massachusetts economy experienced and those for 2020, 2021 and 2022 are projections of the benefits that the Massachusetts economy will experience going forward.  </w:t>
      </w:r>
    </w:p>
    <w:p w14:paraId="51879722" w14:textId="77777777" w:rsidR="00782E31" w:rsidRDefault="00782E31" w:rsidP="00782E31">
      <w:pPr>
        <w:spacing w:after="0"/>
        <w:rPr>
          <w:rFonts w:asciiTheme="majorHAnsi" w:eastAsiaTheme="majorEastAsia" w:hAnsiTheme="majorHAnsi" w:cstheme="majorBidi"/>
          <w:bCs/>
          <w:color w:val="000000" w:themeColor="text1"/>
          <w:sz w:val="24"/>
          <w:szCs w:val="24"/>
        </w:rPr>
      </w:pPr>
    </w:p>
    <w:p w14:paraId="59BDD4D5" w14:textId="77777777" w:rsidR="00782E31" w:rsidRDefault="00782E31" w:rsidP="00782E31">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sidR="00AF6CC3">
        <w:rPr>
          <w:rFonts w:asciiTheme="majorHAnsi" w:eastAsiaTheme="majorEastAsia" w:hAnsiTheme="majorHAnsi" w:cstheme="majorBidi"/>
          <w:bCs/>
          <w:color w:val="000000" w:themeColor="text1"/>
          <w:sz w:val="24"/>
          <w:szCs w:val="24"/>
        </w:rPr>
        <w:t>A3</w:t>
      </w:r>
      <w:r w:rsidR="00AF6CC3" w:rsidRPr="009E0158">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and </w:t>
      </w:r>
      <w:r w:rsidR="00AF6CC3">
        <w:rPr>
          <w:rFonts w:asciiTheme="majorHAnsi" w:eastAsiaTheme="majorEastAsia" w:hAnsiTheme="majorHAnsi" w:cstheme="majorBidi"/>
          <w:bCs/>
          <w:color w:val="000000" w:themeColor="text1"/>
          <w:sz w:val="24"/>
          <w:szCs w:val="24"/>
        </w:rPr>
        <w:t>A4</w:t>
      </w:r>
      <w:r w:rsidR="00AF6CC3" w:rsidRPr="009E0158">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show that, the </w:t>
      </w:r>
      <w:r>
        <w:rPr>
          <w:rFonts w:asciiTheme="majorHAnsi" w:eastAsiaTheme="majorEastAsia" w:hAnsiTheme="majorHAnsi" w:cstheme="majorBidi"/>
          <w:bCs/>
          <w:color w:val="000000" w:themeColor="text1"/>
          <w:sz w:val="24"/>
          <w:szCs w:val="24"/>
        </w:rPr>
        <w:t>research</w:t>
      </w:r>
      <w:r w:rsidRPr="009E0158">
        <w:rPr>
          <w:rFonts w:asciiTheme="majorHAnsi" w:eastAsiaTheme="majorEastAsia" w:hAnsiTheme="majorHAnsi" w:cstheme="majorBidi"/>
          <w:bCs/>
          <w:color w:val="000000" w:themeColor="text1"/>
          <w:sz w:val="24"/>
          <w:szCs w:val="24"/>
        </w:rPr>
        <w:t xml:space="preserve"> tax credit 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417</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699</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by 3,963 – 6,272</w:t>
      </w:r>
      <w:r w:rsidRPr="009E0158">
        <w:rPr>
          <w:rFonts w:asciiTheme="majorHAnsi" w:eastAsiaTheme="majorEastAsia" w:hAnsiTheme="majorHAnsi" w:cstheme="majorBidi"/>
          <w:bCs/>
          <w:color w:val="000000" w:themeColor="text1"/>
          <w:sz w:val="24"/>
          <w:szCs w:val="24"/>
        </w:rPr>
        <w:t xml:space="preserve"> </w:t>
      </w:r>
      <w:r w:rsidR="00AF6CC3">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Pr>
          <w:rFonts w:asciiTheme="majorHAnsi" w:eastAsiaTheme="majorEastAsia" w:hAnsiTheme="majorHAnsi" w:cstheme="majorBidi"/>
          <w:bCs/>
          <w:color w:val="000000" w:themeColor="text1"/>
          <w:sz w:val="24"/>
          <w:szCs w:val="24"/>
        </w:rPr>
        <w:t>8.6</w:t>
      </w:r>
      <w:r w:rsidRPr="009E0158">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35.3</w:t>
      </w:r>
      <w:r w:rsidRPr="009E0158">
        <w:rPr>
          <w:rFonts w:asciiTheme="majorHAnsi" w:eastAsiaTheme="majorEastAsia" w:hAnsiTheme="majorHAnsi" w:cstheme="majorBidi"/>
          <w:bCs/>
          <w:color w:val="000000" w:themeColor="text1"/>
          <w:sz w:val="24"/>
          <w:szCs w:val="24"/>
        </w:rPr>
        <w:t xml:space="preserve"> 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629AD548" w14:textId="77777777" w:rsidR="00782E31" w:rsidRDefault="00782E31" w:rsidP="00782E31">
      <w:pPr>
        <w:spacing w:after="0"/>
        <w:rPr>
          <w:rFonts w:asciiTheme="majorHAnsi" w:eastAsiaTheme="majorEastAsia" w:hAnsiTheme="majorHAnsi" w:cstheme="majorBidi"/>
          <w:bCs/>
          <w:color w:val="000000" w:themeColor="text1"/>
          <w:sz w:val="24"/>
          <w:szCs w:val="24"/>
        </w:rPr>
      </w:pPr>
    </w:p>
    <w:p w14:paraId="68F50631" w14:textId="77777777" w:rsidR="00782E31" w:rsidRDefault="00782E31" w:rsidP="00782E31">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AF6CC3">
        <w:rPr>
          <w:rFonts w:asciiTheme="majorHAnsi" w:eastAsiaTheme="majorEastAsia" w:hAnsiTheme="majorHAnsi" w:cstheme="majorBidi"/>
          <w:b/>
          <w:color w:val="000000" w:themeColor="text1"/>
          <w:sz w:val="24"/>
          <w:szCs w:val="24"/>
        </w:rPr>
        <w:t>A3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Research Credit</w:t>
      </w:r>
    </w:p>
    <w:tbl>
      <w:tblPr>
        <w:tblW w:w="8635" w:type="dxa"/>
        <w:tblLook w:val="04A0" w:firstRow="1" w:lastRow="0" w:firstColumn="1" w:lastColumn="0" w:noHBand="0" w:noVBand="1"/>
      </w:tblPr>
      <w:tblGrid>
        <w:gridCol w:w="3505"/>
        <w:gridCol w:w="1152"/>
        <w:gridCol w:w="1152"/>
        <w:gridCol w:w="1152"/>
        <w:gridCol w:w="1152"/>
        <w:gridCol w:w="1152"/>
      </w:tblGrid>
      <w:tr w:rsidR="00782E31" w:rsidRPr="006809CE" w14:paraId="1A0F1619" w14:textId="77777777" w:rsidTr="00391E40">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AFB7A3E"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8D5A57"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15CF8FD4"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6CD71C9"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2930796"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7D96B79E"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782E31" w:rsidRPr="006809CE" w14:paraId="35990FFB" w14:textId="77777777" w:rsidTr="00391E40">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FCF6D8F"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AF4CB"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$8,594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07DF487"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$19,616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B1A9E48"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$23,541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73715AE"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$29,732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747B936" w14:textId="77777777" w:rsidR="00782E31" w:rsidRPr="006809CE"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$35,331</w:t>
            </w:r>
          </w:p>
        </w:tc>
      </w:tr>
    </w:tbl>
    <w:p w14:paraId="4C06CEF9" w14:textId="77777777" w:rsidR="00782E31" w:rsidRDefault="00782E31" w:rsidP="00782E31">
      <w:pPr>
        <w:tabs>
          <w:tab w:val="left" w:pos="7050"/>
        </w:tabs>
        <w:spacing w:after="0"/>
        <w:rPr>
          <w:rFonts w:asciiTheme="majorHAnsi" w:hAnsiTheme="majorHAnsi"/>
          <w:sz w:val="24"/>
          <w:szCs w:val="24"/>
        </w:rPr>
      </w:pPr>
    </w:p>
    <w:p w14:paraId="3C3F088A" w14:textId="77777777" w:rsidR="00782E31" w:rsidRDefault="00782E31" w:rsidP="00782E31">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AF6CC3">
        <w:rPr>
          <w:rFonts w:asciiTheme="majorHAnsi" w:eastAsiaTheme="majorEastAsia" w:hAnsiTheme="majorHAnsi" w:cstheme="majorBidi"/>
          <w:b/>
          <w:color w:val="000000" w:themeColor="text1"/>
          <w:sz w:val="24"/>
          <w:szCs w:val="24"/>
        </w:rPr>
        <w:t>A4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of Research Credit</w:t>
      </w:r>
      <w:r w:rsidR="00F30600">
        <w:rPr>
          <w:rFonts w:asciiTheme="majorHAnsi" w:eastAsiaTheme="majorEastAsia" w:hAnsiTheme="majorHAnsi" w:cstheme="majorBidi"/>
          <w:b/>
          <w:color w:val="000000" w:themeColor="text1"/>
          <w:sz w:val="24"/>
          <w:szCs w:val="24"/>
        </w:rPr>
        <w:t xml:space="preserve"> by Selected Economic Measure</w:t>
      </w:r>
    </w:p>
    <w:tbl>
      <w:tblPr>
        <w:tblW w:w="9350" w:type="dxa"/>
        <w:tblLook w:val="04A0" w:firstRow="1" w:lastRow="0" w:firstColumn="1" w:lastColumn="0" w:noHBand="0" w:noVBand="1"/>
      </w:tblPr>
      <w:tblGrid>
        <w:gridCol w:w="2704"/>
        <w:gridCol w:w="1330"/>
        <w:gridCol w:w="1329"/>
        <w:gridCol w:w="1329"/>
        <w:gridCol w:w="1329"/>
        <w:gridCol w:w="1329"/>
      </w:tblGrid>
      <w:tr w:rsidR="00782E31" w:rsidRPr="00A94F48" w14:paraId="3D355F13" w14:textId="77777777" w:rsidTr="00391E40">
        <w:trPr>
          <w:trHeight w:val="380"/>
        </w:trPr>
        <w:tc>
          <w:tcPr>
            <w:tcW w:w="208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937670E"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3D796485"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75121363"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517EAB55"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037FCB27"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58A14087"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782E31" w:rsidRPr="00A94F48" w14:paraId="598D8BB3" w14:textId="77777777" w:rsidTr="00391E40">
        <w:trPr>
          <w:trHeight w:val="41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38D222F"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4D7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3,963</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01590F98"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4,497</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0B7F363"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4,967</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C010D82"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6,249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12CA"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6,272</w:t>
            </w:r>
          </w:p>
        </w:tc>
      </w:tr>
      <w:tr w:rsidR="00782E31" w:rsidRPr="00A94F48" w14:paraId="21278262" w14:textId="77777777" w:rsidTr="00391E40">
        <w:trPr>
          <w:trHeight w:val="50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6353456"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22586B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3,812</w:t>
            </w:r>
          </w:p>
        </w:tc>
        <w:tc>
          <w:tcPr>
            <w:tcW w:w="864" w:type="dxa"/>
            <w:tcBorders>
              <w:top w:val="nil"/>
              <w:left w:val="nil"/>
              <w:bottom w:val="single" w:sz="4" w:space="0" w:color="auto"/>
              <w:right w:val="single" w:sz="4" w:space="0" w:color="auto"/>
            </w:tcBorders>
            <w:shd w:val="clear" w:color="auto" w:fill="auto"/>
            <w:noWrap/>
            <w:vAlign w:val="center"/>
            <w:hideMark/>
          </w:tcPr>
          <w:p w14:paraId="54ADA1D3"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4,252</w:t>
            </w:r>
          </w:p>
        </w:tc>
        <w:tc>
          <w:tcPr>
            <w:tcW w:w="864" w:type="dxa"/>
            <w:tcBorders>
              <w:top w:val="nil"/>
              <w:left w:val="nil"/>
              <w:bottom w:val="single" w:sz="4" w:space="0" w:color="auto"/>
              <w:right w:val="single" w:sz="4" w:space="0" w:color="auto"/>
            </w:tcBorders>
            <w:shd w:val="clear" w:color="auto" w:fill="auto"/>
            <w:noWrap/>
            <w:vAlign w:val="center"/>
            <w:hideMark/>
          </w:tcPr>
          <w:p w14:paraId="2425EDDA"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4,588</w:t>
            </w:r>
          </w:p>
        </w:tc>
        <w:tc>
          <w:tcPr>
            <w:tcW w:w="864" w:type="dxa"/>
            <w:tcBorders>
              <w:top w:val="nil"/>
              <w:left w:val="nil"/>
              <w:bottom w:val="single" w:sz="4" w:space="0" w:color="auto"/>
              <w:right w:val="single" w:sz="4" w:space="0" w:color="auto"/>
            </w:tcBorders>
            <w:shd w:val="clear" w:color="auto" w:fill="auto"/>
            <w:noWrap/>
            <w:vAlign w:val="center"/>
            <w:hideMark/>
          </w:tcPr>
          <w:p w14:paraId="5E2281A3"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5,792</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CD421F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5,781</w:t>
            </w:r>
          </w:p>
        </w:tc>
      </w:tr>
      <w:tr w:rsidR="00782E31" w:rsidRPr="00A94F48" w14:paraId="64BF9F32" w14:textId="77777777" w:rsidTr="00391E40">
        <w:trPr>
          <w:trHeight w:val="50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3C19D15"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5B3D9F0"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$417,000</w:t>
            </w:r>
          </w:p>
        </w:tc>
        <w:tc>
          <w:tcPr>
            <w:tcW w:w="864" w:type="dxa"/>
            <w:tcBorders>
              <w:top w:val="nil"/>
              <w:left w:val="nil"/>
              <w:bottom w:val="single" w:sz="4" w:space="0" w:color="auto"/>
              <w:right w:val="single" w:sz="4" w:space="0" w:color="auto"/>
            </w:tcBorders>
            <w:shd w:val="clear" w:color="auto" w:fill="auto"/>
            <w:noWrap/>
            <w:vAlign w:val="center"/>
            <w:hideMark/>
          </w:tcPr>
          <w:p w14:paraId="4FBCA59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$475,000</w:t>
            </w:r>
          </w:p>
        </w:tc>
        <w:tc>
          <w:tcPr>
            <w:tcW w:w="864" w:type="dxa"/>
            <w:tcBorders>
              <w:top w:val="nil"/>
              <w:left w:val="nil"/>
              <w:bottom w:val="single" w:sz="4" w:space="0" w:color="auto"/>
              <w:right w:val="single" w:sz="4" w:space="0" w:color="auto"/>
            </w:tcBorders>
            <w:shd w:val="clear" w:color="auto" w:fill="auto"/>
            <w:noWrap/>
            <w:vAlign w:val="center"/>
            <w:hideMark/>
          </w:tcPr>
          <w:p w14:paraId="1328ECFE"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$527,000</w:t>
            </w:r>
          </w:p>
        </w:tc>
        <w:tc>
          <w:tcPr>
            <w:tcW w:w="864" w:type="dxa"/>
            <w:tcBorders>
              <w:top w:val="nil"/>
              <w:left w:val="nil"/>
              <w:bottom w:val="single" w:sz="4" w:space="0" w:color="auto"/>
              <w:right w:val="single" w:sz="4" w:space="0" w:color="auto"/>
            </w:tcBorders>
            <w:shd w:val="clear" w:color="auto" w:fill="auto"/>
            <w:noWrap/>
            <w:vAlign w:val="center"/>
            <w:hideMark/>
          </w:tcPr>
          <w:p w14:paraId="24189807"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$681,000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E8D1085"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$699,000</w:t>
            </w:r>
          </w:p>
        </w:tc>
      </w:tr>
      <w:tr w:rsidR="00782E31" w:rsidRPr="00A94F48" w14:paraId="37A3E95A" w14:textId="77777777" w:rsidTr="00391E40">
        <w:trPr>
          <w:trHeight w:val="50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64B3C0C"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F4B6E01"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$303,000</w:t>
            </w:r>
          </w:p>
        </w:tc>
        <w:tc>
          <w:tcPr>
            <w:tcW w:w="864" w:type="dxa"/>
            <w:tcBorders>
              <w:top w:val="nil"/>
              <w:left w:val="nil"/>
              <w:bottom w:val="single" w:sz="4" w:space="0" w:color="auto"/>
              <w:right w:val="single" w:sz="4" w:space="0" w:color="auto"/>
            </w:tcBorders>
            <w:shd w:val="clear" w:color="auto" w:fill="auto"/>
            <w:noWrap/>
            <w:vAlign w:val="center"/>
            <w:hideMark/>
          </w:tcPr>
          <w:p w14:paraId="7BC7E770"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$378,000</w:t>
            </w:r>
          </w:p>
        </w:tc>
        <w:tc>
          <w:tcPr>
            <w:tcW w:w="864" w:type="dxa"/>
            <w:tcBorders>
              <w:top w:val="nil"/>
              <w:left w:val="nil"/>
              <w:bottom w:val="single" w:sz="4" w:space="0" w:color="auto"/>
              <w:right w:val="single" w:sz="4" w:space="0" w:color="auto"/>
            </w:tcBorders>
            <w:shd w:val="clear" w:color="auto" w:fill="auto"/>
            <w:noWrap/>
            <w:vAlign w:val="center"/>
            <w:hideMark/>
          </w:tcPr>
          <w:p w14:paraId="3F06B40A"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$451,000</w:t>
            </w:r>
          </w:p>
        </w:tc>
        <w:tc>
          <w:tcPr>
            <w:tcW w:w="864" w:type="dxa"/>
            <w:tcBorders>
              <w:top w:val="nil"/>
              <w:left w:val="nil"/>
              <w:bottom w:val="single" w:sz="4" w:space="0" w:color="auto"/>
              <w:right w:val="single" w:sz="4" w:space="0" w:color="auto"/>
            </w:tcBorders>
            <w:shd w:val="clear" w:color="auto" w:fill="auto"/>
            <w:noWrap/>
            <w:vAlign w:val="center"/>
            <w:hideMark/>
          </w:tcPr>
          <w:p w14:paraId="7F35C350"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$600,000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C92D28A"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$651,000</w:t>
            </w:r>
          </w:p>
        </w:tc>
      </w:tr>
    </w:tbl>
    <w:p w14:paraId="263BE6C8" w14:textId="77777777" w:rsidR="002E73F2" w:rsidRDefault="002E73F2" w:rsidP="002E73F2">
      <w:pPr>
        <w:rPr>
          <w:rFonts w:asciiTheme="majorHAnsi" w:hAnsiTheme="majorHAnsi"/>
          <w:bCs/>
          <w:sz w:val="24"/>
          <w:szCs w:val="24"/>
        </w:rPr>
      </w:pPr>
    </w:p>
    <w:p w14:paraId="63114C43" w14:textId="77777777" w:rsidR="00F63CB6" w:rsidRDefault="00782E31" w:rsidP="00A05217">
      <w:pPr>
        <w:rPr>
          <w:rFonts w:asciiTheme="majorHAnsi" w:hAnsiTheme="majorHAnsi"/>
          <w:b/>
          <w:sz w:val="24"/>
          <w:szCs w:val="24"/>
        </w:rPr>
      </w:pPr>
      <w:r w:rsidRPr="00782E31">
        <w:rPr>
          <w:rFonts w:asciiTheme="majorHAnsi" w:hAnsiTheme="majorHAnsi"/>
          <w:b/>
          <w:sz w:val="24"/>
          <w:szCs w:val="24"/>
        </w:rPr>
        <w:t>Comparison of costs and benefits</w:t>
      </w:r>
    </w:p>
    <w:p w14:paraId="29A79CBA" w14:textId="77777777" w:rsidR="00782E31" w:rsidRDefault="00782E31" w:rsidP="00782E31">
      <w:pPr>
        <w:tabs>
          <w:tab w:val="left" w:pos="7050"/>
        </w:tabs>
        <w:spacing w:after="0"/>
        <w:rPr>
          <w:rFonts w:asciiTheme="majorHAnsi" w:hAnsiTheme="majorHAnsi"/>
          <w:bCs/>
          <w:sz w:val="24"/>
          <w:szCs w:val="23"/>
        </w:rPr>
      </w:pPr>
      <w:r>
        <w:rPr>
          <w:rFonts w:asciiTheme="majorHAnsi" w:hAnsiTheme="majorHAnsi"/>
          <w:bCs/>
          <w:sz w:val="24"/>
          <w:szCs w:val="23"/>
        </w:rPr>
        <w:t xml:space="preserve">If we don’t consider the opportunity cost of the tax incentive, total benefits are greater than costs. Considering the opportunity cost means asking what benefits would occur if the Commonwealth used the tax incentive for other purposes. There can be numerous other purposes and examining them is beyond the scope of the current evaluation report.  </w:t>
      </w:r>
      <w:r>
        <w:rPr>
          <w:rFonts w:asciiTheme="majorHAnsi" w:hAnsiTheme="majorHAnsi"/>
          <w:bCs/>
          <w:sz w:val="24"/>
          <w:szCs w:val="23"/>
        </w:rPr>
        <w:lastRenderedPageBreak/>
        <w:t xml:space="preserve">Nonetheless, we reported net impacts of the tax incentive in Tables </w:t>
      </w:r>
      <w:r w:rsidR="00826F3E">
        <w:rPr>
          <w:rFonts w:asciiTheme="majorHAnsi" w:hAnsiTheme="majorHAnsi"/>
          <w:bCs/>
          <w:sz w:val="24"/>
          <w:szCs w:val="23"/>
        </w:rPr>
        <w:t xml:space="preserve">A5 </w:t>
      </w:r>
      <w:r>
        <w:rPr>
          <w:rFonts w:asciiTheme="majorHAnsi" w:hAnsiTheme="majorHAnsi"/>
          <w:bCs/>
          <w:sz w:val="24"/>
          <w:szCs w:val="23"/>
        </w:rPr>
        <w:t xml:space="preserve">and </w:t>
      </w:r>
      <w:r w:rsidR="00826F3E">
        <w:rPr>
          <w:rFonts w:asciiTheme="majorHAnsi" w:hAnsiTheme="majorHAnsi"/>
          <w:bCs/>
          <w:sz w:val="24"/>
          <w:szCs w:val="23"/>
        </w:rPr>
        <w:t xml:space="preserve">A6 </w:t>
      </w:r>
      <w:r>
        <w:rPr>
          <w:rFonts w:asciiTheme="majorHAnsi" w:hAnsiTheme="majorHAnsi"/>
          <w:bCs/>
          <w:sz w:val="24"/>
          <w:szCs w:val="23"/>
        </w:rPr>
        <w:t xml:space="preserve">below under the balanced budget requirement, which are the combined effects in Tables </w:t>
      </w:r>
      <w:r w:rsidR="00826F3E">
        <w:rPr>
          <w:rFonts w:asciiTheme="majorHAnsi" w:hAnsiTheme="majorHAnsi"/>
          <w:bCs/>
          <w:sz w:val="24"/>
          <w:szCs w:val="23"/>
        </w:rPr>
        <w:t>A1-A4</w:t>
      </w:r>
      <w:r>
        <w:rPr>
          <w:rFonts w:asciiTheme="majorHAnsi" w:hAnsiTheme="majorHAnsi"/>
          <w:bCs/>
          <w:sz w:val="24"/>
          <w:szCs w:val="23"/>
        </w:rPr>
        <w:t xml:space="preserve">. </w:t>
      </w:r>
    </w:p>
    <w:p w14:paraId="1E34651D" w14:textId="77777777" w:rsidR="00782E31" w:rsidRDefault="00782E31" w:rsidP="00782E31">
      <w:pPr>
        <w:tabs>
          <w:tab w:val="left" w:pos="7050"/>
        </w:tabs>
        <w:spacing w:after="0"/>
        <w:rPr>
          <w:rFonts w:asciiTheme="majorHAnsi" w:hAnsiTheme="majorHAnsi"/>
          <w:bCs/>
          <w:sz w:val="24"/>
          <w:szCs w:val="23"/>
        </w:rPr>
      </w:pPr>
    </w:p>
    <w:p w14:paraId="5B17BF55" w14:textId="77777777" w:rsidR="00782E31" w:rsidRDefault="00782E31" w:rsidP="00782E31">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sidR="00826F3E">
        <w:rPr>
          <w:rFonts w:asciiTheme="majorHAnsi" w:hAnsiTheme="majorHAnsi"/>
          <w:bCs/>
          <w:sz w:val="24"/>
          <w:szCs w:val="23"/>
        </w:rPr>
        <w:t>A5</w:t>
      </w:r>
      <w:r w:rsidR="00826F3E" w:rsidRPr="00A76DAE">
        <w:rPr>
          <w:rFonts w:asciiTheme="majorHAnsi" w:hAnsiTheme="majorHAnsi"/>
          <w:bCs/>
          <w:sz w:val="24"/>
          <w:szCs w:val="23"/>
        </w:rPr>
        <w:t xml:space="preserve"> </w:t>
      </w:r>
      <w:r w:rsidRPr="00A76DAE">
        <w:rPr>
          <w:rFonts w:asciiTheme="majorHAnsi" w:hAnsiTheme="majorHAnsi"/>
          <w:bCs/>
          <w:sz w:val="24"/>
          <w:szCs w:val="23"/>
        </w:rPr>
        <w:t xml:space="preserve">and </w:t>
      </w:r>
      <w:r w:rsidR="00826F3E">
        <w:rPr>
          <w:rFonts w:asciiTheme="majorHAnsi" w:hAnsiTheme="majorHAnsi"/>
          <w:bCs/>
          <w:sz w:val="24"/>
          <w:szCs w:val="23"/>
        </w:rPr>
        <w:t>A6</w:t>
      </w:r>
      <w:r w:rsidR="00826F3E" w:rsidRPr="00A76DAE">
        <w:rPr>
          <w:rFonts w:asciiTheme="majorHAnsi" w:hAnsiTheme="majorHAnsi"/>
          <w:bCs/>
          <w:sz w:val="24"/>
          <w:szCs w:val="23"/>
        </w:rPr>
        <w:t xml:space="preserve"> </w:t>
      </w:r>
      <w:r w:rsidRPr="00A76DAE">
        <w:rPr>
          <w:rFonts w:asciiTheme="majorHAnsi" w:hAnsiTheme="majorHAnsi"/>
          <w:bCs/>
          <w:sz w:val="24"/>
          <w:szCs w:val="23"/>
        </w:rPr>
        <w:t xml:space="preserve">show that the </w:t>
      </w:r>
      <w:r>
        <w:rPr>
          <w:rFonts w:asciiTheme="majorHAnsi" w:hAnsiTheme="majorHAnsi"/>
          <w:bCs/>
          <w:sz w:val="24"/>
          <w:szCs w:val="23"/>
        </w:rPr>
        <w:t>research</w:t>
      </w:r>
      <w:r w:rsidRPr="00A76DAE">
        <w:rPr>
          <w:rFonts w:asciiTheme="majorHAnsi" w:hAnsiTheme="majorHAnsi"/>
          <w:bCs/>
          <w:sz w:val="24"/>
          <w:szCs w:val="23"/>
        </w:rPr>
        <w:t xml:space="preserve"> tax credit combined with a cut in state government spending of the same amount results in less economic activities, with real state GDP decreasing</w:t>
      </w:r>
      <w:r>
        <w:rPr>
          <w:rFonts w:asciiTheme="majorHAnsi" w:hAnsiTheme="majorHAnsi"/>
          <w:bCs/>
          <w:sz w:val="24"/>
          <w:szCs w:val="23"/>
        </w:rPr>
        <w:t xml:space="preserve"> by $128 million-</w:t>
      </w:r>
      <w:r w:rsidRPr="00A76DAE">
        <w:rPr>
          <w:rFonts w:asciiTheme="majorHAnsi" w:hAnsiTheme="majorHAnsi"/>
          <w:bCs/>
          <w:sz w:val="24"/>
          <w:szCs w:val="23"/>
        </w:rPr>
        <w:t>$</w:t>
      </w:r>
      <w:r>
        <w:rPr>
          <w:rFonts w:asciiTheme="majorHAnsi" w:hAnsiTheme="majorHAnsi"/>
          <w:bCs/>
          <w:sz w:val="24"/>
          <w:szCs w:val="23"/>
        </w:rPr>
        <w:t>191</w:t>
      </w:r>
      <w:r w:rsidRPr="00A76DAE">
        <w:rPr>
          <w:rFonts w:asciiTheme="majorHAnsi" w:hAnsiTheme="majorHAnsi"/>
          <w:bCs/>
          <w:sz w:val="24"/>
          <w:szCs w:val="23"/>
        </w:rPr>
        <w:t xml:space="preserve"> million. The net impact on total employment is negative with total employment decreasing </w:t>
      </w:r>
      <w:r>
        <w:rPr>
          <w:rFonts w:asciiTheme="majorHAnsi" w:hAnsiTheme="majorHAnsi"/>
          <w:bCs/>
          <w:sz w:val="24"/>
          <w:szCs w:val="23"/>
        </w:rPr>
        <w:t>by 2,479 – 3,226</w:t>
      </w:r>
      <w:r w:rsidRPr="00A76DA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impact on </w:t>
      </w:r>
      <w:r>
        <w:rPr>
          <w:rFonts w:asciiTheme="majorHAnsi" w:hAnsiTheme="majorHAnsi"/>
          <w:bCs/>
          <w:sz w:val="24"/>
          <w:szCs w:val="23"/>
        </w:rPr>
        <w:t xml:space="preserve">state </w:t>
      </w:r>
      <w:r w:rsidRPr="00A76DAE">
        <w:rPr>
          <w:rFonts w:asciiTheme="majorHAnsi" w:hAnsiTheme="majorHAnsi"/>
          <w:bCs/>
          <w:sz w:val="24"/>
          <w:szCs w:val="23"/>
        </w:rPr>
        <w:t xml:space="preserve">revenues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Pr>
          <w:rFonts w:asciiTheme="majorHAnsi" w:hAnsiTheme="majorHAnsi"/>
          <w:bCs/>
          <w:sz w:val="24"/>
          <w:szCs w:val="23"/>
        </w:rPr>
        <w:t>4.4</w:t>
      </w:r>
      <w:r w:rsidRPr="00A76DAE">
        <w:rPr>
          <w:rFonts w:asciiTheme="majorHAnsi" w:hAnsiTheme="majorHAnsi"/>
          <w:bCs/>
          <w:sz w:val="24"/>
          <w:szCs w:val="23"/>
        </w:rPr>
        <w:t xml:space="preserve"> million</w:t>
      </w:r>
      <w:r>
        <w:rPr>
          <w:rFonts w:asciiTheme="majorHAnsi" w:hAnsiTheme="majorHAnsi"/>
          <w:bCs/>
          <w:sz w:val="24"/>
          <w:szCs w:val="23"/>
        </w:rPr>
        <w:t>-</w:t>
      </w:r>
      <w:r w:rsidRPr="00A76DAE">
        <w:rPr>
          <w:rFonts w:asciiTheme="majorHAnsi" w:hAnsiTheme="majorHAnsi"/>
          <w:bCs/>
          <w:sz w:val="24"/>
          <w:szCs w:val="23"/>
        </w:rPr>
        <w:t xml:space="preserve"> $</w:t>
      </w:r>
      <w:r>
        <w:rPr>
          <w:rFonts w:asciiTheme="majorHAnsi" w:hAnsiTheme="majorHAnsi"/>
          <w:bCs/>
          <w:sz w:val="24"/>
          <w:szCs w:val="23"/>
        </w:rPr>
        <w:t>10.0</w:t>
      </w:r>
      <w:r w:rsidRPr="00A76DAE">
        <w:rPr>
          <w:rFonts w:asciiTheme="majorHAnsi" w:hAnsiTheme="majorHAnsi"/>
          <w:bCs/>
          <w:sz w:val="24"/>
          <w:szCs w:val="23"/>
        </w:rPr>
        <w:t xml:space="preserve"> million annually.</w:t>
      </w:r>
    </w:p>
    <w:p w14:paraId="391409C1" w14:textId="77777777" w:rsidR="00782E31" w:rsidRDefault="00782E31" w:rsidP="00782E31">
      <w:pPr>
        <w:tabs>
          <w:tab w:val="left" w:pos="7050"/>
        </w:tabs>
        <w:spacing w:after="0"/>
        <w:rPr>
          <w:rFonts w:asciiTheme="majorHAnsi" w:hAnsiTheme="majorHAnsi"/>
          <w:bCs/>
          <w:sz w:val="24"/>
          <w:szCs w:val="23"/>
        </w:rPr>
      </w:pPr>
    </w:p>
    <w:p w14:paraId="50C6FDD7" w14:textId="7F1379F2" w:rsidR="00782E31" w:rsidRDefault="00782E31" w:rsidP="00782E31">
      <w:pPr>
        <w:tabs>
          <w:tab w:val="left" w:pos="7050"/>
        </w:tabs>
        <w:spacing w:after="0"/>
        <w:rPr>
          <w:rFonts w:asciiTheme="majorHAnsi" w:hAnsiTheme="majorHAnsi"/>
          <w:bCs/>
          <w:sz w:val="24"/>
          <w:szCs w:val="23"/>
        </w:rPr>
      </w:pPr>
      <w:r>
        <w:rPr>
          <w:rFonts w:asciiTheme="majorHAnsi" w:hAnsiTheme="majorHAnsi"/>
          <w:bCs/>
          <w:sz w:val="24"/>
          <w:szCs w:val="23"/>
        </w:rPr>
        <w:t xml:space="preserve">Because the </w:t>
      </w:r>
      <w:r w:rsidR="0030577B">
        <w:rPr>
          <w:rFonts w:asciiTheme="majorHAnsi" w:hAnsiTheme="majorHAnsi"/>
          <w:bCs/>
          <w:sz w:val="24"/>
          <w:szCs w:val="23"/>
        </w:rPr>
        <w:t>tax expenditure</w:t>
      </w:r>
      <w:r>
        <w:rPr>
          <w:rFonts w:asciiTheme="majorHAnsi" w:hAnsiTheme="majorHAnsi"/>
          <w:bCs/>
          <w:sz w:val="24"/>
          <w:szCs w:val="23"/>
        </w:rPr>
        <w:t xml:space="preserve"> has its own specific purpose, the net negative impacts do not necessarily imply that the tax </w:t>
      </w:r>
      <w:r w:rsidR="0030577B">
        <w:rPr>
          <w:rFonts w:asciiTheme="majorHAnsi" w:hAnsiTheme="majorHAnsi"/>
          <w:bCs/>
          <w:sz w:val="24"/>
          <w:szCs w:val="23"/>
        </w:rPr>
        <w:t>expenditure</w:t>
      </w:r>
      <w:r>
        <w:rPr>
          <w:rFonts w:asciiTheme="majorHAnsi" w:hAnsiTheme="majorHAnsi"/>
          <w:bCs/>
          <w:sz w:val="24"/>
          <w:szCs w:val="23"/>
        </w:rPr>
        <w:t xml:space="preserve"> is not desirable. Especially research credit encourages research and development activities that create new products and new technologies, the value of which is hard to measure before they </w:t>
      </w:r>
      <w:r w:rsidR="0030577B">
        <w:rPr>
          <w:rFonts w:asciiTheme="majorHAnsi" w:hAnsiTheme="majorHAnsi"/>
          <w:bCs/>
          <w:sz w:val="24"/>
          <w:szCs w:val="23"/>
        </w:rPr>
        <w:t>go to</w:t>
      </w:r>
      <w:r>
        <w:rPr>
          <w:rFonts w:asciiTheme="majorHAnsi" w:hAnsiTheme="majorHAnsi"/>
          <w:bCs/>
          <w:sz w:val="24"/>
          <w:szCs w:val="23"/>
        </w:rPr>
        <w:t xml:space="preserve"> market, and therefore it is also difficult for the model to capture the impact of research and development activities on the economy accurately.</w:t>
      </w:r>
    </w:p>
    <w:p w14:paraId="7D04FAF1" w14:textId="77777777" w:rsidR="00782E31" w:rsidRDefault="00782E31" w:rsidP="00782E31">
      <w:pPr>
        <w:tabs>
          <w:tab w:val="left" w:pos="7050"/>
        </w:tabs>
        <w:spacing w:after="0"/>
        <w:rPr>
          <w:rFonts w:asciiTheme="majorHAnsi" w:hAnsiTheme="majorHAnsi"/>
          <w:bCs/>
          <w:sz w:val="24"/>
          <w:szCs w:val="23"/>
        </w:rPr>
      </w:pPr>
      <w:r w:rsidDel="0047670C">
        <w:rPr>
          <w:rFonts w:asciiTheme="majorHAnsi" w:hAnsiTheme="majorHAnsi"/>
          <w:bCs/>
          <w:sz w:val="24"/>
          <w:szCs w:val="23"/>
        </w:rPr>
        <w:t xml:space="preserve"> </w:t>
      </w:r>
    </w:p>
    <w:p w14:paraId="431BE796" w14:textId="77777777" w:rsidR="00782E31" w:rsidRDefault="00782E31" w:rsidP="00782E31">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0F033A">
        <w:rPr>
          <w:rFonts w:asciiTheme="majorHAnsi" w:eastAsiaTheme="majorEastAsia" w:hAnsiTheme="majorHAnsi" w:cstheme="majorBidi"/>
          <w:b/>
          <w:color w:val="000000" w:themeColor="text1"/>
          <w:sz w:val="24"/>
          <w:szCs w:val="24"/>
        </w:rPr>
        <w:t>A5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Research Credit*</w:t>
      </w:r>
    </w:p>
    <w:tbl>
      <w:tblPr>
        <w:tblW w:w="9350" w:type="dxa"/>
        <w:tblLook w:val="04A0" w:firstRow="1" w:lastRow="0" w:firstColumn="1" w:lastColumn="0" w:noHBand="0" w:noVBand="1"/>
      </w:tblPr>
      <w:tblGrid>
        <w:gridCol w:w="3835"/>
        <w:gridCol w:w="1103"/>
        <w:gridCol w:w="1103"/>
        <w:gridCol w:w="1103"/>
        <w:gridCol w:w="1103"/>
        <w:gridCol w:w="1103"/>
      </w:tblGrid>
      <w:tr w:rsidR="00782E31" w:rsidRPr="00E072E2" w14:paraId="443446EE" w14:textId="77777777" w:rsidTr="00391E40">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0903F09"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58CEF211"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629600D"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C569F73"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322FD89E"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095F711"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782E31" w:rsidRPr="00E072E2" w14:paraId="0677A9FC" w14:textId="77777777" w:rsidTr="00391E40">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491E6C3" w14:textId="77777777" w:rsidR="00782E31" w:rsidRPr="00E072E2" w:rsidRDefault="00782E31" w:rsidP="00391E40">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9990"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-$4,367</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E65F12B"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-$8,755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7E1DFE0"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-$8,279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F568BBC"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-$9,284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163B92B3" w14:textId="77777777" w:rsidR="00782E31" w:rsidRPr="00E072E2"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-$10,035</w:t>
            </w:r>
          </w:p>
        </w:tc>
      </w:tr>
    </w:tbl>
    <w:p w14:paraId="37C0CA91" w14:textId="77777777" w:rsidR="00782E31" w:rsidRDefault="00782E31" w:rsidP="00782E31">
      <w:pPr>
        <w:tabs>
          <w:tab w:val="left" w:pos="7050"/>
        </w:tabs>
        <w:spacing w:after="0"/>
        <w:rPr>
          <w:rFonts w:asciiTheme="majorHAnsi" w:hAnsiTheme="majorHAnsi"/>
          <w:bCs/>
          <w:sz w:val="20"/>
          <w:szCs w:val="20"/>
        </w:rPr>
      </w:pPr>
      <w:r>
        <w:rPr>
          <w:rFonts w:asciiTheme="majorHAnsi" w:hAnsiTheme="majorHAnsi"/>
          <w:bCs/>
          <w:sz w:val="20"/>
          <w:szCs w:val="20"/>
        </w:rPr>
        <w:t>* assuming the state government spending is cut by the same amount as the research tax credit to balance budget.</w:t>
      </w:r>
    </w:p>
    <w:p w14:paraId="7A27E1FB" w14:textId="77777777" w:rsidR="00782E31" w:rsidRDefault="00782E31" w:rsidP="00782E31">
      <w:pPr>
        <w:tabs>
          <w:tab w:val="left" w:pos="7050"/>
        </w:tabs>
        <w:spacing w:after="0"/>
        <w:rPr>
          <w:rFonts w:asciiTheme="majorHAnsi" w:hAnsiTheme="majorHAnsi"/>
          <w:sz w:val="24"/>
          <w:szCs w:val="24"/>
        </w:rPr>
      </w:pPr>
    </w:p>
    <w:p w14:paraId="67155B0F" w14:textId="77777777" w:rsidR="00782E31" w:rsidRDefault="00782E31" w:rsidP="00782E31">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0F033A">
        <w:rPr>
          <w:rFonts w:asciiTheme="majorHAnsi" w:eastAsiaTheme="majorEastAsia" w:hAnsiTheme="majorHAnsi" w:cstheme="majorBidi"/>
          <w:b/>
          <w:color w:val="000000" w:themeColor="text1"/>
          <w:sz w:val="24"/>
          <w:szCs w:val="24"/>
        </w:rPr>
        <w:t>A6</w:t>
      </w:r>
      <w:r w:rsidRPr="00366FFC">
        <w:rPr>
          <w:rFonts w:asciiTheme="majorHAnsi" w:eastAsiaTheme="majorEastAsia" w:hAnsiTheme="majorHAnsi" w:cstheme="majorBidi"/>
          <w:b/>
          <w:color w:val="000000" w:themeColor="text1"/>
          <w:sz w:val="24"/>
          <w:szCs w:val="24"/>
        </w:rPr>
        <w:t xml:space="preserve">. </w:t>
      </w:r>
      <w:r w:rsidR="00501246">
        <w:rPr>
          <w:rFonts w:asciiTheme="majorHAnsi" w:eastAsiaTheme="majorEastAsia" w:hAnsiTheme="majorHAnsi" w:cstheme="majorBidi"/>
          <w:b/>
          <w:color w:val="000000" w:themeColor="text1"/>
          <w:sz w:val="24"/>
          <w:szCs w:val="24"/>
        </w:rPr>
        <w:t xml:space="preserve">Net </w:t>
      </w:r>
      <w:r>
        <w:rPr>
          <w:rFonts w:asciiTheme="majorHAnsi" w:eastAsiaTheme="majorEastAsia" w:hAnsiTheme="majorHAnsi" w:cstheme="majorBidi"/>
          <w:b/>
          <w:color w:val="000000" w:themeColor="text1"/>
          <w:sz w:val="24"/>
          <w:szCs w:val="24"/>
        </w:rPr>
        <w:t>Economic Impacts of Research Credit</w:t>
      </w:r>
      <w:r w:rsidR="00501246">
        <w:rPr>
          <w:rFonts w:asciiTheme="majorHAnsi" w:eastAsiaTheme="majorEastAsia" w:hAnsiTheme="majorHAnsi" w:cstheme="majorBidi"/>
          <w:b/>
          <w:color w:val="000000" w:themeColor="text1"/>
          <w:sz w:val="24"/>
          <w:szCs w:val="24"/>
        </w:rPr>
        <w:t xml:space="preserve"> by Selected Economic Measure</w:t>
      </w:r>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365"/>
        <w:gridCol w:w="1197"/>
        <w:gridCol w:w="1197"/>
        <w:gridCol w:w="1197"/>
        <w:gridCol w:w="1197"/>
        <w:gridCol w:w="1197"/>
      </w:tblGrid>
      <w:tr w:rsidR="00782E31" w:rsidRPr="00A94F48" w14:paraId="15A238D6" w14:textId="77777777" w:rsidTr="00391E40">
        <w:trPr>
          <w:trHeight w:val="380"/>
        </w:trPr>
        <w:tc>
          <w:tcPr>
            <w:tcW w:w="287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9533879"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8AA549F"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97D295C"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61A880D7"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863B0D1"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43830D4E"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782E31" w:rsidRPr="00A94F48" w14:paraId="08075BB6" w14:textId="77777777" w:rsidTr="00391E40">
        <w:trPr>
          <w:trHeight w:val="58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B6B38DF"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6F4C"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-3,071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9C7777F"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-2,731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440288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-2,479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1C5F209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-3,226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925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-2,880</w:t>
            </w:r>
          </w:p>
        </w:tc>
      </w:tr>
      <w:tr w:rsidR="00782E31" w:rsidRPr="00A94F48" w14:paraId="25C40653" w14:textId="77777777" w:rsidTr="00391E40">
        <w:trPr>
          <w:trHeight w:val="5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D561BA1"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B6EA00C"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-67</w:t>
            </w:r>
          </w:p>
        </w:tc>
        <w:tc>
          <w:tcPr>
            <w:tcW w:w="1008" w:type="dxa"/>
            <w:tcBorders>
              <w:top w:val="nil"/>
              <w:left w:val="nil"/>
              <w:bottom w:val="single" w:sz="4" w:space="0" w:color="auto"/>
              <w:right w:val="single" w:sz="4" w:space="0" w:color="auto"/>
            </w:tcBorders>
            <w:shd w:val="clear" w:color="auto" w:fill="auto"/>
            <w:noWrap/>
            <w:vAlign w:val="center"/>
            <w:hideMark/>
          </w:tcPr>
          <w:p w14:paraId="2DFE9473"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267</w:t>
            </w:r>
          </w:p>
        </w:tc>
        <w:tc>
          <w:tcPr>
            <w:tcW w:w="1008" w:type="dxa"/>
            <w:tcBorders>
              <w:top w:val="nil"/>
              <w:left w:val="nil"/>
              <w:bottom w:val="single" w:sz="4" w:space="0" w:color="auto"/>
              <w:right w:val="single" w:sz="4" w:space="0" w:color="auto"/>
            </w:tcBorders>
            <w:shd w:val="clear" w:color="auto" w:fill="auto"/>
            <w:noWrap/>
            <w:vAlign w:val="center"/>
            <w:hideMark/>
          </w:tcPr>
          <w:p w14:paraId="1A91BA13"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466</w:t>
            </w:r>
          </w:p>
        </w:tc>
        <w:tc>
          <w:tcPr>
            <w:tcW w:w="1008" w:type="dxa"/>
            <w:tcBorders>
              <w:top w:val="nil"/>
              <w:left w:val="nil"/>
              <w:bottom w:val="single" w:sz="4" w:space="0" w:color="auto"/>
              <w:right w:val="single" w:sz="4" w:space="0" w:color="auto"/>
            </w:tcBorders>
            <w:shd w:val="clear" w:color="auto" w:fill="auto"/>
            <w:noWrap/>
            <w:vAlign w:val="center"/>
            <w:hideMark/>
          </w:tcPr>
          <w:p w14:paraId="639C2A84"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633</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917EBF5"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892</w:t>
            </w:r>
          </w:p>
        </w:tc>
      </w:tr>
      <w:tr w:rsidR="00782E31" w:rsidRPr="00A94F48" w14:paraId="6CBB95F2" w14:textId="77777777" w:rsidTr="00391E40">
        <w:trPr>
          <w:trHeight w:val="5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C335C6A"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96D4C8A"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-$191,000</w:t>
            </w:r>
          </w:p>
        </w:tc>
        <w:tc>
          <w:tcPr>
            <w:tcW w:w="1008" w:type="dxa"/>
            <w:tcBorders>
              <w:top w:val="nil"/>
              <w:left w:val="nil"/>
              <w:bottom w:val="single" w:sz="4" w:space="0" w:color="auto"/>
              <w:right w:val="single" w:sz="4" w:space="0" w:color="auto"/>
            </w:tcBorders>
            <w:shd w:val="clear" w:color="auto" w:fill="auto"/>
            <w:noWrap/>
            <w:vAlign w:val="center"/>
            <w:hideMark/>
          </w:tcPr>
          <w:p w14:paraId="411E11B1"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-$155,000</w:t>
            </w:r>
          </w:p>
        </w:tc>
        <w:tc>
          <w:tcPr>
            <w:tcW w:w="1008" w:type="dxa"/>
            <w:tcBorders>
              <w:top w:val="nil"/>
              <w:left w:val="nil"/>
              <w:bottom w:val="single" w:sz="4" w:space="0" w:color="auto"/>
              <w:right w:val="single" w:sz="4" w:space="0" w:color="auto"/>
            </w:tcBorders>
            <w:shd w:val="clear" w:color="auto" w:fill="auto"/>
            <w:noWrap/>
            <w:vAlign w:val="center"/>
            <w:hideMark/>
          </w:tcPr>
          <w:p w14:paraId="399978AF"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-$129,000</w:t>
            </w:r>
          </w:p>
        </w:tc>
        <w:tc>
          <w:tcPr>
            <w:tcW w:w="1008" w:type="dxa"/>
            <w:tcBorders>
              <w:top w:val="nil"/>
              <w:left w:val="nil"/>
              <w:bottom w:val="single" w:sz="4" w:space="0" w:color="auto"/>
              <w:right w:val="single" w:sz="4" w:space="0" w:color="auto"/>
            </w:tcBorders>
            <w:shd w:val="clear" w:color="auto" w:fill="auto"/>
            <w:noWrap/>
            <w:vAlign w:val="center"/>
            <w:hideMark/>
          </w:tcPr>
          <w:p w14:paraId="4FB7B30E"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-$164,000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55D05FD"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-$128,000</w:t>
            </w:r>
          </w:p>
        </w:tc>
      </w:tr>
      <w:tr w:rsidR="00782E31" w:rsidRPr="00A94F48" w14:paraId="10A2CD1C" w14:textId="77777777" w:rsidTr="00391E40">
        <w:trPr>
          <w:trHeight w:val="5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374595A" w14:textId="77777777" w:rsidR="00782E31" w:rsidRPr="00A94F48" w:rsidRDefault="00782E31" w:rsidP="00391E40">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194B606"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-$204,000</w:t>
            </w:r>
          </w:p>
        </w:tc>
        <w:tc>
          <w:tcPr>
            <w:tcW w:w="1008" w:type="dxa"/>
            <w:tcBorders>
              <w:top w:val="nil"/>
              <w:left w:val="nil"/>
              <w:bottom w:val="single" w:sz="4" w:space="0" w:color="auto"/>
              <w:right w:val="single" w:sz="4" w:space="0" w:color="auto"/>
            </w:tcBorders>
            <w:shd w:val="clear" w:color="auto" w:fill="auto"/>
            <w:noWrap/>
            <w:vAlign w:val="center"/>
            <w:hideMark/>
          </w:tcPr>
          <w:p w14:paraId="5117E669"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-$200,000</w:t>
            </w:r>
          </w:p>
        </w:tc>
        <w:tc>
          <w:tcPr>
            <w:tcW w:w="1008" w:type="dxa"/>
            <w:tcBorders>
              <w:top w:val="nil"/>
              <w:left w:val="nil"/>
              <w:bottom w:val="single" w:sz="4" w:space="0" w:color="auto"/>
              <w:right w:val="single" w:sz="4" w:space="0" w:color="auto"/>
            </w:tcBorders>
            <w:shd w:val="clear" w:color="auto" w:fill="auto"/>
            <w:noWrap/>
            <w:vAlign w:val="center"/>
            <w:hideMark/>
          </w:tcPr>
          <w:p w14:paraId="1CEF2902"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-$195,000</w:t>
            </w:r>
          </w:p>
        </w:tc>
        <w:tc>
          <w:tcPr>
            <w:tcW w:w="1008" w:type="dxa"/>
            <w:tcBorders>
              <w:top w:val="nil"/>
              <w:left w:val="nil"/>
              <w:bottom w:val="single" w:sz="4" w:space="0" w:color="auto"/>
              <w:right w:val="single" w:sz="4" w:space="0" w:color="auto"/>
            </w:tcBorders>
            <w:shd w:val="clear" w:color="auto" w:fill="auto"/>
            <w:noWrap/>
            <w:vAlign w:val="center"/>
            <w:hideMark/>
          </w:tcPr>
          <w:p w14:paraId="1E04E38E"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-$255,000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C9A9068" w14:textId="77777777" w:rsidR="00782E31" w:rsidRPr="00A94F48" w:rsidRDefault="00782E31" w:rsidP="00391E40">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-$242,000</w:t>
            </w:r>
          </w:p>
        </w:tc>
      </w:tr>
    </w:tbl>
    <w:p w14:paraId="50A37127" w14:textId="77777777" w:rsidR="00782E31" w:rsidRDefault="00782E31" w:rsidP="00782E31">
      <w:pPr>
        <w:tabs>
          <w:tab w:val="left" w:pos="7050"/>
        </w:tabs>
        <w:spacing w:after="0"/>
        <w:rPr>
          <w:rFonts w:asciiTheme="majorHAnsi" w:hAnsiTheme="majorHAnsi"/>
          <w:bCs/>
          <w:sz w:val="20"/>
          <w:szCs w:val="20"/>
        </w:rPr>
      </w:pPr>
      <w:r>
        <w:rPr>
          <w:rFonts w:asciiTheme="majorHAnsi" w:hAnsiTheme="majorHAnsi"/>
          <w:bCs/>
          <w:sz w:val="20"/>
          <w:szCs w:val="20"/>
        </w:rPr>
        <w:t>* assuming the state government spending is cut by the same amount as the research tax credit to balance budget.</w:t>
      </w:r>
    </w:p>
    <w:p w14:paraId="2938D809" w14:textId="77777777" w:rsidR="00782E31" w:rsidRDefault="00782E31" w:rsidP="00782E31">
      <w:pPr>
        <w:tabs>
          <w:tab w:val="left" w:pos="7050"/>
        </w:tabs>
        <w:spacing w:after="0"/>
        <w:rPr>
          <w:rFonts w:asciiTheme="majorHAnsi" w:hAnsiTheme="majorHAnsi"/>
          <w:bCs/>
          <w:sz w:val="24"/>
          <w:szCs w:val="23"/>
        </w:rPr>
      </w:pPr>
    </w:p>
    <w:p w14:paraId="04C49635" w14:textId="77777777" w:rsidR="00782E31" w:rsidRDefault="00782E31" w:rsidP="00782E31">
      <w:pPr>
        <w:tabs>
          <w:tab w:val="left" w:pos="7050"/>
        </w:tabs>
        <w:spacing w:after="0"/>
        <w:rPr>
          <w:rFonts w:asciiTheme="majorHAnsi" w:hAnsiTheme="majorHAnsi"/>
          <w:bCs/>
          <w:sz w:val="24"/>
          <w:szCs w:val="23"/>
        </w:rPr>
      </w:pPr>
    </w:p>
    <w:p w14:paraId="04C326EE" w14:textId="77777777" w:rsidR="000F033A" w:rsidRPr="00782E31" w:rsidRDefault="000F033A" w:rsidP="000F033A">
      <w:pPr>
        <w:rPr>
          <w:rFonts w:asciiTheme="majorHAnsi" w:hAnsiTheme="majorHAnsi"/>
          <w:b/>
          <w:sz w:val="24"/>
          <w:szCs w:val="24"/>
        </w:rPr>
      </w:pPr>
      <w:r w:rsidRPr="00782E31">
        <w:rPr>
          <w:rFonts w:asciiTheme="majorHAnsi" w:hAnsiTheme="majorHAnsi"/>
          <w:b/>
          <w:sz w:val="24"/>
          <w:szCs w:val="24"/>
        </w:rPr>
        <w:t xml:space="preserve">Other </w:t>
      </w:r>
      <w:r w:rsidR="001F2BF7">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4DB92A5D" w14:textId="77777777" w:rsidR="000F033A" w:rsidRPr="00A05217" w:rsidRDefault="000F033A" w:rsidP="00782E31">
      <w:pPr>
        <w:tabs>
          <w:tab w:val="left" w:pos="7050"/>
        </w:tabs>
        <w:spacing w:after="0"/>
        <w:rPr>
          <w:rFonts w:asciiTheme="majorHAnsi" w:hAnsiTheme="majorHAnsi"/>
          <w:bCs/>
          <w:sz w:val="24"/>
          <w:szCs w:val="23"/>
        </w:rPr>
      </w:pPr>
    </w:p>
    <w:p w14:paraId="539B0A93" w14:textId="77777777" w:rsidR="00533416" w:rsidRDefault="00EB7105" w:rsidP="00782E31">
      <w:pPr>
        <w:tabs>
          <w:tab w:val="left" w:pos="7050"/>
        </w:tabs>
        <w:spacing w:after="0"/>
        <w:rPr>
          <w:rFonts w:asciiTheme="majorHAnsi" w:hAnsiTheme="majorHAnsi"/>
          <w:bCs/>
          <w:sz w:val="24"/>
          <w:szCs w:val="23"/>
        </w:rPr>
      </w:pPr>
      <w:r>
        <w:rPr>
          <w:rFonts w:asciiTheme="majorHAnsi" w:hAnsiTheme="majorHAnsi"/>
          <w:bCs/>
          <w:sz w:val="24"/>
          <w:szCs w:val="23"/>
        </w:rPr>
        <w:lastRenderedPageBreak/>
        <w:t>Besides the additional costs and benefits quantified in the previous sections, t</w:t>
      </w:r>
      <w:r w:rsidR="00782E31"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w:t>
      </w:r>
      <w:r w:rsidR="00782E31" w:rsidRPr="00A05217">
        <w:rPr>
          <w:rFonts w:asciiTheme="majorHAnsi" w:hAnsiTheme="majorHAnsi"/>
          <w:bCs/>
          <w:sz w:val="24"/>
          <w:szCs w:val="23"/>
        </w:rPr>
        <w:t xml:space="preserve">of data </w:t>
      </w:r>
      <w:r>
        <w:rPr>
          <w:rFonts w:asciiTheme="majorHAnsi" w:hAnsiTheme="majorHAnsi"/>
          <w:bCs/>
          <w:sz w:val="24"/>
          <w:szCs w:val="23"/>
        </w:rPr>
        <w:t>or other challenges</w:t>
      </w:r>
      <w:r w:rsidR="00782E31" w:rsidRPr="00A05217">
        <w:rPr>
          <w:rFonts w:asciiTheme="majorHAnsi" w:hAnsiTheme="majorHAnsi"/>
          <w:bCs/>
          <w:sz w:val="24"/>
          <w:szCs w:val="23"/>
        </w:rPr>
        <w:t>.</w:t>
      </w:r>
      <w:r w:rsidR="003F2C63">
        <w:rPr>
          <w:rFonts w:asciiTheme="majorHAnsi" w:hAnsiTheme="majorHAnsi"/>
          <w:bCs/>
          <w:sz w:val="24"/>
          <w:szCs w:val="23"/>
        </w:rPr>
        <w:t xml:space="preserve"> </w:t>
      </w:r>
      <w:r>
        <w:rPr>
          <w:rFonts w:asciiTheme="majorHAnsi" w:hAnsiTheme="majorHAnsi"/>
          <w:bCs/>
          <w:sz w:val="24"/>
          <w:szCs w:val="23"/>
        </w:rPr>
        <w:t>In this section we will enumerate some of these costs and benefits.</w:t>
      </w:r>
    </w:p>
    <w:p w14:paraId="7DF18C9B" w14:textId="77777777" w:rsidR="00533416" w:rsidRDefault="00533416" w:rsidP="00782E31">
      <w:pPr>
        <w:tabs>
          <w:tab w:val="left" w:pos="7050"/>
        </w:tabs>
        <w:spacing w:after="0"/>
        <w:rPr>
          <w:rFonts w:asciiTheme="majorHAnsi" w:hAnsiTheme="majorHAnsi"/>
          <w:bCs/>
          <w:sz w:val="24"/>
          <w:szCs w:val="23"/>
        </w:rPr>
      </w:pPr>
    </w:p>
    <w:p w14:paraId="36AC0308" w14:textId="77777777" w:rsidR="00782E31" w:rsidRDefault="00782E31" w:rsidP="00782E31">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xml:space="preserve">, a published study for the state of Georgia summarizes </w:t>
      </w:r>
      <w:r>
        <w:rPr>
          <w:rFonts w:asciiTheme="majorHAnsi" w:hAnsiTheme="majorHAnsi"/>
          <w:bCs/>
          <w:sz w:val="24"/>
          <w:szCs w:val="23"/>
        </w:rPr>
        <w:t xml:space="preserve">some of </w:t>
      </w:r>
      <w:r w:rsidR="00533416">
        <w:rPr>
          <w:rFonts w:asciiTheme="majorHAnsi" w:hAnsiTheme="majorHAnsi"/>
          <w:bCs/>
          <w:sz w:val="24"/>
          <w:szCs w:val="23"/>
        </w:rPr>
        <w:t>other</w:t>
      </w:r>
      <w:r>
        <w:rPr>
          <w:rFonts w:asciiTheme="majorHAnsi" w:hAnsiTheme="majorHAnsi"/>
          <w:bCs/>
          <w:sz w:val="24"/>
          <w:szCs w:val="23"/>
        </w:rPr>
        <w:t xml:space="preserve"> costs and benefits as follows:  </w:t>
      </w:r>
    </w:p>
    <w:p w14:paraId="7FFD12F5" w14:textId="77777777" w:rsidR="00782E31" w:rsidRDefault="00782E31" w:rsidP="00782E31">
      <w:pPr>
        <w:tabs>
          <w:tab w:val="left" w:pos="7050"/>
        </w:tabs>
        <w:spacing w:after="0"/>
        <w:rPr>
          <w:rFonts w:asciiTheme="majorHAnsi" w:hAnsiTheme="majorHAnsi"/>
          <w:bCs/>
          <w:sz w:val="24"/>
          <w:szCs w:val="23"/>
        </w:rPr>
      </w:pPr>
    </w:p>
    <w:p w14:paraId="2ACD4507" w14:textId="77777777" w:rsidR="00782E31" w:rsidRDefault="00782E31" w:rsidP="00782E31">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Providing tax credits to selected firms may diminish the competitiveness for existing similar firms.  </w:t>
      </w:r>
    </w:p>
    <w:p w14:paraId="1FDDF97B" w14:textId="77777777" w:rsidR="00782E31" w:rsidRDefault="00782E31" w:rsidP="00782E31">
      <w:pPr>
        <w:tabs>
          <w:tab w:val="left" w:pos="7050"/>
        </w:tabs>
        <w:spacing w:after="0"/>
        <w:rPr>
          <w:rFonts w:asciiTheme="majorHAnsi" w:hAnsiTheme="majorHAnsi"/>
          <w:bCs/>
          <w:sz w:val="24"/>
          <w:szCs w:val="23"/>
        </w:rPr>
      </w:pPr>
    </w:p>
    <w:p w14:paraId="21B8B8A8" w14:textId="77777777" w:rsidR="00782E31" w:rsidRDefault="00782E31" w:rsidP="00782E31">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4690B7C2" w14:textId="77777777" w:rsidR="00782E31" w:rsidRDefault="00782E31" w:rsidP="00782E31">
      <w:pPr>
        <w:tabs>
          <w:tab w:val="left" w:pos="7050"/>
        </w:tabs>
        <w:spacing w:after="0"/>
        <w:rPr>
          <w:rFonts w:asciiTheme="majorHAnsi" w:hAnsiTheme="majorHAnsi"/>
          <w:bCs/>
          <w:sz w:val="24"/>
          <w:szCs w:val="23"/>
        </w:rPr>
      </w:pPr>
    </w:p>
    <w:p w14:paraId="38E66631" w14:textId="77777777" w:rsidR="00782E31" w:rsidRDefault="00782E31" w:rsidP="00782E31">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79EB4209" w14:textId="77777777" w:rsidR="00782E31" w:rsidRDefault="00782E31" w:rsidP="00782E31">
      <w:pPr>
        <w:tabs>
          <w:tab w:val="left" w:pos="7050"/>
        </w:tabs>
        <w:spacing w:after="0"/>
        <w:rPr>
          <w:rFonts w:asciiTheme="majorHAnsi" w:hAnsiTheme="majorHAnsi"/>
          <w:bCs/>
          <w:sz w:val="24"/>
          <w:szCs w:val="23"/>
        </w:rPr>
      </w:pPr>
    </w:p>
    <w:p w14:paraId="5151441C" w14:textId="77777777" w:rsidR="00782E31" w:rsidRDefault="00782E31" w:rsidP="00782E31">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Research credit is a great tax incentive for these and other social benefits. </w:t>
      </w:r>
    </w:p>
    <w:p w14:paraId="35AED54B" w14:textId="77777777" w:rsidR="00782E31" w:rsidRDefault="00782E31" w:rsidP="00A05217">
      <w:pPr>
        <w:rPr>
          <w:rFonts w:asciiTheme="majorHAnsi" w:hAnsiTheme="majorHAnsi"/>
          <w:b/>
          <w:sz w:val="24"/>
          <w:szCs w:val="24"/>
        </w:rPr>
      </w:pPr>
    </w:p>
    <w:p w14:paraId="0F396009" w14:textId="77777777" w:rsidR="003F2C63" w:rsidRPr="00616EEB" w:rsidRDefault="00EB7105" w:rsidP="003F2C63">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Another hard to quantify cost is the</w:t>
      </w:r>
      <w:r w:rsidR="003F2C63">
        <w:rPr>
          <w:rFonts w:asciiTheme="majorHAnsi" w:eastAsiaTheme="majorEastAsia" w:hAnsiTheme="majorHAnsi" w:cstheme="majorBidi"/>
          <w:bCs/>
          <w:color w:val="000000" w:themeColor="text1"/>
          <w:sz w:val="24"/>
          <w:szCs w:val="24"/>
        </w:rPr>
        <w:t xml:space="preserve"> administrative cost. </w:t>
      </w:r>
      <w:r>
        <w:rPr>
          <w:rFonts w:asciiTheme="majorHAnsi" w:eastAsiaTheme="majorEastAsia" w:hAnsiTheme="majorHAnsi" w:cstheme="majorBidi"/>
          <w:bCs/>
          <w:color w:val="000000" w:themeColor="text1"/>
          <w:sz w:val="24"/>
          <w:szCs w:val="24"/>
        </w:rPr>
        <w:t>T</w:t>
      </w:r>
      <w:r w:rsidR="003F2C63">
        <w:rPr>
          <w:rFonts w:asciiTheme="majorHAnsi" w:eastAsiaTheme="majorEastAsia" w:hAnsiTheme="majorHAnsi" w:cstheme="majorBidi"/>
          <w:bCs/>
          <w:color w:val="000000" w:themeColor="text1"/>
          <w:sz w:val="24"/>
          <w:szCs w:val="24"/>
        </w:rPr>
        <w:t>he administrative cost attributable to th</w:t>
      </w:r>
      <w:r>
        <w:rPr>
          <w:rFonts w:asciiTheme="majorHAnsi" w:eastAsiaTheme="majorEastAsia" w:hAnsiTheme="majorHAnsi" w:cstheme="majorBidi"/>
          <w:bCs/>
          <w:color w:val="000000" w:themeColor="text1"/>
          <w:sz w:val="24"/>
          <w:szCs w:val="24"/>
        </w:rPr>
        <w:t>e research</w:t>
      </w:r>
      <w:r w:rsidR="003F2C63">
        <w:rPr>
          <w:rFonts w:asciiTheme="majorHAnsi" w:eastAsiaTheme="majorEastAsia" w:hAnsiTheme="majorHAnsi" w:cstheme="majorBidi"/>
          <w:bCs/>
          <w:color w:val="000000" w:themeColor="text1"/>
          <w:sz w:val="24"/>
          <w:szCs w:val="24"/>
        </w:rPr>
        <w:t xml:space="preserve"> credit should be relatively small because the Department of Revenue administers the credit with existing staff as part of its overall mission. </w:t>
      </w:r>
    </w:p>
    <w:p w14:paraId="2725FF2E" w14:textId="77777777" w:rsidR="003F2C63" w:rsidRDefault="003F2C63" w:rsidP="003F2C63">
      <w:pPr>
        <w:tabs>
          <w:tab w:val="left" w:pos="7050"/>
        </w:tabs>
        <w:spacing w:after="0"/>
        <w:rPr>
          <w:rFonts w:asciiTheme="majorHAnsi" w:hAnsiTheme="majorHAnsi"/>
          <w:bCs/>
          <w:sz w:val="24"/>
          <w:szCs w:val="23"/>
        </w:rPr>
      </w:pPr>
    </w:p>
    <w:p w14:paraId="77BB4D3E" w14:textId="77777777" w:rsidR="003F2C63" w:rsidRPr="00A05217" w:rsidRDefault="00867109" w:rsidP="003F2C63">
      <w:pPr>
        <w:tabs>
          <w:tab w:val="left" w:pos="7050"/>
        </w:tabs>
        <w:spacing w:after="0"/>
        <w:rPr>
          <w:rFonts w:asciiTheme="majorHAnsi" w:hAnsiTheme="majorHAnsi"/>
          <w:bCs/>
          <w:sz w:val="24"/>
          <w:szCs w:val="23"/>
        </w:rPr>
      </w:pPr>
      <w:r>
        <w:rPr>
          <w:rFonts w:asciiTheme="majorHAnsi" w:hAnsiTheme="majorHAnsi"/>
          <w:bCs/>
          <w:sz w:val="24"/>
          <w:szCs w:val="23"/>
        </w:rPr>
        <w:t xml:space="preserve">Another important but hard to quantify benefit for </w:t>
      </w:r>
      <w:r w:rsidR="003F2C63">
        <w:rPr>
          <w:rFonts w:asciiTheme="majorHAnsi" w:hAnsiTheme="majorHAnsi"/>
          <w:bCs/>
          <w:sz w:val="24"/>
          <w:szCs w:val="23"/>
        </w:rPr>
        <w:t>t</w:t>
      </w:r>
      <w:r w:rsidR="003F2C63" w:rsidRPr="0020064E">
        <w:rPr>
          <w:rFonts w:asciiTheme="majorHAnsi" w:hAnsiTheme="majorHAnsi"/>
          <w:bCs/>
          <w:sz w:val="24"/>
          <w:szCs w:val="23"/>
        </w:rPr>
        <w:t xml:space="preserve">he research tax credit </w:t>
      </w:r>
      <w:r>
        <w:rPr>
          <w:rFonts w:asciiTheme="majorHAnsi" w:hAnsiTheme="majorHAnsi"/>
          <w:bCs/>
          <w:sz w:val="24"/>
          <w:szCs w:val="23"/>
        </w:rPr>
        <w:t xml:space="preserve">is that it </w:t>
      </w:r>
      <w:r w:rsidR="003F2C63" w:rsidRPr="0020064E">
        <w:rPr>
          <w:rFonts w:asciiTheme="majorHAnsi" w:hAnsiTheme="majorHAnsi"/>
          <w:bCs/>
          <w:sz w:val="24"/>
          <w:szCs w:val="23"/>
        </w:rPr>
        <w:t xml:space="preserve">contributes to the technological change and innovation. Technological change is an important </w:t>
      </w:r>
      <w:r w:rsidR="003F2C63">
        <w:rPr>
          <w:rFonts w:asciiTheme="majorHAnsi" w:hAnsiTheme="majorHAnsi"/>
          <w:bCs/>
          <w:sz w:val="24"/>
          <w:szCs w:val="23"/>
        </w:rPr>
        <w:t xml:space="preserve">factor </w:t>
      </w:r>
      <w:r w:rsidR="003F2C63" w:rsidRPr="0020064E">
        <w:rPr>
          <w:rFonts w:asciiTheme="majorHAnsi" w:hAnsiTheme="majorHAnsi"/>
          <w:bCs/>
          <w:sz w:val="24"/>
          <w:szCs w:val="23"/>
        </w:rPr>
        <w:t xml:space="preserve">of long-run productivity growth and increases in living standards. </w:t>
      </w:r>
    </w:p>
    <w:p w14:paraId="678F32F1" w14:textId="77777777" w:rsidR="003F2C63" w:rsidRDefault="003F2C63" w:rsidP="00A05217">
      <w:pPr>
        <w:rPr>
          <w:rFonts w:asciiTheme="majorHAnsi" w:hAnsiTheme="majorHAnsi"/>
          <w:b/>
          <w:sz w:val="24"/>
          <w:szCs w:val="24"/>
        </w:rPr>
      </w:pPr>
    </w:p>
    <w:p w14:paraId="7BA22548" w14:textId="77777777" w:rsidR="00693B71" w:rsidRPr="00782E31" w:rsidRDefault="00C842B4" w:rsidP="00693B71">
      <w:pPr>
        <w:rPr>
          <w:rFonts w:asciiTheme="majorHAnsi" w:hAnsiTheme="majorHAnsi"/>
          <w:b/>
          <w:sz w:val="24"/>
          <w:szCs w:val="24"/>
        </w:rPr>
      </w:pPr>
      <w:r>
        <w:rPr>
          <w:rFonts w:asciiTheme="majorHAnsi" w:hAnsiTheme="majorHAnsi"/>
          <w:b/>
          <w:sz w:val="24"/>
          <w:szCs w:val="24"/>
        </w:rPr>
        <w:t>Other issues related to costs and benefits</w:t>
      </w:r>
    </w:p>
    <w:p w14:paraId="167D4447" w14:textId="77777777" w:rsidR="00D0561C" w:rsidRDefault="00D0561C" w:rsidP="00D0561C">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would flee from states of higher corporate taxes if all other considerable factors are not significantly different.  </w:t>
      </w:r>
    </w:p>
    <w:p w14:paraId="5EB11ADA" w14:textId="77777777" w:rsidR="00D0561C" w:rsidRDefault="00D0561C" w:rsidP="00D0561C">
      <w:pPr>
        <w:spacing w:after="0"/>
        <w:rPr>
          <w:rFonts w:asciiTheme="majorHAnsi" w:eastAsiaTheme="majorEastAsia" w:hAnsiTheme="majorHAnsi" w:cstheme="majorBidi"/>
          <w:bCs/>
          <w:color w:val="000000" w:themeColor="text1"/>
          <w:sz w:val="24"/>
          <w:szCs w:val="24"/>
        </w:rPr>
      </w:pPr>
    </w:p>
    <w:p w14:paraId="4B600CD7" w14:textId="74084BA3" w:rsidR="00D0561C" w:rsidRDefault="00D0561C" w:rsidP="00D0561C">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 to 0.36%, that labor’s burden from the state corporate tax has trended upward over time due to increased global </w:t>
      </w:r>
      <w:r>
        <w:rPr>
          <w:rFonts w:asciiTheme="majorHAnsi" w:eastAsiaTheme="majorEastAsia" w:hAnsiTheme="majorHAnsi" w:cstheme="majorBidi"/>
          <w:bCs/>
          <w:color w:val="000000" w:themeColor="text1"/>
          <w:sz w:val="24"/>
          <w:szCs w:val="24"/>
        </w:rPr>
        <w:lastRenderedPageBreak/>
        <w:t xml:space="preserve">competition and increased competition among states to attract businesses, and that state corporate taxes reduce the wages of highly educated workers more than that of less-educated workers. </w:t>
      </w:r>
    </w:p>
    <w:p w14:paraId="3ED9604F" w14:textId="77777777" w:rsidR="00D0561C" w:rsidRDefault="00D0561C" w:rsidP="00D0561C">
      <w:pPr>
        <w:spacing w:after="0"/>
        <w:rPr>
          <w:rFonts w:asciiTheme="majorHAnsi" w:eastAsiaTheme="majorEastAsia" w:hAnsiTheme="majorHAnsi" w:cstheme="majorBidi"/>
          <w:bCs/>
          <w:color w:val="000000" w:themeColor="text1"/>
          <w:sz w:val="24"/>
          <w:szCs w:val="24"/>
        </w:rPr>
      </w:pPr>
    </w:p>
    <w:p w14:paraId="34508620" w14:textId="293A3153" w:rsidR="00D0561C" w:rsidRDefault="00D0561C" w:rsidP="00D0561C">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The research credit is a highly significant tax incentive that contributes to lower effective corporate and business tax rates. Hence, the findings</w:t>
      </w:r>
      <w:r w:rsidR="007E6554">
        <w:rPr>
          <w:rFonts w:asciiTheme="majorHAnsi" w:eastAsiaTheme="majorEastAsia" w:hAnsiTheme="majorHAnsi" w:cstheme="majorBidi"/>
          <w:bCs/>
          <w:color w:val="000000" w:themeColor="text1"/>
          <w:sz w:val="24"/>
          <w:szCs w:val="24"/>
        </w:rPr>
        <w:t xml:space="preserve"> in </w:t>
      </w:r>
      <w:r w:rsidR="007E6554">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imply that the research credit may have benefited workers who were employed by corporations </w:t>
      </w:r>
      <w:r w:rsidR="00A33087">
        <w:rPr>
          <w:rFonts w:asciiTheme="majorHAnsi" w:eastAsiaTheme="majorEastAsia" w:hAnsiTheme="majorHAnsi" w:cstheme="majorBidi"/>
          <w:bCs/>
          <w:color w:val="000000" w:themeColor="text1"/>
          <w:sz w:val="24"/>
          <w:szCs w:val="24"/>
        </w:rPr>
        <w:t xml:space="preserve">receiving the credit </w:t>
      </w:r>
      <w:r>
        <w:rPr>
          <w:rFonts w:asciiTheme="majorHAnsi" w:eastAsiaTheme="majorEastAsia" w:hAnsiTheme="majorHAnsi" w:cstheme="majorBidi"/>
          <w:bCs/>
          <w:color w:val="000000" w:themeColor="text1"/>
          <w:sz w:val="24"/>
          <w:szCs w:val="24"/>
        </w:rPr>
        <w:t>in the form of higher wages</w:t>
      </w:r>
      <w:r w:rsidR="00A33087">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and </w:t>
      </w:r>
      <w:r w:rsidR="00A33087">
        <w:rPr>
          <w:rFonts w:asciiTheme="majorHAnsi" w:eastAsiaTheme="majorEastAsia" w:hAnsiTheme="majorHAnsi" w:cstheme="majorBidi"/>
          <w:bCs/>
          <w:color w:val="000000" w:themeColor="text1"/>
          <w:sz w:val="24"/>
          <w:szCs w:val="24"/>
        </w:rPr>
        <w:t xml:space="preserve">also may have </w:t>
      </w:r>
      <w:r>
        <w:rPr>
          <w:rFonts w:asciiTheme="majorHAnsi" w:eastAsiaTheme="majorEastAsia" w:hAnsiTheme="majorHAnsi" w:cstheme="majorBidi"/>
          <w:bCs/>
          <w:color w:val="000000" w:themeColor="text1"/>
          <w:sz w:val="24"/>
          <w:szCs w:val="24"/>
        </w:rPr>
        <w:t xml:space="preserve">benefited the shareholders </w:t>
      </w:r>
      <w:r w:rsidR="00A33087">
        <w:rPr>
          <w:rFonts w:asciiTheme="majorHAnsi" w:eastAsiaTheme="majorEastAsia" w:hAnsiTheme="majorHAnsi" w:cstheme="majorBidi"/>
          <w:bCs/>
          <w:color w:val="000000" w:themeColor="text1"/>
          <w:sz w:val="24"/>
          <w:szCs w:val="24"/>
        </w:rPr>
        <w:t xml:space="preserve">and clients </w:t>
      </w:r>
      <w:r>
        <w:rPr>
          <w:rFonts w:asciiTheme="majorHAnsi" w:eastAsiaTheme="majorEastAsia" w:hAnsiTheme="majorHAnsi" w:cstheme="majorBidi"/>
          <w:bCs/>
          <w:color w:val="000000" w:themeColor="text1"/>
          <w:sz w:val="24"/>
          <w:szCs w:val="24"/>
        </w:rPr>
        <w:t xml:space="preserve">of </w:t>
      </w:r>
      <w:r w:rsidR="00A33087">
        <w:rPr>
          <w:rFonts w:asciiTheme="majorHAnsi" w:eastAsiaTheme="majorEastAsia" w:hAnsiTheme="majorHAnsi" w:cstheme="majorBidi"/>
          <w:bCs/>
          <w:color w:val="000000" w:themeColor="text1"/>
          <w:sz w:val="24"/>
          <w:szCs w:val="24"/>
        </w:rPr>
        <w:t>those</w:t>
      </w:r>
      <w:r>
        <w:rPr>
          <w:rFonts w:asciiTheme="majorHAnsi" w:eastAsiaTheme="majorEastAsia" w:hAnsiTheme="majorHAnsi" w:cstheme="majorBidi"/>
          <w:bCs/>
          <w:color w:val="000000" w:themeColor="text1"/>
          <w:sz w:val="24"/>
          <w:szCs w:val="24"/>
        </w:rPr>
        <w:t xml:space="preserve"> corporations due to the growth of businesses.  </w:t>
      </w:r>
    </w:p>
    <w:p w14:paraId="103641C9" w14:textId="77777777" w:rsidR="00693B71" w:rsidRPr="00782E31" w:rsidRDefault="00693B71" w:rsidP="00A05217">
      <w:pPr>
        <w:rPr>
          <w:rFonts w:asciiTheme="majorHAnsi" w:hAnsiTheme="majorHAnsi"/>
          <w:b/>
          <w:sz w:val="24"/>
          <w:szCs w:val="24"/>
        </w:rPr>
      </w:pPr>
    </w:p>
    <w:sectPr w:rsidR="00693B71" w:rsidRPr="00782E31" w:rsidSect="00ED458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E46ED" w14:textId="77777777" w:rsidR="00D471C5" w:rsidRDefault="00D471C5" w:rsidP="00110E98">
      <w:pPr>
        <w:spacing w:after="0" w:line="240" w:lineRule="auto"/>
      </w:pPr>
      <w:r>
        <w:separator/>
      </w:r>
    </w:p>
  </w:endnote>
  <w:endnote w:type="continuationSeparator" w:id="0">
    <w:p w14:paraId="0F9E9585" w14:textId="77777777" w:rsidR="00D471C5" w:rsidRDefault="00D471C5"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3314" w14:textId="77777777" w:rsidR="00FE2894" w:rsidRDefault="00FE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6D93ACF3" w14:textId="77777777" w:rsidR="006131EC" w:rsidRDefault="006131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5ECF8D" w14:textId="77777777" w:rsidR="006131EC" w:rsidRDefault="00613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4C80" w14:textId="77777777" w:rsidR="00FE2894" w:rsidRDefault="00FE28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7A1D9FC6" w14:textId="77777777" w:rsidR="006131EC" w:rsidRPr="00B204AF" w:rsidRDefault="006131EC">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3</w:t>
        </w:r>
        <w:r w:rsidRPr="00B204AF">
          <w:rPr>
            <w:rFonts w:asciiTheme="majorHAnsi" w:hAnsiTheme="majorHAnsi"/>
            <w:noProof/>
            <w:sz w:val="24"/>
          </w:rPr>
          <w:fldChar w:fldCharType="end"/>
        </w:r>
      </w:p>
    </w:sdtContent>
  </w:sdt>
  <w:p w14:paraId="5D875FD8" w14:textId="77777777" w:rsidR="006131EC" w:rsidRDefault="0061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7FEE" w14:textId="77777777" w:rsidR="00D471C5" w:rsidRDefault="00D471C5" w:rsidP="00110E98">
      <w:pPr>
        <w:spacing w:after="0" w:line="240" w:lineRule="auto"/>
      </w:pPr>
      <w:r>
        <w:separator/>
      </w:r>
    </w:p>
  </w:footnote>
  <w:footnote w:type="continuationSeparator" w:id="0">
    <w:p w14:paraId="022EF2FE" w14:textId="77777777" w:rsidR="00D471C5" w:rsidRDefault="00D471C5" w:rsidP="00110E98">
      <w:pPr>
        <w:spacing w:after="0" w:line="240" w:lineRule="auto"/>
      </w:pPr>
      <w:r>
        <w:continuationSeparator/>
      </w:r>
    </w:p>
  </w:footnote>
  <w:footnote w:id="1">
    <w:p w14:paraId="772177CA" w14:textId="178066AC" w:rsidR="006131EC" w:rsidRPr="005D3BF7" w:rsidRDefault="006131EC" w:rsidP="00705C74">
      <w:pPr>
        <w:spacing w:after="0"/>
        <w:rPr>
          <w:rFonts w:asciiTheme="majorHAnsi" w:eastAsia="Times New Roman" w:hAnsiTheme="majorHAnsi" w:cs="Times New Roman"/>
          <w:sz w:val="20"/>
          <w:szCs w:val="20"/>
        </w:rPr>
      </w:pPr>
      <w:r>
        <w:rPr>
          <w:rFonts w:asciiTheme="majorHAnsi" w:eastAsia="Times New Roman" w:hAnsiTheme="majorHAnsi"/>
          <w:sz w:val="20"/>
          <w:szCs w:val="20"/>
        </w:rPr>
        <w:footnoteRef/>
      </w:r>
      <w:r>
        <w:rPr>
          <w:rFonts w:asciiTheme="majorHAnsi" w:eastAsia="Times New Roman" w:hAnsiTheme="majorHAnsi" w:cs="Times New Roman"/>
          <w:sz w:val="20"/>
          <w:szCs w:val="20"/>
        </w:rPr>
        <w:t xml:space="preserve"> See the section of “Introduction” for one such limitation:</w:t>
      </w:r>
      <w:r>
        <w:rPr>
          <w:rFonts w:asciiTheme="majorHAnsi" w:eastAsiaTheme="majorEastAsia" w:hAnsiTheme="majorHAnsi" w:cstheme="majorBidi"/>
          <w:bCs/>
          <w:color w:val="000000" w:themeColor="text1"/>
          <w:sz w:val="24"/>
          <w:szCs w:val="24"/>
        </w:rPr>
        <w:t xml:space="preserve"> </w:t>
      </w:r>
      <w:r w:rsidRPr="005D3BF7">
        <w:rPr>
          <w:rFonts w:asciiTheme="majorHAnsi" w:eastAsia="Times New Roman" w:hAnsiTheme="majorHAnsi" w:cs="Times New Roman"/>
          <w:sz w:val="20"/>
          <w:szCs w:val="20"/>
        </w:rPr>
        <w:t>the amount of research credit that can be used in a taxable year</w:t>
      </w:r>
      <w:r>
        <w:rPr>
          <w:rFonts w:asciiTheme="majorHAnsi" w:eastAsia="Times New Roman" w:hAnsiTheme="majorHAnsi" w:cs="Times New Roman"/>
          <w:sz w:val="20"/>
          <w:szCs w:val="20"/>
        </w:rPr>
        <w:t xml:space="preserve"> </w:t>
      </w:r>
      <w:r w:rsidRPr="005D3BF7">
        <w:rPr>
          <w:rFonts w:asciiTheme="majorHAnsi" w:eastAsia="Times New Roman" w:hAnsiTheme="majorHAnsi" w:cs="Times New Roman"/>
          <w:sz w:val="20"/>
          <w:szCs w:val="20"/>
        </w:rPr>
        <w:t>is limited to 100 percent of a corporation's first $25,000 of excise, plus 75 percent of the corporation's excise in excess of $25,000.</w:t>
      </w:r>
    </w:p>
  </w:footnote>
  <w:footnote w:id="2">
    <w:p w14:paraId="59FD6875" w14:textId="77777777" w:rsidR="006131EC" w:rsidRDefault="006131EC" w:rsidP="000F4D69">
      <w:pPr>
        <w:pStyle w:val="FootnoteText"/>
      </w:pPr>
      <w:r>
        <w:rPr>
          <w:rStyle w:val="FootnoteReference"/>
          <w:rFonts w:asciiTheme="majorHAnsi" w:hAnsiTheme="majorHAnsi"/>
        </w:rPr>
        <w:footnoteRef/>
      </w:r>
      <w:r>
        <w:rPr>
          <w:rFonts w:asciiTheme="majorHAnsi" w:hAnsiTheme="majorHAnsi"/>
        </w:rPr>
        <w:t xml:space="preserve"> Tables 3-5 show that there were 3,440 </w:t>
      </w:r>
      <w:r w:rsidRPr="00F8606A">
        <w:rPr>
          <w:rFonts w:asciiTheme="majorHAnsi" w:hAnsiTheme="majorHAnsi"/>
          <w:i/>
          <w:u w:val="single"/>
        </w:rPr>
        <w:t>claimants</w:t>
      </w:r>
      <w:r>
        <w:rPr>
          <w:rFonts w:asciiTheme="majorHAnsi" w:hAnsiTheme="majorHAnsi"/>
        </w:rPr>
        <w:t xml:space="preserve"> for the credit in 2017, which</w:t>
      </w:r>
      <w:r>
        <w:rPr>
          <w:rFonts w:asciiTheme="majorHAnsi" w:eastAsiaTheme="majorEastAsia" w:hAnsiTheme="majorHAnsi" w:cstheme="majorBidi"/>
          <w:bCs/>
          <w:color w:val="000000" w:themeColor="text1"/>
        </w:rPr>
        <w:t xml:space="preserve"> is slightly lower than the 3,628 </w:t>
      </w:r>
      <w:r>
        <w:rPr>
          <w:rFonts w:asciiTheme="majorHAnsi" w:eastAsiaTheme="majorEastAsia" w:hAnsiTheme="majorHAnsi" w:cstheme="majorBidi"/>
          <w:bCs/>
          <w:i/>
          <w:color w:val="000000" w:themeColor="text1"/>
          <w:u w:val="single"/>
        </w:rPr>
        <w:t>claims</w:t>
      </w:r>
      <w:r>
        <w:rPr>
          <w:rFonts w:asciiTheme="majorHAnsi" w:eastAsiaTheme="majorEastAsia" w:hAnsiTheme="majorHAnsi" w:cstheme="majorBidi"/>
          <w:bCs/>
          <w:color w:val="000000" w:themeColor="text1"/>
        </w:rPr>
        <w:t xml:space="preserve"> reported in Table 2. There are two reasons for this difference. First, for combined reporting corporate tax filers, the data sets for credits include only the parent corporation’s identification number. So, we were not able to match with other data sets that include information on employees, NAICS codes, etc. at the subsidiary company level. Second, there were rare cases in which a claimant had more than one claim. For</w:t>
      </w:r>
      <w:r>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rPr>
        <w:t>example, some taxpayers within a combined group may have taken part of the available</w:t>
      </w:r>
      <w:r>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rPr>
        <w:t>credit and shared</w:t>
      </w:r>
      <w:r>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rPr>
        <w:t>the remainder with other members (all claims are counted under the name of the parent corporation).</w:t>
      </w:r>
    </w:p>
  </w:footnote>
  <w:footnote w:id="3">
    <w:p w14:paraId="699D35E1" w14:textId="77777777" w:rsidR="006131EC" w:rsidRDefault="006131EC">
      <w:pPr>
        <w:pStyle w:val="FootnoteText"/>
      </w:pPr>
      <w:r>
        <w:rPr>
          <w:rStyle w:val="FootnoteReference"/>
        </w:rPr>
        <w:footnoteRef/>
      </w:r>
      <w:r>
        <w:t xml:space="preserve"> Regional Economic Models Inc. is a recognized leader in economic analysis at the state level.  See their website for background information and further details </w:t>
      </w:r>
      <w:hyperlink r:id="rId1" w:history="1">
        <w:r w:rsidRPr="0047089A">
          <w:rPr>
            <w:rStyle w:val="Hyperlink"/>
          </w:rPr>
          <w:t>https://www.remi.com/</w:t>
        </w:r>
      </w:hyperlink>
    </w:p>
  </w:footnote>
  <w:footnote w:id="4">
    <w:p w14:paraId="4F28EFB9" w14:textId="77777777" w:rsidR="006131EC" w:rsidRDefault="006131EC">
      <w:pPr>
        <w:pStyle w:val="FootnoteText"/>
      </w:pPr>
      <w:r>
        <w:rPr>
          <w:rStyle w:val="FootnoteReference"/>
        </w:rPr>
        <w:footnoteRef/>
      </w:r>
      <w:r>
        <w:t xml:space="preserve"> Including both tax and non-tax revenues </w:t>
      </w:r>
      <w:bookmarkStart w:id="1" w:name="_Hlk54708176"/>
      <w:r>
        <w:t>but excluding the revenue loss reported in Table 1</w:t>
      </w:r>
      <w:bookmarkEnd w:id="1"/>
      <w:r>
        <w:t>.</w:t>
      </w:r>
    </w:p>
  </w:footnote>
  <w:footnote w:id="5">
    <w:p w14:paraId="70817721" w14:textId="5FF12BA7" w:rsidR="006131EC" w:rsidRDefault="006131EC" w:rsidP="00A00AF1">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sidR="00F51871">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sidR="00FE2894">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xml:space="preserve">, which, more specifically, is borne by the Massachusetts residents or businesses who benefit from </w:t>
      </w:r>
      <w:r w:rsidR="009F1B99">
        <w:rPr>
          <w:rFonts w:asciiTheme="majorHAnsi" w:eastAsiaTheme="majorEastAsia" w:hAnsiTheme="majorHAnsi" w:cstheme="majorBidi"/>
          <w:bCs/>
          <w:color w:val="000000" w:themeColor="text1"/>
        </w:rPr>
        <w:t xml:space="preserve">those </w:t>
      </w:r>
      <w:r>
        <w:rPr>
          <w:rFonts w:asciiTheme="majorHAnsi" w:eastAsiaTheme="majorEastAsia" w:hAnsiTheme="majorHAnsi" w:cstheme="majorBidi"/>
          <w:bCs/>
          <w:color w:val="000000" w:themeColor="text1"/>
        </w:rPr>
        <w:t>expenditure items.</w:t>
      </w:r>
    </w:p>
  </w:footnote>
  <w:footnote w:id="6">
    <w:p w14:paraId="31C40E8C" w14:textId="49FF5B35" w:rsidR="006131EC" w:rsidRDefault="006131EC" w:rsidP="00F8606A">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Slide 4 of:</w:t>
      </w:r>
      <w:r w:rsidR="00A00AF1">
        <w:rPr>
          <w:rFonts w:asciiTheme="majorHAnsi" w:hAnsiTheme="majorHAnsi"/>
        </w:rPr>
        <w:t xml:space="preserve"> </w:t>
      </w:r>
      <w:hyperlink r:id="rId2" w:history="1">
        <w:r>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452A" w14:textId="77777777" w:rsidR="00FE2894" w:rsidRDefault="00FE2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263816"/>
      <w:docPartObj>
        <w:docPartGallery w:val="Watermarks"/>
        <w:docPartUnique/>
      </w:docPartObj>
    </w:sdtPr>
    <w:sdtEndPr/>
    <w:sdtContent>
      <w:p w14:paraId="563828B6" w14:textId="5361526D" w:rsidR="006131EC" w:rsidRDefault="00D471C5">
        <w:pPr>
          <w:pStyle w:val="Header"/>
        </w:pPr>
        <w:r>
          <w:rPr>
            <w:noProof/>
          </w:rPr>
          <w:pict w14:anchorId="00F1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D987" w14:textId="77777777" w:rsidR="00FE2894" w:rsidRDefault="00FE2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0AD8"/>
    <w:rsid w:val="00003921"/>
    <w:rsid w:val="0000484D"/>
    <w:rsid w:val="00006273"/>
    <w:rsid w:val="00006629"/>
    <w:rsid w:val="0000728B"/>
    <w:rsid w:val="00020C1E"/>
    <w:rsid w:val="00027314"/>
    <w:rsid w:val="00041B23"/>
    <w:rsid w:val="00046C6A"/>
    <w:rsid w:val="000515CD"/>
    <w:rsid w:val="0005224C"/>
    <w:rsid w:val="000605EE"/>
    <w:rsid w:val="00063041"/>
    <w:rsid w:val="00063D2E"/>
    <w:rsid w:val="00065F62"/>
    <w:rsid w:val="00066F7A"/>
    <w:rsid w:val="00071DD0"/>
    <w:rsid w:val="000A082F"/>
    <w:rsid w:val="000A0C9B"/>
    <w:rsid w:val="000B335D"/>
    <w:rsid w:val="000C56D9"/>
    <w:rsid w:val="000D3ABD"/>
    <w:rsid w:val="000D4536"/>
    <w:rsid w:val="000E3836"/>
    <w:rsid w:val="000E6696"/>
    <w:rsid w:val="000F033A"/>
    <w:rsid w:val="000F3809"/>
    <w:rsid w:val="000F4D69"/>
    <w:rsid w:val="00107835"/>
    <w:rsid w:val="00110E98"/>
    <w:rsid w:val="00112BEB"/>
    <w:rsid w:val="00115295"/>
    <w:rsid w:val="00122D60"/>
    <w:rsid w:val="001301DE"/>
    <w:rsid w:val="001317D7"/>
    <w:rsid w:val="00137EDD"/>
    <w:rsid w:val="00140F4B"/>
    <w:rsid w:val="00141566"/>
    <w:rsid w:val="001421E5"/>
    <w:rsid w:val="00151CC5"/>
    <w:rsid w:val="00170C55"/>
    <w:rsid w:val="00173F0D"/>
    <w:rsid w:val="00180019"/>
    <w:rsid w:val="00183ABF"/>
    <w:rsid w:val="0018657E"/>
    <w:rsid w:val="00191A7E"/>
    <w:rsid w:val="00191ACD"/>
    <w:rsid w:val="001A0605"/>
    <w:rsid w:val="001A2B3C"/>
    <w:rsid w:val="001A44E6"/>
    <w:rsid w:val="001C5C08"/>
    <w:rsid w:val="001D327D"/>
    <w:rsid w:val="001F2BF7"/>
    <w:rsid w:val="001F3681"/>
    <w:rsid w:val="0020019A"/>
    <w:rsid w:val="0020064E"/>
    <w:rsid w:val="002026DE"/>
    <w:rsid w:val="00203CCA"/>
    <w:rsid w:val="00210A4C"/>
    <w:rsid w:val="002116BE"/>
    <w:rsid w:val="00213598"/>
    <w:rsid w:val="00215F2E"/>
    <w:rsid w:val="0021765B"/>
    <w:rsid w:val="002328F7"/>
    <w:rsid w:val="00233949"/>
    <w:rsid w:val="00235025"/>
    <w:rsid w:val="002419AC"/>
    <w:rsid w:val="00245D07"/>
    <w:rsid w:val="00246F32"/>
    <w:rsid w:val="002567D8"/>
    <w:rsid w:val="00262231"/>
    <w:rsid w:val="00266169"/>
    <w:rsid w:val="00270037"/>
    <w:rsid w:val="00272D06"/>
    <w:rsid w:val="002768F2"/>
    <w:rsid w:val="00282EBF"/>
    <w:rsid w:val="0028699E"/>
    <w:rsid w:val="00290BC3"/>
    <w:rsid w:val="00291074"/>
    <w:rsid w:val="00291FD1"/>
    <w:rsid w:val="002970B4"/>
    <w:rsid w:val="002A54D6"/>
    <w:rsid w:val="002A71E8"/>
    <w:rsid w:val="002C031E"/>
    <w:rsid w:val="002C5371"/>
    <w:rsid w:val="002C7984"/>
    <w:rsid w:val="002D74AE"/>
    <w:rsid w:val="002D7C35"/>
    <w:rsid w:val="002D7EAB"/>
    <w:rsid w:val="002E12E6"/>
    <w:rsid w:val="002E3116"/>
    <w:rsid w:val="002E5D41"/>
    <w:rsid w:val="002E73F2"/>
    <w:rsid w:val="002F10DB"/>
    <w:rsid w:val="002F150A"/>
    <w:rsid w:val="002F5704"/>
    <w:rsid w:val="002F71B7"/>
    <w:rsid w:val="002F728E"/>
    <w:rsid w:val="003051E5"/>
    <w:rsid w:val="0030577B"/>
    <w:rsid w:val="00306AFC"/>
    <w:rsid w:val="003173F7"/>
    <w:rsid w:val="003229C4"/>
    <w:rsid w:val="00323F74"/>
    <w:rsid w:val="003301C7"/>
    <w:rsid w:val="00344841"/>
    <w:rsid w:val="00355122"/>
    <w:rsid w:val="00355A51"/>
    <w:rsid w:val="00361DEB"/>
    <w:rsid w:val="003638F8"/>
    <w:rsid w:val="003746B7"/>
    <w:rsid w:val="00376BE8"/>
    <w:rsid w:val="00380D5D"/>
    <w:rsid w:val="00383A3E"/>
    <w:rsid w:val="00385A74"/>
    <w:rsid w:val="00386A61"/>
    <w:rsid w:val="0038702B"/>
    <w:rsid w:val="003872B7"/>
    <w:rsid w:val="00391E40"/>
    <w:rsid w:val="003C031E"/>
    <w:rsid w:val="003C2EDB"/>
    <w:rsid w:val="003C4288"/>
    <w:rsid w:val="003D6F9F"/>
    <w:rsid w:val="003E0561"/>
    <w:rsid w:val="003E0E53"/>
    <w:rsid w:val="003E71AD"/>
    <w:rsid w:val="003F2C63"/>
    <w:rsid w:val="00407D29"/>
    <w:rsid w:val="00412C61"/>
    <w:rsid w:val="004351B8"/>
    <w:rsid w:val="00440258"/>
    <w:rsid w:val="00454D3C"/>
    <w:rsid w:val="0047670C"/>
    <w:rsid w:val="00481E5A"/>
    <w:rsid w:val="00483368"/>
    <w:rsid w:val="00483BC5"/>
    <w:rsid w:val="00485FBB"/>
    <w:rsid w:val="00486F3F"/>
    <w:rsid w:val="0049191C"/>
    <w:rsid w:val="0049719D"/>
    <w:rsid w:val="004A1129"/>
    <w:rsid w:val="004A3B69"/>
    <w:rsid w:val="004B14D0"/>
    <w:rsid w:val="004B6A11"/>
    <w:rsid w:val="004C0367"/>
    <w:rsid w:val="004C1AB9"/>
    <w:rsid w:val="004C45A3"/>
    <w:rsid w:val="004C5F92"/>
    <w:rsid w:val="004D0132"/>
    <w:rsid w:val="004D0F12"/>
    <w:rsid w:val="004D3469"/>
    <w:rsid w:val="004D54CC"/>
    <w:rsid w:val="004E3440"/>
    <w:rsid w:val="004E7895"/>
    <w:rsid w:val="004E78CB"/>
    <w:rsid w:val="004F105A"/>
    <w:rsid w:val="00500EC2"/>
    <w:rsid w:val="00501246"/>
    <w:rsid w:val="0050309B"/>
    <w:rsid w:val="00503DFA"/>
    <w:rsid w:val="00515393"/>
    <w:rsid w:val="00515EE7"/>
    <w:rsid w:val="00520271"/>
    <w:rsid w:val="00533416"/>
    <w:rsid w:val="00537A8B"/>
    <w:rsid w:val="00552398"/>
    <w:rsid w:val="005529C5"/>
    <w:rsid w:val="005559F4"/>
    <w:rsid w:val="00565121"/>
    <w:rsid w:val="00565D22"/>
    <w:rsid w:val="00567D60"/>
    <w:rsid w:val="005713D0"/>
    <w:rsid w:val="00576773"/>
    <w:rsid w:val="00580B4F"/>
    <w:rsid w:val="00590E29"/>
    <w:rsid w:val="00591205"/>
    <w:rsid w:val="00592B99"/>
    <w:rsid w:val="00592CF2"/>
    <w:rsid w:val="005962E2"/>
    <w:rsid w:val="005A0637"/>
    <w:rsid w:val="005A45FF"/>
    <w:rsid w:val="005A53F3"/>
    <w:rsid w:val="005A5EC2"/>
    <w:rsid w:val="005B1BBE"/>
    <w:rsid w:val="005C7EEC"/>
    <w:rsid w:val="005D3BF7"/>
    <w:rsid w:val="005E59C5"/>
    <w:rsid w:val="005F1773"/>
    <w:rsid w:val="00601329"/>
    <w:rsid w:val="006016F3"/>
    <w:rsid w:val="006047D7"/>
    <w:rsid w:val="00606F2E"/>
    <w:rsid w:val="006131EC"/>
    <w:rsid w:val="00617863"/>
    <w:rsid w:val="006218D1"/>
    <w:rsid w:val="00633B2E"/>
    <w:rsid w:val="00642DA4"/>
    <w:rsid w:val="006430B6"/>
    <w:rsid w:val="00643ACE"/>
    <w:rsid w:val="00644988"/>
    <w:rsid w:val="00651B11"/>
    <w:rsid w:val="00655650"/>
    <w:rsid w:val="006603EB"/>
    <w:rsid w:val="006618B0"/>
    <w:rsid w:val="00662816"/>
    <w:rsid w:val="00664139"/>
    <w:rsid w:val="006672BF"/>
    <w:rsid w:val="0067068D"/>
    <w:rsid w:val="006777DE"/>
    <w:rsid w:val="006809CE"/>
    <w:rsid w:val="00690AE6"/>
    <w:rsid w:val="00693B71"/>
    <w:rsid w:val="006958A8"/>
    <w:rsid w:val="006A209C"/>
    <w:rsid w:val="006F0611"/>
    <w:rsid w:val="006F1786"/>
    <w:rsid w:val="006F4DB1"/>
    <w:rsid w:val="00705C74"/>
    <w:rsid w:val="007259EE"/>
    <w:rsid w:val="007361C4"/>
    <w:rsid w:val="00736C06"/>
    <w:rsid w:val="0074239C"/>
    <w:rsid w:val="00777CDB"/>
    <w:rsid w:val="00782E31"/>
    <w:rsid w:val="00783403"/>
    <w:rsid w:val="0079700F"/>
    <w:rsid w:val="007A3349"/>
    <w:rsid w:val="007A3602"/>
    <w:rsid w:val="007A5D37"/>
    <w:rsid w:val="007C3ABD"/>
    <w:rsid w:val="007C40A4"/>
    <w:rsid w:val="007C599B"/>
    <w:rsid w:val="007D5207"/>
    <w:rsid w:val="007E278C"/>
    <w:rsid w:val="007E6554"/>
    <w:rsid w:val="007F1706"/>
    <w:rsid w:val="007F4A86"/>
    <w:rsid w:val="007F767D"/>
    <w:rsid w:val="008167B8"/>
    <w:rsid w:val="00826F3E"/>
    <w:rsid w:val="008337C2"/>
    <w:rsid w:val="008414EF"/>
    <w:rsid w:val="00842A4B"/>
    <w:rsid w:val="00850625"/>
    <w:rsid w:val="00853B57"/>
    <w:rsid w:val="008654A3"/>
    <w:rsid w:val="00867109"/>
    <w:rsid w:val="0087067E"/>
    <w:rsid w:val="00870CDC"/>
    <w:rsid w:val="008717C9"/>
    <w:rsid w:val="00881147"/>
    <w:rsid w:val="00881BC4"/>
    <w:rsid w:val="00881DAC"/>
    <w:rsid w:val="008A76F7"/>
    <w:rsid w:val="008B4BDF"/>
    <w:rsid w:val="008B668C"/>
    <w:rsid w:val="008B7D88"/>
    <w:rsid w:val="008C1083"/>
    <w:rsid w:val="008C2341"/>
    <w:rsid w:val="008C5E0B"/>
    <w:rsid w:val="008C67C1"/>
    <w:rsid w:val="008C7E39"/>
    <w:rsid w:val="008D43F3"/>
    <w:rsid w:val="008D79E9"/>
    <w:rsid w:val="008E140B"/>
    <w:rsid w:val="008E5075"/>
    <w:rsid w:val="008F68BB"/>
    <w:rsid w:val="00903CBA"/>
    <w:rsid w:val="00907C7E"/>
    <w:rsid w:val="009201C7"/>
    <w:rsid w:val="00921525"/>
    <w:rsid w:val="0092174A"/>
    <w:rsid w:val="009223DE"/>
    <w:rsid w:val="00924582"/>
    <w:rsid w:val="00930AFF"/>
    <w:rsid w:val="00933249"/>
    <w:rsid w:val="0093375F"/>
    <w:rsid w:val="0093509D"/>
    <w:rsid w:val="00944351"/>
    <w:rsid w:val="00973919"/>
    <w:rsid w:val="0099648A"/>
    <w:rsid w:val="009A02FB"/>
    <w:rsid w:val="009A0A16"/>
    <w:rsid w:val="009A1B2D"/>
    <w:rsid w:val="009A75E1"/>
    <w:rsid w:val="009B32B9"/>
    <w:rsid w:val="009B361E"/>
    <w:rsid w:val="009B39BC"/>
    <w:rsid w:val="009B43B3"/>
    <w:rsid w:val="009B6FE6"/>
    <w:rsid w:val="009D01AB"/>
    <w:rsid w:val="009D5439"/>
    <w:rsid w:val="009D7368"/>
    <w:rsid w:val="009E1C83"/>
    <w:rsid w:val="009F1B99"/>
    <w:rsid w:val="00A00AF1"/>
    <w:rsid w:val="00A01BA2"/>
    <w:rsid w:val="00A046B8"/>
    <w:rsid w:val="00A05217"/>
    <w:rsid w:val="00A07796"/>
    <w:rsid w:val="00A10F10"/>
    <w:rsid w:val="00A1593F"/>
    <w:rsid w:val="00A22CE4"/>
    <w:rsid w:val="00A2421F"/>
    <w:rsid w:val="00A257CD"/>
    <w:rsid w:val="00A27645"/>
    <w:rsid w:val="00A33087"/>
    <w:rsid w:val="00A355E0"/>
    <w:rsid w:val="00A40D42"/>
    <w:rsid w:val="00A50785"/>
    <w:rsid w:val="00A6097D"/>
    <w:rsid w:val="00A64D0E"/>
    <w:rsid w:val="00A65DA1"/>
    <w:rsid w:val="00A72F9D"/>
    <w:rsid w:val="00A846CA"/>
    <w:rsid w:val="00A92ABB"/>
    <w:rsid w:val="00A94CCD"/>
    <w:rsid w:val="00A94F48"/>
    <w:rsid w:val="00A95050"/>
    <w:rsid w:val="00A96502"/>
    <w:rsid w:val="00AA4FDE"/>
    <w:rsid w:val="00AB6158"/>
    <w:rsid w:val="00AC117E"/>
    <w:rsid w:val="00AC72D2"/>
    <w:rsid w:val="00AD0D1A"/>
    <w:rsid w:val="00AD2A39"/>
    <w:rsid w:val="00AD5A6F"/>
    <w:rsid w:val="00AE1996"/>
    <w:rsid w:val="00AE206B"/>
    <w:rsid w:val="00AE6A50"/>
    <w:rsid w:val="00AF1944"/>
    <w:rsid w:val="00AF22CA"/>
    <w:rsid w:val="00AF6CC3"/>
    <w:rsid w:val="00B0235B"/>
    <w:rsid w:val="00B072D6"/>
    <w:rsid w:val="00B13831"/>
    <w:rsid w:val="00B14F1F"/>
    <w:rsid w:val="00B16EC0"/>
    <w:rsid w:val="00B204AF"/>
    <w:rsid w:val="00B22F9D"/>
    <w:rsid w:val="00B34CB9"/>
    <w:rsid w:val="00B37DB1"/>
    <w:rsid w:val="00B43B57"/>
    <w:rsid w:val="00B62D1C"/>
    <w:rsid w:val="00B73891"/>
    <w:rsid w:val="00B77D67"/>
    <w:rsid w:val="00B80C28"/>
    <w:rsid w:val="00BA41E7"/>
    <w:rsid w:val="00BB7D0C"/>
    <w:rsid w:val="00BC6806"/>
    <w:rsid w:val="00BC6EAD"/>
    <w:rsid w:val="00BC78C2"/>
    <w:rsid w:val="00BC7CC0"/>
    <w:rsid w:val="00BD3224"/>
    <w:rsid w:val="00BE01E6"/>
    <w:rsid w:val="00BE120A"/>
    <w:rsid w:val="00BF6683"/>
    <w:rsid w:val="00C06959"/>
    <w:rsid w:val="00C073F2"/>
    <w:rsid w:val="00C07688"/>
    <w:rsid w:val="00C100F2"/>
    <w:rsid w:val="00C10FD7"/>
    <w:rsid w:val="00C13D1F"/>
    <w:rsid w:val="00C20EA0"/>
    <w:rsid w:val="00C2290A"/>
    <w:rsid w:val="00C231A6"/>
    <w:rsid w:val="00C24414"/>
    <w:rsid w:val="00C26D4D"/>
    <w:rsid w:val="00C27F80"/>
    <w:rsid w:val="00C33F4E"/>
    <w:rsid w:val="00C408DC"/>
    <w:rsid w:val="00C40CA9"/>
    <w:rsid w:val="00C46039"/>
    <w:rsid w:val="00C46507"/>
    <w:rsid w:val="00C500AF"/>
    <w:rsid w:val="00C537B1"/>
    <w:rsid w:val="00C55640"/>
    <w:rsid w:val="00C55CA7"/>
    <w:rsid w:val="00C60552"/>
    <w:rsid w:val="00C60C4B"/>
    <w:rsid w:val="00C64910"/>
    <w:rsid w:val="00C67E4F"/>
    <w:rsid w:val="00C7114C"/>
    <w:rsid w:val="00C8208F"/>
    <w:rsid w:val="00C842B4"/>
    <w:rsid w:val="00C956FD"/>
    <w:rsid w:val="00CA6553"/>
    <w:rsid w:val="00CB2621"/>
    <w:rsid w:val="00CC05CE"/>
    <w:rsid w:val="00CC1917"/>
    <w:rsid w:val="00CC208F"/>
    <w:rsid w:val="00CC5146"/>
    <w:rsid w:val="00CC75B7"/>
    <w:rsid w:val="00CD01DD"/>
    <w:rsid w:val="00CD4F90"/>
    <w:rsid w:val="00CD5D3C"/>
    <w:rsid w:val="00CE5F53"/>
    <w:rsid w:val="00CF41DD"/>
    <w:rsid w:val="00D01315"/>
    <w:rsid w:val="00D01BE2"/>
    <w:rsid w:val="00D0561C"/>
    <w:rsid w:val="00D122BB"/>
    <w:rsid w:val="00D27042"/>
    <w:rsid w:val="00D272E1"/>
    <w:rsid w:val="00D310F7"/>
    <w:rsid w:val="00D334C1"/>
    <w:rsid w:val="00D36366"/>
    <w:rsid w:val="00D363DB"/>
    <w:rsid w:val="00D4431A"/>
    <w:rsid w:val="00D471C5"/>
    <w:rsid w:val="00D55DBB"/>
    <w:rsid w:val="00D564FE"/>
    <w:rsid w:val="00D62AD2"/>
    <w:rsid w:val="00D64674"/>
    <w:rsid w:val="00D67E81"/>
    <w:rsid w:val="00D73F36"/>
    <w:rsid w:val="00D80D2E"/>
    <w:rsid w:val="00D87AE6"/>
    <w:rsid w:val="00D942E2"/>
    <w:rsid w:val="00D95A4F"/>
    <w:rsid w:val="00D97814"/>
    <w:rsid w:val="00DA3DA9"/>
    <w:rsid w:val="00DD3E4A"/>
    <w:rsid w:val="00DD7C49"/>
    <w:rsid w:val="00DE0DA2"/>
    <w:rsid w:val="00DE493E"/>
    <w:rsid w:val="00DE5D50"/>
    <w:rsid w:val="00DF34AC"/>
    <w:rsid w:val="00E00515"/>
    <w:rsid w:val="00E01165"/>
    <w:rsid w:val="00E0413C"/>
    <w:rsid w:val="00E0419A"/>
    <w:rsid w:val="00E0511F"/>
    <w:rsid w:val="00E072E2"/>
    <w:rsid w:val="00E10AE6"/>
    <w:rsid w:val="00E27E7A"/>
    <w:rsid w:val="00E36437"/>
    <w:rsid w:val="00E671D5"/>
    <w:rsid w:val="00E671DE"/>
    <w:rsid w:val="00E829D6"/>
    <w:rsid w:val="00E916CE"/>
    <w:rsid w:val="00E92C1D"/>
    <w:rsid w:val="00EB2F2C"/>
    <w:rsid w:val="00EB40E2"/>
    <w:rsid w:val="00EB4232"/>
    <w:rsid w:val="00EB68D5"/>
    <w:rsid w:val="00EB7105"/>
    <w:rsid w:val="00EC2217"/>
    <w:rsid w:val="00ED02C9"/>
    <w:rsid w:val="00ED2E7C"/>
    <w:rsid w:val="00ED3285"/>
    <w:rsid w:val="00ED3C12"/>
    <w:rsid w:val="00ED4589"/>
    <w:rsid w:val="00EF4AAA"/>
    <w:rsid w:val="00F065BC"/>
    <w:rsid w:val="00F076B1"/>
    <w:rsid w:val="00F10170"/>
    <w:rsid w:val="00F12BA6"/>
    <w:rsid w:val="00F14ADD"/>
    <w:rsid w:val="00F15894"/>
    <w:rsid w:val="00F22C1E"/>
    <w:rsid w:val="00F22DAA"/>
    <w:rsid w:val="00F24AE3"/>
    <w:rsid w:val="00F25E32"/>
    <w:rsid w:val="00F30600"/>
    <w:rsid w:val="00F3185F"/>
    <w:rsid w:val="00F32491"/>
    <w:rsid w:val="00F32528"/>
    <w:rsid w:val="00F356E9"/>
    <w:rsid w:val="00F41C34"/>
    <w:rsid w:val="00F4460C"/>
    <w:rsid w:val="00F47F2A"/>
    <w:rsid w:val="00F50568"/>
    <w:rsid w:val="00F51224"/>
    <w:rsid w:val="00F51871"/>
    <w:rsid w:val="00F52585"/>
    <w:rsid w:val="00F63C68"/>
    <w:rsid w:val="00F63CB6"/>
    <w:rsid w:val="00F64EC1"/>
    <w:rsid w:val="00F666BD"/>
    <w:rsid w:val="00F70269"/>
    <w:rsid w:val="00F728AC"/>
    <w:rsid w:val="00F7446C"/>
    <w:rsid w:val="00F7586D"/>
    <w:rsid w:val="00F80F18"/>
    <w:rsid w:val="00F82124"/>
    <w:rsid w:val="00F82F4E"/>
    <w:rsid w:val="00F85E51"/>
    <w:rsid w:val="00F8606A"/>
    <w:rsid w:val="00F919DD"/>
    <w:rsid w:val="00F9415B"/>
    <w:rsid w:val="00F95C5D"/>
    <w:rsid w:val="00F96A6F"/>
    <w:rsid w:val="00FA31AE"/>
    <w:rsid w:val="00FA745B"/>
    <w:rsid w:val="00FB737B"/>
    <w:rsid w:val="00FB798A"/>
    <w:rsid w:val="00FC2243"/>
    <w:rsid w:val="00FC6339"/>
    <w:rsid w:val="00FC6996"/>
    <w:rsid w:val="00FC7795"/>
    <w:rsid w:val="00FD156B"/>
    <w:rsid w:val="00FD2E1C"/>
    <w:rsid w:val="00FE2894"/>
    <w:rsid w:val="00FE42E6"/>
    <w:rsid w:val="00FE4493"/>
    <w:rsid w:val="00FF0EB6"/>
    <w:rsid w:val="00FF7D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41668"/>
  <w15:docId w15:val="{229AB920-6F79-4075-B49C-FD5F71D2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03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paragraph" w:styleId="Bibliography">
    <w:name w:val="Bibliography"/>
    <w:basedOn w:val="Normal"/>
    <w:next w:val="Normal"/>
    <w:uiPriority w:val="37"/>
    <w:unhideWhenUsed/>
    <w:rsid w:val="00270037"/>
  </w:style>
  <w:style w:type="character" w:customStyle="1" w:styleId="Heading1Char">
    <w:name w:val="Heading 1 Char"/>
    <w:basedOn w:val="DefaultParagraphFont"/>
    <w:link w:val="Heading1"/>
    <w:uiPriority w:val="9"/>
    <w:rsid w:val="0027003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666BD"/>
    <w:rPr>
      <w:color w:val="800080" w:themeColor="followedHyperlink"/>
      <w:u w:val="single"/>
    </w:rPr>
  </w:style>
  <w:style w:type="paragraph" w:styleId="Revision">
    <w:name w:val="Revision"/>
    <w:hidden/>
    <w:uiPriority w:val="99"/>
    <w:semiHidden/>
    <w:rsid w:val="00533416"/>
    <w:pPr>
      <w:spacing w:after="0" w:line="240" w:lineRule="auto"/>
    </w:pPr>
  </w:style>
  <w:style w:type="character" w:customStyle="1" w:styleId="UnresolvedMention1">
    <w:name w:val="Unresolved Mention1"/>
    <w:basedOn w:val="DefaultParagraphFont"/>
    <w:uiPriority w:val="99"/>
    <w:semiHidden/>
    <w:unhideWhenUsed/>
    <w:rsid w:val="00F9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5841">
      <w:bodyDiv w:val="1"/>
      <w:marLeft w:val="0"/>
      <w:marRight w:val="0"/>
      <w:marTop w:val="0"/>
      <w:marBottom w:val="0"/>
      <w:divBdr>
        <w:top w:val="none" w:sz="0" w:space="0" w:color="auto"/>
        <w:left w:val="none" w:sz="0" w:space="0" w:color="auto"/>
        <w:bottom w:val="none" w:sz="0" w:space="0" w:color="auto"/>
        <w:right w:val="none" w:sz="0" w:space="0" w:color="auto"/>
      </w:divBdr>
    </w:div>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214195093">
      <w:bodyDiv w:val="1"/>
      <w:marLeft w:val="0"/>
      <w:marRight w:val="0"/>
      <w:marTop w:val="0"/>
      <w:marBottom w:val="0"/>
      <w:divBdr>
        <w:top w:val="none" w:sz="0" w:space="0" w:color="auto"/>
        <w:left w:val="none" w:sz="0" w:space="0" w:color="auto"/>
        <w:bottom w:val="none" w:sz="0" w:space="0" w:color="auto"/>
        <w:right w:val="none" w:sz="0" w:space="0" w:color="auto"/>
      </w:divBdr>
    </w:div>
    <w:div w:id="291833368">
      <w:bodyDiv w:val="1"/>
      <w:marLeft w:val="0"/>
      <w:marRight w:val="0"/>
      <w:marTop w:val="0"/>
      <w:marBottom w:val="0"/>
      <w:divBdr>
        <w:top w:val="none" w:sz="0" w:space="0" w:color="auto"/>
        <w:left w:val="none" w:sz="0" w:space="0" w:color="auto"/>
        <w:bottom w:val="none" w:sz="0" w:space="0" w:color="auto"/>
        <w:right w:val="none" w:sz="0" w:space="0" w:color="auto"/>
      </w:divBdr>
    </w:div>
    <w:div w:id="300889038">
      <w:bodyDiv w:val="1"/>
      <w:marLeft w:val="0"/>
      <w:marRight w:val="0"/>
      <w:marTop w:val="0"/>
      <w:marBottom w:val="0"/>
      <w:divBdr>
        <w:top w:val="none" w:sz="0" w:space="0" w:color="auto"/>
        <w:left w:val="none" w:sz="0" w:space="0" w:color="auto"/>
        <w:bottom w:val="none" w:sz="0" w:space="0" w:color="auto"/>
        <w:right w:val="none" w:sz="0" w:space="0" w:color="auto"/>
      </w:divBdr>
    </w:div>
    <w:div w:id="307823624">
      <w:bodyDiv w:val="1"/>
      <w:marLeft w:val="0"/>
      <w:marRight w:val="0"/>
      <w:marTop w:val="0"/>
      <w:marBottom w:val="0"/>
      <w:divBdr>
        <w:top w:val="none" w:sz="0" w:space="0" w:color="auto"/>
        <w:left w:val="none" w:sz="0" w:space="0" w:color="auto"/>
        <w:bottom w:val="none" w:sz="0" w:space="0" w:color="auto"/>
        <w:right w:val="none" w:sz="0" w:space="0" w:color="auto"/>
      </w:divBdr>
    </w:div>
    <w:div w:id="350037518">
      <w:bodyDiv w:val="1"/>
      <w:marLeft w:val="0"/>
      <w:marRight w:val="0"/>
      <w:marTop w:val="0"/>
      <w:marBottom w:val="0"/>
      <w:divBdr>
        <w:top w:val="none" w:sz="0" w:space="0" w:color="auto"/>
        <w:left w:val="none" w:sz="0" w:space="0" w:color="auto"/>
        <w:bottom w:val="none" w:sz="0" w:space="0" w:color="auto"/>
        <w:right w:val="none" w:sz="0" w:space="0" w:color="auto"/>
      </w:divBdr>
    </w:div>
    <w:div w:id="389689069">
      <w:bodyDiv w:val="1"/>
      <w:marLeft w:val="0"/>
      <w:marRight w:val="0"/>
      <w:marTop w:val="0"/>
      <w:marBottom w:val="0"/>
      <w:divBdr>
        <w:top w:val="none" w:sz="0" w:space="0" w:color="auto"/>
        <w:left w:val="none" w:sz="0" w:space="0" w:color="auto"/>
        <w:bottom w:val="none" w:sz="0" w:space="0" w:color="auto"/>
        <w:right w:val="none" w:sz="0" w:space="0" w:color="auto"/>
      </w:divBdr>
    </w:div>
    <w:div w:id="434788131">
      <w:bodyDiv w:val="1"/>
      <w:marLeft w:val="0"/>
      <w:marRight w:val="0"/>
      <w:marTop w:val="0"/>
      <w:marBottom w:val="0"/>
      <w:divBdr>
        <w:top w:val="none" w:sz="0" w:space="0" w:color="auto"/>
        <w:left w:val="none" w:sz="0" w:space="0" w:color="auto"/>
        <w:bottom w:val="none" w:sz="0" w:space="0" w:color="auto"/>
        <w:right w:val="none" w:sz="0" w:space="0" w:color="auto"/>
      </w:divBdr>
    </w:div>
    <w:div w:id="437411755">
      <w:bodyDiv w:val="1"/>
      <w:marLeft w:val="0"/>
      <w:marRight w:val="0"/>
      <w:marTop w:val="0"/>
      <w:marBottom w:val="0"/>
      <w:divBdr>
        <w:top w:val="none" w:sz="0" w:space="0" w:color="auto"/>
        <w:left w:val="none" w:sz="0" w:space="0" w:color="auto"/>
        <w:bottom w:val="none" w:sz="0" w:space="0" w:color="auto"/>
        <w:right w:val="none" w:sz="0" w:space="0" w:color="auto"/>
      </w:divBdr>
    </w:div>
    <w:div w:id="442770404">
      <w:bodyDiv w:val="1"/>
      <w:marLeft w:val="0"/>
      <w:marRight w:val="0"/>
      <w:marTop w:val="0"/>
      <w:marBottom w:val="0"/>
      <w:divBdr>
        <w:top w:val="none" w:sz="0" w:space="0" w:color="auto"/>
        <w:left w:val="none" w:sz="0" w:space="0" w:color="auto"/>
        <w:bottom w:val="none" w:sz="0" w:space="0" w:color="auto"/>
        <w:right w:val="none" w:sz="0" w:space="0" w:color="auto"/>
      </w:divBdr>
    </w:div>
    <w:div w:id="460733476">
      <w:bodyDiv w:val="1"/>
      <w:marLeft w:val="0"/>
      <w:marRight w:val="0"/>
      <w:marTop w:val="0"/>
      <w:marBottom w:val="0"/>
      <w:divBdr>
        <w:top w:val="none" w:sz="0" w:space="0" w:color="auto"/>
        <w:left w:val="none" w:sz="0" w:space="0" w:color="auto"/>
        <w:bottom w:val="none" w:sz="0" w:space="0" w:color="auto"/>
        <w:right w:val="none" w:sz="0" w:space="0" w:color="auto"/>
      </w:divBdr>
    </w:div>
    <w:div w:id="464079336">
      <w:bodyDiv w:val="1"/>
      <w:marLeft w:val="0"/>
      <w:marRight w:val="0"/>
      <w:marTop w:val="0"/>
      <w:marBottom w:val="0"/>
      <w:divBdr>
        <w:top w:val="none" w:sz="0" w:space="0" w:color="auto"/>
        <w:left w:val="none" w:sz="0" w:space="0" w:color="auto"/>
        <w:bottom w:val="none" w:sz="0" w:space="0" w:color="auto"/>
        <w:right w:val="none" w:sz="0" w:space="0" w:color="auto"/>
      </w:divBdr>
    </w:div>
    <w:div w:id="474492891">
      <w:bodyDiv w:val="1"/>
      <w:marLeft w:val="0"/>
      <w:marRight w:val="0"/>
      <w:marTop w:val="0"/>
      <w:marBottom w:val="0"/>
      <w:divBdr>
        <w:top w:val="none" w:sz="0" w:space="0" w:color="auto"/>
        <w:left w:val="none" w:sz="0" w:space="0" w:color="auto"/>
        <w:bottom w:val="none" w:sz="0" w:space="0" w:color="auto"/>
        <w:right w:val="none" w:sz="0" w:space="0" w:color="auto"/>
      </w:divBdr>
    </w:div>
    <w:div w:id="646938225">
      <w:bodyDiv w:val="1"/>
      <w:marLeft w:val="0"/>
      <w:marRight w:val="0"/>
      <w:marTop w:val="0"/>
      <w:marBottom w:val="0"/>
      <w:divBdr>
        <w:top w:val="none" w:sz="0" w:space="0" w:color="auto"/>
        <w:left w:val="none" w:sz="0" w:space="0" w:color="auto"/>
        <w:bottom w:val="none" w:sz="0" w:space="0" w:color="auto"/>
        <w:right w:val="none" w:sz="0" w:space="0" w:color="auto"/>
      </w:divBdr>
    </w:div>
    <w:div w:id="697583450">
      <w:bodyDiv w:val="1"/>
      <w:marLeft w:val="0"/>
      <w:marRight w:val="0"/>
      <w:marTop w:val="0"/>
      <w:marBottom w:val="0"/>
      <w:divBdr>
        <w:top w:val="none" w:sz="0" w:space="0" w:color="auto"/>
        <w:left w:val="none" w:sz="0" w:space="0" w:color="auto"/>
        <w:bottom w:val="none" w:sz="0" w:space="0" w:color="auto"/>
        <w:right w:val="none" w:sz="0" w:space="0" w:color="auto"/>
      </w:divBdr>
    </w:div>
    <w:div w:id="782531782">
      <w:bodyDiv w:val="1"/>
      <w:marLeft w:val="0"/>
      <w:marRight w:val="0"/>
      <w:marTop w:val="0"/>
      <w:marBottom w:val="0"/>
      <w:divBdr>
        <w:top w:val="none" w:sz="0" w:space="0" w:color="auto"/>
        <w:left w:val="none" w:sz="0" w:space="0" w:color="auto"/>
        <w:bottom w:val="none" w:sz="0" w:space="0" w:color="auto"/>
        <w:right w:val="none" w:sz="0" w:space="0" w:color="auto"/>
      </w:divBdr>
    </w:div>
    <w:div w:id="840900018">
      <w:bodyDiv w:val="1"/>
      <w:marLeft w:val="0"/>
      <w:marRight w:val="0"/>
      <w:marTop w:val="0"/>
      <w:marBottom w:val="0"/>
      <w:divBdr>
        <w:top w:val="none" w:sz="0" w:space="0" w:color="auto"/>
        <w:left w:val="none" w:sz="0" w:space="0" w:color="auto"/>
        <w:bottom w:val="none" w:sz="0" w:space="0" w:color="auto"/>
        <w:right w:val="none" w:sz="0" w:space="0" w:color="auto"/>
      </w:divBdr>
    </w:div>
    <w:div w:id="841744644">
      <w:bodyDiv w:val="1"/>
      <w:marLeft w:val="0"/>
      <w:marRight w:val="0"/>
      <w:marTop w:val="0"/>
      <w:marBottom w:val="0"/>
      <w:divBdr>
        <w:top w:val="none" w:sz="0" w:space="0" w:color="auto"/>
        <w:left w:val="none" w:sz="0" w:space="0" w:color="auto"/>
        <w:bottom w:val="none" w:sz="0" w:space="0" w:color="auto"/>
        <w:right w:val="none" w:sz="0" w:space="0" w:color="auto"/>
      </w:divBdr>
    </w:div>
    <w:div w:id="865558711">
      <w:bodyDiv w:val="1"/>
      <w:marLeft w:val="0"/>
      <w:marRight w:val="0"/>
      <w:marTop w:val="0"/>
      <w:marBottom w:val="0"/>
      <w:divBdr>
        <w:top w:val="none" w:sz="0" w:space="0" w:color="auto"/>
        <w:left w:val="none" w:sz="0" w:space="0" w:color="auto"/>
        <w:bottom w:val="none" w:sz="0" w:space="0" w:color="auto"/>
        <w:right w:val="none" w:sz="0" w:space="0" w:color="auto"/>
      </w:divBdr>
    </w:div>
    <w:div w:id="902983633">
      <w:bodyDiv w:val="1"/>
      <w:marLeft w:val="0"/>
      <w:marRight w:val="0"/>
      <w:marTop w:val="0"/>
      <w:marBottom w:val="0"/>
      <w:divBdr>
        <w:top w:val="none" w:sz="0" w:space="0" w:color="auto"/>
        <w:left w:val="none" w:sz="0" w:space="0" w:color="auto"/>
        <w:bottom w:val="none" w:sz="0" w:space="0" w:color="auto"/>
        <w:right w:val="none" w:sz="0" w:space="0" w:color="auto"/>
      </w:divBdr>
    </w:div>
    <w:div w:id="995499299">
      <w:bodyDiv w:val="1"/>
      <w:marLeft w:val="0"/>
      <w:marRight w:val="0"/>
      <w:marTop w:val="0"/>
      <w:marBottom w:val="0"/>
      <w:divBdr>
        <w:top w:val="none" w:sz="0" w:space="0" w:color="auto"/>
        <w:left w:val="none" w:sz="0" w:space="0" w:color="auto"/>
        <w:bottom w:val="none" w:sz="0" w:space="0" w:color="auto"/>
        <w:right w:val="none" w:sz="0" w:space="0" w:color="auto"/>
      </w:divBdr>
    </w:div>
    <w:div w:id="1009137801">
      <w:bodyDiv w:val="1"/>
      <w:marLeft w:val="0"/>
      <w:marRight w:val="0"/>
      <w:marTop w:val="0"/>
      <w:marBottom w:val="0"/>
      <w:divBdr>
        <w:top w:val="none" w:sz="0" w:space="0" w:color="auto"/>
        <w:left w:val="none" w:sz="0" w:space="0" w:color="auto"/>
        <w:bottom w:val="none" w:sz="0" w:space="0" w:color="auto"/>
        <w:right w:val="none" w:sz="0" w:space="0" w:color="auto"/>
      </w:divBdr>
    </w:div>
    <w:div w:id="1139300242">
      <w:bodyDiv w:val="1"/>
      <w:marLeft w:val="0"/>
      <w:marRight w:val="0"/>
      <w:marTop w:val="0"/>
      <w:marBottom w:val="0"/>
      <w:divBdr>
        <w:top w:val="none" w:sz="0" w:space="0" w:color="auto"/>
        <w:left w:val="none" w:sz="0" w:space="0" w:color="auto"/>
        <w:bottom w:val="none" w:sz="0" w:space="0" w:color="auto"/>
        <w:right w:val="none" w:sz="0" w:space="0" w:color="auto"/>
      </w:divBdr>
    </w:div>
    <w:div w:id="1199198255">
      <w:bodyDiv w:val="1"/>
      <w:marLeft w:val="0"/>
      <w:marRight w:val="0"/>
      <w:marTop w:val="0"/>
      <w:marBottom w:val="0"/>
      <w:divBdr>
        <w:top w:val="none" w:sz="0" w:space="0" w:color="auto"/>
        <w:left w:val="none" w:sz="0" w:space="0" w:color="auto"/>
        <w:bottom w:val="none" w:sz="0" w:space="0" w:color="auto"/>
        <w:right w:val="none" w:sz="0" w:space="0" w:color="auto"/>
      </w:divBdr>
    </w:div>
    <w:div w:id="1265848002">
      <w:bodyDiv w:val="1"/>
      <w:marLeft w:val="0"/>
      <w:marRight w:val="0"/>
      <w:marTop w:val="0"/>
      <w:marBottom w:val="0"/>
      <w:divBdr>
        <w:top w:val="none" w:sz="0" w:space="0" w:color="auto"/>
        <w:left w:val="none" w:sz="0" w:space="0" w:color="auto"/>
        <w:bottom w:val="none" w:sz="0" w:space="0" w:color="auto"/>
        <w:right w:val="none" w:sz="0" w:space="0" w:color="auto"/>
      </w:divBdr>
    </w:div>
    <w:div w:id="1289821636">
      <w:bodyDiv w:val="1"/>
      <w:marLeft w:val="0"/>
      <w:marRight w:val="0"/>
      <w:marTop w:val="0"/>
      <w:marBottom w:val="0"/>
      <w:divBdr>
        <w:top w:val="none" w:sz="0" w:space="0" w:color="auto"/>
        <w:left w:val="none" w:sz="0" w:space="0" w:color="auto"/>
        <w:bottom w:val="none" w:sz="0" w:space="0" w:color="auto"/>
        <w:right w:val="none" w:sz="0" w:space="0" w:color="auto"/>
      </w:divBdr>
    </w:div>
    <w:div w:id="1309019488">
      <w:bodyDiv w:val="1"/>
      <w:marLeft w:val="0"/>
      <w:marRight w:val="0"/>
      <w:marTop w:val="0"/>
      <w:marBottom w:val="0"/>
      <w:divBdr>
        <w:top w:val="none" w:sz="0" w:space="0" w:color="auto"/>
        <w:left w:val="none" w:sz="0" w:space="0" w:color="auto"/>
        <w:bottom w:val="none" w:sz="0" w:space="0" w:color="auto"/>
        <w:right w:val="none" w:sz="0" w:space="0" w:color="auto"/>
      </w:divBdr>
    </w:div>
    <w:div w:id="1366978621">
      <w:bodyDiv w:val="1"/>
      <w:marLeft w:val="0"/>
      <w:marRight w:val="0"/>
      <w:marTop w:val="0"/>
      <w:marBottom w:val="0"/>
      <w:divBdr>
        <w:top w:val="none" w:sz="0" w:space="0" w:color="auto"/>
        <w:left w:val="none" w:sz="0" w:space="0" w:color="auto"/>
        <w:bottom w:val="none" w:sz="0" w:space="0" w:color="auto"/>
        <w:right w:val="none" w:sz="0" w:space="0" w:color="auto"/>
      </w:divBdr>
    </w:div>
    <w:div w:id="1387922375">
      <w:bodyDiv w:val="1"/>
      <w:marLeft w:val="0"/>
      <w:marRight w:val="0"/>
      <w:marTop w:val="0"/>
      <w:marBottom w:val="0"/>
      <w:divBdr>
        <w:top w:val="none" w:sz="0" w:space="0" w:color="auto"/>
        <w:left w:val="none" w:sz="0" w:space="0" w:color="auto"/>
        <w:bottom w:val="none" w:sz="0" w:space="0" w:color="auto"/>
        <w:right w:val="none" w:sz="0" w:space="0" w:color="auto"/>
      </w:divBdr>
    </w:div>
    <w:div w:id="1395276270">
      <w:bodyDiv w:val="1"/>
      <w:marLeft w:val="0"/>
      <w:marRight w:val="0"/>
      <w:marTop w:val="0"/>
      <w:marBottom w:val="0"/>
      <w:divBdr>
        <w:top w:val="none" w:sz="0" w:space="0" w:color="auto"/>
        <w:left w:val="none" w:sz="0" w:space="0" w:color="auto"/>
        <w:bottom w:val="none" w:sz="0" w:space="0" w:color="auto"/>
        <w:right w:val="none" w:sz="0" w:space="0" w:color="auto"/>
      </w:divBdr>
    </w:div>
    <w:div w:id="1429959089">
      <w:bodyDiv w:val="1"/>
      <w:marLeft w:val="0"/>
      <w:marRight w:val="0"/>
      <w:marTop w:val="0"/>
      <w:marBottom w:val="0"/>
      <w:divBdr>
        <w:top w:val="none" w:sz="0" w:space="0" w:color="auto"/>
        <w:left w:val="none" w:sz="0" w:space="0" w:color="auto"/>
        <w:bottom w:val="none" w:sz="0" w:space="0" w:color="auto"/>
        <w:right w:val="none" w:sz="0" w:space="0" w:color="auto"/>
      </w:divBdr>
    </w:div>
    <w:div w:id="1484197635">
      <w:bodyDiv w:val="1"/>
      <w:marLeft w:val="0"/>
      <w:marRight w:val="0"/>
      <w:marTop w:val="0"/>
      <w:marBottom w:val="0"/>
      <w:divBdr>
        <w:top w:val="none" w:sz="0" w:space="0" w:color="auto"/>
        <w:left w:val="none" w:sz="0" w:space="0" w:color="auto"/>
        <w:bottom w:val="none" w:sz="0" w:space="0" w:color="auto"/>
        <w:right w:val="none" w:sz="0" w:space="0" w:color="auto"/>
      </w:divBdr>
    </w:div>
    <w:div w:id="1536697908">
      <w:bodyDiv w:val="1"/>
      <w:marLeft w:val="0"/>
      <w:marRight w:val="0"/>
      <w:marTop w:val="0"/>
      <w:marBottom w:val="0"/>
      <w:divBdr>
        <w:top w:val="none" w:sz="0" w:space="0" w:color="auto"/>
        <w:left w:val="none" w:sz="0" w:space="0" w:color="auto"/>
        <w:bottom w:val="none" w:sz="0" w:space="0" w:color="auto"/>
        <w:right w:val="none" w:sz="0" w:space="0" w:color="auto"/>
      </w:divBdr>
    </w:div>
    <w:div w:id="1594775602">
      <w:bodyDiv w:val="1"/>
      <w:marLeft w:val="0"/>
      <w:marRight w:val="0"/>
      <w:marTop w:val="0"/>
      <w:marBottom w:val="0"/>
      <w:divBdr>
        <w:top w:val="none" w:sz="0" w:space="0" w:color="auto"/>
        <w:left w:val="none" w:sz="0" w:space="0" w:color="auto"/>
        <w:bottom w:val="none" w:sz="0" w:space="0" w:color="auto"/>
        <w:right w:val="none" w:sz="0" w:space="0" w:color="auto"/>
      </w:divBdr>
    </w:div>
    <w:div w:id="1603418086">
      <w:bodyDiv w:val="1"/>
      <w:marLeft w:val="0"/>
      <w:marRight w:val="0"/>
      <w:marTop w:val="0"/>
      <w:marBottom w:val="0"/>
      <w:divBdr>
        <w:top w:val="none" w:sz="0" w:space="0" w:color="auto"/>
        <w:left w:val="none" w:sz="0" w:space="0" w:color="auto"/>
        <w:bottom w:val="none" w:sz="0" w:space="0" w:color="auto"/>
        <w:right w:val="none" w:sz="0" w:space="0" w:color="auto"/>
      </w:divBdr>
    </w:div>
    <w:div w:id="1687247381">
      <w:bodyDiv w:val="1"/>
      <w:marLeft w:val="0"/>
      <w:marRight w:val="0"/>
      <w:marTop w:val="0"/>
      <w:marBottom w:val="0"/>
      <w:divBdr>
        <w:top w:val="none" w:sz="0" w:space="0" w:color="auto"/>
        <w:left w:val="none" w:sz="0" w:space="0" w:color="auto"/>
        <w:bottom w:val="none" w:sz="0" w:space="0" w:color="auto"/>
        <w:right w:val="none" w:sz="0" w:space="0" w:color="auto"/>
      </w:divBdr>
    </w:div>
    <w:div w:id="1737900570">
      <w:bodyDiv w:val="1"/>
      <w:marLeft w:val="0"/>
      <w:marRight w:val="0"/>
      <w:marTop w:val="0"/>
      <w:marBottom w:val="0"/>
      <w:divBdr>
        <w:top w:val="none" w:sz="0" w:space="0" w:color="auto"/>
        <w:left w:val="none" w:sz="0" w:space="0" w:color="auto"/>
        <w:bottom w:val="none" w:sz="0" w:space="0" w:color="auto"/>
        <w:right w:val="none" w:sz="0" w:space="0" w:color="auto"/>
      </w:divBdr>
    </w:div>
    <w:div w:id="1920941264">
      <w:bodyDiv w:val="1"/>
      <w:marLeft w:val="0"/>
      <w:marRight w:val="0"/>
      <w:marTop w:val="0"/>
      <w:marBottom w:val="0"/>
      <w:divBdr>
        <w:top w:val="none" w:sz="0" w:space="0" w:color="auto"/>
        <w:left w:val="none" w:sz="0" w:space="0" w:color="auto"/>
        <w:bottom w:val="none" w:sz="0" w:space="0" w:color="auto"/>
        <w:right w:val="none" w:sz="0" w:space="0" w:color="auto"/>
      </w:divBdr>
    </w:div>
    <w:div w:id="2114591396">
      <w:bodyDiv w:val="1"/>
      <w:marLeft w:val="0"/>
      <w:marRight w:val="0"/>
      <w:marTop w:val="0"/>
      <w:marBottom w:val="0"/>
      <w:divBdr>
        <w:top w:val="none" w:sz="0" w:space="0" w:color="auto"/>
        <w:left w:val="none" w:sz="0" w:space="0" w:color="auto"/>
        <w:bottom w:val="none" w:sz="0" w:space="0" w:color="auto"/>
        <w:right w:val="none" w:sz="0" w:space="0" w:color="auto"/>
      </w:divBdr>
    </w:div>
    <w:div w:id="21322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ilw.com/seminars/JohnNeillCitation.pdf" TargetMode="External"/><Relationship Id="rId1" Type="http://schemas.openxmlformats.org/officeDocument/2006/relationships/hyperlink" Target="https://www.r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Rao16</b:Tag>
    <b:SourceType>JournalArticle</b:SourceType>
    <b:Guid>{15DE981E-8A44-43BB-93FE-73C3061B361A}</b:Guid>
    <b:Author>
      <b:Author>
        <b:NameList>
          <b:Person>
            <b:Last>Rao</b:Last>
            <b:First>Nirupama</b:First>
          </b:Person>
        </b:NameList>
      </b:Author>
    </b:Author>
    <b:Title>Do tax credits stimulate R&amp;D spending? The effect of the R&amp;D tax credit in its ﬁrst decade</b:Title>
    <b:Year>2016</b:Year>
    <b:JournalName>Journal of Public Economics</b:JournalName>
    <b:Pages>2</b:Pages>
    <b:RefOrder>1</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s>
</file>

<file path=customXml/itemProps1.xml><?xml version="1.0" encoding="utf-8"?>
<ds:datastoreItem xmlns:ds="http://schemas.openxmlformats.org/officeDocument/2006/customXml" ds:itemID="{CC220747-6ECA-415F-B6E0-6D618699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Tansey, Ellen (DOR)</cp:lastModifiedBy>
  <cp:revision>2</cp:revision>
  <cp:lastPrinted>2020-01-28T19:08:00Z</cp:lastPrinted>
  <dcterms:created xsi:type="dcterms:W3CDTF">2020-11-03T17:55:00Z</dcterms:created>
  <dcterms:modified xsi:type="dcterms:W3CDTF">2020-11-03T17:55:00Z</dcterms:modified>
</cp:coreProperties>
</file>