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List1-Accent2"/>
        <w:tblW w:w="0" w:type="auto"/>
        <w:tblLook w:val="04A0" w:firstRow="1" w:lastRow="0" w:firstColumn="1" w:lastColumn="0" w:noHBand="0" w:noVBand="1"/>
      </w:tblPr>
      <w:tblGrid>
        <w:gridCol w:w="9576"/>
      </w:tblGrid>
      <w:tr w:rsidR="005B1BBE" w:rsidRPr="002C2079" w14:paraId="74F36941" w14:textId="77777777" w:rsidTr="000408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574F2F88" w14:textId="77777777" w:rsidR="008C2341" w:rsidRDefault="005B1BBE" w:rsidP="008C2341">
            <w:pPr>
              <w:jc w:val="center"/>
              <w:rPr>
                <w:color w:val="150399"/>
                <w:sz w:val="28"/>
                <w:szCs w:val="28"/>
              </w:rPr>
            </w:pPr>
            <w:r w:rsidRPr="002C2079">
              <w:rPr>
                <w:rFonts w:cs="Times New Roman"/>
                <w:sz w:val="24"/>
              </w:rPr>
              <w:br w:type="page"/>
            </w:r>
            <w:r w:rsidR="008C2341" w:rsidRPr="008C2341">
              <w:rPr>
                <w:color w:val="150399"/>
                <w:sz w:val="28"/>
                <w:szCs w:val="28"/>
              </w:rPr>
              <w:t xml:space="preserve">PROPOSED MASSACHUSETTS TAX EXPENDITURES </w:t>
            </w:r>
          </w:p>
          <w:p w14:paraId="13DF4615" w14:textId="77777777" w:rsidR="005B1BBE" w:rsidRPr="008C2341" w:rsidRDefault="008C2341" w:rsidP="008C2341">
            <w:pPr>
              <w:jc w:val="center"/>
              <w:rPr>
                <w:b w:val="0"/>
                <w:bCs w:val="0"/>
                <w:color w:val="150399"/>
                <w:sz w:val="28"/>
                <w:szCs w:val="28"/>
              </w:rPr>
            </w:pPr>
            <w:r w:rsidRPr="008C2341">
              <w:rPr>
                <w:color w:val="150399"/>
                <w:sz w:val="28"/>
                <w:szCs w:val="28"/>
              </w:rPr>
              <w:t>EVALUATION SUMMARY</w:t>
            </w:r>
            <w:r>
              <w:rPr>
                <w:color w:val="150399"/>
                <w:sz w:val="28"/>
                <w:szCs w:val="28"/>
              </w:rPr>
              <w:t xml:space="preserve"> </w:t>
            </w:r>
          </w:p>
          <w:p w14:paraId="779046A7" w14:textId="77777777" w:rsidR="004B14D0" w:rsidRPr="004B14D0" w:rsidRDefault="004B14D0" w:rsidP="00565D22">
            <w:pPr>
              <w:rPr>
                <w:color w:val="150399"/>
                <w:sz w:val="28"/>
                <w:szCs w:val="28"/>
              </w:rPr>
            </w:pPr>
          </w:p>
        </w:tc>
      </w:tr>
      <w:tr w:rsidR="005B1BBE" w:rsidRPr="002C2079" w14:paraId="2F02D5FD" w14:textId="77777777" w:rsidTr="00040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3919D4BB" w14:textId="77777777" w:rsidR="005B1BBE" w:rsidRPr="002C2079" w:rsidRDefault="005B1BBE" w:rsidP="005B1BBE">
            <w:pPr>
              <w:jc w:val="center"/>
              <w:rPr>
                <w:rFonts w:asciiTheme="majorHAnsi" w:hAnsiTheme="majorHAnsi"/>
              </w:rPr>
            </w:pPr>
            <w:r w:rsidRPr="002C2079">
              <w:rPr>
                <w:rFonts w:asciiTheme="majorHAnsi" w:hAnsiTheme="majorHAnsi"/>
                <w:sz w:val="28"/>
                <w:szCs w:val="28"/>
              </w:rPr>
              <w:t>EVALUATION YEAR: 2020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70"/>
      </w:tblGrid>
      <w:tr w:rsidR="005B1BBE" w:rsidRPr="002C2079" w14:paraId="2886B929" w14:textId="77777777" w:rsidTr="009E7760">
        <w:trPr>
          <w:trHeight w:val="360"/>
        </w:trPr>
        <w:tc>
          <w:tcPr>
            <w:tcW w:w="4788" w:type="dxa"/>
          </w:tcPr>
          <w:p w14:paraId="1AD80C66" w14:textId="77777777" w:rsidR="005B1BBE" w:rsidRPr="002C2079" w:rsidRDefault="005B1BBE" w:rsidP="005B1BBE">
            <w:pPr>
              <w:tabs>
                <w:tab w:val="left" w:pos="7050"/>
              </w:tabs>
              <w:rPr>
                <w:rFonts w:asciiTheme="majorHAnsi" w:hAnsiTheme="majorHAnsi"/>
              </w:rPr>
            </w:pPr>
          </w:p>
        </w:tc>
        <w:tc>
          <w:tcPr>
            <w:tcW w:w="4770" w:type="dxa"/>
          </w:tcPr>
          <w:p w14:paraId="6D607573" w14:textId="77777777" w:rsidR="005B1BBE" w:rsidRPr="002C2079" w:rsidRDefault="005B1BBE" w:rsidP="005B1BBE">
            <w:pPr>
              <w:tabs>
                <w:tab w:val="left" w:pos="7050"/>
              </w:tabs>
              <w:rPr>
                <w:rFonts w:asciiTheme="majorHAnsi" w:hAnsiTheme="majorHAnsi"/>
              </w:rPr>
            </w:pPr>
          </w:p>
        </w:tc>
      </w:tr>
      <w:tr w:rsidR="005B1BBE" w:rsidRPr="002C2079" w14:paraId="3F32ACCC" w14:textId="77777777" w:rsidTr="009E7760">
        <w:tc>
          <w:tcPr>
            <w:tcW w:w="4788" w:type="dxa"/>
          </w:tcPr>
          <w:p w14:paraId="537A2173"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TITLE</w:t>
            </w:r>
          </w:p>
          <w:p w14:paraId="0F622487" w14:textId="77777777" w:rsidR="005B1BBE" w:rsidRPr="002C2079" w:rsidRDefault="005B1BBE" w:rsidP="005B1BBE">
            <w:pPr>
              <w:tabs>
                <w:tab w:val="left" w:pos="7050"/>
              </w:tabs>
              <w:rPr>
                <w:rFonts w:asciiTheme="majorHAnsi" w:hAnsiTheme="majorHAnsi"/>
              </w:rPr>
            </w:pPr>
          </w:p>
        </w:tc>
        <w:tc>
          <w:tcPr>
            <w:tcW w:w="4770" w:type="dxa"/>
          </w:tcPr>
          <w:p w14:paraId="43200A29" w14:textId="77777777" w:rsidR="005B1BBE" w:rsidRPr="002C2079" w:rsidRDefault="00BB37D7" w:rsidP="005B1BBE">
            <w:pPr>
              <w:tabs>
                <w:tab w:val="left" w:pos="7050"/>
              </w:tabs>
              <w:rPr>
                <w:rFonts w:asciiTheme="majorHAnsi" w:hAnsiTheme="majorHAnsi"/>
              </w:rPr>
            </w:pPr>
            <w:r w:rsidRPr="00BB37D7">
              <w:rPr>
                <w:rFonts w:asciiTheme="majorHAnsi" w:hAnsiTheme="majorHAnsi"/>
              </w:rPr>
              <w:t>Harbor Maintenance Tax Credit</w:t>
            </w:r>
          </w:p>
        </w:tc>
      </w:tr>
      <w:tr w:rsidR="005B1BBE" w:rsidRPr="002C2079" w14:paraId="57FC9E97" w14:textId="77777777" w:rsidTr="009E7760">
        <w:tc>
          <w:tcPr>
            <w:tcW w:w="4788" w:type="dxa"/>
          </w:tcPr>
          <w:p w14:paraId="161BE926"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NUMBER</w:t>
            </w:r>
          </w:p>
          <w:p w14:paraId="47CC24E1" w14:textId="77777777" w:rsidR="005B1BBE" w:rsidRPr="002C2079" w:rsidRDefault="005B1BBE" w:rsidP="005B1BBE">
            <w:pPr>
              <w:tabs>
                <w:tab w:val="left" w:pos="7050"/>
              </w:tabs>
              <w:rPr>
                <w:rFonts w:asciiTheme="majorHAnsi" w:hAnsiTheme="majorHAnsi"/>
              </w:rPr>
            </w:pPr>
          </w:p>
        </w:tc>
        <w:tc>
          <w:tcPr>
            <w:tcW w:w="4770" w:type="dxa"/>
          </w:tcPr>
          <w:p w14:paraId="7DAFAFEA" w14:textId="77777777" w:rsidR="005B1BBE" w:rsidRPr="002C2079" w:rsidRDefault="00BB37D7" w:rsidP="005B1BBE">
            <w:pPr>
              <w:tabs>
                <w:tab w:val="left" w:pos="7050"/>
              </w:tabs>
              <w:rPr>
                <w:rFonts w:asciiTheme="majorHAnsi" w:hAnsiTheme="majorHAnsi"/>
              </w:rPr>
            </w:pPr>
            <w:r>
              <w:rPr>
                <w:rFonts w:asciiTheme="majorHAnsi" w:hAnsiTheme="majorHAnsi"/>
              </w:rPr>
              <w:t>2.607</w:t>
            </w:r>
          </w:p>
        </w:tc>
      </w:tr>
      <w:tr w:rsidR="005B1BBE" w:rsidRPr="002C2079" w14:paraId="77960903" w14:textId="77777777" w:rsidTr="009E7760">
        <w:tc>
          <w:tcPr>
            <w:tcW w:w="4788" w:type="dxa"/>
          </w:tcPr>
          <w:p w14:paraId="115CE6FE"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CATEGORY</w:t>
            </w:r>
          </w:p>
          <w:p w14:paraId="34165379" w14:textId="77777777" w:rsidR="005B1BBE" w:rsidRPr="002C2079" w:rsidRDefault="005B1BBE" w:rsidP="005B1BBE">
            <w:pPr>
              <w:tabs>
                <w:tab w:val="left" w:pos="7050"/>
              </w:tabs>
              <w:rPr>
                <w:rFonts w:asciiTheme="majorHAnsi" w:hAnsiTheme="majorHAnsi"/>
              </w:rPr>
            </w:pPr>
          </w:p>
        </w:tc>
        <w:tc>
          <w:tcPr>
            <w:tcW w:w="4770" w:type="dxa"/>
          </w:tcPr>
          <w:p w14:paraId="578D2172" w14:textId="77777777" w:rsidR="00A159F2" w:rsidRDefault="005B1BBE" w:rsidP="00A159F2">
            <w:pPr>
              <w:tabs>
                <w:tab w:val="left" w:pos="7050"/>
              </w:tabs>
              <w:rPr>
                <w:rFonts w:asciiTheme="majorHAnsi" w:hAnsiTheme="majorHAnsi"/>
              </w:rPr>
            </w:pPr>
            <w:r w:rsidRPr="002C2079">
              <w:rPr>
                <w:rFonts w:asciiTheme="majorHAnsi" w:hAnsiTheme="majorHAnsi"/>
              </w:rPr>
              <w:t xml:space="preserve">Credit against </w:t>
            </w:r>
            <w:r w:rsidR="00871C71">
              <w:rPr>
                <w:rFonts w:asciiTheme="majorHAnsi" w:hAnsiTheme="majorHAnsi"/>
              </w:rPr>
              <w:t>corporate excise</w:t>
            </w:r>
          </w:p>
          <w:p w14:paraId="5C49001C" w14:textId="77777777" w:rsidR="005B1BBE" w:rsidRPr="002C2079" w:rsidRDefault="00A159F2" w:rsidP="00A159F2">
            <w:pPr>
              <w:tabs>
                <w:tab w:val="left" w:pos="7050"/>
              </w:tabs>
              <w:rPr>
                <w:rFonts w:asciiTheme="majorHAnsi" w:hAnsiTheme="majorHAnsi"/>
              </w:rPr>
            </w:pPr>
            <w:r w:rsidRPr="002C2079">
              <w:rPr>
                <w:rFonts w:asciiTheme="majorHAnsi" w:hAnsiTheme="majorHAnsi"/>
              </w:rPr>
              <w:t xml:space="preserve"> </w:t>
            </w:r>
          </w:p>
        </w:tc>
      </w:tr>
      <w:tr w:rsidR="005B1BBE" w:rsidRPr="002C2079" w14:paraId="67BF7401" w14:textId="77777777" w:rsidTr="009E7760">
        <w:tc>
          <w:tcPr>
            <w:tcW w:w="4788" w:type="dxa"/>
          </w:tcPr>
          <w:p w14:paraId="51E4A5EF"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TYPE</w:t>
            </w:r>
          </w:p>
          <w:p w14:paraId="4BBEA6C1" w14:textId="77777777" w:rsidR="005B1BBE" w:rsidRPr="002C2079" w:rsidRDefault="005B1BBE" w:rsidP="005B1BBE">
            <w:pPr>
              <w:tabs>
                <w:tab w:val="left" w:pos="7050"/>
              </w:tabs>
              <w:rPr>
                <w:rFonts w:asciiTheme="majorHAnsi" w:hAnsiTheme="majorHAnsi"/>
              </w:rPr>
            </w:pPr>
          </w:p>
        </w:tc>
        <w:tc>
          <w:tcPr>
            <w:tcW w:w="4770" w:type="dxa"/>
          </w:tcPr>
          <w:p w14:paraId="6C100749" w14:textId="77777777" w:rsidR="005B1BBE" w:rsidRDefault="00871C71" w:rsidP="005B1BBE">
            <w:pPr>
              <w:tabs>
                <w:tab w:val="left" w:pos="7050"/>
              </w:tabs>
              <w:rPr>
                <w:rFonts w:asciiTheme="majorHAnsi" w:hAnsiTheme="majorHAnsi"/>
              </w:rPr>
            </w:pPr>
            <w:r>
              <w:rPr>
                <w:rFonts w:asciiTheme="majorHAnsi" w:hAnsiTheme="majorHAnsi"/>
              </w:rPr>
              <w:t>C</w:t>
            </w:r>
            <w:r w:rsidR="005B1BBE" w:rsidRPr="002C2079">
              <w:rPr>
                <w:rFonts w:asciiTheme="majorHAnsi" w:hAnsiTheme="majorHAnsi"/>
              </w:rPr>
              <w:t xml:space="preserve">orporate </w:t>
            </w:r>
            <w:r w:rsidR="00A159F2">
              <w:rPr>
                <w:rFonts w:asciiTheme="majorHAnsi" w:hAnsiTheme="majorHAnsi"/>
              </w:rPr>
              <w:t>excise</w:t>
            </w:r>
          </w:p>
          <w:p w14:paraId="3DF47F2B" w14:textId="77777777" w:rsidR="00565D22" w:rsidRPr="002C2079" w:rsidRDefault="00565D22" w:rsidP="005B1BBE">
            <w:pPr>
              <w:tabs>
                <w:tab w:val="left" w:pos="7050"/>
              </w:tabs>
              <w:rPr>
                <w:rFonts w:asciiTheme="majorHAnsi" w:hAnsiTheme="majorHAnsi"/>
              </w:rPr>
            </w:pPr>
          </w:p>
        </w:tc>
      </w:tr>
      <w:tr w:rsidR="005B1BBE" w:rsidRPr="002C2079" w14:paraId="5D4D3857" w14:textId="77777777" w:rsidTr="009E7760">
        <w:tc>
          <w:tcPr>
            <w:tcW w:w="4788" w:type="dxa"/>
          </w:tcPr>
          <w:p w14:paraId="36D22CF8"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LEGAL REFERENCE</w:t>
            </w:r>
          </w:p>
          <w:p w14:paraId="3814016F" w14:textId="77777777" w:rsidR="005B1BBE" w:rsidRPr="002C2079" w:rsidRDefault="005B1BBE" w:rsidP="005B1BBE">
            <w:pPr>
              <w:tabs>
                <w:tab w:val="left" w:pos="7050"/>
              </w:tabs>
              <w:rPr>
                <w:rFonts w:asciiTheme="majorHAnsi" w:hAnsiTheme="majorHAnsi"/>
              </w:rPr>
            </w:pPr>
          </w:p>
        </w:tc>
        <w:tc>
          <w:tcPr>
            <w:tcW w:w="4770" w:type="dxa"/>
          </w:tcPr>
          <w:p w14:paraId="7287C2E8" w14:textId="77777777" w:rsidR="005B1BBE" w:rsidRPr="002C2079" w:rsidRDefault="001043F9" w:rsidP="00396264">
            <w:pPr>
              <w:tabs>
                <w:tab w:val="left" w:pos="7050"/>
              </w:tabs>
              <w:rPr>
                <w:rFonts w:asciiTheme="majorHAnsi" w:hAnsiTheme="majorHAnsi"/>
              </w:rPr>
            </w:pPr>
            <w:r w:rsidRPr="001043F9">
              <w:rPr>
                <w:rFonts w:asciiTheme="majorHAnsi" w:hAnsiTheme="majorHAnsi"/>
              </w:rPr>
              <w:t>M.G.L. c. 63, § 38P</w:t>
            </w:r>
          </w:p>
        </w:tc>
      </w:tr>
      <w:tr w:rsidR="005B1BBE" w:rsidRPr="002C2079" w14:paraId="71CF89E0" w14:textId="77777777" w:rsidTr="009E7760">
        <w:tc>
          <w:tcPr>
            <w:tcW w:w="4788" w:type="dxa"/>
          </w:tcPr>
          <w:p w14:paraId="76773765"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YEAR ENACTED</w:t>
            </w:r>
          </w:p>
          <w:p w14:paraId="56951D12" w14:textId="77777777" w:rsidR="005B1BBE" w:rsidRPr="002C2079" w:rsidRDefault="005B1BBE" w:rsidP="005B1BBE">
            <w:pPr>
              <w:tabs>
                <w:tab w:val="left" w:pos="7050"/>
              </w:tabs>
              <w:rPr>
                <w:rFonts w:asciiTheme="majorHAnsi" w:hAnsiTheme="majorHAnsi"/>
              </w:rPr>
            </w:pPr>
          </w:p>
        </w:tc>
        <w:tc>
          <w:tcPr>
            <w:tcW w:w="4770" w:type="dxa"/>
          </w:tcPr>
          <w:p w14:paraId="31890D49" w14:textId="77777777" w:rsidR="005B1BBE" w:rsidRPr="002C2079" w:rsidRDefault="00083EF3" w:rsidP="005B1BBE">
            <w:pPr>
              <w:tabs>
                <w:tab w:val="left" w:pos="7050"/>
              </w:tabs>
              <w:rPr>
                <w:rFonts w:asciiTheme="majorHAnsi" w:hAnsiTheme="majorHAnsi"/>
              </w:rPr>
            </w:pPr>
            <w:r>
              <w:rPr>
                <w:rFonts w:asciiTheme="majorHAnsi" w:hAnsiTheme="majorHAnsi"/>
              </w:rPr>
              <w:t>1996</w:t>
            </w:r>
          </w:p>
        </w:tc>
      </w:tr>
      <w:tr w:rsidR="005B1BBE" w:rsidRPr="002C2079" w14:paraId="71082BCC" w14:textId="77777777" w:rsidTr="009E7760">
        <w:tc>
          <w:tcPr>
            <w:tcW w:w="4788" w:type="dxa"/>
          </w:tcPr>
          <w:p w14:paraId="41E946D8" w14:textId="77777777" w:rsidR="005B1BBE" w:rsidRPr="002C2079" w:rsidRDefault="005B1BBE" w:rsidP="005B1BBE">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REPEAL/EXPIRATION DATE</w:t>
            </w:r>
          </w:p>
        </w:tc>
        <w:tc>
          <w:tcPr>
            <w:tcW w:w="4770" w:type="dxa"/>
          </w:tcPr>
          <w:p w14:paraId="2D4F98AC" w14:textId="77777777" w:rsidR="005B1BBE" w:rsidRDefault="00083EF3" w:rsidP="00A159F2">
            <w:pPr>
              <w:tabs>
                <w:tab w:val="left" w:pos="7050"/>
              </w:tabs>
              <w:rPr>
                <w:rFonts w:asciiTheme="majorHAnsi" w:hAnsiTheme="majorHAnsi"/>
              </w:rPr>
            </w:pPr>
            <w:r>
              <w:rPr>
                <w:rFonts w:asciiTheme="majorHAnsi" w:hAnsiTheme="majorHAnsi"/>
              </w:rPr>
              <w:t>None</w:t>
            </w:r>
          </w:p>
          <w:p w14:paraId="61A0CDE8" w14:textId="77777777" w:rsidR="00A159F2" w:rsidRPr="002C2079" w:rsidRDefault="00A159F2" w:rsidP="00A159F2">
            <w:pPr>
              <w:tabs>
                <w:tab w:val="left" w:pos="7050"/>
              </w:tabs>
              <w:rPr>
                <w:rFonts w:asciiTheme="majorHAnsi" w:hAnsiTheme="majorHAnsi"/>
              </w:rPr>
            </w:pPr>
          </w:p>
        </w:tc>
      </w:tr>
      <w:tr w:rsidR="005B1BBE" w:rsidRPr="002C2079" w14:paraId="1DBEE35D" w14:textId="77777777" w:rsidTr="009E7760">
        <w:tc>
          <w:tcPr>
            <w:tcW w:w="4788" w:type="dxa"/>
          </w:tcPr>
          <w:p w14:paraId="61852E3D"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ANNUAL REVENUE IMPACT</w:t>
            </w:r>
          </w:p>
          <w:p w14:paraId="4D4BC130" w14:textId="77777777" w:rsidR="005B1BBE" w:rsidRPr="002C2079" w:rsidRDefault="005B1BBE" w:rsidP="005B1BBE">
            <w:pPr>
              <w:tabs>
                <w:tab w:val="left" w:pos="7050"/>
              </w:tabs>
              <w:rPr>
                <w:rFonts w:asciiTheme="majorHAnsi" w:hAnsiTheme="majorHAnsi"/>
              </w:rPr>
            </w:pPr>
          </w:p>
        </w:tc>
        <w:tc>
          <w:tcPr>
            <w:tcW w:w="4770" w:type="dxa"/>
          </w:tcPr>
          <w:p w14:paraId="6E3F1EE8" w14:textId="77777777" w:rsidR="005B1BBE" w:rsidRDefault="005B1BBE" w:rsidP="005B1BBE">
            <w:pPr>
              <w:tabs>
                <w:tab w:val="left" w:pos="7050"/>
              </w:tabs>
              <w:rPr>
                <w:rFonts w:asciiTheme="majorHAnsi" w:hAnsiTheme="majorHAnsi"/>
              </w:rPr>
            </w:pPr>
            <w:r w:rsidRPr="002C2079">
              <w:rPr>
                <w:rFonts w:asciiTheme="majorHAnsi" w:hAnsiTheme="majorHAnsi"/>
              </w:rPr>
              <w:t>Tax loss of $</w:t>
            </w:r>
            <w:r w:rsidR="002520F6">
              <w:rPr>
                <w:rFonts w:asciiTheme="majorHAnsi" w:hAnsiTheme="majorHAnsi"/>
              </w:rPr>
              <w:t>1.</w:t>
            </w:r>
            <w:r w:rsidR="009E7760">
              <w:rPr>
                <w:rFonts w:asciiTheme="majorHAnsi" w:hAnsiTheme="majorHAnsi"/>
              </w:rPr>
              <w:t>4</w:t>
            </w:r>
            <w:r w:rsidR="002520F6">
              <w:rPr>
                <w:rFonts w:asciiTheme="majorHAnsi" w:hAnsiTheme="majorHAnsi"/>
              </w:rPr>
              <w:t xml:space="preserve"> - $1.</w:t>
            </w:r>
            <w:r w:rsidR="00F24AE8">
              <w:rPr>
                <w:rFonts w:asciiTheme="majorHAnsi" w:hAnsiTheme="majorHAnsi"/>
              </w:rPr>
              <w:t>5</w:t>
            </w:r>
            <w:r w:rsidR="001043F9">
              <w:rPr>
                <w:rFonts w:asciiTheme="majorHAnsi" w:hAnsiTheme="majorHAnsi"/>
              </w:rPr>
              <w:t xml:space="preserve"> </w:t>
            </w:r>
            <w:r w:rsidRPr="002C2079">
              <w:rPr>
                <w:rFonts w:asciiTheme="majorHAnsi" w:hAnsiTheme="majorHAnsi"/>
              </w:rPr>
              <w:t xml:space="preserve">million annually </w:t>
            </w:r>
            <w:r w:rsidR="00F02B4D">
              <w:rPr>
                <w:rFonts w:asciiTheme="majorHAnsi" w:hAnsiTheme="majorHAnsi"/>
              </w:rPr>
              <w:t xml:space="preserve">during </w:t>
            </w:r>
            <w:r w:rsidRPr="002C2079">
              <w:rPr>
                <w:rFonts w:asciiTheme="majorHAnsi" w:hAnsiTheme="majorHAnsi"/>
              </w:rPr>
              <w:t>FY1</w:t>
            </w:r>
            <w:r w:rsidR="001043F9">
              <w:rPr>
                <w:rFonts w:asciiTheme="majorHAnsi" w:hAnsiTheme="majorHAnsi"/>
              </w:rPr>
              <w:t>8</w:t>
            </w:r>
            <w:r w:rsidRPr="002C2079">
              <w:rPr>
                <w:rFonts w:asciiTheme="majorHAnsi" w:hAnsiTheme="majorHAnsi"/>
              </w:rPr>
              <w:t>-FY2</w:t>
            </w:r>
            <w:r w:rsidR="001043F9">
              <w:rPr>
                <w:rFonts w:asciiTheme="majorHAnsi" w:hAnsiTheme="majorHAnsi"/>
              </w:rPr>
              <w:t>2</w:t>
            </w:r>
          </w:p>
          <w:p w14:paraId="0691ADA2" w14:textId="77777777" w:rsidR="009E7760" w:rsidRPr="002C2079" w:rsidRDefault="009E7760" w:rsidP="005B1BBE">
            <w:pPr>
              <w:tabs>
                <w:tab w:val="left" w:pos="7050"/>
              </w:tabs>
              <w:rPr>
                <w:rFonts w:asciiTheme="majorHAnsi" w:hAnsiTheme="majorHAnsi"/>
              </w:rPr>
            </w:pPr>
          </w:p>
        </w:tc>
      </w:tr>
      <w:tr w:rsidR="005B1BBE" w:rsidRPr="002C2079" w14:paraId="2F19AB3E" w14:textId="77777777" w:rsidTr="009E7760">
        <w:tc>
          <w:tcPr>
            <w:tcW w:w="4788" w:type="dxa"/>
          </w:tcPr>
          <w:p w14:paraId="3F253383" w14:textId="77777777" w:rsidR="005B1BBE" w:rsidRPr="002C2079" w:rsidRDefault="005B1BBE" w:rsidP="005B1BBE">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 xml:space="preserve">NUMBER OF TAXPAYERS </w:t>
            </w:r>
          </w:p>
        </w:tc>
        <w:tc>
          <w:tcPr>
            <w:tcW w:w="4770" w:type="dxa"/>
          </w:tcPr>
          <w:p w14:paraId="1136026F" w14:textId="77777777" w:rsidR="005B1BBE" w:rsidRPr="00882FE4" w:rsidRDefault="009E7760" w:rsidP="005B1BBE">
            <w:pPr>
              <w:tabs>
                <w:tab w:val="left" w:pos="7050"/>
              </w:tabs>
              <w:rPr>
                <w:rFonts w:asciiTheme="majorHAnsi" w:eastAsiaTheme="majorEastAsia" w:hAnsiTheme="majorHAnsi" w:cstheme="majorBidi"/>
                <w:bCs/>
                <w:color w:val="000000" w:themeColor="text1"/>
              </w:rPr>
            </w:pPr>
            <w:r w:rsidRPr="00882FE4">
              <w:rPr>
                <w:rFonts w:asciiTheme="majorHAnsi" w:eastAsiaTheme="majorEastAsia" w:hAnsiTheme="majorHAnsi" w:cstheme="majorBidi"/>
                <w:bCs/>
                <w:color w:val="000000" w:themeColor="text1"/>
              </w:rPr>
              <w:t xml:space="preserve">79 -88 claims </w:t>
            </w:r>
            <w:r w:rsidR="00BA44D4" w:rsidRPr="00882FE4">
              <w:rPr>
                <w:rFonts w:asciiTheme="majorHAnsi" w:eastAsiaTheme="majorEastAsia" w:hAnsiTheme="majorHAnsi" w:cstheme="majorBidi"/>
                <w:bCs/>
                <w:color w:val="000000" w:themeColor="text1"/>
              </w:rPr>
              <w:t>per year during</w:t>
            </w:r>
            <w:r w:rsidRPr="00882FE4">
              <w:rPr>
                <w:rFonts w:asciiTheme="majorHAnsi" w:eastAsiaTheme="majorEastAsia" w:hAnsiTheme="majorHAnsi" w:cstheme="majorBidi"/>
                <w:bCs/>
                <w:color w:val="000000" w:themeColor="text1"/>
              </w:rPr>
              <w:t xml:space="preserve"> </w:t>
            </w:r>
            <w:r w:rsidR="00A46C07">
              <w:rPr>
                <w:rFonts w:asciiTheme="majorHAnsi" w:eastAsiaTheme="majorEastAsia" w:hAnsiTheme="majorHAnsi" w:cstheme="majorBidi"/>
                <w:bCs/>
                <w:color w:val="000000" w:themeColor="text1"/>
              </w:rPr>
              <w:t xml:space="preserve">tax years </w:t>
            </w:r>
            <w:r w:rsidR="004C1A2A" w:rsidRPr="00882FE4">
              <w:rPr>
                <w:rFonts w:asciiTheme="majorHAnsi" w:eastAsiaTheme="majorEastAsia" w:hAnsiTheme="majorHAnsi" w:cstheme="majorBidi"/>
                <w:bCs/>
                <w:color w:val="000000" w:themeColor="text1"/>
              </w:rPr>
              <w:t>2015-2018</w:t>
            </w:r>
            <w:r w:rsidR="00BA44D4" w:rsidRPr="00882FE4">
              <w:rPr>
                <w:rFonts w:asciiTheme="majorHAnsi" w:eastAsiaTheme="majorEastAsia" w:hAnsiTheme="majorHAnsi" w:cstheme="majorBidi"/>
                <w:bCs/>
                <w:color w:val="000000" w:themeColor="text1"/>
              </w:rPr>
              <w:t>.</w:t>
            </w:r>
          </w:p>
          <w:p w14:paraId="600807A2" w14:textId="77777777" w:rsidR="005B1BBE" w:rsidRPr="002C2079" w:rsidRDefault="005B1BBE" w:rsidP="005B1BBE">
            <w:pPr>
              <w:tabs>
                <w:tab w:val="left" w:pos="7050"/>
              </w:tabs>
              <w:rPr>
                <w:rFonts w:asciiTheme="majorHAnsi" w:hAnsiTheme="majorHAnsi"/>
              </w:rPr>
            </w:pPr>
          </w:p>
        </w:tc>
      </w:tr>
      <w:tr w:rsidR="005B1BBE" w:rsidRPr="002C2079" w14:paraId="0AE8FCD8" w14:textId="77777777" w:rsidTr="009E7760">
        <w:tc>
          <w:tcPr>
            <w:tcW w:w="4788" w:type="dxa"/>
          </w:tcPr>
          <w:p w14:paraId="06CB37C1" w14:textId="77777777" w:rsidR="005B1BBE" w:rsidRPr="002C2079" w:rsidRDefault="005B1BBE" w:rsidP="00F7586D">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AVERAGE TAXPAYER BENEFIT</w:t>
            </w:r>
          </w:p>
        </w:tc>
        <w:tc>
          <w:tcPr>
            <w:tcW w:w="4770" w:type="dxa"/>
          </w:tcPr>
          <w:p w14:paraId="3D268C81" w14:textId="77777777" w:rsidR="005B1BBE" w:rsidRPr="002C2079" w:rsidRDefault="00E23797" w:rsidP="00565D22">
            <w:pPr>
              <w:tabs>
                <w:tab w:val="left" w:pos="7050"/>
              </w:tabs>
              <w:rPr>
                <w:rFonts w:asciiTheme="majorHAnsi" w:hAnsiTheme="majorHAnsi"/>
              </w:rPr>
            </w:pPr>
            <w:r>
              <w:rPr>
                <w:rFonts w:asciiTheme="majorHAnsi" w:eastAsiaTheme="majorEastAsia" w:hAnsiTheme="majorHAnsi" w:cstheme="majorBidi"/>
                <w:bCs/>
                <w:color w:val="000000" w:themeColor="text1"/>
              </w:rPr>
              <w:t xml:space="preserve">About </w:t>
            </w:r>
            <w:r w:rsidR="005B1BBE" w:rsidRPr="002C2079">
              <w:rPr>
                <w:rFonts w:asciiTheme="majorHAnsi" w:eastAsiaTheme="majorEastAsia" w:hAnsiTheme="majorHAnsi" w:cstheme="majorBidi"/>
                <w:bCs/>
                <w:color w:val="000000" w:themeColor="text1"/>
              </w:rPr>
              <w:t>$</w:t>
            </w:r>
            <w:r w:rsidR="009E7760" w:rsidRPr="00882FE4">
              <w:rPr>
                <w:rFonts w:asciiTheme="majorHAnsi" w:eastAsiaTheme="majorEastAsia" w:hAnsiTheme="majorHAnsi" w:cstheme="majorBidi"/>
                <w:bCs/>
                <w:color w:val="000000" w:themeColor="text1"/>
              </w:rPr>
              <w:t>1</w:t>
            </w:r>
            <w:r w:rsidR="00377BB7" w:rsidRPr="00882FE4">
              <w:rPr>
                <w:rFonts w:asciiTheme="majorHAnsi" w:eastAsiaTheme="majorEastAsia" w:hAnsiTheme="majorHAnsi" w:cstheme="majorBidi"/>
                <w:bCs/>
                <w:color w:val="000000" w:themeColor="text1"/>
              </w:rPr>
              <w:t>2</w:t>
            </w:r>
            <w:r w:rsidR="009E7760" w:rsidRPr="00882FE4">
              <w:rPr>
                <w:rFonts w:asciiTheme="majorHAnsi" w:eastAsiaTheme="majorEastAsia" w:hAnsiTheme="majorHAnsi" w:cstheme="majorBidi"/>
                <w:bCs/>
                <w:color w:val="000000" w:themeColor="text1"/>
              </w:rPr>
              <w:t>,</w:t>
            </w:r>
            <w:r w:rsidR="00377BB7" w:rsidRPr="00882FE4">
              <w:rPr>
                <w:rFonts w:asciiTheme="majorHAnsi" w:eastAsiaTheme="majorEastAsia" w:hAnsiTheme="majorHAnsi" w:cstheme="majorBidi"/>
                <w:bCs/>
                <w:color w:val="000000" w:themeColor="text1"/>
              </w:rPr>
              <w:t>4</w:t>
            </w:r>
            <w:r w:rsidR="009E7760" w:rsidRPr="00882FE4">
              <w:rPr>
                <w:rFonts w:asciiTheme="majorHAnsi" w:eastAsiaTheme="majorEastAsia" w:hAnsiTheme="majorHAnsi" w:cstheme="majorBidi"/>
                <w:bCs/>
                <w:color w:val="000000" w:themeColor="text1"/>
              </w:rPr>
              <w:t>00 - $17,200</w:t>
            </w:r>
            <w:r w:rsidR="001043F9" w:rsidRPr="00882FE4">
              <w:rPr>
                <w:rFonts w:asciiTheme="majorHAnsi" w:eastAsiaTheme="majorEastAsia" w:hAnsiTheme="majorHAnsi" w:cstheme="majorBidi"/>
                <w:bCs/>
                <w:color w:val="000000" w:themeColor="text1"/>
              </w:rPr>
              <w:t xml:space="preserve"> </w:t>
            </w:r>
            <w:r w:rsidR="005B1BBE" w:rsidRPr="00882FE4">
              <w:rPr>
                <w:rFonts w:asciiTheme="majorHAnsi" w:eastAsiaTheme="majorEastAsia" w:hAnsiTheme="majorHAnsi" w:cstheme="majorBidi"/>
                <w:bCs/>
                <w:color w:val="000000" w:themeColor="text1"/>
              </w:rPr>
              <w:t xml:space="preserve">per </w:t>
            </w:r>
            <w:r w:rsidR="009E7760" w:rsidRPr="00882FE4">
              <w:rPr>
                <w:rFonts w:asciiTheme="majorHAnsi" w:eastAsiaTheme="majorEastAsia" w:hAnsiTheme="majorHAnsi" w:cstheme="majorBidi"/>
                <w:bCs/>
                <w:color w:val="000000" w:themeColor="text1"/>
              </w:rPr>
              <w:t xml:space="preserve">claim </w:t>
            </w:r>
            <w:r w:rsidR="005B1BBE" w:rsidRPr="00882FE4">
              <w:rPr>
                <w:rFonts w:asciiTheme="majorHAnsi" w:eastAsiaTheme="majorEastAsia" w:hAnsiTheme="majorHAnsi" w:cstheme="majorBidi"/>
                <w:bCs/>
                <w:color w:val="000000" w:themeColor="text1"/>
              </w:rPr>
              <w:t>during</w:t>
            </w:r>
            <w:r>
              <w:rPr>
                <w:rFonts w:asciiTheme="majorHAnsi" w:eastAsiaTheme="majorEastAsia" w:hAnsiTheme="majorHAnsi" w:cstheme="majorBidi"/>
                <w:bCs/>
                <w:color w:val="000000" w:themeColor="text1"/>
              </w:rPr>
              <w:t xml:space="preserve"> tax years</w:t>
            </w:r>
            <w:r w:rsidR="005B1BBE" w:rsidRPr="00882FE4">
              <w:rPr>
                <w:rFonts w:asciiTheme="majorHAnsi" w:eastAsiaTheme="majorEastAsia" w:hAnsiTheme="majorHAnsi" w:cstheme="majorBidi"/>
                <w:bCs/>
                <w:color w:val="000000" w:themeColor="text1"/>
              </w:rPr>
              <w:t xml:space="preserve"> </w:t>
            </w:r>
            <w:r w:rsidR="009E7760" w:rsidRPr="00882FE4">
              <w:rPr>
                <w:rFonts w:asciiTheme="majorHAnsi" w:eastAsiaTheme="majorEastAsia" w:hAnsiTheme="majorHAnsi" w:cstheme="majorBidi"/>
                <w:bCs/>
                <w:color w:val="000000" w:themeColor="text1"/>
              </w:rPr>
              <w:t>2015-2018</w:t>
            </w:r>
          </w:p>
        </w:tc>
      </w:tr>
    </w:tbl>
    <w:p w14:paraId="2738A4FD" w14:textId="77777777" w:rsidR="00565D22" w:rsidRDefault="00565D22">
      <w:pPr>
        <w:rPr>
          <w:b/>
          <w:bCs/>
        </w:rPr>
      </w:pPr>
    </w:p>
    <w:tbl>
      <w:tblPr>
        <w:tblStyle w:val="TableGrid"/>
        <w:tblW w:w="0" w:type="auto"/>
        <w:tblLook w:val="04A0" w:firstRow="1" w:lastRow="0" w:firstColumn="1" w:lastColumn="0" w:noHBand="0" w:noVBand="1"/>
      </w:tblPr>
      <w:tblGrid>
        <w:gridCol w:w="4788"/>
        <w:gridCol w:w="4788"/>
      </w:tblGrid>
      <w:tr w:rsidR="00565D22" w14:paraId="22D236FE" w14:textId="77777777" w:rsidTr="00871C71">
        <w:tc>
          <w:tcPr>
            <w:tcW w:w="4788" w:type="dxa"/>
          </w:tcPr>
          <w:p w14:paraId="431E526E" w14:textId="77777777" w:rsidR="00565D22" w:rsidRPr="002C2079" w:rsidRDefault="00565D22" w:rsidP="00565D22">
            <w:pPr>
              <w:tabs>
                <w:tab w:val="left" w:pos="7050"/>
              </w:tabs>
              <w:rPr>
                <w:rFonts w:asciiTheme="majorHAnsi" w:eastAsiaTheme="majorEastAsia" w:hAnsiTheme="majorHAnsi" w:cstheme="majorBidi"/>
                <w:b/>
                <w:bCs/>
                <w:color w:val="000000" w:themeColor="text1"/>
                <w:sz w:val="24"/>
              </w:rPr>
            </w:pPr>
            <w:r w:rsidRPr="002C2079">
              <w:rPr>
                <w:rFonts w:asciiTheme="majorHAnsi" w:eastAsiaTheme="majorEastAsia" w:hAnsiTheme="majorHAnsi" w:cstheme="majorBidi"/>
                <w:b/>
                <w:bCs/>
                <w:color w:val="000000" w:themeColor="text1"/>
                <w:sz w:val="24"/>
              </w:rPr>
              <w:t>Description of the Tax Expenditure:</w:t>
            </w:r>
          </w:p>
          <w:p w14:paraId="7D4D1B9A" w14:textId="77777777" w:rsidR="00565D22" w:rsidRPr="00565D22" w:rsidRDefault="00871C71" w:rsidP="00565D22">
            <w:pPr>
              <w:tabs>
                <w:tab w:val="left" w:pos="7050"/>
              </w:tabs>
              <w:rPr>
                <w:rFonts w:asciiTheme="majorHAnsi" w:eastAsiaTheme="majorEastAsia" w:hAnsiTheme="majorHAnsi" w:cstheme="majorBidi"/>
                <w:b/>
                <w:bCs/>
                <w:color w:val="000000" w:themeColor="text1"/>
                <w:sz w:val="24"/>
              </w:rPr>
            </w:pPr>
            <w:r w:rsidRPr="00871C71">
              <w:rPr>
                <w:rFonts w:asciiTheme="majorHAnsi" w:eastAsiaTheme="majorEastAsia" w:hAnsiTheme="majorHAnsi" w:cstheme="majorBidi"/>
                <w:bCs/>
                <w:color w:val="000000" w:themeColor="text1"/>
                <w:sz w:val="24"/>
              </w:rPr>
              <w:t xml:space="preserve">Domestic and foreign corporations that are shippers, importers, or exporters </w:t>
            </w:r>
            <w:proofErr w:type="gramStart"/>
            <w:r w:rsidRPr="00871C71">
              <w:rPr>
                <w:rFonts w:asciiTheme="majorHAnsi" w:eastAsiaTheme="majorEastAsia" w:hAnsiTheme="majorHAnsi" w:cstheme="majorBidi"/>
                <w:bCs/>
                <w:color w:val="000000" w:themeColor="text1"/>
                <w:sz w:val="24"/>
              </w:rPr>
              <w:t>are allowed to</w:t>
            </w:r>
            <w:proofErr w:type="gramEnd"/>
            <w:r w:rsidRPr="00871C71">
              <w:rPr>
                <w:rFonts w:asciiTheme="majorHAnsi" w:eastAsiaTheme="majorEastAsia" w:hAnsiTheme="majorHAnsi" w:cstheme="majorBidi"/>
                <w:bCs/>
                <w:color w:val="000000" w:themeColor="text1"/>
                <w:sz w:val="24"/>
              </w:rPr>
              <w:t xml:space="preserve"> take a credit against the corporate excise for certain harbor maintenance taxes paid to the federal government.  </w:t>
            </w:r>
          </w:p>
        </w:tc>
        <w:tc>
          <w:tcPr>
            <w:tcW w:w="4788" w:type="dxa"/>
          </w:tcPr>
          <w:p w14:paraId="1228D464" w14:textId="77777777" w:rsidR="00565D22" w:rsidRPr="002C2079" w:rsidRDefault="00565D22" w:rsidP="00565D22">
            <w:pPr>
              <w:tabs>
                <w:tab w:val="left" w:pos="7050"/>
              </w:tabs>
              <w:rPr>
                <w:rFonts w:asciiTheme="majorHAnsi" w:eastAsiaTheme="majorEastAsia" w:hAnsiTheme="majorHAnsi" w:cstheme="majorBidi"/>
                <w:b/>
                <w:bCs/>
                <w:color w:val="000000" w:themeColor="text1"/>
                <w:sz w:val="24"/>
              </w:rPr>
            </w:pPr>
            <w:r w:rsidRPr="002C2079">
              <w:rPr>
                <w:rFonts w:asciiTheme="majorHAnsi" w:eastAsiaTheme="majorEastAsia" w:hAnsiTheme="majorHAnsi" w:cstheme="majorBidi"/>
                <w:b/>
                <w:bCs/>
                <w:color w:val="000000" w:themeColor="text1"/>
                <w:sz w:val="24"/>
              </w:rPr>
              <w:t>Is the purpose defined in the statute?</w:t>
            </w:r>
          </w:p>
          <w:p w14:paraId="4368B41B" w14:textId="77777777" w:rsidR="00565D22" w:rsidRDefault="00565D22" w:rsidP="00565D22">
            <w:pPr>
              <w:rPr>
                <w:b/>
                <w:bCs/>
              </w:rPr>
            </w:pPr>
            <w:r w:rsidRPr="002C2079">
              <w:rPr>
                <w:rFonts w:asciiTheme="majorHAnsi" w:eastAsiaTheme="majorEastAsia" w:hAnsiTheme="majorHAnsi" w:cstheme="majorBidi"/>
                <w:bCs/>
                <w:color w:val="000000" w:themeColor="text1"/>
                <w:sz w:val="24"/>
              </w:rPr>
              <w:t xml:space="preserve">The statute does not explicitly state the purpose of this tax expenditure. </w:t>
            </w:r>
          </w:p>
        </w:tc>
      </w:tr>
      <w:tr w:rsidR="00565D22" w14:paraId="517CF7FB" w14:textId="77777777" w:rsidTr="00871C71">
        <w:tc>
          <w:tcPr>
            <w:tcW w:w="4788" w:type="dxa"/>
          </w:tcPr>
          <w:p w14:paraId="7594772D" w14:textId="77777777" w:rsidR="00565D22" w:rsidRPr="00003921" w:rsidRDefault="00565D22" w:rsidP="00565D22">
            <w:pPr>
              <w:tabs>
                <w:tab w:val="left" w:pos="7050"/>
              </w:tabs>
              <w:rPr>
                <w:rFonts w:asciiTheme="majorHAnsi" w:eastAsiaTheme="majorEastAsia" w:hAnsiTheme="majorHAnsi" w:cstheme="majorBidi"/>
                <w:b/>
                <w:bCs/>
                <w:color w:val="000000" w:themeColor="text1"/>
                <w:sz w:val="24"/>
              </w:rPr>
            </w:pPr>
            <w:r>
              <w:rPr>
                <w:rFonts w:asciiTheme="majorHAnsi" w:eastAsiaTheme="majorEastAsia" w:hAnsiTheme="majorHAnsi" w:cstheme="majorBidi"/>
                <w:b/>
                <w:bCs/>
                <w:color w:val="000000" w:themeColor="text1"/>
                <w:sz w:val="24"/>
              </w:rPr>
              <w:t xml:space="preserve">What are the </w:t>
            </w:r>
            <w:r w:rsidR="003A7CDE">
              <w:rPr>
                <w:rFonts w:asciiTheme="majorHAnsi" w:eastAsiaTheme="majorEastAsia" w:hAnsiTheme="majorHAnsi" w:cstheme="majorBidi"/>
                <w:b/>
                <w:bCs/>
                <w:color w:val="000000" w:themeColor="text1"/>
                <w:sz w:val="24"/>
              </w:rPr>
              <w:t>policy</w:t>
            </w:r>
            <w:r>
              <w:rPr>
                <w:rFonts w:asciiTheme="majorHAnsi" w:eastAsiaTheme="majorEastAsia" w:hAnsiTheme="majorHAnsi" w:cstheme="majorBidi"/>
                <w:b/>
                <w:bCs/>
                <w:color w:val="000000" w:themeColor="text1"/>
                <w:sz w:val="24"/>
              </w:rPr>
              <w:t xml:space="preserve"> goals of the expenditure?</w:t>
            </w:r>
          </w:p>
          <w:p w14:paraId="5BACEF6F" w14:textId="77777777" w:rsidR="00565D22" w:rsidRDefault="003A7CDE" w:rsidP="003A7CDE">
            <w:pPr>
              <w:rPr>
                <w:b/>
                <w:bCs/>
              </w:rPr>
            </w:pPr>
            <w:r>
              <w:rPr>
                <w:rFonts w:asciiTheme="majorHAnsi" w:eastAsiaTheme="majorEastAsia" w:hAnsiTheme="majorHAnsi" w:cstheme="majorBidi"/>
                <w:bCs/>
                <w:color w:val="000000" w:themeColor="text1"/>
                <w:sz w:val="24"/>
                <w:szCs w:val="24"/>
              </w:rPr>
              <w:t>The promotion of the use of Massachusetts harbors by providing an offset for the federal excise paid by shippers with respect to their use of harbors in the Commonwealth</w:t>
            </w:r>
          </w:p>
        </w:tc>
        <w:tc>
          <w:tcPr>
            <w:tcW w:w="4788" w:type="dxa"/>
          </w:tcPr>
          <w:p w14:paraId="146A595B" w14:textId="77777777" w:rsidR="00565D22" w:rsidRPr="002C2079" w:rsidRDefault="00565D22" w:rsidP="00565D22">
            <w:pPr>
              <w:tabs>
                <w:tab w:val="left" w:pos="7050"/>
              </w:tabs>
              <w:rPr>
                <w:rFonts w:asciiTheme="majorHAnsi" w:eastAsiaTheme="majorEastAsia" w:hAnsiTheme="majorHAnsi" w:cstheme="majorBidi"/>
                <w:b/>
                <w:bCs/>
                <w:color w:val="000000" w:themeColor="text1"/>
                <w:sz w:val="24"/>
              </w:rPr>
            </w:pPr>
            <w:r>
              <w:rPr>
                <w:rFonts w:asciiTheme="majorHAnsi" w:eastAsiaTheme="majorEastAsia" w:hAnsiTheme="majorHAnsi" w:cstheme="majorBidi"/>
                <w:b/>
                <w:bCs/>
                <w:color w:val="000000" w:themeColor="text1"/>
                <w:sz w:val="24"/>
              </w:rPr>
              <w:t>Are there other states with a s</w:t>
            </w:r>
            <w:r w:rsidRPr="002C2079">
              <w:rPr>
                <w:rFonts w:asciiTheme="majorHAnsi" w:eastAsiaTheme="majorEastAsia" w:hAnsiTheme="majorHAnsi" w:cstheme="majorBidi"/>
                <w:b/>
                <w:bCs/>
                <w:color w:val="000000" w:themeColor="text1"/>
                <w:sz w:val="24"/>
              </w:rPr>
              <w:t>imilar Tax Expenditure?</w:t>
            </w:r>
          </w:p>
          <w:p w14:paraId="4EF2BE57" w14:textId="77777777" w:rsidR="00565D22" w:rsidRDefault="00871C71" w:rsidP="00565D22">
            <w:pPr>
              <w:rPr>
                <w:b/>
                <w:bCs/>
              </w:rPr>
            </w:pPr>
            <w:r w:rsidRPr="00871C71">
              <w:rPr>
                <w:rFonts w:asciiTheme="majorHAnsi" w:eastAsiaTheme="majorEastAsia" w:hAnsiTheme="majorHAnsi" w:cstheme="majorBidi"/>
                <w:bCs/>
                <w:color w:val="000000" w:themeColor="text1"/>
                <w:sz w:val="24"/>
              </w:rPr>
              <w:t>DOR is not aware of a similar expenditure in any other state.</w:t>
            </w:r>
          </w:p>
        </w:tc>
      </w:tr>
    </w:tbl>
    <w:tbl>
      <w:tblPr>
        <w:tblStyle w:val="MediumList1-Accent2"/>
        <w:tblW w:w="0" w:type="auto"/>
        <w:tblLook w:val="04A0" w:firstRow="1" w:lastRow="0" w:firstColumn="1" w:lastColumn="0" w:noHBand="0" w:noVBand="1"/>
      </w:tblPr>
      <w:tblGrid>
        <w:gridCol w:w="9576"/>
      </w:tblGrid>
      <w:tr w:rsidR="00F065BC" w:rsidRPr="002C2079" w14:paraId="00AB402D" w14:textId="77777777" w:rsidTr="00515E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424232FF" w14:textId="77777777" w:rsidR="00F065BC" w:rsidRDefault="00F065BC" w:rsidP="00F065BC">
            <w:pPr>
              <w:rPr>
                <w:sz w:val="28"/>
                <w:szCs w:val="28"/>
              </w:rPr>
            </w:pPr>
          </w:p>
        </w:tc>
      </w:tr>
      <w:tr w:rsidR="004B14D0" w:rsidRPr="002C2079" w14:paraId="065EF85C" w14:textId="77777777" w:rsidTr="00515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C0504D" w:themeColor="accent2"/>
              <w:bottom w:val="single" w:sz="8" w:space="0" w:color="C0504D" w:themeColor="accent2"/>
            </w:tcBorders>
            <w:shd w:val="clear" w:color="auto" w:fill="B6DDE8" w:themeFill="accent5" w:themeFillTint="66"/>
          </w:tcPr>
          <w:p w14:paraId="44C9A22A" w14:textId="77777777" w:rsidR="004B14D0" w:rsidRPr="002C2079" w:rsidRDefault="004B14D0" w:rsidP="00F065BC">
            <w:pPr>
              <w:rPr>
                <w:rFonts w:asciiTheme="majorHAnsi" w:hAnsiTheme="majorHAnsi"/>
              </w:rPr>
            </w:pPr>
            <w:r w:rsidRPr="00AD2A39">
              <w:rPr>
                <w:sz w:val="28"/>
                <w:szCs w:val="28"/>
                <w:highlight w:val="cyan"/>
              </w:rPr>
              <w:t>Conclusion/Recommendations: [To be</w:t>
            </w:r>
            <w:r w:rsidR="00F065BC" w:rsidRPr="00AD2A39">
              <w:rPr>
                <w:sz w:val="28"/>
                <w:szCs w:val="28"/>
                <w:highlight w:val="cyan"/>
              </w:rPr>
              <w:t xml:space="preserve"> Entered by TERC]</w:t>
            </w:r>
          </w:p>
        </w:tc>
      </w:tr>
    </w:tbl>
    <w:p w14:paraId="046A8ADC" w14:textId="77777777" w:rsidR="005B1BBE" w:rsidRDefault="005B1BBE" w:rsidP="000408A3">
      <w:pPr>
        <w:rPr>
          <w:rFonts w:asciiTheme="majorHAnsi" w:hAnsiTheme="majorHAnsi"/>
        </w:rPr>
      </w:pPr>
    </w:p>
    <w:p w14:paraId="7835D8EB" w14:textId="6ED48F45" w:rsidR="003A3522" w:rsidRPr="00B22F40" w:rsidRDefault="003A3522" w:rsidP="005B1BBE">
      <w:pPr>
        <w:sectPr w:rsidR="003A3522" w:rsidRPr="00B22F40" w:rsidSect="00565D22">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267" w:left="1440" w:header="720" w:footer="720" w:gutter="0"/>
          <w:cols w:space="720"/>
          <w:docGrid w:linePitch="360"/>
        </w:sectPr>
      </w:pPr>
    </w:p>
    <w:p w14:paraId="07B34479" w14:textId="77777777" w:rsidR="00291074" w:rsidRPr="00A07439" w:rsidRDefault="00291074" w:rsidP="00291074">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lastRenderedPageBreak/>
        <w:t>INTRODUCTION</w:t>
      </w:r>
    </w:p>
    <w:p w14:paraId="0356805F" w14:textId="77777777" w:rsidR="001B5236" w:rsidRDefault="001B5236" w:rsidP="001B5236">
      <w:pPr>
        <w:tabs>
          <w:tab w:val="left" w:pos="7050"/>
        </w:tabs>
        <w:spacing w:after="0"/>
        <w:rPr>
          <w:rFonts w:asciiTheme="majorHAnsi" w:hAnsiTheme="majorHAnsi"/>
          <w:sz w:val="24"/>
          <w:szCs w:val="24"/>
        </w:rPr>
      </w:pPr>
      <w:r w:rsidRPr="00510E28">
        <w:rPr>
          <w:rFonts w:asciiTheme="majorHAnsi" w:hAnsiTheme="majorHAnsi"/>
          <w:sz w:val="24"/>
          <w:szCs w:val="24"/>
        </w:rPr>
        <w:t xml:space="preserve">Domestic and foreign corporations </w:t>
      </w:r>
      <w:r>
        <w:rPr>
          <w:rFonts w:asciiTheme="majorHAnsi" w:hAnsiTheme="majorHAnsi"/>
          <w:sz w:val="24"/>
          <w:szCs w:val="24"/>
        </w:rPr>
        <w:t xml:space="preserve">that are shippers, importers, or exporters </w:t>
      </w:r>
      <w:proofErr w:type="gramStart"/>
      <w:r w:rsidRPr="00510E28">
        <w:rPr>
          <w:rFonts w:asciiTheme="majorHAnsi" w:hAnsiTheme="majorHAnsi"/>
          <w:sz w:val="24"/>
          <w:szCs w:val="24"/>
        </w:rPr>
        <w:t>are allowed to</w:t>
      </w:r>
      <w:proofErr w:type="gramEnd"/>
      <w:r w:rsidRPr="00510E28">
        <w:rPr>
          <w:rFonts w:asciiTheme="majorHAnsi" w:hAnsiTheme="majorHAnsi"/>
          <w:sz w:val="24"/>
          <w:szCs w:val="24"/>
        </w:rPr>
        <w:t xml:space="preserve"> </w:t>
      </w:r>
      <w:r>
        <w:rPr>
          <w:rFonts w:asciiTheme="majorHAnsi" w:hAnsiTheme="majorHAnsi"/>
          <w:sz w:val="24"/>
          <w:szCs w:val="24"/>
        </w:rPr>
        <w:t>claim a dollar-for-dollar c</w:t>
      </w:r>
      <w:r w:rsidRPr="00510E28">
        <w:rPr>
          <w:rFonts w:asciiTheme="majorHAnsi" w:hAnsiTheme="majorHAnsi"/>
          <w:sz w:val="24"/>
          <w:szCs w:val="24"/>
        </w:rPr>
        <w:t>redit against the</w:t>
      </w:r>
      <w:r>
        <w:rPr>
          <w:rFonts w:asciiTheme="majorHAnsi" w:hAnsiTheme="majorHAnsi"/>
          <w:sz w:val="24"/>
          <w:szCs w:val="24"/>
        </w:rPr>
        <w:t xml:space="preserve"> </w:t>
      </w:r>
      <w:r w:rsidRPr="00510E28">
        <w:rPr>
          <w:rFonts w:asciiTheme="majorHAnsi" w:hAnsiTheme="majorHAnsi"/>
          <w:sz w:val="24"/>
          <w:szCs w:val="24"/>
        </w:rPr>
        <w:t xml:space="preserve">corporate excise for certain harbor maintenance taxes paid to the </w:t>
      </w:r>
      <w:r>
        <w:rPr>
          <w:rFonts w:asciiTheme="majorHAnsi" w:hAnsiTheme="majorHAnsi"/>
          <w:sz w:val="24"/>
          <w:szCs w:val="24"/>
        </w:rPr>
        <w:t>federal government</w:t>
      </w:r>
      <w:r w:rsidRPr="00510E28">
        <w:rPr>
          <w:rFonts w:asciiTheme="majorHAnsi" w:hAnsiTheme="majorHAnsi"/>
          <w:sz w:val="24"/>
          <w:szCs w:val="24"/>
        </w:rPr>
        <w:t>.</w:t>
      </w:r>
      <w:r>
        <w:rPr>
          <w:rFonts w:asciiTheme="majorHAnsi" w:hAnsiTheme="majorHAnsi"/>
          <w:sz w:val="24"/>
          <w:szCs w:val="24"/>
        </w:rPr>
        <w:t xml:space="preserve"> To qualify for the credit the federal tax paid must be </w:t>
      </w:r>
      <w:r w:rsidRPr="00510E28">
        <w:rPr>
          <w:rFonts w:asciiTheme="majorHAnsi" w:hAnsiTheme="majorHAnsi"/>
          <w:sz w:val="24"/>
          <w:szCs w:val="24"/>
        </w:rPr>
        <w:t xml:space="preserve">attributable to the shipment of break-bulk or containerized cargo by sea and ocean-going vessels through </w:t>
      </w:r>
      <w:r>
        <w:rPr>
          <w:rFonts w:asciiTheme="majorHAnsi" w:hAnsiTheme="majorHAnsi"/>
          <w:sz w:val="24"/>
          <w:szCs w:val="24"/>
        </w:rPr>
        <w:t xml:space="preserve">one of three designated </w:t>
      </w:r>
      <w:r w:rsidRPr="00510E28">
        <w:rPr>
          <w:rFonts w:asciiTheme="majorHAnsi" w:hAnsiTheme="majorHAnsi"/>
          <w:sz w:val="24"/>
          <w:szCs w:val="24"/>
        </w:rPr>
        <w:t>Massachusetts</w:t>
      </w:r>
      <w:r>
        <w:rPr>
          <w:rFonts w:asciiTheme="majorHAnsi" w:hAnsiTheme="majorHAnsi"/>
          <w:sz w:val="24"/>
          <w:szCs w:val="24"/>
        </w:rPr>
        <w:t xml:space="preserve"> ports</w:t>
      </w:r>
      <w:r w:rsidRPr="00510E28">
        <w:rPr>
          <w:rFonts w:asciiTheme="majorHAnsi" w:hAnsiTheme="majorHAnsi"/>
          <w:sz w:val="24"/>
          <w:szCs w:val="24"/>
        </w:rPr>
        <w:t xml:space="preserve">. The </w:t>
      </w:r>
      <w:r>
        <w:rPr>
          <w:rFonts w:asciiTheme="majorHAnsi" w:hAnsiTheme="majorHAnsi"/>
          <w:sz w:val="24"/>
          <w:szCs w:val="24"/>
        </w:rPr>
        <w:t xml:space="preserve">allowable </w:t>
      </w:r>
      <w:r w:rsidRPr="00510E28">
        <w:rPr>
          <w:rFonts w:asciiTheme="majorHAnsi" w:hAnsiTheme="majorHAnsi"/>
          <w:sz w:val="24"/>
          <w:szCs w:val="24"/>
        </w:rPr>
        <w:t>credit is not subject to the 50% limitation</w:t>
      </w:r>
      <w:r>
        <w:rPr>
          <w:rFonts w:asciiTheme="majorHAnsi" w:hAnsiTheme="majorHAnsi"/>
          <w:sz w:val="24"/>
          <w:szCs w:val="24"/>
        </w:rPr>
        <w:t xml:space="preserve"> of G.L. c. 63, §32C</w:t>
      </w:r>
      <w:r w:rsidR="00750164">
        <w:rPr>
          <w:rFonts w:asciiTheme="majorHAnsi" w:hAnsiTheme="majorHAnsi"/>
          <w:sz w:val="24"/>
          <w:szCs w:val="24"/>
        </w:rPr>
        <w:t>.  The credit</w:t>
      </w:r>
      <w:r>
        <w:rPr>
          <w:rFonts w:asciiTheme="majorHAnsi" w:hAnsiTheme="majorHAnsi"/>
          <w:sz w:val="24"/>
          <w:szCs w:val="24"/>
        </w:rPr>
        <w:t xml:space="preserve"> </w:t>
      </w:r>
      <w:r w:rsidRPr="00510E28">
        <w:rPr>
          <w:rFonts w:asciiTheme="majorHAnsi" w:hAnsiTheme="majorHAnsi"/>
          <w:sz w:val="24"/>
          <w:szCs w:val="24"/>
        </w:rPr>
        <w:t>may not reduce the</w:t>
      </w:r>
      <w:r>
        <w:rPr>
          <w:rFonts w:asciiTheme="majorHAnsi" w:hAnsiTheme="majorHAnsi"/>
          <w:sz w:val="24"/>
          <w:szCs w:val="24"/>
        </w:rPr>
        <w:t xml:space="preserve"> taxpayer’s corporate excise due below </w:t>
      </w:r>
      <w:r w:rsidRPr="00510E28">
        <w:rPr>
          <w:rFonts w:asciiTheme="majorHAnsi" w:hAnsiTheme="majorHAnsi"/>
          <w:sz w:val="24"/>
          <w:szCs w:val="24"/>
        </w:rPr>
        <w:t>the minimum excise</w:t>
      </w:r>
      <w:r>
        <w:rPr>
          <w:rFonts w:asciiTheme="majorHAnsi" w:hAnsiTheme="majorHAnsi"/>
          <w:sz w:val="24"/>
          <w:szCs w:val="24"/>
        </w:rPr>
        <w:t xml:space="preserve">, currently </w:t>
      </w:r>
      <w:r w:rsidRPr="00510E28">
        <w:rPr>
          <w:rFonts w:asciiTheme="majorHAnsi" w:hAnsiTheme="majorHAnsi"/>
          <w:sz w:val="24"/>
          <w:szCs w:val="24"/>
        </w:rPr>
        <w:t xml:space="preserve">$456. The credit </w:t>
      </w:r>
      <w:r>
        <w:rPr>
          <w:rFonts w:asciiTheme="majorHAnsi" w:hAnsiTheme="majorHAnsi"/>
          <w:sz w:val="24"/>
          <w:szCs w:val="24"/>
        </w:rPr>
        <w:t>is not refundable or transferable</w:t>
      </w:r>
      <w:r w:rsidR="00750164">
        <w:rPr>
          <w:rFonts w:asciiTheme="majorHAnsi" w:hAnsiTheme="majorHAnsi"/>
          <w:sz w:val="24"/>
          <w:szCs w:val="24"/>
        </w:rPr>
        <w:t>.  Unused credit</w:t>
      </w:r>
      <w:r>
        <w:rPr>
          <w:rFonts w:asciiTheme="majorHAnsi" w:hAnsiTheme="majorHAnsi"/>
          <w:sz w:val="24"/>
          <w:szCs w:val="24"/>
        </w:rPr>
        <w:t xml:space="preserve"> </w:t>
      </w:r>
      <w:r w:rsidRPr="00510E28">
        <w:rPr>
          <w:rFonts w:asciiTheme="majorHAnsi" w:hAnsiTheme="majorHAnsi"/>
          <w:sz w:val="24"/>
          <w:szCs w:val="24"/>
        </w:rPr>
        <w:t>may be carried forward for up to 5 years</w:t>
      </w:r>
      <w:r>
        <w:rPr>
          <w:rFonts w:asciiTheme="majorHAnsi" w:hAnsiTheme="majorHAnsi"/>
          <w:sz w:val="24"/>
          <w:szCs w:val="24"/>
        </w:rPr>
        <w:t>.</w:t>
      </w:r>
      <w:r w:rsidRPr="00510E28">
        <w:rPr>
          <w:rFonts w:asciiTheme="majorHAnsi" w:hAnsiTheme="majorHAnsi"/>
          <w:sz w:val="24"/>
          <w:szCs w:val="24"/>
        </w:rPr>
        <w:t xml:space="preserve"> </w:t>
      </w:r>
      <w:r>
        <w:rPr>
          <w:rFonts w:asciiTheme="majorHAnsi" w:hAnsiTheme="majorHAnsi"/>
          <w:sz w:val="24"/>
          <w:szCs w:val="24"/>
        </w:rPr>
        <w:t xml:space="preserve"> </w:t>
      </w:r>
    </w:p>
    <w:p w14:paraId="288768A5" w14:textId="77777777" w:rsidR="005531C8" w:rsidRDefault="005531C8" w:rsidP="002970B4">
      <w:pPr>
        <w:tabs>
          <w:tab w:val="left" w:pos="7050"/>
        </w:tabs>
        <w:spacing w:after="0"/>
        <w:rPr>
          <w:rFonts w:asciiTheme="majorHAnsi" w:hAnsiTheme="majorHAnsi"/>
          <w:sz w:val="24"/>
          <w:szCs w:val="24"/>
        </w:rPr>
      </w:pPr>
    </w:p>
    <w:p w14:paraId="6DC65B41" w14:textId="77777777" w:rsidR="001B5236" w:rsidRDefault="001B5236" w:rsidP="001B5236">
      <w:pPr>
        <w:tabs>
          <w:tab w:val="left" w:pos="7050"/>
        </w:tabs>
        <w:spacing w:after="0"/>
        <w:rPr>
          <w:rFonts w:asciiTheme="majorHAnsi" w:hAnsiTheme="majorHAnsi"/>
          <w:sz w:val="24"/>
          <w:szCs w:val="24"/>
        </w:rPr>
      </w:pPr>
      <w:r>
        <w:rPr>
          <w:rFonts w:asciiTheme="majorHAnsi" w:hAnsiTheme="majorHAnsi"/>
          <w:sz w:val="24"/>
          <w:szCs w:val="24"/>
        </w:rPr>
        <w:t>The expenditure was enacted</w:t>
      </w:r>
      <w:r w:rsidRPr="00396264">
        <w:t xml:space="preserve"> </w:t>
      </w:r>
      <w:r>
        <w:t xml:space="preserve">on </w:t>
      </w:r>
      <w:r w:rsidRPr="00396264">
        <w:rPr>
          <w:rFonts w:asciiTheme="majorHAnsi" w:hAnsiTheme="majorHAnsi"/>
          <w:sz w:val="24"/>
          <w:szCs w:val="24"/>
        </w:rPr>
        <w:t>August 9, 1996</w:t>
      </w:r>
      <w:r>
        <w:rPr>
          <w:rFonts w:asciiTheme="majorHAnsi" w:hAnsiTheme="majorHAnsi"/>
          <w:sz w:val="24"/>
          <w:szCs w:val="24"/>
        </w:rPr>
        <w:t xml:space="preserve">, </w:t>
      </w:r>
      <w:r w:rsidRPr="00396264">
        <w:rPr>
          <w:rFonts w:asciiTheme="majorHAnsi" w:hAnsiTheme="majorHAnsi"/>
          <w:sz w:val="24"/>
          <w:szCs w:val="24"/>
        </w:rPr>
        <w:t>appli</w:t>
      </w:r>
      <w:r>
        <w:rPr>
          <w:rFonts w:asciiTheme="majorHAnsi" w:hAnsiTheme="majorHAnsi"/>
          <w:sz w:val="24"/>
          <w:szCs w:val="24"/>
        </w:rPr>
        <w:t xml:space="preserve">cable to </w:t>
      </w:r>
      <w:r w:rsidRPr="00396264">
        <w:rPr>
          <w:rFonts w:asciiTheme="majorHAnsi" w:hAnsiTheme="majorHAnsi"/>
          <w:sz w:val="24"/>
          <w:szCs w:val="24"/>
        </w:rPr>
        <w:t xml:space="preserve">harbor maintenance tax paid on or after </w:t>
      </w:r>
      <w:r>
        <w:rPr>
          <w:rFonts w:asciiTheme="majorHAnsi" w:hAnsiTheme="majorHAnsi"/>
          <w:sz w:val="24"/>
          <w:szCs w:val="24"/>
        </w:rPr>
        <w:t xml:space="preserve">July 1, </w:t>
      </w:r>
      <w:r w:rsidRPr="00396264">
        <w:rPr>
          <w:rFonts w:asciiTheme="majorHAnsi" w:hAnsiTheme="majorHAnsi"/>
          <w:sz w:val="24"/>
          <w:szCs w:val="24"/>
        </w:rPr>
        <w:t>1996.</w:t>
      </w:r>
      <w:r>
        <w:rPr>
          <w:rFonts w:asciiTheme="majorHAnsi" w:hAnsiTheme="majorHAnsi"/>
          <w:sz w:val="24"/>
          <w:szCs w:val="24"/>
        </w:rPr>
        <w:t xml:space="preserve">  </w:t>
      </w:r>
    </w:p>
    <w:p w14:paraId="6DA7BA3B" w14:textId="77777777" w:rsidR="005531C8" w:rsidRDefault="005531C8" w:rsidP="002970B4">
      <w:pPr>
        <w:tabs>
          <w:tab w:val="left" w:pos="7050"/>
        </w:tabs>
        <w:spacing w:after="0"/>
        <w:rPr>
          <w:rFonts w:asciiTheme="majorHAnsi" w:hAnsiTheme="majorHAnsi"/>
          <w:sz w:val="24"/>
          <w:szCs w:val="24"/>
        </w:rPr>
      </w:pPr>
    </w:p>
    <w:p w14:paraId="56A05FBF" w14:textId="77777777" w:rsidR="005029F1" w:rsidRDefault="005029F1" w:rsidP="002970B4">
      <w:pPr>
        <w:tabs>
          <w:tab w:val="left" w:pos="7050"/>
        </w:tabs>
        <w:spacing w:after="0"/>
        <w:rPr>
          <w:rFonts w:asciiTheme="majorHAnsi" w:hAnsiTheme="majorHAnsi"/>
          <w:sz w:val="24"/>
          <w:szCs w:val="24"/>
        </w:rPr>
      </w:pPr>
    </w:p>
    <w:p w14:paraId="6185F508" w14:textId="77777777" w:rsidR="00291074" w:rsidRPr="00A07439" w:rsidRDefault="00DA035B" w:rsidP="00291074">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POLICY GOAL</w:t>
      </w:r>
      <w:r w:rsidR="00A46C07">
        <w:rPr>
          <w:rFonts w:asciiTheme="majorHAnsi" w:hAnsiTheme="majorHAnsi"/>
          <w:b/>
          <w:color w:val="E36C0A" w:themeColor="accent6" w:themeShade="BF"/>
          <w:sz w:val="28"/>
          <w:szCs w:val="28"/>
        </w:rPr>
        <w:t>S</w:t>
      </w:r>
    </w:p>
    <w:p w14:paraId="6B161B28" w14:textId="77777777" w:rsidR="00291074" w:rsidRPr="00BB467B" w:rsidRDefault="00291074" w:rsidP="00291074">
      <w:pPr>
        <w:tabs>
          <w:tab w:val="left" w:pos="7050"/>
        </w:tabs>
        <w:spacing w:after="0" w:line="240" w:lineRule="auto"/>
        <w:rPr>
          <w:rFonts w:asciiTheme="majorHAnsi" w:eastAsiaTheme="majorEastAsia" w:hAnsiTheme="majorHAnsi" w:cstheme="majorBidi"/>
          <w:bCs/>
          <w:color w:val="000000" w:themeColor="text1"/>
          <w:sz w:val="24"/>
          <w:szCs w:val="24"/>
        </w:rPr>
      </w:pPr>
      <w:r w:rsidRPr="00BB467B">
        <w:rPr>
          <w:rFonts w:asciiTheme="majorHAnsi" w:eastAsiaTheme="majorEastAsia" w:hAnsiTheme="majorHAnsi" w:cstheme="majorBidi"/>
          <w:bCs/>
          <w:color w:val="000000" w:themeColor="text1"/>
          <w:sz w:val="24"/>
          <w:szCs w:val="24"/>
        </w:rPr>
        <w:t xml:space="preserve">The statute does not explicitly state the purpose of this tax expenditure. </w:t>
      </w:r>
      <w:r w:rsidR="009D226D">
        <w:rPr>
          <w:rFonts w:asciiTheme="majorHAnsi" w:eastAsiaTheme="majorEastAsia" w:hAnsiTheme="majorHAnsi" w:cstheme="majorBidi"/>
          <w:bCs/>
          <w:color w:val="000000" w:themeColor="text1"/>
          <w:sz w:val="24"/>
          <w:szCs w:val="24"/>
        </w:rPr>
        <w:t xml:space="preserve"> However, contemporaneous accounts of the enactment of the credit indicate that it was intended to promote the use of Massachusetts harbors by providing an offset for the federal excise paid by shippers with respect to their use of harbors in the Commonwealth.   </w:t>
      </w:r>
    </w:p>
    <w:p w14:paraId="4A1CB2E9" w14:textId="77777777" w:rsidR="00291074" w:rsidRDefault="00291074" w:rsidP="00291074">
      <w:pPr>
        <w:tabs>
          <w:tab w:val="left" w:pos="7050"/>
        </w:tabs>
        <w:spacing w:after="0"/>
        <w:rPr>
          <w:rFonts w:asciiTheme="majorHAnsi" w:eastAsiaTheme="majorEastAsia" w:hAnsiTheme="majorHAnsi" w:cstheme="majorBidi"/>
          <w:bCs/>
          <w:color w:val="000000" w:themeColor="text1"/>
          <w:sz w:val="24"/>
          <w:szCs w:val="24"/>
        </w:rPr>
      </w:pPr>
    </w:p>
    <w:p w14:paraId="4A086558" w14:textId="77777777" w:rsidR="007D04C3" w:rsidRDefault="007D04C3" w:rsidP="00291074">
      <w:pPr>
        <w:tabs>
          <w:tab w:val="left" w:pos="7050"/>
        </w:tabs>
        <w:spacing w:after="0"/>
        <w:rPr>
          <w:rFonts w:asciiTheme="majorHAnsi" w:eastAsiaTheme="majorEastAsia" w:hAnsiTheme="majorHAnsi" w:cstheme="majorBidi"/>
          <w:bCs/>
          <w:color w:val="000000" w:themeColor="text1"/>
          <w:sz w:val="24"/>
          <w:szCs w:val="24"/>
        </w:rPr>
      </w:pPr>
    </w:p>
    <w:p w14:paraId="3F24AC7F" w14:textId="77777777" w:rsidR="009D6234" w:rsidRDefault="0074390A" w:rsidP="00C83F8A">
      <w:pPr>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 xml:space="preserve">DIRECT </w:t>
      </w:r>
      <w:r w:rsidR="009D6234" w:rsidRPr="009D6234">
        <w:rPr>
          <w:rFonts w:asciiTheme="majorHAnsi" w:hAnsiTheme="majorHAnsi"/>
          <w:b/>
          <w:color w:val="E36C0A" w:themeColor="accent6" w:themeShade="BF"/>
          <w:sz w:val="28"/>
          <w:szCs w:val="28"/>
        </w:rPr>
        <w:t xml:space="preserve">COSTS </w:t>
      </w:r>
    </w:p>
    <w:p w14:paraId="7CFA6192" w14:textId="77777777" w:rsidR="008A2416" w:rsidRDefault="00C83F8A" w:rsidP="000203AA">
      <w:pPr>
        <w:spacing w:after="0"/>
        <w:rPr>
          <w:rFonts w:asciiTheme="majorHAnsi" w:eastAsiaTheme="majorEastAsia" w:hAnsiTheme="majorHAnsi" w:cstheme="majorBidi"/>
          <w:bCs/>
          <w:color w:val="000000" w:themeColor="text1"/>
          <w:sz w:val="24"/>
          <w:szCs w:val="24"/>
        </w:rPr>
      </w:pPr>
      <w:r w:rsidRPr="00476C5D">
        <w:rPr>
          <w:rFonts w:asciiTheme="majorHAnsi" w:eastAsiaTheme="majorEastAsia" w:hAnsiTheme="majorHAnsi" w:cstheme="majorBidi"/>
          <w:bCs/>
          <w:color w:val="000000" w:themeColor="text1"/>
          <w:sz w:val="24"/>
          <w:szCs w:val="24"/>
        </w:rPr>
        <w:t>The revenue loss</w:t>
      </w:r>
      <w:r w:rsidR="00CC7BE7">
        <w:rPr>
          <w:rFonts w:asciiTheme="majorHAnsi" w:eastAsiaTheme="majorEastAsia" w:hAnsiTheme="majorHAnsi" w:cstheme="majorBidi"/>
          <w:bCs/>
          <w:color w:val="000000" w:themeColor="text1"/>
          <w:sz w:val="24"/>
          <w:szCs w:val="24"/>
        </w:rPr>
        <w:t xml:space="preserve"> </w:t>
      </w:r>
      <w:r w:rsidR="003A7CDE">
        <w:rPr>
          <w:rFonts w:asciiTheme="majorHAnsi" w:eastAsiaTheme="majorEastAsia" w:hAnsiTheme="majorHAnsi" w:cstheme="majorBidi"/>
          <w:bCs/>
          <w:color w:val="000000" w:themeColor="text1"/>
          <w:sz w:val="24"/>
          <w:szCs w:val="24"/>
        </w:rPr>
        <w:t>resulting from the expenditure</w:t>
      </w:r>
      <w:r w:rsidRPr="00476C5D">
        <w:rPr>
          <w:rFonts w:asciiTheme="majorHAnsi" w:eastAsiaTheme="majorEastAsia" w:hAnsiTheme="majorHAnsi" w:cstheme="majorBidi"/>
          <w:bCs/>
          <w:color w:val="000000" w:themeColor="text1"/>
          <w:sz w:val="24"/>
          <w:szCs w:val="24"/>
        </w:rPr>
        <w:t xml:space="preserve"> is e</w:t>
      </w:r>
      <w:r w:rsidR="00BA3254">
        <w:rPr>
          <w:rFonts w:asciiTheme="majorHAnsi" w:eastAsiaTheme="majorEastAsia" w:hAnsiTheme="majorHAnsi" w:cstheme="majorBidi"/>
          <w:bCs/>
          <w:color w:val="000000" w:themeColor="text1"/>
          <w:sz w:val="24"/>
          <w:szCs w:val="24"/>
        </w:rPr>
        <w:t>stimated</w:t>
      </w:r>
      <w:r w:rsidRPr="00476C5D">
        <w:rPr>
          <w:rFonts w:asciiTheme="majorHAnsi" w:eastAsiaTheme="majorEastAsia" w:hAnsiTheme="majorHAnsi" w:cstheme="majorBidi"/>
          <w:bCs/>
          <w:color w:val="000000" w:themeColor="text1"/>
          <w:sz w:val="24"/>
          <w:szCs w:val="24"/>
        </w:rPr>
        <w:t xml:space="preserve"> to be $</w:t>
      </w:r>
      <w:r>
        <w:rPr>
          <w:rFonts w:asciiTheme="majorHAnsi" w:eastAsiaTheme="majorEastAsia" w:hAnsiTheme="majorHAnsi" w:cstheme="majorBidi"/>
          <w:bCs/>
          <w:color w:val="000000" w:themeColor="text1"/>
          <w:sz w:val="24"/>
          <w:szCs w:val="24"/>
        </w:rPr>
        <w:t>1.</w:t>
      </w:r>
      <w:r w:rsidR="006D4962">
        <w:rPr>
          <w:rFonts w:asciiTheme="majorHAnsi" w:eastAsiaTheme="majorEastAsia" w:hAnsiTheme="majorHAnsi" w:cstheme="majorBidi"/>
          <w:bCs/>
          <w:color w:val="000000" w:themeColor="text1"/>
          <w:sz w:val="24"/>
          <w:szCs w:val="24"/>
        </w:rPr>
        <w:t>4</w:t>
      </w:r>
      <w:r w:rsidRPr="00476C5D">
        <w:rPr>
          <w:rFonts w:asciiTheme="majorHAnsi" w:eastAsiaTheme="majorEastAsia" w:hAnsiTheme="majorHAnsi" w:cstheme="majorBidi"/>
          <w:bCs/>
          <w:color w:val="000000" w:themeColor="text1"/>
          <w:sz w:val="24"/>
          <w:szCs w:val="24"/>
        </w:rPr>
        <w:t xml:space="preserve"> - $</w:t>
      </w:r>
      <w:r>
        <w:rPr>
          <w:rFonts w:asciiTheme="majorHAnsi" w:eastAsiaTheme="majorEastAsia" w:hAnsiTheme="majorHAnsi" w:cstheme="majorBidi"/>
          <w:bCs/>
          <w:color w:val="000000" w:themeColor="text1"/>
          <w:sz w:val="24"/>
          <w:szCs w:val="24"/>
        </w:rPr>
        <w:t>1.</w:t>
      </w:r>
      <w:r w:rsidR="006D4962">
        <w:rPr>
          <w:rFonts w:asciiTheme="majorHAnsi" w:eastAsiaTheme="majorEastAsia" w:hAnsiTheme="majorHAnsi" w:cstheme="majorBidi"/>
          <w:bCs/>
          <w:color w:val="000000" w:themeColor="text1"/>
          <w:sz w:val="24"/>
          <w:szCs w:val="24"/>
        </w:rPr>
        <w:t>5</w:t>
      </w:r>
      <w:r w:rsidRPr="00476C5D">
        <w:rPr>
          <w:rFonts w:asciiTheme="majorHAnsi" w:eastAsiaTheme="majorEastAsia" w:hAnsiTheme="majorHAnsi" w:cstheme="majorBidi"/>
          <w:bCs/>
          <w:color w:val="000000" w:themeColor="text1"/>
          <w:sz w:val="24"/>
          <w:szCs w:val="24"/>
        </w:rPr>
        <w:t xml:space="preserve"> million </w:t>
      </w:r>
      <w:r w:rsidR="00A0771B">
        <w:rPr>
          <w:rFonts w:asciiTheme="majorHAnsi" w:eastAsiaTheme="majorEastAsia" w:hAnsiTheme="majorHAnsi" w:cstheme="majorBidi"/>
          <w:bCs/>
          <w:color w:val="000000" w:themeColor="text1"/>
          <w:sz w:val="24"/>
          <w:szCs w:val="24"/>
        </w:rPr>
        <w:t xml:space="preserve">per year </w:t>
      </w:r>
      <w:r w:rsidRPr="00476C5D">
        <w:rPr>
          <w:rFonts w:asciiTheme="majorHAnsi" w:eastAsiaTheme="majorEastAsia" w:hAnsiTheme="majorHAnsi" w:cstheme="majorBidi"/>
          <w:bCs/>
          <w:color w:val="000000" w:themeColor="text1"/>
          <w:sz w:val="24"/>
          <w:szCs w:val="24"/>
        </w:rPr>
        <w:t xml:space="preserve">during FY18-FY22. </w:t>
      </w:r>
      <w:r w:rsidR="003A7CDE">
        <w:rPr>
          <w:rFonts w:asciiTheme="majorHAnsi" w:eastAsiaTheme="majorEastAsia" w:hAnsiTheme="majorHAnsi" w:cstheme="majorBidi"/>
          <w:bCs/>
          <w:color w:val="000000" w:themeColor="text1"/>
          <w:sz w:val="24"/>
          <w:szCs w:val="24"/>
        </w:rPr>
        <w:t xml:space="preserve">See Table 1. </w:t>
      </w:r>
      <w:r w:rsidR="00CC7BE7">
        <w:rPr>
          <w:rFonts w:asciiTheme="majorHAnsi" w:eastAsiaTheme="majorEastAsia" w:hAnsiTheme="majorHAnsi" w:cstheme="majorBidi"/>
          <w:bCs/>
          <w:color w:val="000000" w:themeColor="text1"/>
          <w:sz w:val="24"/>
          <w:szCs w:val="24"/>
        </w:rPr>
        <w:t xml:space="preserve">The estimates are based on </w:t>
      </w:r>
      <w:r w:rsidR="003A7CDE">
        <w:rPr>
          <w:rFonts w:asciiTheme="majorHAnsi" w:eastAsiaTheme="majorEastAsia" w:hAnsiTheme="majorHAnsi" w:cstheme="majorBidi"/>
          <w:bCs/>
          <w:color w:val="000000" w:themeColor="text1"/>
          <w:sz w:val="24"/>
          <w:szCs w:val="24"/>
        </w:rPr>
        <w:t xml:space="preserve">several factors, including </w:t>
      </w:r>
      <w:r w:rsidR="0073470C" w:rsidRPr="0073470C">
        <w:rPr>
          <w:rFonts w:asciiTheme="majorHAnsi" w:eastAsiaTheme="majorEastAsia" w:hAnsiTheme="majorHAnsi" w:cstheme="majorBidi"/>
          <w:bCs/>
          <w:color w:val="000000" w:themeColor="text1"/>
          <w:sz w:val="24"/>
          <w:szCs w:val="24"/>
        </w:rPr>
        <w:t xml:space="preserve">historical claims, economic forecasts, </w:t>
      </w:r>
      <w:r w:rsidR="003A7CDE">
        <w:rPr>
          <w:rFonts w:asciiTheme="majorHAnsi" w:eastAsiaTheme="majorEastAsia" w:hAnsiTheme="majorHAnsi" w:cstheme="majorBidi"/>
          <w:bCs/>
          <w:color w:val="000000" w:themeColor="text1"/>
          <w:sz w:val="24"/>
          <w:szCs w:val="24"/>
        </w:rPr>
        <w:t xml:space="preserve">and </w:t>
      </w:r>
      <w:r w:rsidR="0073470C" w:rsidRPr="0073470C">
        <w:rPr>
          <w:rFonts w:asciiTheme="majorHAnsi" w:eastAsiaTheme="majorEastAsia" w:hAnsiTheme="majorHAnsi" w:cstheme="majorBidi"/>
          <w:bCs/>
          <w:color w:val="000000" w:themeColor="text1"/>
          <w:sz w:val="24"/>
          <w:szCs w:val="24"/>
        </w:rPr>
        <w:t>related law changes.</w:t>
      </w:r>
    </w:p>
    <w:p w14:paraId="2C7E0B49" w14:textId="77777777" w:rsidR="008A2416" w:rsidRDefault="008A2416" w:rsidP="000203AA">
      <w:pPr>
        <w:spacing w:after="0"/>
        <w:rPr>
          <w:rFonts w:asciiTheme="majorHAnsi" w:eastAsiaTheme="majorEastAsia" w:hAnsiTheme="majorHAnsi" w:cstheme="majorBidi"/>
          <w:bCs/>
          <w:color w:val="000000" w:themeColor="text1"/>
          <w:sz w:val="24"/>
          <w:szCs w:val="24"/>
        </w:rPr>
      </w:pPr>
    </w:p>
    <w:p w14:paraId="7A83C310" w14:textId="77777777" w:rsidR="009F10FC" w:rsidRPr="00B726D0" w:rsidRDefault="009F10FC" w:rsidP="00CC7BE7">
      <w:pPr>
        <w:spacing w:after="0"/>
        <w:jc w:val="center"/>
        <w:rPr>
          <w:rFonts w:asciiTheme="majorHAnsi" w:eastAsiaTheme="majorEastAsia" w:hAnsiTheme="majorHAnsi" w:cstheme="majorBidi"/>
          <w:b/>
          <w:color w:val="000000" w:themeColor="text1"/>
          <w:sz w:val="24"/>
          <w:szCs w:val="24"/>
        </w:rPr>
      </w:pPr>
      <w:r w:rsidRPr="00B726D0">
        <w:rPr>
          <w:rFonts w:asciiTheme="majorHAnsi" w:eastAsiaTheme="majorEastAsia" w:hAnsiTheme="majorHAnsi" w:cstheme="majorBidi"/>
          <w:b/>
          <w:color w:val="000000" w:themeColor="text1"/>
          <w:sz w:val="24"/>
          <w:szCs w:val="24"/>
        </w:rPr>
        <w:t xml:space="preserve">Table 1. Tax Revenue Loss Estimates for </w:t>
      </w:r>
      <w:r>
        <w:rPr>
          <w:rFonts w:asciiTheme="majorHAnsi" w:eastAsiaTheme="majorEastAsia" w:hAnsiTheme="majorHAnsi" w:cstheme="majorBidi"/>
          <w:b/>
          <w:color w:val="000000" w:themeColor="text1"/>
          <w:sz w:val="24"/>
          <w:szCs w:val="24"/>
        </w:rPr>
        <w:t>Harbor Maintenance Tax Credit</w:t>
      </w:r>
    </w:p>
    <w:tbl>
      <w:tblPr>
        <w:tblW w:w="7950" w:type="dxa"/>
        <w:jc w:val="center"/>
        <w:tblLook w:val="04A0" w:firstRow="1" w:lastRow="0" w:firstColumn="1" w:lastColumn="0" w:noHBand="0" w:noVBand="1"/>
      </w:tblPr>
      <w:tblGrid>
        <w:gridCol w:w="2930"/>
        <w:gridCol w:w="940"/>
        <w:gridCol w:w="1020"/>
        <w:gridCol w:w="1020"/>
        <w:gridCol w:w="1020"/>
        <w:gridCol w:w="1020"/>
      </w:tblGrid>
      <w:tr w:rsidR="009F10FC" w:rsidRPr="009F10FC" w14:paraId="6B8ADE39" w14:textId="77777777" w:rsidTr="007F37BE">
        <w:trPr>
          <w:trHeight w:val="449"/>
          <w:jc w:val="center"/>
        </w:trPr>
        <w:tc>
          <w:tcPr>
            <w:tcW w:w="2930" w:type="dxa"/>
            <w:tcBorders>
              <w:top w:val="single" w:sz="4" w:space="0" w:color="auto"/>
              <w:left w:val="single" w:sz="4" w:space="0" w:color="auto"/>
              <w:bottom w:val="single" w:sz="4" w:space="0" w:color="auto"/>
              <w:right w:val="single" w:sz="4" w:space="0" w:color="auto"/>
            </w:tcBorders>
            <w:shd w:val="clear" w:color="000000" w:fill="B6DDE8" w:themeFill="accent5" w:themeFillTint="66"/>
            <w:vAlign w:val="center"/>
            <w:hideMark/>
          </w:tcPr>
          <w:p w14:paraId="2BDF2AF5" w14:textId="77777777" w:rsidR="009F10FC" w:rsidRPr="00CC7BE7" w:rsidRDefault="009F10FC" w:rsidP="009F10FC">
            <w:pPr>
              <w:spacing w:after="0" w:line="240" w:lineRule="auto"/>
              <w:jc w:val="center"/>
              <w:rPr>
                <w:rFonts w:ascii="Cambria" w:eastAsia="Times New Roman" w:hAnsi="Cambria" w:cs="Helvetica"/>
                <w:sz w:val="20"/>
                <w:szCs w:val="20"/>
                <w:lang w:eastAsia="ko-KR"/>
              </w:rPr>
            </w:pPr>
            <w:r w:rsidRPr="00CC7BE7">
              <w:rPr>
                <w:rFonts w:ascii="Cambria" w:eastAsia="Times New Roman" w:hAnsi="Cambria" w:cs="Helvetica"/>
                <w:sz w:val="20"/>
                <w:szCs w:val="20"/>
                <w:lang w:eastAsia="ko-KR"/>
              </w:rPr>
              <w:t xml:space="preserve">Fiscal Year </w:t>
            </w:r>
          </w:p>
        </w:tc>
        <w:tc>
          <w:tcPr>
            <w:tcW w:w="94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2B7FD372" w14:textId="77777777" w:rsidR="009F10FC" w:rsidRPr="00CC7BE7" w:rsidRDefault="009F10FC" w:rsidP="009F10FC">
            <w:pPr>
              <w:spacing w:after="0" w:line="240" w:lineRule="auto"/>
              <w:jc w:val="center"/>
              <w:rPr>
                <w:rFonts w:ascii="Cambria" w:eastAsia="Times New Roman" w:hAnsi="Cambria" w:cs="Helvetica"/>
                <w:sz w:val="20"/>
                <w:szCs w:val="20"/>
                <w:lang w:eastAsia="ko-KR"/>
              </w:rPr>
            </w:pPr>
            <w:r w:rsidRPr="00CC7BE7">
              <w:rPr>
                <w:rFonts w:ascii="Cambria" w:eastAsia="Times New Roman" w:hAnsi="Cambria" w:cs="Helvetica"/>
                <w:sz w:val="20"/>
                <w:szCs w:val="20"/>
                <w:lang w:eastAsia="ko-KR"/>
              </w:rPr>
              <w:t>2018</w:t>
            </w:r>
          </w:p>
        </w:tc>
        <w:tc>
          <w:tcPr>
            <w:tcW w:w="102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61DF791B" w14:textId="77777777" w:rsidR="009F10FC" w:rsidRPr="00CC7BE7" w:rsidRDefault="009F10FC" w:rsidP="009F10FC">
            <w:pPr>
              <w:spacing w:after="0" w:line="240" w:lineRule="auto"/>
              <w:jc w:val="center"/>
              <w:rPr>
                <w:rFonts w:ascii="Cambria" w:eastAsia="Times New Roman" w:hAnsi="Cambria" w:cs="Helvetica"/>
                <w:sz w:val="20"/>
                <w:szCs w:val="20"/>
                <w:lang w:eastAsia="ko-KR"/>
              </w:rPr>
            </w:pPr>
            <w:r w:rsidRPr="00CC7BE7">
              <w:rPr>
                <w:rFonts w:ascii="Cambria" w:eastAsia="Times New Roman" w:hAnsi="Cambria" w:cs="Helvetica"/>
                <w:sz w:val="20"/>
                <w:szCs w:val="20"/>
                <w:lang w:eastAsia="ko-KR"/>
              </w:rPr>
              <w:t>2019</w:t>
            </w:r>
          </w:p>
        </w:tc>
        <w:tc>
          <w:tcPr>
            <w:tcW w:w="102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5535DF98" w14:textId="77777777" w:rsidR="009F10FC" w:rsidRPr="00CC7BE7" w:rsidRDefault="009F10FC" w:rsidP="009F10FC">
            <w:pPr>
              <w:spacing w:after="0" w:line="240" w:lineRule="auto"/>
              <w:jc w:val="center"/>
              <w:rPr>
                <w:rFonts w:ascii="Cambria" w:eastAsia="Times New Roman" w:hAnsi="Cambria" w:cs="Helvetica"/>
                <w:sz w:val="20"/>
                <w:szCs w:val="20"/>
                <w:lang w:eastAsia="ko-KR"/>
              </w:rPr>
            </w:pPr>
            <w:r w:rsidRPr="00CC7BE7">
              <w:rPr>
                <w:rFonts w:ascii="Cambria" w:eastAsia="Times New Roman" w:hAnsi="Cambria" w:cs="Helvetica"/>
                <w:sz w:val="20"/>
                <w:szCs w:val="20"/>
                <w:lang w:eastAsia="ko-KR"/>
              </w:rPr>
              <w:t>2020</w:t>
            </w:r>
          </w:p>
        </w:tc>
        <w:tc>
          <w:tcPr>
            <w:tcW w:w="102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0ECF9B72" w14:textId="77777777" w:rsidR="009F10FC" w:rsidRPr="00CC7BE7" w:rsidRDefault="009F10FC" w:rsidP="009F10FC">
            <w:pPr>
              <w:spacing w:after="0" w:line="240" w:lineRule="auto"/>
              <w:jc w:val="center"/>
              <w:rPr>
                <w:rFonts w:ascii="Cambria" w:eastAsia="Times New Roman" w:hAnsi="Cambria" w:cs="Helvetica"/>
                <w:sz w:val="20"/>
                <w:szCs w:val="20"/>
                <w:lang w:eastAsia="ko-KR"/>
              </w:rPr>
            </w:pPr>
            <w:r w:rsidRPr="00CC7BE7">
              <w:rPr>
                <w:rFonts w:ascii="Cambria" w:eastAsia="Times New Roman" w:hAnsi="Cambria" w:cs="Helvetica"/>
                <w:sz w:val="20"/>
                <w:szCs w:val="20"/>
                <w:lang w:eastAsia="ko-KR"/>
              </w:rPr>
              <w:t>2021</w:t>
            </w:r>
          </w:p>
        </w:tc>
        <w:tc>
          <w:tcPr>
            <w:tcW w:w="102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4D8B13FE" w14:textId="77777777" w:rsidR="009F10FC" w:rsidRPr="00CC7BE7" w:rsidRDefault="009F10FC" w:rsidP="009F10FC">
            <w:pPr>
              <w:spacing w:after="0" w:line="240" w:lineRule="auto"/>
              <w:jc w:val="center"/>
              <w:rPr>
                <w:rFonts w:ascii="Cambria" w:eastAsia="Times New Roman" w:hAnsi="Cambria" w:cs="Helvetica"/>
                <w:sz w:val="20"/>
                <w:szCs w:val="20"/>
                <w:lang w:eastAsia="ko-KR"/>
              </w:rPr>
            </w:pPr>
            <w:r w:rsidRPr="00CC7BE7">
              <w:rPr>
                <w:rFonts w:ascii="Cambria" w:eastAsia="Times New Roman" w:hAnsi="Cambria" w:cs="Helvetica"/>
                <w:sz w:val="20"/>
                <w:szCs w:val="20"/>
                <w:lang w:eastAsia="ko-KR"/>
              </w:rPr>
              <w:t>2022</w:t>
            </w:r>
          </w:p>
        </w:tc>
      </w:tr>
      <w:tr w:rsidR="009F10FC" w:rsidRPr="009F10FC" w14:paraId="4E78C03C" w14:textId="77777777" w:rsidTr="007F37BE">
        <w:trPr>
          <w:trHeight w:val="611"/>
          <w:jc w:val="center"/>
        </w:trPr>
        <w:tc>
          <w:tcPr>
            <w:tcW w:w="2930" w:type="dxa"/>
            <w:tcBorders>
              <w:top w:val="nil"/>
              <w:left w:val="single" w:sz="4" w:space="0" w:color="auto"/>
              <w:bottom w:val="single" w:sz="4" w:space="0" w:color="auto"/>
              <w:right w:val="single" w:sz="4" w:space="0" w:color="auto"/>
            </w:tcBorders>
            <w:shd w:val="clear" w:color="000000" w:fill="FFFFFF"/>
            <w:vAlign w:val="center"/>
            <w:hideMark/>
          </w:tcPr>
          <w:p w14:paraId="497C2093" w14:textId="77777777" w:rsidR="009F10FC" w:rsidRPr="009F10FC" w:rsidRDefault="009F10FC" w:rsidP="003A7CDE">
            <w:pPr>
              <w:spacing w:after="0" w:line="240" w:lineRule="auto"/>
              <w:jc w:val="center"/>
              <w:rPr>
                <w:rFonts w:ascii="Cambria" w:eastAsia="Times New Roman" w:hAnsi="Cambria" w:cs="Arial"/>
                <w:sz w:val="20"/>
                <w:szCs w:val="20"/>
                <w:lang w:eastAsia="ko-KR"/>
              </w:rPr>
            </w:pPr>
            <w:r w:rsidRPr="009F10FC">
              <w:rPr>
                <w:rFonts w:ascii="Cambria" w:eastAsia="Times New Roman" w:hAnsi="Cambria" w:cs="Arial"/>
                <w:sz w:val="20"/>
                <w:szCs w:val="20"/>
                <w:lang w:eastAsia="ko-KR"/>
              </w:rPr>
              <w:t xml:space="preserve"> Estimate</w:t>
            </w:r>
            <w:r w:rsidR="003A7CDE">
              <w:rPr>
                <w:rFonts w:ascii="Cambria" w:eastAsia="Times New Roman" w:hAnsi="Cambria" w:cs="Arial"/>
                <w:sz w:val="20"/>
                <w:szCs w:val="20"/>
                <w:lang w:eastAsia="ko-KR"/>
              </w:rPr>
              <w:t>d Revenue Loss</w:t>
            </w:r>
            <w:r w:rsidRPr="009F10FC">
              <w:rPr>
                <w:rFonts w:ascii="Cambria" w:eastAsia="Times New Roman" w:hAnsi="Cambria" w:cs="Arial"/>
                <w:sz w:val="20"/>
                <w:szCs w:val="20"/>
                <w:lang w:eastAsia="ko-KR"/>
              </w:rPr>
              <w:t xml:space="preserve"> ($Million) </w:t>
            </w:r>
          </w:p>
        </w:tc>
        <w:tc>
          <w:tcPr>
            <w:tcW w:w="940" w:type="dxa"/>
            <w:tcBorders>
              <w:top w:val="nil"/>
              <w:left w:val="nil"/>
              <w:bottom w:val="single" w:sz="4" w:space="0" w:color="auto"/>
              <w:right w:val="single" w:sz="4" w:space="0" w:color="auto"/>
            </w:tcBorders>
            <w:shd w:val="clear" w:color="auto" w:fill="auto"/>
            <w:noWrap/>
            <w:vAlign w:val="center"/>
            <w:hideMark/>
          </w:tcPr>
          <w:p w14:paraId="39FA8896" w14:textId="77777777" w:rsidR="009F10FC" w:rsidRPr="009F10FC" w:rsidRDefault="009F10FC" w:rsidP="009F10FC">
            <w:pPr>
              <w:spacing w:after="0" w:line="240" w:lineRule="auto"/>
              <w:jc w:val="center"/>
              <w:rPr>
                <w:rFonts w:ascii="Cambria" w:eastAsia="Times New Roman" w:hAnsi="Cambria" w:cs="Arial"/>
                <w:sz w:val="20"/>
                <w:szCs w:val="20"/>
                <w:lang w:eastAsia="ko-KR"/>
              </w:rPr>
            </w:pPr>
            <w:r w:rsidRPr="009F10FC">
              <w:rPr>
                <w:rFonts w:ascii="Cambria" w:eastAsia="Times New Roman" w:hAnsi="Cambria" w:cs="Arial"/>
                <w:sz w:val="20"/>
                <w:szCs w:val="20"/>
                <w:lang w:eastAsia="ko-KR"/>
              </w:rPr>
              <w:t>$1.3</w:t>
            </w:r>
          </w:p>
        </w:tc>
        <w:tc>
          <w:tcPr>
            <w:tcW w:w="1020" w:type="dxa"/>
            <w:tcBorders>
              <w:top w:val="nil"/>
              <w:left w:val="nil"/>
              <w:bottom w:val="single" w:sz="4" w:space="0" w:color="auto"/>
              <w:right w:val="single" w:sz="4" w:space="0" w:color="auto"/>
            </w:tcBorders>
            <w:shd w:val="clear" w:color="auto" w:fill="auto"/>
            <w:noWrap/>
            <w:vAlign w:val="center"/>
            <w:hideMark/>
          </w:tcPr>
          <w:p w14:paraId="5B56AC85" w14:textId="77777777" w:rsidR="009F10FC" w:rsidRPr="009F10FC" w:rsidRDefault="009F10FC" w:rsidP="009F10FC">
            <w:pPr>
              <w:spacing w:after="0" w:line="240" w:lineRule="auto"/>
              <w:jc w:val="center"/>
              <w:rPr>
                <w:rFonts w:ascii="Cambria" w:eastAsia="Times New Roman" w:hAnsi="Cambria" w:cs="Arial"/>
                <w:sz w:val="20"/>
                <w:szCs w:val="20"/>
                <w:lang w:eastAsia="ko-KR"/>
              </w:rPr>
            </w:pPr>
            <w:r w:rsidRPr="009F10FC">
              <w:rPr>
                <w:rFonts w:ascii="Cambria" w:eastAsia="Times New Roman" w:hAnsi="Cambria" w:cs="Arial"/>
                <w:sz w:val="20"/>
                <w:szCs w:val="20"/>
                <w:lang w:eastAsia="ko-KR"/>
              </w:rPr>
              <w:t>$1.4</w:t>
            </w:r>
          </w:p>
        </w:tc>
        <w:tc>
          <w:tcPr>
            <w:tcW w:w="1020" w:type="dxa"/>
            <w:tcBorders>
              <w:top w:val="nil"/>
              <w:left w:val="nil"/>
              <w:bottom w:val="single" w:sz="4" w:space="0" w:color="auto"/>
              <w:right w:val="single" w:sz="4" w:space="0" w:color="auto"/>
            </w:tcBorders>
            <w:shd w:val="clear" w:color="auto" w:fill="auto"/>
            <w:noWrap/>
            <w:vAlign w:val="center"/>
            <w:hideMark/>
          </w:tcPr>
          <w:p w14:paraId="272555D7" w14:textId="77777777" w:rsidR="009F10FC" w:rsidRPr="009F10FC" w:rsidRDefault="009F10FC" w:rsidP="009F10FC">
            <w:pPr>
              <w:spacing w:after="0" w:line="240" w:lineRule="auto"/>
              <w:jc w:val="center"/>
              <w:rPr>
                <w:rFonts w:ascii="Cambria" w:eastAsia="Times New Roman" w:hAnsi="Cambria" w:cs="Arial"/>
                <w:sz w:val="20"/>
                <w:szCs w:val="20"/>
                <w:lang w:eastAsia="ko-KR"/>
              </w:rPr>
            </w:pPr>
            <w:r w:rsidRPr="009F10FC">
              <w:rPr>
                <w:rFonts w:ascii="Cambria" w:eastAsia="Times New Roman" w:hAnsi="Cambria" w:cs="Arial"/>
                <w:sz w:val="20"/>
                <w:szCs w:val="20"/>
                <w:lang w:eastAsia="ko-KR"/>
              </w:rPr>
              <w:t>$1.4</w:t>
            </w:r>
          </w:p>
        </w:tc>
        <w:tc>
          <w:tcPr>
            <w:tcW w:w="1020" w:type="dxa"/>
            <w:tcBorders>
              <w:top w:val="nil"/>
              <w:left w:val="nil"/>
              <w:bottom w:val="single" w:sz="4" w:space="0" w:color="auto"/>
              <w:right w:val="single" w:sz="4" w:space="0" w:color="auto"/>
            </w:tcBorders>
            <w:shd w:val="clear" w:color="auto" w:fill="auto"/>
            <w:noWrap/>
            <w:vAlign w:val="center"/>
            <w:hideMark/>
          </w:tcPr>
          <w:p w14:paraId="5E5AE5AE" w14:textId="77777777" w:rsidR="009F10FC" w:rsidRPr="009F10FC" w:rsidRDefault="009F10FC" w:rsidP="009F10FC">
            <w:pPr>
              <w:spacing w:after="0" w:line="240" w:lineRule="auto"/>
              <w:jc w:val="center"/>
              <w:rPr>
                <w:rFonts w:ascii="Cambria" w:eastAsia="Times New Roman" w:hAnsi="Cambria" w:cs="Arial"/>
                <w:sz w:val="20"/>
                <w:szCs w:val="20"/>
                <w:lang w:eastAsia="ko-KR"/>
              </w:rPr>
            </w:pPr>
            <w:r w:rsidRPr="009F10FC">
              <w:rPr>
                <w:rFonts w:ascii="Cambria" w:eastAsia="Times New Roman" w:hAnsi="Cambria" w:cs="Arial"/>
                <w:sz w:val="20"/>
                <w:szCs w:val="20"/>
                <w:lang w:eastAsia="ko-KR"/>
              </w:rPr>
              <w:t>$1.5</w:t>
            </w:r>
          </w:p>
        </w:tc>
        <w:tc>
          <w:tcPr>
            <w:tcW w:w="1020" w:type="dxa"/>
            <w:tcBorders>
              <w:top w:val="nil"/>
              <w:left w:val="nil"/>
              <w:bottom w:val="single" w:sz="4" w:space="0" w:color="auto"/>
              <w:right w:val="single" w:sz="4" w:space="0" w:color="auto"/>
            </w:tcBorders>
            <w:shd w:val="clear" w:color="auto" w:fill="auto"/>
            <w:noWrap/>
            <w:vAlign w:val="center"/>
            <w:hideMark/>
          </w:tcPr>
          <w:p w14:paraId="602A367A" w14:textId="77777777" w:rsidR="009F10FC" w:rsidRPr="009F10FC" w:rsidRDefault="009F10FC" w:rsidP="009F10FC">
            <w:pPr>
              <w:spacing w:after="0" w:line="240" w:lineRule="auto"/>
              <w:jc w:val="center"/>
              <w:rPr>
                <w:rFonts w:ascii="Cambria" w:eastAsia="Times New Roman" w:hAnsi="Cambria" w:cs="Arial"/>
                <w:sz w:val="20"/>
                <w:szCs w:val="20"/>
                <w:lang w:eastAsia="ko-KR"/>
              </w:rPr>
            </w:pPr>
            <w:r w:rsidRPr="009F10FC">
              <w:rPr>
                <w:rFonts w:ascii="Cambria" w:eastAsia="Times New Roman" w:hAnsi="Cambria" w:cs="Arial"/>
                <w:sz w:val="20"/>
                <w:szCs w:val="20"/>
                <w:lang w:eastAsia="ko-KR"/>
              </w:rPr>
              <w:t>$1.5</w:t>
            </w:r>
          </w:p>
        </w:tc>
      </w:tr>
    </w:tbl>
    <w:p w14:paraId="09739671" w14:textId="77777777" w:rsidR="008A2416" w:rsidRDefault="008A2416" w:rsidP="000203AA">
      <w:pPr>
        <w:spacing w:after="0"/>
        <w:rPr>
          <w:rFonts w:asciiTheme="majorHAnsi" w:eastAsiaTheme="majorEastAsia" w:hAnsiTheme="majorHAnsi" w:cstheme="majorBidi"/>
          <w:bCs/>
          <w:color w:val="000000" w:themeColor="text1"/>
          <w:sz w:val="24"/>
          <w:szCs w:val="24"/>
        </w:rPr>
      </w:pPr>
    </w:p>
    <w:p w14:paraId="325F1BF5" w14:textId="064EC37D" w:rsidR="008C7788" w:rsidRDefault="00A17F9F" w:rsidP="000203AA">
      <w:pPr>
        <w:spacing w:after="0"/>
        <w:rPr>
          <w:rFonts w:asciiTheme="majorHAnsi" w:eastAsiaTheme="majorEastAsia" w:hAnsiTheme="majorHAnsi" w:cstheme="majorBidi"/>
          <w:bCs/>
          <w:color w:val="000000" w:themeColor="text1"/>
          <w:sz w:val="24"/>
          <w:szCs w:val="24"/>
        </w:rPr>
      </w:pPr>
      <w:r w:rsidRPr="00A17F9F">
        <w:rPr>
          <w:rFonts w:asciiTheme="majorHAnsi" w:eastAsiaTheme="majorEastAsia" w:hAnsiTheme="majorHAnsi" w:cstheme="majorBidi"/>
          <w:bCs/>
          <w:color w:val="000000" w:themeColor="text1"/>
          <w:sz w:val="24"/>
          <w:szCs w:val="24"/>
        </w:rPr>
        <w:t xml:space="preserve">Table </w:t>
      </w:r>
      <w:r w:rsidR="008A2416">
        <w:rPr>
          <w:rFonts w:asciiTheme="majorHAnsi" w:eastAsiaTheme="majorEastAsia" w:hAnsiTheme="majorHAnsi" w:cstheme="majorBidi"/>
          <w:bCs/>
          <w:color w:val="000000" w:themeColor="text1"/>
          <w:sz w:val="24"/>
          <w:szCs w:val="24"/>
        </w:rPr>
        <w:t>2</w:t>
      </w:r>
      <w:r w:rsidRPr="00A17F9F">
        <w:rPr>
          <w:rFonts w:asciiTheme="majorHAnsi" w:eastAsiaTheme="majorEastAsia" w:hAnsiTheme="majorHAnsi" w:cstheme="majorBidi"/>
          <w:bCs/>
          <w:color w:val="000000" w:themeColor="text1"/>
          <w:sz w:val="24"/>
          <w:szCs w:val="24"/>
        </w:rPr>
        <w:t xml:space="preserve"> below shows </w:t>
      </w:r>
      <w:r w:rsidR="00E718AF">
        <w:rPr>
          <w:rFonts w:asciiTheme="majorHAnsi" w:eastAsiaTheme="majorEastAsia" w:hAnsiTheme="majorHAnsi" w:cstheme="majorBidi"/>
          <w:bCs/>
          <w:color w:val="000000" w:themeColor="text1"/>
          <w:sz w:val="24"/>
          <w:szCs w:val="24"/>
        </w:rPr>
        <w:t xml:space="preserve">the </w:t>
      </w:r>
      <w:r w:rsidR="00962624">
        <w:rPr>
          <w:rFonts w:asciiTheme="majorHAnsi" w:eastAsiaTheme="majorEastAsia" w:hAnsiTheme="majorHAnsi" w:cstheme="majorBidi"/>
          <w:bCs/>
          <w:color w:val="000000" w:themeColor="text1"/>
          <w:sz w:val="24"/>
          <w:szCs w:val="24"/>
        </w:rPr>
        <w:t xml:space="preserve">number </w:t>
      </w:r>
      <w:r w:rsidR="00E718AF">
        <w:rPr>
          <w:rFonts w:asciiTheme="majorHAnsi" w:eastAsiaTheme="majorEastAsia" w:hAnsiTheme="majorHAnsi" w:cstheme="majorBidi"/>
          <w:bCs/>
          <w:color w:val="000000" w:themeColor="text1"/>
          <w:sz w:val="24"/>
          <w:szCs w:val="24"/>
        </w:rPr>
        <w:t xml:space="preserve">and amount of </w:t>
      </w:r>
      <w:r w:rsidRPr="00A17F9F">
        <w:rPr>
          <w:rFonts w:asciiTheme="majorHAnsi" w:eastAsiaTheme="majorEastAsia" w:hAnsiTheme="majorHAnsi" w:cstheme="majorBidi"/>
          <w:bCs/>
          <w:color w:val="000000" w:themeColor="text1"/>
          <w:sz w:val="24"/>
          <w:szCs w:val="24"/>
        </w:rPr>
        <w:t>available, cla</w:t>
      </w:r>
      <w:r w:rsidR="00E718AF">
        <w:rPr>
          <w:rFonts w:asciiTheme="majorHAnsi" w:eastAsiaTheme="majorEastAsia" w:hAnsiTheme="majorHAnsi" w:cstheme="majorBidi"/>
          <w:bCs/>
          <w:color w:val="000000" w:themeColor="text1"/>
          <w:sz w:val="24"/>
          <w:szCs w:val="24"/>
        </w:rPr>
        <w:t>i</w:t>
      </w:r>
      <w:r w:rsidRPr="00A17F9F">
        <w:rPr>
          <w:rFonts w:asciiTheme="majorHAnsi" w:eastAsiaTheme="majorEastAsia" w:hAnsiTheme="majorHAnsi" w:cstheme="majorBidi"/>
          <w:bCs/>
          <w:color w:val="000000" w:themeColor="text1"/>
          <w:sz w:val="24"/>
          <w:szCs w:val="24"/>
        </w:rPr>
        <w:t>med, and shared credit</w:t>
      </w:r>
      <w:r w:rsidR="00200515">
        <w:rPr>
          <w:rFonts w:asciiTheme="majorHAnsi" w:eastAsiaTheme="majorEastAsia" w:hAnsiTheme="majorHAnsi" w:cstheme="majorBidi"/>
          <w:bCs/>
          <w:color w:val="000000" w:themeColor="text1"/>
          <w:sz w:val="24"/>
          <w:szCs w:val="24"/>
        </w:rPr>
        <w:t>s</w:t>
      </w:r>
      <w:r w:rsidRPr="00A17F9F">
        <w:rPr>
          <w:rFonts w:asciiTheme="majorHAnsi" w:eastAsiaTheme="majorEastAsia" w:hAnsiTheme="majorHAnsi" w:cstheme="majorBidi"/>
          <w:bCs/>
          <w:color w:val="000000" w:themeColor="text1"/>
          <w:sz w:val="24"/>
          <w:szCs w:val="24"/>
        </w:rPr>
        <w:t xml:space="preserve"> </w:t>
      </w:r>
      <w:r w:rsidR="00E718AF">
        <w:rPr>
          <w:rFonts w:asciiTheme="majorHAnsi" w:eastAsiaTheme="majorEastAsia" w:hAnsiTheme="majorHAnsi" w:cstheme="majorBidi"/>
          <w:bCs/>
          <w:color w:val="000000" w:themeColor="text1"/>
          <w:sz w:val="24"/>
          <w:szCs w:val="24"/>
        </w:rPr>
        <w:t>in</w:t>
      </w:r>
      <w:r w:rsidR="00E718AF" w:rsidRPr="00A17F9F">
        <w:rPr>
          <w:rFonts w:asciiTheme="majorHAnsi" w:eastAsiaTheme="majorEastAsia" w:hAnsiTheme="majorHAnsi" w:cstheme="majorBidi"/>
          <w:bCs/>
          <w:color w:val="000000" w:themeColor="text1"/>
          <w:sz w:val="24"/>
          <w:szCs w:val="24"/>
        </w:rPr>
        <w:t xml:space="preserve"> </w:t>
      </w:r>
      <w:r w:rsidR="00962624">
        <w:rPr>
          <w:rFonts w:asciiTheme="majorHAnsi" w:eastAsiaTheme="majorEastAsia" w:hAnsiTheme="majorHAnsi" w:cstheme="majorBidi"/>
          <w:bCs/>
          <w:color w:val="000000" w:themeColor="text1"/>
          <w:sz w:val="24"/>
          <w:szCs w:val="24"/>
        </w:rPr>
        <w:t>each year during the period 2015 through 2018</w:t>
      </w:r>
      <w:r w:rsidRPr="00A17F9F">
        <w:rPr>
          <w:rFonts w:asciiTheme="majorHAnsi" w:eastAsiaTheme="majorEastAsia" w:hAnsiTheme="majorHAnsi" w:cstheme="majorBidi"/>
          <w:bCs/>
          <w:color w:val="000000" w:themeColor="text1"/>
          <w:sz w:val="24"/>
          <w:szCs w:val="24"/>
        </w:rPr>
        <w:t xml:space="preserve">. </w:t>
      </w:r>
      <w:r w:rsidR="00C83F8A" w:rsidRPr="00476C5D">
        <w:rPr>
          <w:rFonts w:asciiTheme="majorHAnsi" w:eastAsiaTheme="majorEastAsia" w:hAnsiTheme="majorHAnsi" w:cstheme="majorBidi"/>
          <w:bCs/>
          <w:color w:val="000000" w:themeColor="text1"/>
          <w:sz w:val="24"/>
          <w:szCs w:val="24"/>
        </w:rPr>
        <w:t xml:space="preserve"> </w:t>
      </w:r>
      <w:r w:rsidR="0033497B">
        <w:rPr>
          <w:rFonts w:asciiTheme="majorHAnsi" w:eastAsiaTheme="majorEastAsia" w:hAnsiTheme="majorHAnsi" w:cstheme="majorBidi"/>
          <w:bCs/>
          <w:color w:val="000000" w:themeColor="text1"/>
          <w:sz w:val="24"/>
          <w:szCs w:val="24"/>
        </w:rPr>
        <w:t>“</w:t>
      </w:r>
      <w:r w:rsidR="00962624">
        <w:rPr>
          <w:rFonts w:asciiTheme="majorHAnsi" w:eastAsiaTheme="majorEastAsia" w:hAnsiTheme="majorHAnsi" w:cstheme="majorBidi"/>
          <w:bCs/>
          <w:color w:val="000000" w:themeColor="text1"/>
          <w:sz w:val="24"/>
          <w:szCs w:val="24"/>
        </w:rPr>
        <w:t>A</w:t>
      </w:r>
      <w:r w:rsidR="008C7788" w:rsidRPr="008C7788">
        <w:rPr>
          <w:rFonts w:asciiTheme="majorHAnsi" w:eastAsiaTheme="majorEastAsia" w:hAnsiTheme="majorHAnsi" w:cstheme="majorBidi"/>
          <w:bCs/>
          <w:color w:val="000000" w:themeColor="text1"/>
          <w:sz w:val="24"/>
          <w:szCs w:val="24"/>
        </w:rPr>
        <w:t>vailable credit</w:t>
      </w:r>
      <w:r w:rsidR="00962624">
        <w:rPr>
          <w:rFonts w:asciiTheme="majorHAnsi" w:eastAsiaTheme="majorEastAsia" w:hAnsiTheme="majorHAnsi" w:cstheme="majorBidi"/>
          <w:bCs/>
          <w:color w:val="000000" w:themeColor="text1"/>
          <w:sz w:val="24"/>
          <w:szCs w:val="24"/>
        </w:rPr>
        <w:t>”</w:t>
      </w:r>
      <w:r w:rsidR="008C7788" w:rsidRPr="008C7788">
        <w:rPr>
          <w:rFonts w:asciiTheme="majorHAnsi" w:eastAsiaTheme="majorEastAsia" w:hAnsiTheme="majorHAnsi" w:cstheme="majorBidi"/>
          <w:bCs/>
          <w:color w:val="000000" w:themeColor="text1"/>
          <w:sz w:val="24"/>
          <w:szCs w:val="24"/>
        </w:rPr>
        <w:t xml:space="preserve"> </w:t>
      </w:r>
      <w:r w:rsidR="00962624">
        <w:rPr>
          <w:rFonts w:asciiTheme="majorHAnsi" w:eastAsiaTheme="majorEastAsia" w:hAnsiTheme="majorHAnsi" w:cstheme="majorBidi"/>
          <w:bCs/>
          <w:color w:val="000000" w:themeColor="text1"/>
          <w:sz w:val="24"/>
          <w:szCs w:val="24"/>
        </w:rPr>
        <w:t>refers to</w:t>
      </w:r>
      <w:r w:rsidR="008C7788" w:rsidRPr="008C7788">
        <w:rPr>
          <w:rFonts w:asciiTheme="majorHAnsi" w:eastAsiaTheme="majorEastAsia" w:hAnsiTheme="majorHAnsi" w:cstheme="majorBidi"/>
          <w:bCs/>
          <w:color w:val="000000" w:themeColor="text1"/>
          <w:sz w:val="24"/>
          <w:szCs w:val="24"/>
        </w:rPr>
        <w:t xml:space="preserve"> </w:t>
      </w:r>
      <w:r w:rsidR="00E718AF">
        <w:rPr>
          <w:rFonts w:asciiTheme="majorHAnsi" w:eastAsiaTheme="majorEastAsia" w:hAnsiTheme="majorHAnsi" w:cstheme="majorBidi"/>
          <w:bCs/>
          <w:color w:val="000000" w:themeColor="text1"/>
          <w:sz w:val="24"/>
          <w:szCs w:val="24"/>
        </w:rPr>
        <w:t xml:space="preserve">the </w:t>
      </w:r>
      <w:r w:rsidR="008C7788" w:rsidRPr="008C7788">
        <w:rPr>
          <w:rFonts w:asciiTheme="majorHAnsi" w:eastAsiaTheme="majorEastAsia" w:hAnsiTheme="majorHAnsi" w:cstheme="majorBidi"/>
          <w:bCs/>
          <w:color w:val="000000" w:themeColor="text1"/>
          <w:sz w:val="24"/>
          <w:szCs w:val="24"/>
        </w:rPr>
        <w:t xml:space="preserve">maximum amount </w:t>
      </w:r>
      <w:r w:rsidR="00E718AF">
        <w:rPr>
          <w:rFonts w:asciiTheme="majorHAnsi" w:eastAsiaTheme="majorEastAsia" w:hAnsiTheme="majorHAnsi" w:cstheme="majorBidi"/>
          <w:bCs/>
          <w:color w:val="000000" w:themeColor="text1"/>
          <w:sz w:val="24"/>
          <w:szCs w:val="24"/>
        </w:rPr>
        <w:t xml:space="preserve">of </w:t>
      </w:r>
      <w:r w:rsidR="008C7788" w:rsidRPr="008C7788">
        <w:rPr>
          <w:rFonts w:asciiTheme="majorHAnsi" w:eastAsiaTheme="majorEastAsia" w:hAnsiTheme="majorHAnsi" w:cstheme="majorBidi"/>
          <w:bCs/>
          <w:color w:val="000000" w:themeColor="text1"/>
          <w:sz w:val="24"/>
          <w:szCs w:val="24"/>
        </w:rPr>
        <w:t xml:space="preserve">credit which a taxpayer can claim </w:t>
      </w:r>
      <w:r w:rsidR="00E718AF">
        <w:rPr>
          <w:rFonts w:asciiTheme="majorHAnsi" w:eastAsiaTheme="majorEastAsia" w:hAnsiTheme="majorHAnsi" w:cstheme="majorBidi"/>
          <w:bCs/>
          <w:color w:val="000000" w:themeColor="text1"/>
          <w:sz w:val="24"/>
          <w:szCs w:val="24"/>
        </w:rPr>
        <w:t>based on</w:t>
      </w:r>
      <w:r w:rsidR="00E718AF" w:rsidRPr="00D4544F">
        <w:rPr>
          <w:rFonts w:asciiTheme="majorHAnsi" w:eastAsiaTheme="majorEastAsia" w:hAnsiTheme="majorHAnsi" w:cstheme="majorBidi"/>
          <w:bCs/>
          <w:color w:val="000000" w:themeColor="text1"/>
          <w:sz w:val="24"/>
          <w:szCs w:val="24"/>
        </w:rPr>
        <w:t xml:space="preserve"> tax liability</w:t>
      </w:r>
      <w:r w:rsidR="00E718AF">
        <w:rPr>
          <w:rFonts w:asciiTheme="majorHAnsi" w:eastAsiaTheme="majorEastAsia" w:hAnsiTheme="majorHAnsi" w:cstheme="majorBidi"/>
          <w:bCs/>
          <w:color w:val="000000" w:themeColor="text1"/>
          <w:sz w:val="24"/>
          <w:szCs w:val="24"/>
        </w:rPr>
        <w:t>, provided there are</w:t>
      </w:r>
      <w:r w:rsidR="00E718AF" w:rsidRPr="00D4544F">
        <w:rPr>
          <w:rFonts w:asciiTheme="majorHAnsi" w:eastAsiaTheme="majorEastAsia" w:hAnsiTheme="majorHAnsi" w:cstheme="majorBidi"/>
          <w:bCs/>
          <w:color w:val="000000" w:themeColor="text1"/>
          <w:sz w:val="24"/>
          <w:szCs w:val="24"/>
        </w:rPr>
        <w:t xml:space="preserve"> no</w:t>
      </w:r>
      <w:r w:rsidR="00E718AF">
        <w:rPr>
          <w:rFonts w:asciiTheme="majorHAnsi" w:eastAsiaTheme="majorEastAsia" w:hAnsiTheme="majorHAnsi" w:cstheme="majorBidi"/>
          <w:bCs/>
          <w:color w:val="000000" w:themeColor="text1"/>
          <w:sz w:val="24"/>
          <w:szCs w:val="24"/>
        </w:rPr>
        <w:t xml:space="preserve"> other</w:t>
      </w:r>
      <w:r w:rsidR="00E718AF" w:rsidRPr="00D4544F">
        <w:rPr>
          <w:rFonts w:asciiTheme="majorHAnsi" w:eastAsiaTheme="majorEastAsia" w:hAnsiTheme="majorHAnsi" w:cstheme="majorBidi"/>
          <w:bCs/>
          <w:color w:val="000000" w:themeColor="text1"/>
          <w:sz w:val="24"/>
          <w:szCs w:val="24"/>
        </w:rPr>
        <w:t xml:space="preserve"> restriction</w:t>
      </w:r>
      <w:r w:rsidR="00E718AF">
        <w:rPr>
          <w:rFonts w:asciiTheme="majorHAnsi" w:eastAsiaTheme="majorEastAsia" w:hAnsiTheme="majorHAnsi" w:cstheme="majorBidi"/>
          <w:bCs/>
          <w:color w:val="000000" w:themeColor="text1"/>
          <w:sz w:val="24"/>
          <w:szCs w:val="24"/>
        </w:rPr>
        <w:t>s</w:t>
      </w:r>
      <w:r w:rsidR="00962624">
        <w:rPr>
          <w:rFonts w:asciiTheme="majorHAnsi" w:eastAsiaTheme="majorEastAsia" w:hAnsiTheme="majorHAnsi" w:cstheme="majorBidi"/>
          <w:bCs/>
          <w:color w:val="000000" w:themeColor="text1"/>
          <w:sz w:val="24"/>
          <w:szCs w:val="24"/>
        </w:rPr>
        <w:t>.</w:t>
      </w:r>
      <w:r w:rsidR="00E718AF" w:rsidRPr="00D4544F">
        <w:rPr>
          <w:rFonts w:asciiTheme="majorHAnsi" w:eastAsiaTheme="majorEastAsia" w:hAnsiTheme="majorHAnsi" w:cstheme="majorBidi"/>
          <w:bCs/>
          <w:color w:val="000000" w:themeColor="text1"/>
          <w:sz w:val="24"/>
          <w:szCs w:val="24"/>
        </w:rPr>
        <w:t xml:space="preserve"> </w:t>
      </w:r>
      <w:r w:rsidR="008C7788" w:rsidRPr="008C7788">
        <w:rPr>
          <w:rFonts w:asciiTheme="majorHAnsi" w:eastAsiaTheme="majorEastAsia" w:hAnsiTheme="majorHAnsi" w:cstheme="majorBidi"/>
          <w:bCs/>
          <w:color w:val="000000" w:themeColor="text1"/>
          <w:sz w:val="24"/>
          <w:szCs w:val="24"/>
        </w:rPr>
        <w:t xml:space="preserve"> </w:t>
      </w:r>
      <w:r w:rsidR="0033497B">
        <w:rPr>
          <w:rFonts w:asciiTheme="majorHAnsi" w:eastAsiaTheme="majorEastAsia" w:hAnsiTheme="majorHAnsi" w:cstheme="majorBidi"/>
          <w:bCs/>
          <w:color w:val="000000" w:themeColor="text1"/>
          <w:sz w:val="24"/>
          <w:szCs w:val="24"/>
        </w:rPr>
        <w:t>“</w:t>
      </w:r>
      <w:r w:rsidR="00962624">
        <w:rPr>
          <w:rFonts w:asciiTheme="majorHAnsi" w:eastAsiaTheme="majorEastAsia" w:hAnsiTheme="majorHAnsi" w:cstheme="majorBidi"/>
          <w:bCs/>
          <w:color w:val="000000" w:themeColor="text1"/>
          <w:sz w:val="24"/>
          <w:szCs w:val="24"/>
        </w:rPr>
        <w:t>C</w:t>
      </w:r>
      <w:r w:rsidR="008C7788" w:rsidRPr="008C7788">
        <w:rPr>
          <w:rFonts w:asciiTheme="majorHAnsi" w:eastAsiaTheme="majorEastAsia" w:hAnsiTheme="majorHAnsi" w:cstheme="majorBidi"/>
          <w:bCs/>
          <w:color w:val="000000" w:themeColor="text1"/>
          <w:sz w:val="24"/>
          <w:szCs w:val="24"/>
        </w:rPr>
        <w:t>laimed credit</w:t>
      </w:r>
      <w:r w:rsidR="00962624">
        <w:rPr>
          <w:rFonts w:asciiTheme="majorHAnsi" w:eastAsiaTheme="majorEastAsia" w:hAnsiTheme="majorHAnsi" w:cstheme="majorBidi"/>
          <w:bCs/>
          <w:color w:val="000000" w:themeColor="text1"/>
          <w:sz w:val="24"/>
          <w:szCs w:val="24"/>
        </w:rPr>
        <w:t>”</w:t>
      </w:r>
      <w:r w:rsidR="008C7788" w:rsidRPr="008C7788">
        <w:rPr>
          <w:rFonts w:asciiTheme="majorHAnsi" w:eastAsiaTheme="majorEastAsia" w:hAnsiTheme="majorHAnsi" w:cstheme="majorBidi"/>
          <w:bCs/>
          <w:color w:val="000000" w:themeColor="text1"/>
          <w:sz w:val="24"/>
          <w:szCs w:val="24"/>
        </w:rPr>
        <w:t xml:space="preserve"> is </w:t>
      </w:r>
      <w:r w:rsidR="00E718AF">
        <w:rPr>
          <w:rFonts w:asciiTheme="majorHAnsi" w:eastAsiaTheme="majorEastAsia" w:hAnsiTheme="majorHAnsi" w:cstheme="majorBidi"/>
          <w:bCs/>
          <w:color w:val="000000" w:themeColor="text1"/>
          <w:sz w:val="24"/>
          <w:szCs w:val="24"/>
        </w:rPr>
        <w:t xml:space="preserve">the </w:t>
      </w:r>
      <w:r w:rsidR="008C7788" w:rsidRPr="008C7788">
        <w:rPr>
          <w:rFonts w:asciiTheme="majorHAnsi" w:eastAsiaTheme="majorEastAsia" w:hAnsiTheme="majorHAnsi" w:cstheme="majorBidi"/>
          <w:bCs/>
          <w:color w:val="000000" w:themeColor="text1"/>
          <w:sz w:val="24"/>
          <w:szCs w:val="24"/>
        </w:rPr>
        <w:t xml:space="preserve">amount a taxpayer </w:t>
      </w:r>
      <w:proofErr w:type="gramStart"/>
      <w:r w:rsidR="008C7788" w:rsidRPr="008C7788">
        <w:rPr>
          <w:rFonts w:asciiTheme="majorHAnsi" w:eastAsiaTheme="majorEastAsia" w:hAnsiTheme="majorHAnsi" w:cstheme="majorBidi"/>
          <w:bCs/>
          <w:color w:val="000000" w:themeColor="text1"/>
          <w:sz w:val="24"/>
          <w:szCs w:val="24"/>
        </w:rPr>
        <w:t>actually claimed</w:t>
      </w:r>
      <w:proofErr w:type="gramEnd"/>
      <w:r w:rsidR="00962624">
        <w:rPr>
          <w:rFonts w:asciiTheme="majorHAnsi" w:eastAsiaTheme="majorEastAsia" w:hAnsiTheme="majorHAnsi" w:cstheme="majorBidi"/>
          <w:bCs/>
          <w:color w:val="000000" w:themeColor="text1"/>
          <w:sz w:val="24"/>
          <w:szCs w:val="24"/>
        </w:rPr>
        <w:t>.</w:t>
      </w:r>
      <w:r w:rsidR="008C7788" w:rsidRPr="008C7788">
        <w:rPr>
          <w:rFonts w:asciiTheme="majorHAnsi" w:eastAsiaTheme="majorEastAsia" w:hAnsiTheme="majorHAnsi" w:cstheme="majorBidi"/>
          <w:bCs/>
          <w:color w:val="000000" w:themeColor="text1"/>
          <w:sz w:val="24"/>
          <w:szCs w:val="24"/>
        </w:rPr>
        <w:t xml:space="preserve"> </w:t>
      </w:r>
      <w:r w:rsidR="0033497B">
        <w:rPr>
          <w:rFonts w:asciiTheme="majorHAnsi" w:eastAsiaTheme="majorEastAsia" w:hAnsiTheme="majorHAnsi" w:cstheme="majorBidi"/>
          <w:bCs/>
          <w:color w:val="000000" w:themeColor="text1"/>
          <w:sz w:val="24"/>
          <w:szCs w:val="24"/>
        </w:rPr>
        <w:t>“</w:t>
      </w:r>
      <w:r w:rsidR="00962624">
        <w:rPr>
          <w:rFonts w:asciiTheme="majorHAnsi" w:eastAsiaTheme="majorEastAsia" w:hAnsiTheme="majorHAnsi" w:cstheme="majorBidi"/>
          <w:bCs/>
          <w:color w:val="000000" w:themeColor="text1"/>
          <w:sz w:val="24"/>
          <w:szCs w:val="24"/>
        </w:rPr>
        <w:t>S</w:t>
      </w:r>
      <w:r w:rsidR="008C7788" w:rsidRPr="008C7788">
        <w:rPr>
          <w:rFonts w:asciiTheme="majorHAnsi" w:eastAsiaTheme="majorEastAsia" w:hAnsiTheme="majorHAnsi" w:cstheme="majorBidi"/>
          <w:bCs/>
          <w:color w:val="000000" w:themeColor="text1"/>
          <w:sz w:val="24"/>
          <w:szCs w:val="24"/>
        </w:rPr>
        <w:t>hared credit</w:t>
      </w:r>
      <w:r w:rsidR="00962624">
        <w:rPr>
          <w:rFonts w:asciiTheme="majorHAnsi" w:eastAsiaTheme="majorEastAsia" w:hAnsiTheme="majorHAnsi" w:cstheme="majorBidi"/>
          <w:bCs/>
          <w:color w:val="000000" w:themeColor="text1"/>
          <w:sz w:val="24"/>
          <w:szCs w:val="24"/>
        </w:rPr>
        <w:t>”</w:t>
      </w:r>
      <w:r w:rsidR="008C7788" w:rsidRPr="008C7788">
        <w:rPr>
          <w:rFonts w:asciiTheme="majorHAnsi" w:eastAsiaTheme="majorEastAsia" w:hAnsiTheme="majorHAnsi" w:cstheme="majorBidi"/>
          <w:bCs/>
          <w:color w:val="000000" w:themeColor="text1"/>
          <w:sz w:val="24"/>
          <w:szCs w:val="24"/>
        </w:rPr>
        <w:t xml:space="preserve"> is </w:t>
      </w:r>
      <w:r w:rsidR="00E718AF">
        <w:rPr>
          <w:rFonts w:asciiTheme="majorHAnsi" w:eastAsiaTheme="majorEastAsia" w:hAnsiTheme="majorHAnsi" w:cstheme="majorBidi"/>
          <w:bCs/>
          <w:color w:val="000000" w:themeColor="text1"/>
          <w:sz w:val="24"/>
          <w:szCs w:val="24"/>
        </w:rPr>
        <w:t xml:space="preserve">the </w:t>
      </w:r>
      <w:r w:rsidR="008C7788" w:rsidRPr="008C7788">
        <w:rPr>
          <w:rFonts w:asciiTheme="majorHAnsi" w:eastAsiaTheme="majorEastAsia" w:hAnsiTheme="majorHAnsi" w:cstheme="majorBidi"/>
          <w:bCs/>
          <w:color w:val="000000" w:themeColor="text1"/>
          <w:sz w:val="24"/>
          <w:szCs w:val="24"/>
        </w:rPr>
        <w:t xml:space="preserve">amount </w:t>
      </w:r>
      <w:r w:rsidR="00962624">
        <w:rPr>
          <w:rFonts w:asciiTheme="majorHAnsi" w:eastAsiaTheme="majorEastAsia" w:hAnsiTheme="majorHAnsi" w:cstheme="majorBidi"/>
          <w:bCs/>
          <w:color w:val="000000" w:themeColor="text1"/>
          <w:sz w:val="24"/>
          <w:szCs w:val="24"/>
        </w:rPr>
        <w:t xml:space="preserve">of a taxpayer’s credit that was </w:t>
      </w:r>
      <w:r w:rsidR="00E718AF">
        <w:rPr>
          <w:rFonts w:asciiTheme="majorHAnsi" w:eastAsiaTheme="majorEastAsia" w:hAnsiTheme="majorHAnsi" w:cstheme="majorBidi"/>
          <w:bCs/>
          <w:color w:val="000000" w:themeColor="text1"/>
          <w:sz w:val="24"/>
          <w:szCs w:val="24"/>
        </w:rPr>
        <w:t xml:space="preserve">used by other members of the </w:t>
      </w:r>
      <w:r w:rsidR="00E718AF" w:rsidRPr="00D4544F">
        <w:rPr>
          <w:rFonts w:asciiTheme="majorHAnsi" w:eastAsiaTheme="majorEastAsia" w:hAnsiTheme="majorHAnsi" w:cstheme="majorBidi"/>
          <w:bCs/>
          <w:color w:val="000000" w:themeColor="text1"/>
          <w:sz w:val="24"/>
          <w:szCs w:val="24"/>
        </w:rPr>
        <w:t>taxpayer</w:t>
      </w:r>
      <w:r w:rsidR="00E718AF">
        <w:rPr>
          <w:rFonts w:asciiTheme="majorHAnsi" w:eastAsiaTheme="majorEastAsia" w:hAnsiTheme="majorHAnsi" w:cstheme="majorBidi"/>
          <w:bCs/>
          <w:color w:val="000000" w:themeColor="text1"/>
          <w:sz w:val="24"/>
          <w:szCs w:val="24"/>
        </w:rPr>
        <w:t xml:space="preserve">’s combined </w:t>
      </w:r>
      <w:r w:rsidR="00E718AF" w:rsidRPr="00D4544F">
        <w:rPr>
          <w:rFonts w:asciiTheme="majorHAnsi" w:eastAsiaTheme="majorEastAsia" w:hAnsiTheme="majorHAnsi" w:cstheme="majorBidi"/>
          <w:bCs/>
          <w:color w:val="000000" w:themeColor="text1"/>
          <w:sz w:val="24"/>
          <w:szCs w:val="24"/>
        </w:rPr>
        <w:t>group</w:t>
      </w:r>
      <w:r w:rsidR="008C7788" w:rsidRPr="008C7788">
        <w:rPr>
          <w:rFonts w:asciiTheme="majorHAnsi" w:eastAsiaTheme="majorEastAsia" w:hAnsiTheme="majorHAnsi" w:cstheme="majorBidi"/>
          <w:bCs/>
          <w:color w:val="000000" w:themeColor="text1"/>
          <w:sz w:val="24"/>
          <w:szCs w:val="24"/>
        </w:rPr>
        <w:t xml:space="preserve">. </w:t>
      </w:r>
      <w:r w:rsidR="00200515">
        <w:rPr>
          <w:rFonts w:asciiTheme="majorHAnsi" w:eastAsiaTheme="majorEastAsia" w:hAnsiTheme="majorHAnsi" w:cstheme="majorBidi"/>
          <w:bCs/>
          <w:color w:val="000000" w:themeColor="text1"/>
          <w:sz w:val="24"/>
          <w:szCs w:val="24"/>
        </w:rPr>
        <w:t>“Count” refers to the number of credit claims.</w:t>
      </w:r>
    </w:p>
    <w:p w14:paraId="05C0549C" w14:textId="77777777" w:rsidR="008C7788" w:rsidRDefault="008C7788" w:rsidP="000203AA">
      <w:pPr>
        <w:spacing w:after="0"/>
        <w:rPr>
          <w:rFonts w:asciiTheme="majorHAnsi" w:eastAsiaTheme="majorEastAsia" w:hAnsiTheme="majorHAnsi" w:cstheme="majorBidi"/>
          <w:bCs/>
          <w:color w:val="000000" w:themeColor="text1"/>
          <w:sz w:val="24"/>
          <w:szCs w:val="24"/>
        </w:rPr>
      </w:pPr>
    </w:p>
    <w:p w14:paraId="3E7A868A" w14:textId="77777777" w:rsidR="000203AA" w:rsidRDefault="007D17CB" w:rsidP="000203AA">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lastRenderedPageBreak/>
        <w:t xml:space="preserve">During the tax years 2015 through 2018, the number of credits claimed or shared annually varied from 79 to 88, and the average </w:t>
      </w:r>
      <w:proofErr w:type="gramStart"/>
      <w:r>
        <w:rPr>
          <w:rFonts w:asciiTheme="majorHAnsi" w:eastAsiaTheme="majorEastAsia" w:hAnsiTheme="majorHAnsi" w:cstheme="majorBidi"/>
          <w:bCs/>
          <w:color w:val="000000" w:themeColor="text1"/>
          <w:sz w:val="24"/>
          <w:szCs w:val="24"/>
        </w:rPr>
        <w:t>claimed</w:t>
      </w:r>
      <w:proofErr w:type="gramEnd"/>
      <w:r>
        <w:rPr>
          <w:rFonts w:asciiTheme="majorHAnsi" w:eastAsiaTheme="majorEastAsia" w:hAnsiTheme="majorHAnsi" w:cstheme="majorBidi"/>
          <w:bCs/>
          <w:color w:val="000000" w:themeColor="text1"/>
          <w:sz w:val="24"/>
          <w:szCs w:val="24"/>
        </w:rPr>
        <w:t xml:space="preserve"> or shared amount </w:t>
      </w:r>
      <w:r w:rsidR="00962624">
        <w:rPr>
          <w:rFonts w:asciiTheme="majorHAnsi" w:eastAsiaTheme="majorEastAsia" w:hAnsiTheme="majorHAnsi" w:cstheme="majorBidi"/>
          <w:bCs/>
          <w:color w:val="000000" w:themeColor="text1"/>
          <w:sz w:val="24"/>
          <w:szCs w:val="24"/>
        </w:rPr>
        <w:t>ranged from</w:t>
      </w:r>
      <w:r>
        <w:rPr>
          <w:rFonts w:asciiTheme="majorHAnsi" w:eastAsiaTheme="majorEastAsia" w:hAnsiTheme="majorHAnsi" w:cstheme="majorBidi"/>
          <w:bCs/>
          <w:color w:val="000000" w:themeColor="text1"/>
          <w:sz w:val="24"/>
          <w:szCs w:val="24"/>
        </w:rPr>
        <w:t xml:space="preserve"> $12,400 </w:t>
      </w:r>
      <w:r w:rsidR="00BF6781">
        <w:rPr>
          <w:rFonts w:asciiTheme="majorHAnsi" w:eastAsiaTheme="majorEastAsia" w:hAnsiTheme="majorHAnsi" w:cstheme="majorBidi"/>
          <w:bCs/>
          <w:color w:val="000000" w:themeColor="text1"/>
          <w:sz w:val="24"/>
          <w:szCs w:val="24"/>
        </w:rPr>
        <w:t>to</w:t>
      </w:r>
      <w:r>
        <w:rPr>
          <w:rFonts w:asciiTheme="majorHAnsi" w:eastAsiaTheme="majorEastAsia" w:hAnsiTheme="majorHAnsi" w:cstheme="majorBidi"/>
          <w:bCs/>
          <w:color w:val="000000" w:themeColor="text1"/>
          <w:sz w:val="24"/>
          <w:szCs w:val="24"/>
        </w:rPr>
        <w:t xml:space="preserve"> $17,200 per year.  </w:t>
      </w:r>
      <w:r w:rsidR="00962624">
        <w:rPr>
          <w:rFonts w:asciiTheme="majorHAnsi" w:eastAsiaTheme="majorEastAsia" w:hAnsiTheme="majorHAnsi" w:cstheme="majorBidi"/>
          <w:bCs/>
          <w:color w:val="000000" w:themeColor="text1"/>
          <w:sz w:val="24"/>
          <w:szCs w:val="24"/>
        </w:rPr>
        <w:t>T</w:t>
      </w:r>
      <w:r>
        <w:rPr>
          <w:rFonts w:asciiTheme="majorHAnsi" w:eastAsiaTheme="majorEastAsia" w:hAnsiTheme="majorHAnsi" w:cstheme="majorBidi"/>
          <w:bCs/>
          <w:color w:val="000000" w:themeColor="text1"/>
          <w:sz w:val="24"/>
          <w:szCs w:val="24"/>
        </w:rPr>
        <w:t xml:space="preserve">he total amount of credit claimed or shared </w:t>
      </w:r>
      <w:r w:rsidR="00962624">
        <w:rPr>
          <w:rFonts w:asciiTheme="majorHAnsi" w:eastAsiaTheme="majorEastAsia" w:hAnsiTheme="majorHAnsi" w:cstheme="majorBidi"/>
          <w:bCs/>
          <w:color w:val="000000" w:themeColor="text1"/>
          <w:sz w:val="24"/>
          <w:szCs w:val="24"/>
        </w:rPr>
        <w:t>varied from</w:t>
      </w:r>
      <w:r>
        <w:rPr>
          <w:rFonts w:asciiTheme="majorHAnsi" w:eastAsiaTheme="majorEastAsia" w:hAnsiTheme="majorHAnsi" w:cstheme="majorBidi"/>
          <w:bCs/>
          <w:color w:val="000000" w:themeColor="text1"/>
          <w:sz w:val="24"/>
          <w:szCs w:val="24"/>
        </w:rPr>
        <w:t xml:space="preserve"> 68%</w:t>
      </w:r>
      <w:r w:rsidR="00962624">
        <w:rPr>
          <w:rFonts w:asciiTheme="majorHAnsi" w:eastAsiaTheme="majorEastAsia" w:hAnsiTheme="majorHAnsi" w:cstheme="majorBidi"/>
          <w:bCs/>
          <w:color w:val="000000" w:themeColor="text1"/>
          <w:sz w:val="24"/>
          <w:szCs w:val="24"/>
        </w:rPr>
        <w:t xml:space="preserve"> to </w:t>
      </w:r>
      <w:r>
        <w:rPr>
          <w:rFonts w:asciiTheme="majorHAnsi" w:eastAsiaTheme="majorEastAsia" w:hAnsiTheme="majorHAnsi" w:cstheme="majorBidi"/>
          <w:bCs/>
          <w:color w:val="000000" w:themeColor="text1"/>
          <w:sz w:val="24"/>
          <w:szCs w:val="24"/>
        </w:rPr>
        <w:t>75% of the amount of credit available</w:t>
      </w:r>
      <w:r w:rsidR="000203AA">
        <w:rPr>
          <w:rFonts w:asciiTheme="majorHAnsi" w:eastAsiaTheme="majorEastAsia" w:hAnsiTheme="majorHAnsi" w:cstheme="majorBidi"/>
          <w:bCs/>
          <w:color w:val="000000" w:themeColor="text1"/>
          <w:sz w:val="24"/>
          <w:szCs w:val="24"/>
        </w:rPr>
        <w:t>. This</w:t>
      </w:r>
      <w:r>
        <w:rPr>
          <w:rFonts w:asciiTheme="majorHAnsi" w:eastAsiaTheme="majorEastAsia" w:hAnsiTheme="majorHAnsi" w:cstheme="majorBidi"/>
          <w:bCs/>
          <w:color w:val="000000" w:themeColor="text1"/>
          <w:sz w:val="24"/>
          <w:szCs w:val="24"/>
        </w:rPr>
        <w:t xml:space="preserve"> percentage</w:t>
      </w:r>
      <w:r w:rsidR="000203AA">
        <w:rPr>
          <w:rFonts w:asciiTheme="majorHAnsi" w:eastAsiaTheme="majorEastAsia" w:hAnsiTheme="majorHAnsi" w:cstheme="majorBidi"/>
          <w:bCs/>
          <w:color w:val="000000" w:themeColor="text1"/>
          <w:sz w:val="24"/>
          <w:szCs w:val="24"/>
        </w:rPr>
        <w:t xml:space="preserve"> is relatively high compared to other tax incentives. However, it still means that some </w:t>
      </w:r>
      <w:r>
        <w:rPr>
          <w:rFonts w:asciiTheme="majorHAnsi" w:eastAsiaTheme="majorEastAsia" w:hAnsiTheme="majorHAnsi" w:cstheme="majorBidi"/>
          <w:bCs/>
          <w:color w:val="000000" w:themeColor="text1"/>
          <w:sz w:val="24"/>
          <w:szCs w:val="24"/>
        </w:rPr>
        <w:t>tax</w:t>
      </w:r>
      <w:r w:rsidR="00573D68">
        <w:rPr>
          <w:rFonts w:asciiTheme="majorHAnsi" w:eastAsiaTheme="majorEastAsia" w:hAnsiTheme="majorHAnsi" w:cstheme="majorBidi"/>
          <w:bCs/>
          <w:color w:val="000000" w:themeColor="text1"/>
          <w:sz w:val="24"/>
          <w:szCs w:val="24"/>
        </w:rPr>
        <w:t>payers</w:t>
      </w:r>
      <w:r w:rsidR="000203AA">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did not have enough tax liability to take full advantage of the credit.</w:t>
      </w:r>
    </w:p>
    <w:p w14:paraId="7D8839DD" w14:textId="77777777" w:rsidR="009F10FC" w:rsidRDefault="009F10FC" w:rsidP="000203AA">
      <w:pPr>
        <w:spacing w:after="0"/>
        <w:rPr>
          <w:rFonts w:asciiTheme="majorHAnsi" w:eastAsiaTheme="majorEastAsia" w:hAnsiTheme="majorHAnsi" w:cstheme="majorBidi"/>
          <w:bCs/>
          <w:color w:val="000000" w:themeColor="text1"/>
          <w:sz w:val="24"/>
          <w:szCs w:val="24"/>
        </w:rPr>
      </w:pPr>
    </w:p>
    <w:p w14:paraId="6E20DC67" w14:textId="77777777" w:rsidR="004E214D" w:rsidRDefault="00442642" w:rsidP="00F02B4D">
      <w:pPr>
        <w:spacing w:after="0"/>
        <w:jc w:val="center"/>
        <w:rPr>
          <w:rFonts w:asciiTheme="majorHAnsi" w:hAnsiTheme="majorHAnsi"/>
          <w:b/>
          <w:sz w:val="24"/>
          <w:szCs w:val="24"/>
        </w:rPr>
      </w:pPr>
      <w:r w:rsidRPr="00CA0391">
        <w:rPr>
          <w:rFonts w:asciiTheme="majorHAnsi" w:hAnsiTheme="majorHAnsi"/>
          <w:b/>
          <w:sz w:val="24"/>
          <w:szCs w:val="24"/>
        </w:rPr>
        <w:t xml:space="preserve">Table </w:t>
      </w:r>
      <w:r w:rsidR="008A2416">
        <w:rPr>
          <w:rFonts w:asciiTheme="majorHAnsi" w:hAnsiTheme="majorHAnsi"/>
          <w:b/>
          <w:sz w:val="24"/>
          <w:szCs w:val="24"/>
        </w:rPr>
        <w:t>2</w:t>
      </w:r>
      <w:r w:rsidRPr="00CA0391">
        <w:rPr>
          <w:rFonts w:asciiTheme="majorHAnsi" w:hAnsiTheme="majorHAnsi"/>
          <w:b/>
          <w:sz w:val="24"/>
          <w:szCs w:val="24"/>
        </w:rPr>
        <w:t xml:space="preserve">. </w:t>
      </w:r>
      <w:r w:rsidR="00A779E8">
        <w:rPr>
          <w:rFonts w:asciiTheme="majorHAnsi" w:hAnsiTheme="majorHAnsi"/>
          <w:b/>
          <w:sz w:val="24"/>
          <w:szCs w:val="24"/>
        </w:rPr>
        <w:t>Amount</w:t>
      </w:r>
      <w:r w:rsidR="0011622E">
        <w:rPr>
          <w:rFonts w:asciiTheme="majorHAnsi" w:hAnsiTheme="majorHAnsi"/>
          <w:b/>
          <w:sz w:val="24"/>
          <w:szCs w:val="24"/>
        </w:rPr>
        <w:t xml:space="preserve"> and Count</w:t>
      </w:r>
      <w:r w:rsidR="00A779E8">
        <w:rPr>
          <w:rFonts w:asciiTheme="majorHAnsi" w:hAnsiTheme="majorHAnsi"/>
          <w:b/>
          <w:sz w:val="24"/>
          <w:szCs w:val="24"/>
        </w:rPr>
        <w:t xml:space="preserve"> of Harbor Maintenance Credit</w:t>
      </w:r>
      <w:r w:rsidR="00BF6781">
        <w:rPr>
          <w:rFonts w:asciiTheme="majorHAnsi" w:hAnsiTheme="majorHAnsi"/>
          <w:b/>
          <w:sz w:val="24"/>
          <w:szCs w:val="24"/>
        </w:rPr>
        <w:t xml:space="preserve"> </w:t>
      </w:r>
      <w:r w:rsidR="00F67EC3">
        <w:rPr>
          <w:rFonts w:asciiTheme="majorHAnsi" w:hAnsiTheme="majorHAnsi"/>
          <w:b/>
          <w:sz w:val="24"/>
          <w:szCs w:val="24"/>
        </w:rPr>
        <w:t>by Tax Year</w:t>
      </w:r>
    </w:p>
    <w:tbl>
      <w:tblPr>
        <w:tblW w:w="9948" w:type="dxa"/>
        <w:jc w:val="center"/>
        <w:tblLook w:val="04A0" w:firstRow="1" w:lastRow="0" w:firstColumn="1" w:lastColumn="0" w:noHBand="0" w:noVBand="1"/>
      </w:tblPr>
      <w:tblGrid>
        <w:gridCol w:w="2011"/>
        <w:gridCol w:w="903"/>
        <w:gridCol w:w="1030"/>
        <w:gridCol w:w="903"/>
        <w:gridCol w:w="1088"/>
        <w:gridCol w:w="979"/>
        <w:gridCol w:w="1067"/>
        <w:gridCol w:w="903"/>
        <w:gridCol w:w="1064"/>
      </w:tblGrid>
      <w:tr w:rsidR="00BF6781" w:rsidRPr="008668E7" w14:paraId="662D3F37" w14:textId="77777777" w:rsidTr="00BF6781">
        <w:trPr>
          <w:trHeight w:val="290"/>
          <w:jc w:val="center"/>
        </w:trPr>
        <w:tc>
          <w:tcPr>
            <w:tcW w:w="2011" w:type="dxa"/>
            <w:vMerge w:val="restart"/>
            <w:tcBorders>
              <w:top w:val="single" w:sz="4" w:space="0" w:color="auto"/>
              <w:left w:val="single" w:sz="4" w:space="0" w:color="auto"/>
              <w:bottom w:val="single" w:sz="4" w:space="0" w:color="000000"/>
              <w:right w:val="single" w:sz="4" w:space="0" w:color="auto"/>
            </w:tcBorders>
            <w:shd w:val="clear" w:color="auto" w:fill="B6DDE8" w:themeFill="accent5" w:themeFillTint="66"/>
            <w:noWrap/>
            <w:vAlign w:val="center"/>
            <w:hideMark/>
          </w:tcPr>
          <w:p w14:paraId="7DB444D7" w14:textId="77777777" w:rsidR="008A2416" w:rsidRPr="00F02B4D" w:rsidRDefault="008A2416" w:rsidP="008A2416">
            <w:pPr>
              <w:spacing w:after="0" w:line="240" w:lineRule="auto"/>
              <w:jc w:val="center"/>
              <w:rPr>
                <w:rFonts w:ascii="Cambria" w:eastAsia="Times New Roman" w:hAnsi="Cambria" w:cs="Arial"/>
                <w:sz w:val="20"/>
                <w:szCs w:val="20"/>
                <w:lang w:eastAsia="ko-KR"/>
              </w:rPr>
            </w:pPr>
          </w:p>
        </w:tc>
        <w:tc>
          <w:tcPr>
            <w:tcW w:w="1933" w:type="dxa"/>
            <w:gridSpan w:val="2"/>
            <w:tcBorders>
              <w:top w:val="single" w:sz="4" w:space="0" w:color="auto"/>
              <w:left w:val="nil"/>
              <w:bottom w:val="single" w:sz="4" w:space="0" w:color="auto"/>
              <w:right w:val="single" w:sz="4" w:space="0" w:color="000000"/>
            </w:tcBorders>
            <w:shd w:val="clear" w:color="auto" w:fill="B6DDE8" w:themeFill="accent5" w:themeFillTint="66"/>
            <w:noWrap/>
            <w:vAlign w:val="bottom"/>
            <w:hideMark/>
          </w:tcPr>
          <w:p w14:paraId="07C1DBD4" w14:textId="77777777" w:rsidR="008A2416" w:rsidRPr="00F02B4D" w:rsidRDefault="008A2416" w:rsidP="008A2416">
            <w:pPr>
              <w:spacing w:after="0" w:line="240" w:lineRule="auto"/>
              <w:jc w:val="center"/>
              <w:rPr>
                <w:rFonts w:ascii="Cambria" w:eastAsia="Times New Roman" w:hAnsi="Cambria" w:cs="Arial"/>
                <w:color w:val="000000"/>
                <w:sz w:val="20"/>
                <w:szCs w:val="20"/>
                <w:lang w:eastAsia="ko-KR"/>
              </w:rPr>
            </w:pPr>
            <w:r w:rsidRPr="00F02B4D">
              <w:rPr>
                <w:rFonts w:ascii="Cambria" w:eastAsia="Times New Roman" w:hAnsi="Cambria" w:cs="Arial"/>
                <w:color w:val="000000"/>
                <w:sz w:val="20"/>
                <w:szCs w:val="20"/>
                <w:lang w:eastAsia="ko-KR"/>
              </w:rPr>
              <w:t>2015</w:t>
            </w:r>
          </w:p>
        </w:tc>
        <w:tc>
          <w:tcPr>
            <w:tcW w:w="1991" w:type="dxa"/>
            <w:gridSpan w:val="2"/>
            <w:tcBorders>
              <w:top w:val="single" w:sz="4" w:space="0" w:color="auto"/>
              <w:left w:val="nil"/>
              <w:bottom w:val="single" w:sz="4" w:space="0" w:color="auto"/>
              <w:right w:val="single" w:sz="4" w:space="0" w:color="000000"/>
            </w:tcBorders>
            <w:shd w:val="clear" w:color="auto" w:fill="B6DDE8" w:themeFill="accent5" w:themeFillTint="66"/>
            <w:noWrap/>
            <w:vAlign w:val="bottom"/>
            <w:hideMark/>
          </w:tcPr>
          <w:p w14:paraId="331B00E6" w14:textId="77777777" w:rsidR="008A2416" w:rsidRPr="00F02B4D" w:rsidRDefault="008A2416" w:rsidP="008A2416">
            <w:pPr>
              <w:spacing w:after="0" w:line="240" w:lineRule="auto"/>
              <w:jc w:val="center"/>
              <w:rPr>
                <w:rFonts w:ascii="Cambria" w:eastAsia="Times New Roman" w:hAnsi="Cambria" w:cs="Arial"/>
                <w:color w:val="000000"/>
                <w:sz w:val="20"/>
                <w:szCs w:val="20"/>
                <w:lang w:eastAsia="ko-KR"/>
              </w:rPr>
            </w:pPr>
            <w:r w:rsidRPr="00F02B4D">
              <w:rPr>
                <w:rFonts w:ascii="Cambria" w:eastAsia="Times New Roman" w:hAnsi="Cambria" w:cs="Arial"/>
                <w:color w:val="000000"/>
                <w:sz w:val="20"/>
                <w:szCs w:val="20"/>
                <w:lang w:eastAsia="ko-KR"/>
              </w:rPr>
              <w:t>2016</w:t>
            </w:r>
          </w:p>
        </w:tc>
        <w:tc>
          <w:tcPr>
            <w:tcW w:w="2046" w:type="dxa"/>
            <w:gridSpan w:val="2"/>
            <w:tcBorders>
              <w:top w:val="single" w:sz="4" w:space="0" w:color="auto"/>
              <w:left w:val="nil"/>
              <w:bottom w:val="single" w:sz="4" w:space="0" w:color="auto"/>
              <w:right w:val="single" w:sz="4" w:space="0" w:color="000000"/>
            </w:tcBorders>
            <w:shd w:val="clear" w:color="auto" w:fill="B6DDE8" w:themeFill="accent5" w:themeFillTint="66"/>
            <w:noWrap/>
            <w:vAlign w:val="bottom"/>
            <w:hideMark/>
          </w:tcPr>
          <w:p w14:paraId="2DFE49D4" w14:textId="77777777" w:rsidR="008A2416" w:rsidRPr="00F02B4D" w:rsidRDefault="008A2416" w:rsidP="008A2416">
            <w:pPr>
              <w:spacing w:after="0" w:line="240" w:lineRule="auto"/>
              <w:jc w:val="center"/>
              <w:rPr>
                <w:rFonts w:ascii="Cambria" w:eastAsia="Times New Roman" w:hAnsi="Cambria" w:cs="Arial"/>
                <w:color w:val="000000"/>
                <w:sz w:val="20"/>
                <w:szCs w:val="20"/>
                <w:lang w:eastAsia="ko-KR"/>
              </w:rPr>
            </w:pPr>
            <w:r w:rsidRPr="00F02B4D">
              <w:rPr>
                <w:rFonts w:ascii="Cambria" w:eastAsia="Times New Roman" w:hAnsi="Cambria" w:cs="Arial"/>
                <w:color w:val="000000"/>
                <w:sz w:val="20"/>
                <w:szCs w:val="20"/>
                <w:lang w:eastAsia="ko-KR"/>
              </w:rPr>
              <w:t>2017</w:t>
            </w:r>
          </w:p>
        </w:tc>
        <w:tc>
          <w:tcPr>
            <w:tcW w:w="1967" w:type="dxa"/>
            <w:gridSpan w:val="2"/>
            <w:tcBorders>
              <w:top w:val="single" w:sz="4" w:space="0" w:color="auto"/>
              <w:left w:val="nil"/>
              <w:bottom w:val="single" w:sz="4" w:space="0" w:color="auto"/>
              <w:right w:val="single" w:sz="4" w:space="0" w:color="000000"/>
            </w:tcBorders>
            <w:shd w:val="clear" w:color="auto" w:fill="B6DDE8" w:themeFill="accent5" w:themeFillTint="66"/>
            <w:noWrap/>
            <w:vAlign w:val="bottom"/>
            <w:hideMark/>
          </w:tcPr>
          <w:p w14:paraId="0F630E6E" w14:textId="77777777" w:rsidR="008A2416" w:rsidRPr="00F02B4D" w:rsidRDefault="008A2416" w:rsidP="008A2416">
            <w:pPr>
              <w:spacing w:after="0" w:line="240" w:lineRule="auto"/>
              <w:jc w:val="center"/>
              <w:rPr>
                <w:rFonts w:ascii="Cambria" w:eastAsia="Times New Roman" w:hAnsi="Cambria" w:cs="Arial"/>
                <w:color w:val="000000"/>
                <w:sz w:val="20"/>
                <w:szCs w:val="20"/>
                <w:lang w:eastAsia="ko-KR"/>
              </w:rPr>
            </w:pPr>
            <w:r w:rsidRPr="00F02B4D">
              <w:rPr>
                <w:rFonts w:ascii="Cambria" w:eastAsia="Times New Roman" w:hAnsi="Cambria" w:cs="Arial"/>
                <w:color w:val="000000"/>
                <w:sz w:val="20"/>
                <w:szCs w:val="20"/>
                <w:lang w:eastAsia="ko-KR"/>
              </w:rPr>
              <w:t>2018</w:t>
            </w:r>
          </w:p>
        </w:tc>
      </w:tr>
      <w:tr w:rsidR="00BF6781" w:rsidRPr="008668E7" w14:paraId="5D9BC25C" w14:textId="77777777" w:rsidTr="00CF2756">
        <w:trPr>
          <w:trHeight w:val="460"/>
          <w:jc w:val="center"/>
        </w:trPr>
        <w:tc>
          <w:tcPr>
            <w:tcW w:w="2011" w:type="dxa"/>
            <w:vMerge/>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14:paraId="70DF1617" w14:textId="77777777" w:rsidR="008A2416" w:rsidRPr="00F02B4D" w:rsidRDefault="008A2416" w:rsidP="008A2416">
            <w:pPr>
              <w:spacing w:after="0" w:line="240" w:lineRule="auto"/>
              <w:rPr>
                <w:rFonts w:ascii="Cambria" w:eastAsia="Times New Roman" w:hAnsi="Cambria" w:cs="Arial"/>
                <w:sz w:val="20"/>
                <w:szCs w:val="20"/>
                <w:lang w:eastAsia="ko-KR"/>
              </w:rPr>
            </w:pPr>
          </w:p>
        </w:tc>
        <w:tc>
          <w:tcPr>
            <w:tcW w:w="903" w:type="dxa"/>
            <w:tcBorders>
              <w:top w:val="nil"/>
              <w:left w:val="nil"/>
              <w:bottom w:val="single" w:sz="4" w:space="0" w:color="auto"/>
              <w:right w:val="single" w:sz="4" w:space="0" w:color="auto"/>
            </w:tcBorders>
            <w:shd w:val="clear" w:color="auto" w:fill="B6DDE8" w:themeFill="accent5" w:themeFillTint="66"/>
            <w:vAlign w:val="center"/>
            <w:hideMark/>
          </w:tcPr>
          <w:p w14:paraId="395F6CE3" w14:textId="77777777" w:rsidR="008A2416" w:rsidRPr="00F02B4D" w:rsidRDefault="008A2416" w:rsidP="008A2416">
            <w:pPr>
              <w:spacing w:after="0" w:line="240" w:lineRule="auto"/>
              <w:jc w:val="center"/>
              <w:rPr>
                <w:rFonts w:ascii="Cambria" w:eastAsia="Times New Roman" w:hAnsi="Cambria" w:cs="Arial"/>
                <w:sz w:val="20"/>
                <w:szCs w:val="20"/>
                <w:lang w:eastAsia="ko-KR"/>
              </w:rPr>
            </w:pPr>
            <w:r w:rsidRPr="00F02B4D">
              <w:rPr>
                <w:rFonts w:ascii="Cambria" w:eastAsia="Times New Roman" w:hAnsi="Cambria" w:cs="Arial"/>
                <w:sz w:val="20"/>
                <w:szCs w:val="20"/>
                <w:lang w:eastAsia="ko-KR"/>
              </w:rPr>
              <w:t>Amount ($000)</w:t>
            </w:r>
          </w:p>
        </w:tc>
        <w:tc>
          <w:tcPr>
            <w:tcW w:w="1030" w:type="dxa"/>
            <w:tcBorders>
              <w:top w:val="nil"/>
              <w:left w:val="nil"/>
              <w:bottom w:val="single" w:sz="4" w:space="0" w:color="auto"/>
              <w:right w:val="single" w:sz="4" w:space="0" w:color="auto"/>
            </w:tcBorders>
            <w:shd w:val="clear" w:color="auto" w:fill="B6DDE8" w:themeFill="accent5" w:themeFillTint="66"/>
            <w:noWrap/>
            <w:vAlign w:val="center"/>
            <w:hideMark/>
          </w:tcPr>
          <w:p w14:paraId="1CE1161C" w14:textId="77777777" w:rsidR="008A2416" w:rsidRPr="00F02B4D" w:rsidRDefault="008A05D1" w:rsidP="004D0D37">
            <w:pPr>
              <w:spacing w:after="0" w:line="240" w:lineRule="auto"/>
              <w:jc w:val="center"/>
              <w:rPr>
                <w:rFonts w:ascii="Cambria" w:eastAsia="Times New Roman" w:hAnsi="Cambria" w:cs="Arial"/>
                <w:sz w:val="20"/>
                <w:szCs w:val="20"/>
                <w:lang w:eastAsia="ko-KR"/>
              </w:rPr>
            </w:pPr>
            <w:r>
              <w:rPr>
                <w:rFonts w:ascii="Cambria" w:eastAsia="Times New Roman" w:hAnsi="Cambria" w:cs="Arial"/>
                <w:sz w:val="20"/>
                <w:szCs w:val="20"/>
                <w:lang w:eastAsia="ko-KR"/>
              </w:rPr>
              <w:t>Count</w:t>
            </w:r>
          </w:p>
        </w:tc>
        <w:tc>
          <w:tcPr>
            <w:tcW w:w="903" w:type="dxa"/>
            <w:tcBorders>
              <w:top w:val="nil"/>
              <w:left w:val="nil"/>
              <w:bottom w:val="single" w:sz="4" w:space="0" w:color="auto"/>
              <w:right w:val="single" w:sz="4" w:space="0" w:color="auto"/>
            </w:tcBorders>
            <w:shd w:val="clear" w:color="auto" w:fill="B6DDE8" w:themeFill="accent5" w:themeFillTint="66"/>
            <w:vAlign w:val="center"/>
            <w:hideMark/>
          </w:tcPr>
          <w:p w14:paraId="0219FB41" w14:textId="77777777" w:rsidR="008A2416" w:rsidRPr="00F02B4D" w:rsidRDefault="008A2416" w:rsidP="008A2416">
            <w:pPr>
              <w:spacing w:after="0" w:line="240" w:lineRule="auto"/>
              <w:jc w:val="center"/>
              <w:rPr>
                <w:rFonts w:ascii="Cambria" w:eastAsia="Times New Roman" w:hAnsi="Cambria" w:cs="Arial"/>
                <w:sz w:val="20"/>
                <w:szCs w:val="20"/>
                <w:lang w:eastAsia="ko-KR"/>
              </w:rPr>
            </w:pPr>
            <w:r w:rsidRPr="00F02B4D">
              <w:rPr>
                <w:rFonts w:ascii="Cambria" w:eastAsia="Times New Roman" w:hAnsi="Cambria" w:cs="Arial"/>
                <w:sz w:val="20"/>
                <w:szCs w:val="20"/>
                <w:lang w:eastAsia="ko-KR"/>
              </w:rPr>
              <w:t>Amount ($000)</w:t>
            </w:r>
          </w:p>
        </w:tc>
        <w:tc>
          <w:tcPr>
            <w:tcW w:w="1088" w:type="dxa"/>
            <w:tcBorders>
              <w:top w:val="nil"/>
              <w:left w:val="nil"/>
              <w:bottom w:val="single" w:sz="4" w:space="0" w:color="auto"/>
              <w:right w:val="single" w:sz="4" w:space="0" w:color="auto"/>
            </w:tcBorders>
            <w:shd w:val="clear" w:color="auto" w:fill="B6DDE8" w:themeFill="accent5" w:themeFillTint="66"/>
            <w:noWrap/>
            <w:vAlign w:val="center"/>
            <w:hideMark/>
          </w:tcPr>
          <w:p w14:paraId="39C8A03D" w14:textId="77777777" w:rsidR="008A2416" w:rsidRPr="00F02B4D" w:rsidRDefault="008A05D1" w:rsidP="004D0D37">
            <w:pPr>
              <w:spacing w:after="0" w:line="240" w:lineRule="auto"/>
              <w:jc w:val="center"/>
              <w:rPr>
                <w:rFonts w:ascii="Cambria" w:eastAsia="Times New Roman" w:hAnsi="Cambria" w:cs="Arial"/>
                <w:sz w:val="20"/>
                <w:szCs w:val="20"/>
                <w:lang w:eastAsia="ko-KR"/>
              </w:rPr>
            </w:pPr>
            <w:r>
              <w:rPr>
                <w:rFonts w:ascii="Cambria" w:eastAsia="Times New Roman" w:hAnsi="Cambria" w:cs="Arial"/>
                <w:sz w:val="20"/>
                <w:szCs w:val="20"/>
                <w:lang w:eastAsia="ko-KR"/>
              </w:rPr>
              <w:t>Count</w:t>
            </w:r>
          </w:p>
        </w:tc>
        <w:tc>
          <w:tcPr>
            <w:tcW w:w="979" w:type="dxa"/>
            <w:tcBorders>
              <w:top w:val="nil"/>
              <w:left w:val="nil"/>
              <w:bottom w:val="single" w:sz="4" w:space="0" w:color="auto"/>
              <w:right w:val="single" w:sz="4" w:space="0" w:color="auto"/>
            </w:tcBorders>
            <w:shd w:val="clear" w:color="auto" w:fill="B6DDE8" w:themeFill="accent5" w:themeFillTint="66"/>
            <w:vAlign w:val="center"/>
            <w:hideMark/>
          </w:tcPr>
          <w:p w14:paraId="60B823C5" w14:textId="77777777" w:rsidR="008A2416" w:rsidRPr="00F02B4D" w:rsidRDefault="008A2416" w:rsidP="008A2416">
            <w:pPr>
              <w:spacing w:after="0" w:line="240" w:lineRule="auto"/>
              <w:jc w:val="center"/>
              <w:rPr>
                <w:rFonts w:ascii="Cambria" w:eastAsia="Times New Roman" w:hAnsi="Cambria" w:cs="Arial"/>
                <w:sz w:val="20"/>
                <w:szCs w:val="20"/>
                <w:lang w:eastAsia="ko-KR"/>
              </w:rPr>
            </w:pPr>
            <w:r w:rsidRPr="00F02B4D">
              <w:rPr>
                <w:rFonts w:ascii="Cambria" w:eastAsia="Times New Roman" w:hAnsi="Cambria" w:cs="Arial"/>
                <w:sz w:val="20"/>
                <w:szCs w:val="20"/>
                <w:lang w:eastAsia="ko-KR"/>
              </w:rPr>
              <w:t>Amount ($000)</w:t>
            </w:r>
          </w:p>
        </w:tc>
        <w:tc>
          <w:tcPr>
            <w:tcW w:w="1067" w:type="dxa"/>
            <w:tcBorders>
              <w:top w:val="nil"/>
              <w:left w:val="nil"/>
              <w:bottom w:val="single" w:sz="4" w:space="0" w:color="auto"/>
              <w:right w:val="single" w:sz="4" w:space="0" w:color="auto"/>
            </w:tcBorders>
            <w:shd w:val="clear" w:color="auto" w:fill="B6DDE8" w:themeFill="accent5" w:themeFillTint="66"/>
            <w:noWrap/>
            <w:vAlign w:val="center"/>
            <w:hideMark/>
          </w:tcPr>
          <w:p w14:paraId="134124B8" w14:textId="77777777" w:rsidR="008A2416" w:rsidRPr="00F02B4D" w:rsidRDefault="008A05D1" w:rsidP="004D0D37">
            <w:pPr>
              <w:spacing w:after="0" w:line="240" w:lineRule="auto"/>
              <w:jc w:val="center"/>
              <w:rPr>
                <w:rFonts w:ascii="Cambria" w:eastAsia="Times New Roman" w:hAnsi="Cambria" w:cs="Arial"/>
                <w:sz w:val="20"/>
                <w:szCs w:val="20"/>
                <w:lang w:eastAsia="ko-KR"/>
              </w:rPr>
            </w:pPr>
            <w:r>
              <w:rPr>
                <w:rFonts w:ascii="Cambria" w:eastAsia="Times New Roman" w:hAnsi="Cambria" w:cs="Arial"/>
                <w:sz w:val="20"/>
                <w:szCs w:val="20"/>
                <w:lang w:eastAsia="ko-KR"/>
              </w:rPr>
              <w:t>Count</w:t>
            </w:r>
          </w:p>
        </w:tc>
        <w:tc>
          <w:tcPr>
            <w:tcW w:w="903" w:type="dxa"/>
            <w:tcBorders>
              <w:top w:val="nil"/>
              <w:left w:val="nil"/>
              <w:bottom w:val="single" w:sz="4" w:space="0" w:color="auto"/>
              <w:right w:val="single" w:sz="4" w:space="0" w:color="auto"/>
            </w:tcBorders>
            <w:shd w:val="clear" w:color="auto" w:fill="B6DDE8" w:themeFill="accent5" w:themeFillTint="66"/>
            <w:vAlign w:val="center"/>
            <w:hideMark/>
          </w:tcPr>
          <w:p w14:paraId="452A6CC0" w14:textId="77777777" w:rsidR="008A2416" w:rsidRPr="00F02B4D" w:rsidRDefault="008A2416" w:rsidP="008A2416">
            <w:pPr>
              <w:spacing w:after="0" w:line="240" w:lineRule="auto"/>
              <w:jc w:val="center"/>
              <w:rPr>
                <w:rFonts w:ascii="Cambria" w:eastAsia="Times New Roman" w:hAnsi="Cambria" w:cs="Arial"/>
                <w:sz w:val="20"/>
                <w:szCs w:val="20"/>
                <w:lang w:eastAsia="ko-KR"/>
              </w:rPr>
            </w:pPr>
            <w:r w:rsidRPr="00F02B4D">
              <w:rPr>
                <w:rFonts w:ascii="Cambria" w:eastAsia="Times New Roman" w:hAnsi="Cambria" w:cs="Arial"/>
                <w:sz w:val="20"/>
                <w:szCs w:val="20"/>
                <w:lang w:eastAsia="ko-KR"/>
              </w:rPr>
              <w:t>Amount ($000)</w:t>
            </w:r>
          </w:p>
        </w:tc>
        <w:tc>
          <w:tcPr>
            <w:tcW w:w="1064" w:type="dxa"/>
            <w:tcBorders>
              <w:top w:val="nil"/>
              <w:left w:val="nil"/>
              <w:bottom w:val="single" w:sz="4" w:space="0" w:color="auto"/>
              <w:right w:val="single" w:sz="4" w:space="0" w:color="auto"/>
            </w:tcBorders>
            <w:shd w:val="clear" w:color="auto" w:fill="B6DDE8" w:themeFill="accent5" w:themeFillTint="66"/>
            <w:noWrap/>
            <w:vAlign w:val="center"/>
            <w:hideMark/>
          </w:tcPr>
          <w:p w14:paraId="079AEDA7" w14:textId="77777777" w:rsidR="008A2416" w:rsidRPr="00F02B4D" w:rsidRDefault="008A05D1" w:rsidP="009E477C">
            <w:pPr>
              <w:spacing w:after="0" w:line="240" w:lineRule="auto"/>
              <w:jc w:val="center"/>
              <w:rPr>
                <w:rFonts w:ascii="Cambria" w:eastAsia="Times New Roman" w:hAnsi="Cambria" w:cs="Arial"/>
                <w:sz w:val="20"/>
                <w:szCs w:val="20"/>
                <w:lang w:eastAsia="ko-KR"/>
              </w:rPr>
            </w:pPr>
            <w:r>
              <w:rPr>
                <w:rFonts w:ascii="Cambria" w:eastAsia="Times New Roman" w:hAnsi="Cambria" w:cs="Arial"/>
                <w:sz w:val="20"/>
                <w:szCs w:val="20"/>
                <w:lang w:eastAsia="ko-KR"/>
              </w:rPr>
              <w:t>Count</w:t>
            </w:r>
            <w:r w:rsidR="004D0D37">
              <w:rPr>
                <w:rFonts w:ascii="Cambria" w:eastAsia="Times New Roman" w:hAnsi="Cambria" w:cs="Arial"/>
                <w:sz w:val="20"/>
                <w:szCs w:val="20"/>
                <w:lang w:eastAsia="ko-KR"/>
              </w:rPr>
              <w:t xml:space="preserve"> </w:t>
            </w:r>
          </w:p>
        </w:tc>
      </w:tr>
      <w:tr w:rsidR="00BF6781" w:rsidRPr="008A2416" w14:paraId="2F060282" w14:textId="77777777" w:rsidTr="00BF6781">
        <w:trPr>
          <w:trHeight w:val="480"/>
          <w:jc w:val="center"/>
        </w:trPr>
        <w:tc>
          <w:tcPr>
            <w:tcW w:w="2011" w:type="dxa"/>
            <w:tcBorders>
              <w:top w:val="single" w:sz="4" w:space="0" w:color="000000"/>
              <w:left w:val="single" w:sz="4" w:space="0" w:color="auto"/>
              <w:bottom w:val="single" w:sz="4" w:space="0" w:color="auto"/>
              <w:right w:val="single" w:sz="4" w:space="0" w:color="auto"/>
            </w:tcBorders>
            <w:shd w:val="clear" w:color="000000" w:fill="auto"/>
            <w:vAlign w:val="center"/>
            <w:hideMark/>
          </w:tcPr>
          <w:p w14:paraId="3B7C2115" w14:textId="77777777" w:rsidR="008A2416" w:rsidRPr="00F02B4D" w:rsidRDefault="008A2416" w:rsidP="008A2416">
            <w:pPr>
              <w:spacing w:after="0" w:line="240" w:lineRule="auto"/>
              <w:jc w:val="center"/>
              <w:rPr>
                <w:rFonts w:ascii="Cambria" w:eastAsia="Times New Roman" w:hAnsi="Cambria" w:cs="Arial"/>
                <w:sz w:val="20"/>
                <w:szCs w:val="20"/>
                <w:lang w:eastAsia="ko-KR"/>
              </w:rPr>
            </w:pPr>
            <w:r w:rsidRPr="00F02B4D">
              <w:rPr>
                <w:rFonts w:ascii="Cambria" w:eastAsia="Times New Roman" w:hAnsi="Cambria" w:cs="Arial"/>
                <w:sz w:val="20"/>
                <w:szCs w:val="20"/>
                <w:lang w:eastAsia="ko-KR"/>
              </w:rPr>
              <w:t xml:space="preserve">Available </w:t>
            </w:r>
            <w:r w:rsidR="008668E7" w:rsidRPr="00F02B4D">
              <w:rPr>
                <w:rFonts w:ascii="Cambria" w:eastAsia="Times New Roman" w:hAnsi="Cambria" w:cs="Arial"/>
                <w:sz w:val="20"/>
                <w:szCs w:val="20"/>
                <w:lang w:eastAsia="ko-KR"/>
              </w:rPr>
              <w:t xml:space="preserve">Credit </w:t>
            </w:r>
            <w:r w:rsidR="00BF6781">
              <w:rPr>
                <w:rFonts w:ascii="Cambria" w:eastAsia="Times New Roman" w:hAnsi="Cambria" w:cs="Arial"/>
                <w:sz w:val="20"/>
                <w:szCs w:val="20"/>
                <w:lang w:eastAsia="ko-KR"/>
              </w:rPr>
              <w:t xml:space="preserve">– </w:t>
            </w:r>
            <w:r w:rsidRPr="00F02B4D">
              <w:rPr>
                <w:rFonts w:ascii="Cambria" w:eastAsia="Times New Roman" w:hAnsi="Cambria" w:cs="Arial"/>
                <w:sz w:val="20"/>
                <w:szCs w:val="20"/>
                <w:lang w:eastAsia="ko-KR"/>
              </w:rPr>
              <w:t>A</w:t>
            </w:r>
          </w:p>
        </w:tc>
        <w:tc>
          <w:tcPr>
            <w:tcW w:w="903" w:type="dxa"/>
            <w:tcBorders>
              <w:top w:val="nil"/>
              <w:left w:val="nil"/>
              <w:bottom w:val="single" w:sz="4" w:space="0" w:color="auto"/>
              <w:right w:val="single" w:sz="4" w:space="0" w:color="auto"/>
            </w:tcBorders>
            <w:shd w:val="clear" w:color="auto" w:fill="auto"/>
            <w:noWrap/>
            <w:vAlign w:val="center"/>
            <w:hideMark/>
          </w:tcPr>
          <w:p w14:paraId="240DFE6B" w14:textId="77777777" w:rsidR="008A2416" w:rsidRPr="00613F2A" w:rsidRDefault="008A2416" w:rsidP="008A2416">
            <w:pPr>
              <w:spacing w:after="0" w:line="240" w:lineRule="auto"/>
              <w:jc w:val="right"/>
              <w:rPr>
                <w:rFonts w:ascii="Cambria" w:eastAsia="Times New Roman" w:hAnsi="Cambria" w:cs="Arial"/>
                <w:sz w:val="20"/>
                <w:szCs w:val="20"/>
                <w:lang w:eastAsia="ko-KR"/>
              </w:rPr>
            </w:pPr>
            <w:r w:rsidRPr="00613F2A">
              <w:rPr>
                <w:rFonts w:ascii="Cambria" w:eastAsia="Times New Roman" w:hAnsi="Cambria" w:cs="Arial"/>
                <w:sz w:val="20"/>
                <w:szCs w:val="20"/>
                <w:lang w:eastAsia="ko-KR"/>
              </w:rPr>
              <w:t>$1,541</w:t>
            </w:r>
          </w:p>
        </w:tc>
        <w:tc>
          <w:tcPr>
            <w:tcW w:w="1030" w:type="dxa"/>
            <w:tcBorders>
              <w:top w:val="nil"/>
              <w:left w:val="nil"/>
              <w:bottom w:val="single" w:sz="4" w:space="0" w:color="auto"/>
              <w:right w:val="single" w:sz="4" w:space="0" w:color="auto"/>
            </w:tcBorders>
            <w:shd w:val="clear" w:color="auto" w:fill="auto"/>
            <w:noWrap/>
            <w:vAlign w:val="center"/>
            <w:hideMark/>
          </w:tcPr>
          <w:p w14:paraId="47E615E7" w14:textId="77777777" w:rsidR="008A2416" w:rsidRPr="00613F2A" w:rsidRDefault="008A2416" w:rsidP="008A2416">
            <w:pPr>
              <w:spacing w:after="0" w:line="240" w:lineRule="auto"/>
              <w:jc w:val="center"/>
              <w:rPr>
                <w:rFonts w:ascii="Cambria" w:eastAsia="Times New Roman" w:hAnsi="Cambria" w:cs="Arial"/>
                <w:sz w:val="20"/>
                <w:szCs w:val="20"/>
                <w:lang w:eastAsia="ko-KR"/>
              </w:rPr>
            </w:pPr>
            <w:r w:rsidRPr="00613F2A">
              <w:rPr>
                <w:rFonts w:ascii="Cambria" w:eastAsia="Times New Roman" w:hAnsi="Cambria" w:cs="Arial"/>
                <w:sz w:val="20"/>
                <w:szCs w:val="20"/>
                <w:lang w:eastAsia="ko-KR"/>
              </w:rPr>
              <w:t>109</w:t>
            </w:r>
          </w:p>
        </w:tc>
        <w:tc>
          <w:tcPr>
            <w:tcW w:w="903" w:type="dxa"/>
            <w:tcBorders>
              <w:top w:val="nil"/>
              <w:left w:val="nil"/>
              <w:bottom w:val="single" w:sz="4" w:space="0" w:color="auto"/>
              <w:right w:val="single" w:sz="4" w:space="0" w:color="auto"/>
            </w:tcBorders>
            <w:shd w:val="clear" w:color="auto" w:fill="auto"/>
            <w:noWrap/>
            <w:vAlign w:val="center"/>
            <w:hideMark/>
          </w:tcPr>
          <w:p w14:paraId="60E32040" w14:textId="77777777" w:rsidR="008A2416" w:rsidRPr="00613F2A" w:rsidRDefault="008A2416" w:rsidP="008A2416">
            <w:pPr>
              <w:spacing w:after="0" w:line="240" w:lineRule="auto"/>
              <w:jc w:val="right"/>
              <w:rPr>
                <w:rFonts w:ascii="Cambria" w:eastAsia="Times New Roman" w:hAnsi="Cambria" w:cs="Arial"/>
                <w:sz w:val="20"/>
                <w:szCs w:val="20"/>
                <w:lang w:eastAsia="ko-KR"/>
              </w:rPr>
            </w:pPr>
            <w:r w:rsidRPr="00613F2A">
              <w:rPr>
                <w:rFonts w:ascii="Cambria" w:eastAsia="Times New Roman" w:hAnsi="Cambria" w:cs="Arial"/>
                <w:sz w:val="20"/>
                <w:szCs w:val="20"/>
                <w:lang w:eastAsia="ko-KR"/>
              </w:rPr>
              <w:t>$1,613</w:t>
            </w:r>
          </w:p>
        </w:tc>
        <w:tc>
          <w:tcPr>
            <w:tcW w:w="1088" w:type="dxa"/>
            <w:tcBorders>
              <w:top w:val="nil"/>
              <w:left w:val="nil"/>
              <w:bottom w:val="single" w:sz="4" w:space="0" w:color="auto"/>
              <w:right w:val="single" w:sz="4" w:space="0" w:color="auto"/>
            </w:tcBorders>
            <w:shd w:val="clear" w:color="auto" w:fill="auto"/>
            <w:noWrap/>
            <w:vAlign w:val="center"/>
            <w:hideMark/>
          </w:tcPr>
          <w:p w14:paraId="04590F38" w14:textId="77777777" w:rsidR="008A2416" w:rsidRPr="00613F2A" w:rsidRDefault="008A2416" w:rsidP="008A2416">
            <w:pPr>
              <w:spacing w:after="0" w:line="240" w:lineRule="auto"/>
              <w:jc w:val="center"/>
              <w:rPr>
                <w:rFonts w:ascii="Cambria" w:eastAsia="Times New Roman" w:hAnsi="Cambria" w:cs="Arial"/>
                <w:sz w:val="20"/>
                <w:szCs w:val="20"/>
                <w:lang w:eastAsia="ko-KR"/>
              </w:rPr>
            </w:pPr>
            <w:r w:rsidRPr="00613F2A">
              <w:rPr>
                <w:rFonts w:ascii="Cambria" w:eastAsia="Times New Roman" w:hAnsi="Cambria" w:cs="Arial"/>
                <w:sz w:val="20"/>
                <w:szCs w:val="20"/>
                <w:lang w:eastAsia="ko-KR"/>
              </w:rPr>
              <w:t>107</w:t>
            </w:r>
          </w:p>
        </w:tc>
        <w:tc>
          <w:tcPr>
            <w:tcW w:w="979" w:type="dxa"/>
            <w:tcBorders>
              <w:top w:val="nil"/>
              <w:left w:val="nil"/>
              <w:bottom w:val="single" w:sz="4" w:space="0" w:color="auto"/>
              <w:right w:val="single" w:sz="4" w:space="0" w:color="auto"/>
            </w:tcBorders>
            <w:shd w:val="clear" w:color="auto" w:fill="auto"/>
            <w:noWrap/>
            <w:vAlign w:val="center"/>
            <w:hideMark/>
          </w:tcPr>
          <w:p w14:paraId="67A99442" w14:textId="77777777" w:rsidR="008A2416" w:rsidRPr="00613F2A" w:rsidRDefault="008A2416" w:rsidP="008A2416">
            <w:pPr>
              <w:spacing w:after="0" w:line="240" w:lineRule="auto"/>
              <w:jc w:val="right"/>
              <w:rPr>
                <w:rFonts w:ascii="Cambria" w:eastAsia="Times New Roman" w:hAnsi="Cambria" w:cs="Arial"/>
                <w:sz w:val="20"/>
                <w:szCs w:val="20"/>
                <w:lang w:eastAsia="ko-KR"/>
              </w:rPr>
            </w:pPr>
            <w:r w:rsidRPr="00613F2A">
              <w:rPr>
                <w:rFonts w:ascii="Cambria" w:eastAsia="Times New Roman" w:hAnsi="Cambria" w:cs="Arial"/>
                <w:sz w:val="20"/>
                <w:szCs w:val="20"/>
                <w:lang w:eastAsia="ko-KR"/>
              </w:rPr>
              <w:t>$1,728</w:t>
            </w:r>
          </w:p>
        </w:tc>
        <w:tc>
          <w:tcPr>
            <w:tcW w:w="1067" w:type="dxa"/>
            <w:tcBorders>
              <w:top w:val="nil"/>
              <w:left w:val="nil"/>
              <w:bottom w:val="single" w:sz="4" w:space="0" w:color="auto"/>
              <w:right w:val="single" w:sz="4" w:space="0" w:color="auto"/>
            </w:tcBorders>
            <w:shd w:val="clear" w:color="auto" w:fill="auto"/>
            <w:noWrap/>
            <w:vAlign w:val="center"/>
            <w:hideMark/>
          </w:tcPr>
          <w:p w14:paraId="6FA99BAA" w14:textId="77777777" w:rsidR="008A2416" w:rsidRPr="00613F2A" w:rsidRDefault="008A2416" w:rsidP="008A2416">
            <w:pPr>
              <w:spacing w:after="0" w:line="240" w:lineRule="auto"/>
              <w:jc w:val="center"/>
              <w:rPr>
                <w:rFonts w:ascii="Cambria" w:eastAsia="Times New Roman" w:hAnsi="Cambria" w:cs="Arial"/>
                <w:sz w:val="20"/>
                <w:szCs w:val="20"/>
                <w:lang w:eastAsia="ko-KR"/>
              </w:rPr>
            </w:pPr>
            <w:r w:rsidRPr="00613F2A">
              <w:rPr>
                <w:rFonts w:ascii="Cambria" w:eastAsia="Times New Roman" w:hAnsi="Cambria" w:cs="Arial"/>
                <w:sz w:val="20"/>
                <w:szCs w:val="20"/>
                <w:lang w:eastAsia="ko-KR"/>
              </w:rPr>
              <w:t>105</w:t>
            </w:r>
          </w:p>
        </w:tc>
        <w:tc>
          <w:tcPr>
            <w:tcW w:w="903" w:type="dxa"/>
            <w:tcBorders>
              <w:top w:val="nil"/>
              <w:left w:val="nil"/>
              <w:bottom w:val="single" w:sz="4" w:space="0" w:color="auto"/>
              <w:right w:val="single" w:sz="4" w:space="0" w:color="auto"/>
            </w:tcBorders>
            <w:shd w:val="clear" w:color="auto" w:fill="auto"/>
            <w:noWrap/>
            <w:vAlign w:val="center"/>
            <w:hideMark/>
          </w:tcPr>
          <w:p w14:paraId="58C5B3FB" w14:textId="77777777" w:rsidR="008A2416" w:rsidRPr="00613F2A" w:rsidRDefault="008A2416" w:rsidP="008A2416">
            <w:pPr>
              <w:spacing w:after="0" w:line="240" w:lineRule="auto"/>
              <w:jc w:val="right"/>
              <w:rPr>
                <w:rFonts w:ascii="Cambria" w:eastAsia="Times New Roman" w:hAnsi="Cambria" w:cs="Arial"/>
                <w:sz w:val="20"/>
                <w:szCs w:val="20"/>
                <w:lang w:eastAsia="ko-KR"/>
              </w:rPr>
            </w:pPr>
            <w:r w:rsidRPr="00613F2A">
              <w:rPr>
                <w:rFonts w:ascii="Cambria" w:eastAsia="Times New Roman" w:hAnsi="Cambria" w:cs="Arial"/>
                <w:sz w:val="20"/>
                <w:szCs w:val="20"/>
                <w:lang w:eastAsia="ko-KR"/>
              </w:rPr>
              <w:t>$1,817</w:t>
            </w:r>
          </w:p>
        </w:tc>
        <w:tc>
          <w:tcPr>
            <w:tcW w:w="1064" w:type="dxa"/>
            <w:tcBorders>
              <w:top w:val="nil"/>
              <w:left w:val="nil"/>
              <w:bottom w:val="single" w:sz="4" w:space="0" w:color="auto"/>
              <w:right w:val="single" w:sz="4" w:space="0" w:color="auto"/>
            </w:tcBorders>
            <w:shd w:val="clear" w:color="auto" w:fill="auto"/>
            <w:noWrap/>
            <w:vAlign w:val="center"/>
            <w:hideMark/>
          </w:tcPr>
          <w:p w14:paraId="33967B54" w14:textId="77777777" w:rsidR="008A2416" w:rsidRPr="00613F2A" w:rsidRDefault="008A2416" w:rsidP="008A2416">
            <w:pPr>
              <w:spacing w:after="0" w:line="240" w:lineRule="auto"/>
              <w:jc w:val="center"/>
              <w:rPr>
                <w:rFonts w:ascii="Cambria" w:eastAsia="Times New Roman" w:hAnsi="Cambria" w:cs="Arial"/>
                <w:sz w:val="20"/>
                <w:szCs w:val="20"/>
                <w:lang w:eastAsia="ko-KR"/>
              </w:rPr>
            </w:pPr>
            <w:r w:rsidRPr="00613F2A">
              <w:rPr>
                <w:rFonts w:ascii="Cambria" w:eastAsia="Times New Roman" w:hAnsi="Cambria" w:cs="Arial"/>
                <w:sz w:val="20"/>
                <w:szCs w:val="20"/>
                <w:lang w:eastAsia="ko-KR"/>
              </w:rPr>
              <w:t>102</w:t>
            </w:r>
          </w:p>
        </w:tc>
      </w:tr>
      <w:tr w:rsidR="00BF6781" w:rsidRPr="008A2416" w14:paraId="1B01F6A3" w14:textId="77777777" w:rsidTr="00CF2756">
        <w:trPr>
          <w:trHeight w:val="600"/>
          <w:jc w:val="center"/>
        </w:trPr>
        <w:tc>
          <w:tcPr>
            <w:tcW w:w="2011"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149B0986" w14:textId="77777777" w:rsidR="008A2416" w:rsidRPr="00F02B4D" w:rsidRDefault="008A2416" w:rsidP="008A2416">
            <w:pPr>
              <w:spacing w:after="0" w:line="240" w:lineRule="auto"/>
              <w:jc w:val="center"/>
              <w:rPr>
                <w:rFonts w:ascii="Cambria" w:eastAsia="Times New Roman" w:hAnsi="Cambria" w:cs="Arial"/>
                <w:sz w:val="20"/>
                <w:szCs w:val="20"/>
                <w:lang w:eastAsia="ko-KR"/>
              </w:rPr>
            </w:pPr>
            <w:r w:rsidRPr="00F02B4D">
              <w:rPr>
                <w:rFonts w:ascii="Cambria" w:eastAsia="Times New Roman" w:hAnsi="Cambria" w:cs="Arial"/>
                <w:sz w:val="20"/>
                <w:szCs w:val="20"/>
                <w:lang w:eastAsia="ko-KR"/>
              </w:rPr>
              <w:t xml:space="preserve">Claimed plus </w:t>
            </w:r>
            <w:r w:rsidR="008668E7" w:rsidRPr="00F02B4D">
              <w:rPr>
                <w:rFonts w:ascii="Cambria" w:eastAsia="Times New Roman" w:hAnsi="Cambria" w:cs="Arial"/>
                <w:sz w:val="20"/>
                <w:szCs w:val="20"/>
                <w:lang w:eastAsia="ko-KR"/>
              </w:rPr>
              <w:t xml:space="preserve">Shared Credit </w:t>
            </w:r>
            <w:r w:rsidR="00520345">
              <w:rPr>
                <w:rFonts w:ascii="Cambria" w:eastAsia="Times New Roman" w:hAnsi="Cambria" w:cs="Arial"/>
                <w:sz w:val="20"/>
                <w:szCs w:val="20"/>
                <w:lang w:eastAsia="ko-KR"/>
              </w:rPr>
              <w:t>–</w:t>
            </w:r>
            <w:r w:rsidRPr="00F02B4D">
              <w:rPr>
                <w:rFonts w:ascii="Cambria" w:eastAsia="Times New Roman" w:hAnsi="Cambria" w:cs="Arial"/>
                <w:sz w:val="20"/>
                <w:szCs w:val="20"/>
                <w:lang w:eastAsia="ko-KR"/>
              </w:rPr>
              <w:t xml:space="preserve"> B</w:t>
            </w:r>
          </w:p>
        </w:tc>
        <w:tc>
          <w:tcPr>
            <w:tcW w:w="903" w:type="dxa"/>
            <w:tcBorders>
              <w:top w:val="nil"/>
              <w:left w:val="nil"/>
              <w:bottom w:val="single" w:sz="4" w:space="0" w:color="auto"/>
              <w:right w:val="single" w:sz="4" w:space="0" w:color="auto"/>
            </w:tcBorders>
            <w:shd w:val="clear" w:color="auto" w:fill="auto"/>
            <w:noWrap/>
            <w:vAlign w:val="center"/>
            <w:hideMark/>
          </w:tcPr>
          <w:p w14:paraId="1AC91A6C" w14:textId="77777777" w:rsidR="008A2416" w:rsidRPr="00613F2A" w:rsidRDefault="008A2416" w:rsidP="008A2416">
            <w:pPr>
              <w:spacing w:after="0" w:line="240" w:lineRule="auto"/>
              <w:jc w:val="right"/>
              <w:rPr>
                <w:rFonts w:ascii="Cambria" w:eastAsia="Times New Roman" w:hAnsi="Cambria" w:cs="Arial"/>
                <w:sz w:val="20"/>
                <w:szCs w:val="20"/>
                <w:lang w:eastAsia="ko-KR"/>
              </w:rPr>
            </w:pPr>
            <w:r w:rsidRPr="00613F2A">
              <w:rPr>
                <w:rFonts w:ascii="Cambria" w:eastAsia="Times New Roman" w:hAnsi="Cambria" w:cs="Arial"/>
                <w:sz w:val="20"/>
                <w:szCs w:val="20"/>
                <w:lang w:eastAsia="ko-KR"/>
              </w:rPr>
              <w:t>$1,159</w:t>
            </w:r>
          </w:p>
        </w:tc>
        <w:tc>
          <w:tcPr>
            <w:tcW w:w="1030" w:type="dxa"/>
            <w:tcBorders>
              <w:top w:val="nil"/>
              <w:left w:val="nil"/>
              <w:bottom w:val="single" w:sz="4" w:space="0" w:color="auto"/>
              <w:right w:val="single" w:sz="4" w:space="0" w:color="auto"/>
            </w:tcBorders>
            <w:shd w:val="clear" w:color="auto" w:fill="auto"/>
            <w:noWrap/>
            <w:vAlign w:val="center"/>
            <w:hideMark/>
          </w:tcPr>
          <w:p w14:paraId="30075250" w14:textId="77777777" w:rsidR="008A2416" w:rsidRPr="00613F2A" w:rsidRDefault="008A2416" w:rsidP="008A2416">
            <w:pPr>
              <w:spacing w:after="0" w:line="240" w:lineRule="auto"/>
              <w:jc w:val="center"/>
              <w:rPr>
                <w:rFonts w:ascii="Cambria" w:eastAsia="Times New Roman" w:hAnsi="Cambria" w:cs="Arial"/>
                <w:sz w:val="20"/>
                <w:szCs w:val="20"/>
                <w:lang w:eastAsia="ko-KR"/>
              </w:rPr>
            </w:pPr>
            <w:r w:rsidRPr="00613F2A">
              <w:rPr>
                <w:rFonts w:ascii="Cambria" w:eastAsia="Times New Roman" w:hAnsi="Cambria" w:cs="Arial"/>
                <w:sz w:val="20"/>
                <w:szCs w:val="20"/>
                <w:lang w:eastAsia="ko-KR"/>
              </w:rPr>
              <w:t>83</w:t>
            </w:r>
          </w:p>
        </w:tc>
        <w:tc>
          <w:tcPr>
            <w:tcW w:w="903" w:type="dxa"/>
            <w:tcBorders>
              <w:top w:val="nil"/>
              <w:left w:val="nil"/>
              <w:bottom w:val="single" w:sz="4" w:space="0" w:color="auto"/>
              <w:right w:val="single" w:sz="4" w:space="0" w:color="auto"/>
            </w:tcBorders>
            <w:shd w:val="clear" w:color="auto" w:fill="auto"/>
            <w:noWrap/>
            <w:vAlign w:val="center"/>
            <w:hideMark/>
          </w:tcPr>
          <w:p w14:paraId="23ED9FEE" w14:textId="77777777" w:rsidR="008A2416" w:rsidRPr="00613F2A" w:rsidRDefault="008A2416" w:rsidP="008A2416">
            <w:pPr>
              <w:spacing w:after="0" w:line="240" w:lineRule="auto"/>
              <w:jc w:val="right"/>
              <w:rPr>
                <w:rFonts w:ascii="Cambria" w:eastAsia="Times New Roman" w:hAnsi="Cambria" w:cs="Arial"/>
                <w:sz w:val="20"/>
                <w:szCs w:val="20"/>
                <w:lang w:eastAsia="ko-KR"/>
              </w:rPr>
            </w:pPr>
            <w:r w:rsidRPr="00613F2A">
              <w:rPr>
                <w:rFonts w:ascii="Cambria" w:eastAsia="Times New Roman" w:hAnsi="Cambria" w:cs="Arial"/>
                <w:sz w:val="20"/>
                <w:szCs w:val="20"/>
                <w:lang w:eastAsia="ko-KR"/>
              </w:rPr>
              <w:t>$1,093</w:t>
            </w:r>
          </w:p>
        </w:tc>
        <w:tc>
          <w:tcPr>
            <w:tcW w:w="1088" w:type="dxa"/>
            <w:tcBorders>
              <w:top w:val="nil"/>
              <w:left w:val="nil"/>
              <w:bottom w:val="single" w:sz="4" w:space="0" w:color="auto"/>
              <w:right w:val="single" w:sz="4" w:space="0" w:color="auto"/>
            </w:tcBorders>
            <w:shd w:val="clear" w:color="auto" w:fill="auto"/>
            <w:noWrap/>
            <w:vAlign w:val="center"/>
            <w:hideMark/>
          </w:tcPr>
          <w:p w14:paraId="6E1D3145" w14:textId="77777777" w:rsidR="008A2416" w:rsidRPr="00613F2A" w:rsidRDefault="008A2416" w:rsidP="008A2416">
            <w:pPr>
              <w:spacing w:after="0" w:line="240" w:lineRule="auto"/>
              <w:jc w:val="center"/>
              <w:rPr>
                <w:rFonts w:ascii="Cambria" w:eastAsia="Times New Roman" w:hAnsi="Cambria" w:cs="Arial"/>
                <w:sz w:val="20"/>
                <w:szCs w:val="20"/>
                <w:lang w:eastAsia="ko-KR"/>
              </w:rPr>
            </w:pPr>
            <w:r w:rsidRPr="00613F2A">
              <w:rPr>
                <w:rFonts w:ascii="Cambria" w:eastAsia="Times New Roman" w:hAnsi="Cambria" w:cs="Arial"/>
                <w:sz w:val="20"/>
                <w:szCs w:val="20"/>
                <w:lang w:eastAsia="ko-KR"/>
              </w:rPr>
              <w:t>88</w:t>
            </w:r>
          </w:p>
        </w:tc>
        <w:tc>
          <w:tcPr>
            <w:tcW w:w="979" w:type="dxa"/>
            <w:tcBorders>
              <w:top w:val="nil"/>
              <w:left w:val="nil"/>
              <w:bottom w:val="single" w:sz="4" w:space="0" w:color="auto"/>
              <w:right w:val="single" w:sz="4" w:space="0" w:color="auto"/>
            </w:tcBorders>
            <w:shd w:val="clear" w:color="auto" w:fill="auto"/>
            <w:noWrap/>
            <w:vAlign w:val="center"/>
            <w:hideMark/>
          </w:tcPr>
          <w:p w14:paraId="70F80CAA" w14:textId="77777777" w:rsidR="008A2416" w:rsidRPr="00613F2A" w:rsidRDefault="008A2416" w:rsidP="008A2416">
            <w:pPr>
              <w:spacing w:after="0" w:line="240" w:lineRule="auto"/>
              <w:jc w:val="right"/>
              <w:rPr>
                <w:rFonts w:ascii="Cambria" w:eastAsia="Times New Roman" w:hAnsi="Cambria" w:cs="Arial"/>
                <w:sz w:val="20"/>
                <w:szCs w:val="20"/>
                <w:lang w:eastAsia="ko-KR"/>
              </w:rPr>
            </w:pPr>
            <w:r w:rsidRPr="00613F2A">
              <w:rPr>
                <w:rFonts w:ascii="Cambria" w:eastAsia="Times New Roman" w:hAnsi="Cambria" w:cs="Arial"/>
                <w:sz w:val="20"/>
                <w:szCs w:val="20"/>
                <w:lang w:eastAsia="ko-KR"/>
              </w:rPr>
              <w:t>$1,179</w:t>
            </w:r>
          </w:p>
        </w:tc>
        <w:tc>
          <w:tcPr>
            <w:tcW w:w="1067" w:type="dxa"/>
            <w:tcBorders>
              <w:top w:val="nil"/>
              <w:left w:val="nil"/>
              <w:bottom w:val="single" w:sz="4" w:space="0" w:color="auto"/>
              <w:right w:val="single" w:sz="4" w:space="0" w:color="auto"/>
            </w:tcBorders>
            <w:shd w:val="clear" w:color="auto" w:fill="auto"/>
            <w:noWrap/>
            <w:vAlign w:val="center"/>
            <w:hideMark/>
          </w:tcPr>
          <w:p w14:paraId="770AC579" w14:textId="77777777" w:rsidR="008A2416" w:rsidRPr="00613F2A" w:rsidRDefault="008A2416" w:rsidP="008A2416">
            <w:pPr>
              <w:spacing w:after="0" w:line="240" w:lineRule="auto"/>
              <w:jc w:val="center"/>
              <w:rPr>
                <w:rFonts w:ascii="Cambria" w:eastAsia="Times New Roman" w:hAnsi="Cambria" w:cs="Arial"/>
                <w:sz w:val="20"/>
                <w:szCs w:val="20"/>
                <w:lang w:eastAsia="ko-KR"/>
              </w:rPr>
            </w:pPr>
            <w:r w:rsidRPr="00613F2A">
              <w:rPr>
                <w:rFonts w:ascii="Cambria" w:eastAsia="Times New Roman" w:hAnsi="Cambria" w:cs="Arial"/>
                <w:sz w:val="20"/>
                <w:szCs w:val="20"/>
                <w:lang w:eastAsia="ko-KR"/>
              </w:rPr>
              <w:t>82</w:t>
            </w:r>
          </w:p>
        </w:tc>
        <w:tc>
          <w:tcPr>
            <w:tcW w:w="903" w:type="dxa"/>
            <w:tcBorders>
              <w:top w:val="nil"/>
              <w:left w:val="nil"/>
              <w:bottom w:val="single" w:sz="4" w:space="0" w:color="auto"/>
              <w:right w:val="single" w:sz="4" w:space="0" w:color="auto"/>
            </w:tcBorders>
            <w:shd w:val="clear" w:color="auto" w:fill="auto"/>
            <w:noWrap/>
            <w:vAlign w:val="center"/>
            <w:hideMark/>
          </w:tcPr>
          <w:p w14:paraId="7346AC90" w14:textId="77777777" w:rsidR="008A2416" w:rsidRPr="00613F2A" w:rsidRDefault="008A2416" w:rsidP="008A2416">
            <w:pPr>
              <w:spacing w:after="0" w:line="240" w:lineRule="auto"/>
              <w:jc w:val="right"/>
              <w:rPr>
                <w:rFonts w:ascii="Cambria" w:eastAsia="Times New Roman" w:hAnsi="Cambria" w:cs="Arial"/>
                <w:sz w:val="20"/>
                <w:szCs w:val="20"/>
                <w:lang w:eastAsia="ko-KR"/>
              </w:rPr>
            </w:pPr>
            <w:r w:rsidRPr="00613F2A">
              <w:rPr>
                <w:rFonts w:ascii="Cambria" w:eastAsia="Times New Roman" w:hAnsi="Cambria" w:cs="Arial"/>
                <w:sz w:val="20"/>
                <w:szCs w:val="20"/>
                <w:lang w:eastAsia="ko-KR"/>
              </w:rPr>
              <w:t>$1,356</w:t>
            </w:r>
          </w:p>
        </w:tc>
        <w:tc>
          <w:tcPr>
            <w:tcW w:w="1064" w:type="dxa"/>
            <w:tcBorders>
              <w:top w:val="nil"/>
              <w:left w:val="nil"/>
              <w:bottom w:val="single" w:sz="4" w:space="0" w:color="auto"/>
              <w:right w:val="single" w:sz="4" w:space="0" w:color="auto"/>
            </w:tcBorders>
            <w:shd w:val="clear" w:color="auto" w:fill="auto"/>
            <w:noWrap/>
            <w:vAlign w:val="center"/>
            <w:hideMark/>
          </w:tcPr>
          <w:p w14:paraId="79570905" w14:textId="77777777" w:rsidR="008A2416" w:rsidRPr="00613F2A" w:rsidRDefault="008A2416" w:rsidP="008A2416">
            <w:pPr>
              <w:spacing w:after="0" w:line="240" w:lineRule="auto"/>
              <w:jc w:val="center"/>
              <w:rPr>
                <w:rFonts w:ascii="Cambria" w:eastAsia="Times New Roman" w:hAnsi="Cambria" w:cs="Arial"/>
                <w:sz w:val="20"/>
                <w:szCs w:val="20"/>
                <w:lang w:eastAsia="ko-KR"/>
              </w:rPr>
            </w:pPr>
            <w:r w:rsidRPr="00613F2A">
              <w:rPr>
                <w:rFonts w:ascii="Cambria" w:eastAsia="Times New Roman" w:hAnsi="Cambria" w:cs="Arial"/>
                <w:sz w:val="20"/>
                <w:szCs w:val="20"/>
                <w:lang w:eastAsia="ko-KR"/>
              </w:rPr>
              <w:t>79</w:t>
            </w:r>
          </w:p>
        </w:tc>
      </w:tr>
      <w:tr w:rsidR="00BF6781" w:rsidRPr="008A2416" w14:paraId="268C2443" w14:textId="77777777" w:rsidTr="00CF2756">
        <w:trPr>
          <w:trHeight w:val="500"/>
          <w:jc w:val="center"/>
        </w:trPr>
        <w:tc>
          <w:tcPr>
            <w:tcW w:w="201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55F7B65" w14:textId="77777777" w:rsidR="008A2416" w:rsidRPr="00F02B4D" w:rsidRDefault="008A2416" w:rsidP="008A2416">
            <w:pPr>
              <w:spacing w:after="0" w:line="240" w:lineRule="auto"/>
              <w:jc w:val="center"/>
              <w:rPr>
                <w:rFonts w:ascii="Cambria" w:eastAsia="Times New Roman" w:hAnsi="Cambria" w:cs="Arial"/>
                <w:sz w:val="20"/>
                <w:szCs w:val="20"/>
                <w:lang w:eastAsia="ko-KR"/>
              </w:rPr>
            </w:pPr>
            <w:r w:rsidRPr="00F02B4D">
              <w:rPr>
                <w:rFonts w:ascii="Cambria" w:eastAsia="Times New Roman" w:hAnsi="Cambria" w:cs="Arial"/>
                <w:sz w:val="20"/>
                <w:szCs w:val="20"/>
                <w:lang w:eastAsia="ko-KR"/>
              </w:rPr>
              <w:t>B/A</w:t>
            </w:r>
          </w:p>
        </w:tc>
        <w:tc>
          <w:tcPr>
            <w:tcW w:w="903" w:type="dxa"/>
            <w:tcBorders>
              <w:top w:val="nil"/>
              <w:left w:val="nil"/>
              <w:bottom w:val="single" w:sz="4" w:space="0" w:color="auto"/>
              <w:right w:val="single" w:sz="4" w:space="0" w:color="auto"/>
            </w:tcBorders>
            <w:shd w:val="clear" w:color="auto" w:fill="auto"/>
            <w:noWrap/>
            <w:vAlign w:val="center"/>
            <w:hideMark/>
          </w:tcPr>
          <w:p w14:paraId="2B0DA3AA" w14:textId="77777777" w:rsidR="008A2416" w:rsidRPr="00613F2A" w:rsidRDefault="008A2416" w:rsidP="008A2416">
            <w:pPr>
              <w:spacing w:after="0" w:line="240" w:lineRule="auto"/>
              <w:jc w:val="center"/>
              <w:rPr>
                <w:rFonts w:ascii="Cambria" w:eastAsia="Times New Roman" w:hAnsi="Cambria" w:cs="Arial"/>
                <w:sz w:val="20"/>
                <w:szCs w:val="20"/>
                <w:lang w:eastAsia="ko-KR"/>
              </w:rPr>
            </w:pPr>
            <w:r w:rsidRPr="00613F2A">
              <w:rPr>
                <w:rFonts w:ascii="Cambria" w:eastAsia="Times New Roman" w:hAnsi="Cambria" w:cs="Arial"/>
                <w:sz w:val="20"/>
                <w:szCs w:val="20"/>
                <w:lang w:eastAsia="ko-KR"/>
              </w:rPr>
              <w:t>75.2%</w:t>
            </w:r>
          </w:p>
        </w:tc>
        <w:tc>
          <w:tcPr>
            <w:tcW w:w="1030" w:type="dxa"/>
            <w:tcBorders>
              <w:top w:val="nil"/>
              <w:left w:val="nil"/>
              <w:bottom w:val="single" w:sz="4" w:space="0" w:color="auto"/>
              <w:right w:val="single" w:sz="4" w:space="0" w:color="auto"/>
            </w:tcBorders>
            <w:shd w:val="clear" w:color="auto" w:fill="auto"/>
            <w:noWrap/>
            <w:vAlign w:val="center"/>
            <w:hideMark/>
          </w:tcPr>
          <w:p w14:paraId="454C7FA8" w14:textId="77777777" w:rsidR="008A2416" w:rsidRPr="00613F2A" w:rsidRDefault="008A2416" w:rsidP="008A2416">
            <w:pPr>
              <w:spacing w:after="0" w:line="240" w:lineRule="auto"/>
              <w:jc w:val="center"/>
              <w:rPr>
                <w:rFonts w:ascii="Cambria" w:eastAsia="Times New Roman" w:hAnsi="Cambria" w:cs="Arial"/>
                <w:sz w:val="20"/>
                <w:szCs w:val="20"/>
                <w:lang w:eastAsia="ko-KR"/>
              </w:rPr>
            </w:pPr>
            <w:r w:rsidRPr="00613F2A">
              <w:rPr>
                <w:rFonts w:ascii="Cambria" w:eastAsia="Times New Roman" w:hAnsi="Cambria" w:cs="Arial"/>
                <w:sz w:val="20"/>
                <w:szCs w:val="20"/>
                <w:lang w:eastAsia="ko-KR"/>
              </w:rPr>
              <w:t>76.1%</w:t>
            </w:r>
          </w:p>
        </w:tc>
        <w:tc>
          <w:tcPr>
            <w:tcW w:w="903" w:type="dxa"/>
            <w:tcBorders>
              <w:top w:val="nil"/>
              <w:left w:val="nil"/>
              <w:bottom w:val="single" w:sz="4" w:space="0" w:color="auto"/>
              <w:right w:val="single" w:sz="4" w:space="0" w:color="auto"/>
            </w:tcBorders>
            <w:shd w:val="clear" w:color="auto" w:fill="auto"/>
            <w:noWrap/>
            <w:vAlign w:val="center"/>
            <w:hideMark/>
          </w:tcPr>
          <w:p w14:paraId="22CA3423" w14:textId="77777777" w:rsidR="008A2416" w:rsidRPr="00613F2A" w:rsidRDefault="008A2416" w:rsidP="008A2416">
            <w:pPr>
              <w:spacing w:after="0" w:line="240" w:lineRule="auto"/>
              <w:jc w:val="center"/>
              <w:rPr>
                <w:rFonts w:ascii="Cambria" w:eastAsia="Times New Roman" w:hAnsi="Cambria" w:cs="Arial"/>
                <w:sz w:val="20"/>
                <w:szCs w:val="20"/>
                <w:lang w:eastAsia="ko-KR"/>
              </w:rPr>
            </w:pPr>
            <w:r w:rsidRPr="00613F2A">
              <w:rPr>
                <w:rFonts w:ascii="Cambria" w:eastAsia="Times New Roman" w:hAnsi="Cambria" w:cs="Arial"/>
                <w:sz w:val="20"/>
                <w:szCs w:val="20"/>
                <w:lang w:eastAsia="ko-KR"/>
              </w:rPr>
              <w:t>67.7%</w:t>
            </w:r>
          </w:p>
        </w:tc>
        <w:tc>
          <w:tcPr>
            <w:tcW w:w="1088" w:type="dxa"/>
            <w:tcBorders>
              <w:top w:val="nil"/>
              <w:left w:val="nil"/>
              <w:bottom w:val="single" w:sz="4" w:space="0" w:color="auto"/>
              <w:right w:val="single" w:sz="4" w:space="0" w:color="auto"/>
            </w:tcBorders>
            <w:shd w:val="clear" w:color="auto" w:fill="auto"/>
            <w:noWrap/>
            <w:vAlign w:val="center"/>
            <w:hideMark/>
          </w:tcPr>
          <w:p w14:paraId="423EEFF7" w14:textId="77777777" w:rsidR="008A2416" w:rsidRPr="00613F2A" w:rsidRDefault="008A2416" w:rsidP="008A2416">
            <w:pPr>
              <w:spacing w:after="0" w:line="240" w:lineRule="auto"/>
              <w:jc w:val="center"/>
              <w:rPr>
                <w:rFonts w:ascii="Cambria" w:eastAsia="Times New Roman" w:hAnsi="Cambria" w:cs="Arial"/>
                <w:sz w:val="20"/>
                <w:szCs w:val="20"/>
                <w:lang w:eastAsia="ko-KR"/>
              </w:rPr>
            </w:pPr>
            <w:r w:rsidRPr="00613F2A">
              <w:rPr>
                <w:rFonts w:ascii="Cambria" w:eastAsia="Times New Roman" w:hAnsi="Cambria" w:cs="Arial"/>
                <w:sz w:val="20"/>
                <w:szCs w:val="20"/>
                <w:lang w:eastAsia="ko-KR"/>
              </w:rPr>
              <w:t>82.2%</w:t>
            </w:r>
          </w:p>
        </w:tc>
        <w:tc>
          <w:tcPr>
            <w:tcW w:w="979" w:type="dxa"/>
            <w:tcBorders>
              <w:top w:val="nil"/>
              <w:left w:val="nil"/>
              <w:bottom w:val="single" w:sz="4" w:space="0" w:color="auto"/>
              <w:right w:val="single" w:sz="4" w:space="0" w:color="auto"/>
            </w:tcBorders>
            <w:shd w:val="clear" w:color="auto" w:fill="auto"/>
            <w:noWrap/>
            <w:vAlign w:val="center"/>
            <w:hideMark/>
          </w:tcPr>
          <w:p w14:paraId="0388BAFD" w14:textId="77777777" w:rsidR="008A2416" w:rsidRPr="00613F2A" w:rsidRDefault="008A2416" w:rsidP="008A2416">
            <w:pPr>
              <w:spacing w:after="0" w:line="240" w:lineRule="auto"/>
              <w:jc w:val="center"/>
              <w:rPr>
                <w:rFonts w:ascii="Cambria" w:eastAsia="Times New Roman" w:hAnsi="Cambria" w:cs="Arial"/>
                <w:sz w:val="20"/>
                <w:szCs w:val="20"/>
                <w:lang w:eastAsia="ko-KR"/>
              </w:rPr>
            </w:pPr>
            <w:r w:rsidRPr="00613F2A">
              <w:rPr>
                <w:rFonts w:ascii="Cambria" w:eastAsia="Times New Roman" w:hAnsi="Cambria" w:cs="Arial"/>
                <w:sz w:val="20"/>
                <w:szCs w:val="20"/>
                <w:lang w:eastAsia="ko-KR"/>
              </w:rPr>
              <w:t>68.3%</w:t>
            </w:r>
          </w:p>
        </w:tc>
        <w:tc>
          <w:tcPr>
            <w:tcW w:w="1067" w:type="dxa"/>
            <w:tcBorders>
              <w:top w:val="nil"/>
              <w:left w:val="nil"/>
              <w:bottom w:val="single" w:sz="4" w:space="0" w:color="auto"/>
              <w:right w:val="single" w:sz="4" w:space="0" w:color="auto"/>
            </w:tcBorders>
            <w:shd w:val="clear" w:color="auto" w:fill="auto"/>
            <w:noWrap/>
            <w:vAlign w:val="center"/>
            <w:hideMark/>
          </w:tcPr>
          <w:p w14:paraId="2F7A30BC" w14:textId="77777777" w:rsidR="008A2416" w:rsidRPr="00613F2A" w:rsidRDefault="008A2416" w:rsidP="008A2416">
            <w:pPr>
              <w:spacing w:after="0" w:line="240" w:lineRule="auto"/>
              <w:jc w:val="center"/>
              <w:rPr>
                <w:rFonts w:ascii="Cambria" w:eastAsia="Times New Roman" w:hAnsi="Cambria" w:cs="Arial"/>
                <w:sz w:val="20"/>
                <w:szCs w:val="20"/>
                <w:lang w:eastAsia="ko-KR"/>
              </w:rPr>
            </w:pPr>
            <w:r w:rsidRPr="00613F2A">
              <w:rPr>
                <w:rFonts w:ascii="Cambria" w:eastAsia="Times New Roman" w:hAnsi="Cambria" w:cs="Arial"/>
                <w:sz w:val="20"/>
                <w:szCs w:val="20"/>
                <w:lang w:eastAsia="ko-KR"/>
              </w:rPr>
              <w:t>78.1%</w:t>
            </w:r>
          </w:p>
        </w:tc>
        <w:tc>
          <w:tcPr>
            <w:tcW w:w="903" w:type="dxa"/>
            <w:tcBorders>
              <w:top w:val="nil"/>
              <w:left w:val="nil"/>
              <w:bottom w:val="single" w:sz="4" w:space="0" w:color="auto"/>
              <w:right w:val="single" w:sz="4" w:space="0" w:color="auto"/>
            </w:tcBorders>
            <w:shd w:val="clear" w:color="auto" w:fill="auto"/>
            <w:noWrap/>
            <w:vAlign w:val="center"/>
            <w:hideMark/>
          </w:tcPr>
          <w:p w14:paraId="7DAC784E" w14:textId="77777777" w:rsidR="008A2416" w:rsidRPr="00613F2A" w:rsidRDefault="008A2416" w:rsidP="008A2416">
            <w:pPr>
              <w:spacing w:after="0" w:line="240" w:lineRule="auto"/>
              <w:jc w:val="center"/>
              <w:rPr>
                <w:rFonts w:ascii="Cambria" w:eastAsia="Times New Roman" w:hAnsi="Cambria" w:cs="Arial"/>
                <w:sz w:val="20"/>
                <w:szCs w:val="20"/>
                <w:lang w:eastAsia="ko-KR"/>
              </w:rPr>
            </w:pPr>
            <w:r w:rsidRPr="00613F2A">
              <w:rPr>
                <w:rFonts w:ascii="Cambria" w:eastAsia="Times New Roman" w:hAnsi="Cambria" w:cs="Arial"/>
                <w:sz w:val="20"/>
                <w:szCs w:val="20"/>
                <w:lang w:eastAsia="ko-KR"/>
              </w:rPr>
              <w:t>74.6%</w:t>
            </w:r>
          </w:p>
        </w:tc>
        <w:tc>
          <w:tcPr>
            <w:tcW w:w="1064" w:type="dxa"/>
            <w:tcBorders>
              <w:top w:val="nil"/>
              <w:left w:val="nil"/>
              <w:bottom w:val="single" w:sz="4" w:space="0" w:color="auto"/>
              <w:right w:val="single" w:sz="4" w:space="0" w:color="auto"/>
            </w:tcBorders>
            <w:shd w:val="clear" w:color="auto" w:fill="auto"/>
            <w:noWrap/>
            <w:vAlign w:val="center"/>
            <w:hideMark/>
          </w:tcPr>
          <w:p w14:paraId="5C904AA3" w14:textId="77777777" w:rsidR="008A2416" w:rsidRPr="00613F2A" w:rsidRDefault="008A2416" w:rsidP="008A2416">
            <w:pPr>
              <w:spacing w:after="0" w:line="240" w:lineRule="auto"/>
              <w:jc w:val="center"/>
              <w:rPr>
                <w:rFonts w:ascii="Cambria" w:eastAsia="Times New Roman" w:hAnsi="Cambria" w:cs="Arial"/>
                <w:sz w:val="20"/>
                <w:szCs w:val="20"/>
                <w:lang w:eastAsia="ko-KR"/>
              </w:rPr>
            </w:pPr>
            <w:r w:rsidRPr="00613F2A">
              <w:rPr>
                <w:rFonts w:ascii="Cambria" w:eastAsia="Times New Roman" w:hAnsi="Cambria" w:cs="Arial"/>
                <w:sz w:val="20"/>
                <w:szCs w:val="20"/>
                <w:lang w:eastAsia="ko-KR"/>
              </w:rPr>
              <w:t>77.5%</w:t>
            </w:r>
          </w:p>
        </w:tc>
      </w:tr>
      <w:tr w:rsidR="00BF6781" w:rsidRPr="008A2416" w14:paraId="4C922B2F" w14:textId="77777777" w:rsidTr="00CF2756">
        <w:trPr>
          <w:trHeight w:val="690"/>
          <w:jc w:val="center"/>
        </w:trPr>
        <w:tc>
          <w:tcPr>
            <w:tcW w:w="2011"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6957D808" w14:textId="77777777" w:rsidR="008668E7" w:rsidRPr="00F02B4D" w:rsidRDefault="008668E7" w:rsidP="008A2416">
            <w:pPr>
              <w:spacing w:after="0" w:line="240" w:lineRule="auto"/>
              <w:jc w:val="center"/>
              <w:rPr>
                <w:rFonts w:ascii="Cambria" w:eastAsia="Times New Roman" w:hAnsi="Cambria" w:cs="Arial"/>
                <w:sz w:val="20"/>
                <w:szCs w:val="20"/>
                <w:lang w:eastAsia="ko-KR"/>
              </w:rPr>
            </w:pPr>
            <w:r w:rsidRPr="008668E7">
              <w:rPr>
                <w:rFonts w:ascii="Cambria" w:eastAsia="Times New Roman" w:hAnsi="Cambria" w:cs="Helvetica"/>
                <w:sz w:val="20"/>
                <w:szCs w:val="20"/>
                <w:lang w:eastAsia="ko-KR"/>
              </w:rPr>
              <w:t>Average Claimed or Shared Amount</w:t>
            </w:r>
          </w:p>
        </w:tc>
        <w:tc>
          <w:tcPr>
            <w:tcW w:w="903" w:type="dxa"/>
            <w:tcBorders>
              <w:top w:val="single" w:sz="4" w:space="0" w:color="auto"/>
              <w:left w:val="nil"/>
              <w:bottom w:val="single" w:sz="4" w:space="0" w:color="auto"/>
              <w:right w:val="single" w:sz="4" w:space="0" w:color="000000"/>
            </w:tcBorders>
            <w:shd w:val="clear" w:color="auto" w:fill="auto"/>
            <w:noWrap/>
            <w:vAlign w:val="center"/>
            <w:hideMark/>
          </w:tcPr>
          <w:p w14:paraId="6A07A5DD" w14:textId="77777777" w:rsidR="008668E7" w:rsidRPr="00613F2A" w:rsidRDefault="008668E7" w:rsidP="008A2416">
            <w:pPr>
              <w:spacing w:after="0" w:line="240" w:lineRule="auto"/>
              <w:jc w:val="center"/>
              <w:rPr>
                <w:rFonts w:ascii="Cambria" w:eastAsia="Times New Roman" w:hAnsi="Cambria" w:cs="Arial"/>
                <w:sz w:val="20"/>
                <w:szCs w:val="20"/>
                <w:lang w:eastAsia="ko-KR"/>
              </w:rPr>
            </w:pPr>
            <w:r w:rsidRPr="00613F2A">
              <w:rPr>
                <w:rFonts w:ascii="Cambria" w:eastAsia="Times New Roman" w:hAnsi="Cambria" w:cs="Arial"/>
                <w:sz w:val="20"/>
                <w:szCs w:val="20"/>
                <w:lang w:eastAsia="ko-KR"/>
              </w:rPr>
              <w:t>$14.0</w:t>
            </w:r>
          </w:p>
        </w:tc>
        <w:tc>
          <w:tcPr>
            <w:tcW w:w="1030" w:type="dxa"/>
            <w:tcBorders>
              <w:top w:val="single" w:sz="4" w:space="0" w:color="auto"/>
              <w:left w:val="nil"/>
              <w:bottom w:val="single" w:sz="4" w:space="0" w:color="auto"/>
              <w:right w:val="single" w:sz="4" w:space="0" w:color="000000"/>
            </w:tcBorders>
            <w:shd w:val="clear" w:color="auto" w:fill="auto"/>
            <w:vAlign w:val="center"/>
          </w:tcPr>
          <w:p w14:paraId="4272EBE6" w14:textId="77777777" w:rsidR="008668E7" w:rsidRPr="00613F2A" w:rsidRDefault="008668E7" w:rsidP="008A2416">
            <w:pPr>
              <w:spacing w:after="0" w:line="240" w:lineRule="auto"/>
              <w:jc w:val="center"/>
              <w:rPr>
                <w:rFonts w:ascii="Cambria" w:eastAsia="Times New Roman" w:hAnsi="Cambria" w:cs="Arial"/>
                <w:sz w:val="20"/>
                <w:szCs w:val="20"/>
                <w:lang w:eastAsia="ko-KR"/>
              </w:rPr>
            </w:pPr>
            <w:r w:rsidRPr="00613F2A">
              <w:rPr>
                <w:rFonts w:ascii="Cambria" w:eastAsia="Times New Roman" w:hAnsi="Cambria" w:cs="Helvetica"/>
                <w:sz w:val="20"/>
                <w:szCs w:val="20"/>
                <w:lang w:eastAsia="ko-KR"/>
              </w:rPr>
              <w:t>NA</w:t>
            </w:r>
          </w:p>
        </w:tc>
        <w:tc>
          <w:tcPr>
            <w:tcW w:w="903" w:type="dxa"/>
            <w:tcBorders>
              <w:top w:val="single" w:sz="4" w:space="0" w:color="auto"/>
              <w:left w:val="nil"/>
              <w:bottom w:val="single" w:sz="4" w:space="0" w:color="auto"/>
              <w:right w:val="single" w:sz="4" w:space="0" w:color="000000"/>
            </w:tcBorders>
            <w:shd w:val="clear" w:color="auto" w:fill="auto"/>
            <w:noWrap/>
            <w:vAlign w:val="center"/>
            <w:hideMark/>
          </w:tcPr>
          <w:p w14:paraId="4DD09D83" w14:textId="77777777" w:rsidR="008668E7" w:rsidRPr="00613F2A" w:rsidRDefault="008668E7" w:rsidP="008A2416">
            <w:pPr>
              <w:spacing w:after="0" w:line="240" w:lineRule="auto"/>
              <w:jc w:val="center"/>
              <w:rPr>
                <w:rFonts w:ascii="Cambria" w:eastAsia="Times New Roman" w:hAnsi="Cambria" w:cs="Arial"/>
                <w:sz w:val="20"/>
                <w:szCs w:val="20"/>
                <w:lang w:eastAsia="ko-KR"/>
              </w:rPr>
            </w:pPr>
            <w:r w:rsidRPr="00613F2A">
              <w:rPr>
                <w:rFonts w:ascii="Cambria" w:eastAsia="Times New Roman" w:hAnsi="Cambria" w:cs="Arial"/>
                <w:sz w:val="20"/>
                <w:szCs w:val="20"/>
                <w:lang w:eastAsia="ko-KR"/>
              </w:rPr>
              <w:t>$12.4</w:t>
            </w:r>
          </w:p>
        </w:tc>
        <w:tc>
          <w:tcPr>
            <w:tcW w:w="1088" w:type="dxa"/>
            <w:tcBorders>
              <w:top w:val="single" w:sz="4" w:space="0" w:color="auto"/>
              <w:left w:val="nil"/>
              <w:bottom w:val="single" w:sz="4" w:space="0" w:color="auto"/>
              <w:right w:val="single" w:sz="4" w:space="0" w:color="000000"/>
            </w:tcBorders>
            <w:shd w:val="clear" w:color="auto" w:fill="auto"/>
            <w:vAlign w:val="center"/>
          </w:tcPr>
          <w:p w14:paraId="573784F4" w14:textId="77777777" w:rsidR="008668E7" w:rsidRPr="00613F2A" w:rsidRDefault="008668E7" w:rsidP="008A2416">
            <w:pPr>
              <w:spacing w:after="0" w:line="240" w:lineRule="auto"/>
              <w:jc w:val="center"/>
              <w:rPr>
                <w:rFonts w:ascii="Cambria" w:eastAsia="Times New Roman" w:hAnsi="Cambria" w:cs="Arial"/>
                <w:sz w:val="20"/>
                <w:szCs w:val="20"/>
                <w:lang w:eastAsia="ko-KR"/>
              </w:rPr>
            </w:pPr>
            <w:r w:rsidRPr="00613F2A">
              <w:rPr>
                <w:rFonts w:ascii="Cambria" w:eastAsia="Times New Roman" w:hAnsi="Cambria" w:cs="Helvetica"/>
                <w:sz w:val="20"/>
                <w:szCs w:val="20"/>
                <w:lang w:eastAsia="ko-KR"/>
              </w:rPr>
              <w:t>NA</w:t>
            </w:r>
          </w:p>
        </w:tc>
        <w:tc>
          <w:tcPr>
            <w:tcW w:w="979" w:type="dxa"/>
            <w:tcBorders>
              <w:top w:val="single" w:sz="4" w:space="0" w:color="auto"/>
              <w:left w:val="nil"/>
              <w:bottom w:val="single" w:sz="4" w:space="0" w:color="auto"/>
              <w:right w:val="single" w:sz="4" w:space="0" w:color="000000"/>
            </w:tcBorders>
            <w:shd w:val="clear" w:color="auto" w:fill="auto"/>
            <w:noWrap/>
            <w:vAlign w:val="center"/>
            <w:hideMark/>
          </w:tcPr>
          <w:p w14:paraId="07F460BB" w14:textId="77777777" w:rsidR="008668E7" w:rsidRPr="00613F2A" w:rsidRDefault="008668E7" w:rsidP="008A2416">
            <w:pPr>
              <w:spacing w:after="0" w:line="240" w:lineRule="auto"/>
              <w:jc w:val="center"/>
              <w:rPr>
                <w:rFonts w:ascii="Cambria" w:eastAsia="Times New Roman" w:hAnsi="Cambria" w:cs="Arial"/>
                <w:sz w:val="20"/>
                <w:szCs w:val="20"/>
                <w:lang w:eastAsia="ko-KR"/>
              </w:rPr>
            </w:pPr>
            <w:r w:rsidRPr="00613F2A">
              <w:rPr>
                <w:rFonts w:ascii="Cambria" w:eastAsia="Times New Roman" w:hAnsi="Cambria" w:cs="Arial"/>
                <w:sz w:val="20"/>
                <w:szCs w:val="20"/>
                <w:lang w:eastAsia="ko-KR"/>
              </w:rPr>
              <w:t>$14.4</w:t>
            </w:r>
          </w:p>
        </w:tc>
        <w:tc>
          <w:tcPr>
            <w:tcW w:w="1067" w:type="dxa"/>
            <w:tcBorders>
              <w:top w:val="single" w:sz="4" w:space="0" w:color="auto"/>
              <w:left w:val="nil"/>
              <w:bottom w:val="single" w:sz="4" w:space="0" w:color="auto"/>
              <w:right w:val="single" w:sz="4" w:space="0" w:color="000000"/>
            </w:tcBorders>
            <w:shd w:val="clear" w:color="auto" w:fill="auto"/>
            <w:vAlign w:val="center"/>
          </w:tcPr>
          <w:p w14:paraId="452FA27A" w14:textId="77777777" w:rsidR="008668E7" w:rsidRPr="00613F2A" w:rsidRDefault="008668E7" w:rsidP="008A2416">
            <w:pPr>
              <w:spacing w:after="0" w:line="240" w:lineRule="auto"/>
              <w:jc w:val="center"/>
              <w:rPr>
                <w:rFonts w:ascii="Cambria" w:eastAsia="Times New Roman" w:hAnsi="Cambria" w:cs="Arial"/>
                <w:sz w:val="20"/>
                <w:szCs w:val="20"/>
                <w:lang w:eastAsia="ko-KR"/>
              </w:rPr>
            </w:pPr>
            <w:r w:rsidRPr="00613F2A">
              <w:rPr>
                <w:rFonts w:ascii="Cambria" w:eastAsia="Times New Roman" w:hAnsi="Cambria" w:cs="Helvetica"/>
                <w:sz w:val="20"/>
                <w:szCs w:val="20"/>
                <w:lang w:eastAsia="ko-KR"/>
              </w:rPr>
              <w:t>NA</w:t>
            </w:r>
          </w:p>
        </w:tc>
        <w:tc>
          <w:tcPr>
            <w:tcW w:w="903" w:type="dxa"/>
            <w:tcBorders>
              <w:top w:val="single" w:sz="4" w:space="0" w:color="auto"/>
              <w:left w:val="nil"/>
              <w:bottom w:val="single" w:sz="4" w:space="0" w:color="auto"/>
              <w:right w:val="single" w:sz="4" w:space="0" w:color="000000"/>
            </w:tcBorders>
            <w:shd w:val="clear" w:color="auto" w:fill="auto"/>
            <w:noWrap/>
            <w:vAlign w:val="center"/>
            <w:hideMark/>
          </w:tcPr>
          <w:p w14:paraId="4F78F32B" w14:textId="77777777" w:rsidR="008668E7" w:rsidRPr="00613F2A" w:rsidRDefault="008668E7" w:rsidP="008A2416">
            <w:pPr>
              <w:spacing w:after="0" w:line="240" w:lineRule="auto"/>
              <w:jc w:val="center"/>
              <w:rPr>
                <w:rFonts w:ascii="Cambria" w:eastAsia="Times New Roman" w:hAnsi="Cambria" w:cs="Arial"/>
                <w:sz w:val="20"/>
                <w:szCs w:val="20"/>
                <w:lang w:eastAsia="ko-KR"/>
              </w:rPr>
            </w:pPr>
            <w:r w:rsidRPr="00613F2A">
              <w:rPr>
                <w:rFonts w:ascii="Cambria" w:eastAsia="Times New Roman" w:hAnsi="Cambria" w:cs="Arial"/>
                <w:sz w:val="20"/>
                <w:szCs w:val="20"/>
                <w:lang w:eastAsia="ko-KR"/>
              </w:rPr>
              <w:t>$17.2</w:t>
            </w:r>
          </w:p>
        </w:tc>
        <w:tc>
          <w:tcPr>
            <w:tcW w:w="1064" w:type="dxa"/>
            <w:tcBorders>
              <w:top w:val="single" w:sz="4" w:space="0" w:color="auto"/>
              <w:left w:val="nil"/>
              <w:bottom w:val="single" w:sz="4" w:space="0" w:color="auto"/>
              <w:right w:val="single" w:sz="4" w:space="0" w:color="000000"/>
            </w:tcBorders>
            <w:shd w:val="clear" w:color="auto" w:fill="auto"/>
            <w:vAlign w:val="center"/>
          </w:tcPr>
          <w:p w14:paraId="6E159215" w14:textId="77777777" w:rsidR="008668E7" w:rsidRPr="00613F2A" w:rsidRDefault="008668E7" w:rsidP="008A2416">
            <w:pPr>
              <w:spacing w:after="0" w:line="240" w:lineRule="auto"/>
              <w:jc w:val="center"/>
              <w:rPr>
                <w:rFonts w:ascii="Cambria" w:eastAsia="Times New Roman" w:hAnsi="Cambria" w:cs="Arial"/>
                <w:sz w:val="20"/>
                <w:szCs w:val="20"/>
                <w:lang w:eastAsia="ko-KR"/>
              </w:rPr>
            </w:pPr>
            <w:r w:rsidRPr="00613F2A">
              <w:rPr>
                <w:rFonts w:ascii="Cambria" w:eastAsia="Times New Roman" w:hAnsi="Cambria" w:cs="Helvetica"/>
                <w:sz w:val="20"/>
                <w:szCs w:val="20"/>
                <w:lang w:eastAsia="ko-KR"/>
              </w:rPr>
              <w:t>NA</w:t>
            </w:r>
          </w:p>
        </w:tc>
      </w:tr>
    </w:tbl>
    <w:p w14:paraId="1E8F9825" w14:textId="77777777" w:rsidR="009E7760" w:rsidRPr="00F02B4D" w:rsidRDefault="009E7760" w:rsidP="009E7760">
      <w:pPr>
        <w:spacing w:after="0"/>
        <w:rPr>
          <w:rFonts w:asciiTheme="majorHAnsi" w:hAnsiTheme="majorHAnsi"/>
          <w:bCs/>
          <w:sz w:val="20"/>
          <w:szCs w:val="20"/>
        </w:rPr>
      </w:pPr>
      <w:r w:rsidRPr="00F02B4D">
        <w:rPr>
          <w:rFonts w:asciiTheme="majorHAnsi" w:hAnsiTheme="majorHAnsi"/>
          <w:bCs/>
          <w:sz w:val="20"/>
          <w:szCs w:val="20"/>
        </w:rPr>
        <w:t xml:space="preserve">Source: Massachusetts Department of Revenue. </w:t>
      </w:r>
    </w:p>
    <w:p w14:paraId="05CC96C4" w14:textId="77777777" w:rsidR="008668E7" w:rsidRDefault="009E7760" w:rsidP="009E7760">
      <w:pPr>
        <w:spacing w:after="0"/>
        <w:rPr>
          <w:rFonts w:asciiTheme="majorHAnsi" w:hAnsiTheme="majorHAnsi"/>
          <w:bCs/>
          <w:sz w:val="20"/>
          <w:szCs w:val="20"/>
        </w:rPr>
      </w:pPr>
      <w:r w:rsidRPr="00F02B4D">
        <w:rPr>
          <w:rFonts w:asciiTheme="majorHAnsi" w:hAnsiTheme="majorHAnsi"/>
          <w:bCs/>
          <w:sz w:val="20"/>
          <w:szCs w:val="20"/>
        </w:rPr>
        <w:t>Note</w:t>
      </w:r>
      <w:r w:rsidR="00184423" w:rsidRPr="00F02B4D">
        <w:rPr>
          <w:rFonts w:asciiTheme="majorHAnsi" w:hAnsiTheme="majorHAnsi"/>
          <w:bCs/>
          <w:sz w:val="20"/>
          <w:szCs w:val="20"/>
        </w:rPr>
        <w:t>s</w:t>
      </w:r>
      <w:r w:rsidRPr="00F02B4D">
        <w:rPr>
          <w:rFonts w:asciiTheme="majorHAnsi" w:hAnsiTheme="majorHAnsi"/>
          <w:bCs/>
          <w:sz w:val="20"/>
          <w:szCs w:val="20"/>
        </w:rPr>
        <w:t xml:space="preserve">: </w:t>
      </w:r>
      <w:r w:rsidR="00184423" w:rsidRPr="00F02B4D">
        <w:rPr>
          <w:rFonts w:asciiTheme="majorHAnsi" w:hAnsiTheme="majorHAnsi"/>
          <w:bCs/>
          <w:sz w:val="20"/>
          <w:szCs w:val="20"/>
        </w:rPr>
        <w:t xml:space="preserve">1. </w:t>
      </w:r>
      <w:r w:rsidR="007907E9" w:rsidRPr="00F02B4D">
        <w:rPr>
          <w:rFonts w:asciiTheme="majorHAnsi" w:hAnsiTheme="majorHAnsi"/>
          <w:bCs/>
          <w:sz w:val="20"/>
          <w:szCs w:val="20"/>
        </w:rPr>
        <w:t xml:space="preserve">2017 and </w:t>
      </w:r>
      <w:r w:rsidR="00002EEB" w:rsidRPr="00F02B4D">
        <w:rPr>
          <w:rFonts w:asciiTheme="majorHAnsi" w:hAnsiTheme="majorHAnsi"/>
          <w:bCs/>
          <w:sz w:val="20"/>
          <w:szCs w:val="20"/>
        </w:rPr>
        <w:t xml:space="preserve">2018 data are preliminary and subject to </w:t>
      </w:r>
      <w:r w:rsidR="007D17CB">
        <w:rPr>
          <w:rFonts w:asciiTheme="majorHAnsi" w:hAnsiTheme="majorHAnsi"/>
          <w:bCs/>
          <w:sz w:val="20"/>
          <w:szCs w:val="20"/>
        </w:rPr>
        <w:t>change</w:t>
      </w:r>
      <w:r w:rsidRPr="00F02B4D">
        <w:rPr>
          <w:rFonts w:asciiTheme="majorHAnsi" w:hAnsiTheme="majorHAnsi"/>
          <w:bCs/>
          <w:sz w:val="20"/>
          <w:szCs w:val="20"/>
        </w:rPr>
        <w:t xml:space="preserve">. </w:t>
      </w:r>
    </w:p>
    <w:p w14:paraId="3A6435EB" w14:textId="4F09111B" w:rsidR="009E7760" w:rsidRDefault="008668E7" w:rsidP="009E7760">
      <w:pPr>
        <w:spacing w:after="0"/>
        <w:rPr>
          <w:rFonts w:asciiTheme="majorHAnsi" w:hAnsiTheme="majorHAnsi"/>
          <w:bCs/>
          <w:sz w:val="20"/>
          <w:szCs w:val="20"/>
        </w:rPr>
      </w:pPr>
      <w:r>
        <w:rPr>
          <w:rFonts w:asciiTheme="majorHAnsi" w:hAnsiTheme="majorHAnsi"/>
          <w:bCs/>
          <w:sz w:val="20"/>
          <w:szCs w:val="20"/>
        </w:rPr>
        <w:t xml:space="preserve">             </w:t>
      </w:r>
      <w:r w:rsidR="00200515">
        <w:rPr>
          <w:rFonts w:asciiTheme="majorHAnsi" w:hAnsiTheme="majorHAnsi"/>
          <w:bCs/>
          <w:sz w:val="20"/>
          <w:szCs w:val="20"/>
        </w:rPr>
        <w:t>2</w:t>
      </w:r>
      <w:r w:rsidR="009F10FC" w:rsidRPr="00F02B4D">
        <w:rPr>
          <w:rFonts w:asciiTheme="majorHAnsi" w:hAnsiTheme="majorHAnsi"/>
          <w:bCs/>
          <w:sz w:val="20"/>
          <w:szCs w:val="20"/>
        </w:rPr>
        <w:t xml:space="preserve">. Shared credits are </w:t>
      </w:r>
      <w:r w:rsidR="00304B33" w:rsidRPr="00F02B4D">
        <w:rPr>
          <w:rFonts w:asciiTheme="majorHAnsi" w:hAnsiTheme="majorHAnsi"/>
          <w:bCs/>
          <w:sz w:val="20"/>
          <w:szCs w:val="20"/>
        </w:rPr>
        <w:t xml:space="preserve">very few or zeros and </w:t>
      </w:r>
      <w:r w:rsidR="009F10FC" w:rsidRPr="00F02B4D">
        <w:rPr>
          <w:rFonts w:asciiTheme="majorHAnsi" w:hAnsiTheme="majorHAnsi"/>
          <w:bCs/>
          <w:sz w:val="20"/>
          <w:szCs w:val="20"/>
        </w:rPr>
        <w:t xml:space="preserve">not disclosed following the confidentiality policy of DOR. </w:t>
      </w:r>
    </w:p>
    <w:p w14:paraId="31754C5E" w14:textId="29E205C3" w:rsidR="008668E7" w:rsidRPr="00F02B4D" w:rsidRDefault="008668E7" w:rsidP="009E7760">
      <w:pPr>
        <w:spacing w:after="0"/>
        <w:rPr>
          <w:rFonts w:asciiTheme="majorHAnsi" w:hAnsiTheme="majorHAnsi"/>
          <w:bCs/>
          <w:sz w:val="20"/>
          <w:szCs w:val="20"/>
        </w:rPr>
      </w:pPr>
      <w:r w:rsidRPr="00F02B4D">
        <w:rPr>
          <w:rFonts w:asciiTheme="majorHAnsi" w:hAnsiTheme="majorHAnsi"/>
          <w:bCs/>
          <w:sz w:val="20"/>
          <w:szCs w:val="20"/>
        </w:rPr>
        <w:t xml:space="preserve">           </w:t>
      </w:r>
      <w:r>
        <w:rPr>
          <w:rFonts w:asciiTheme="majorHAnsi" w:hAnsiTheme="majorHAnsi"/>
          <w:bCs/>
          <w:sz w:val="20"/>
          <w:szCs w:val="20"/>
        </w:rPr>
        <w:t xml:space="preserve">  </w:t>
      </w:r>
      <w:r w:rsidR="00200515">
        <w:rPr>
          <w:rFonts w:asciiTheme="majorHAnsi" w:hAnsiTheme="majorHAnsi"/>
          <w:bCs/>
          <w:sz w:val="20"/>
          <w:szCs w:val="20"/>
        </w:rPr>
        <w:t>3</w:t>
      </w:r>
      <w:r w:rsidRPr="00F02B4D">
        <w:rPr>
          <w:rFonts w:asciiTheme="majorHAnsi" w:hAnsiTheme="majorHAnsi"/>
          <w:bCs/>
          <w:sz w:val="20"/>
          <w:szCs w:val="20"/>
        </w:rPr>
        <w:t>. “NA”, not applicable.</w:t>
      </w:r>
    </w:p>
    <w:p w14:paraId="7BFF7D60" w14:textId="77777777" w:rsidR="00E82B60" w:rsidRDefault="00E82B60" w:rsidP="004841B1">
      <w:pPr>
        <w:spacing w:after="0"/>
        <w:rPr>
          <w:rFonts w:asciiTheme="majorHAnsi" w:hAnsiTheme="majorHAnsi"/>
          <w:b/>
          <w:sz w:val="24"/>
          <w:szCs w:val="24"/>
        </w:rPr>
      </w:pPr>
    </w:p>
    <w:p w14:paraId="1379B3CE" w14:textId="77777777" w:rsidR="00794215" w:rsidRDefault="00794215" w:rsidP="00291074">
      <w:pPr>
        <w:spacing w:after="0"/>
        <w:rPr>
          <w:rFonts w:asciiTheme="majorHAnsi" w:eastAsiaTheme="majorEastAsia" w:hAnsiTheme="majorHAnsi" w:cstheme="majorBidi"/>
          <w:bCs/>
          <w:color w:val="000000" w:themeColor="text1"/>
          <w:sz w:val="24"/>
          <w:szCs w:val="24"/>
        </w:rPr>
      </w:pPr>
    </w:p>
    <w:p w14:paraId="3EF396EA" w14:textId="77777777" w:rsidR="005529C5" w:rsidRPr="005529C5" w:rsidRDefault="0074390A" w:rsidP="000F2125">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 xml:space="preserve">DIRECT </w:t>
      </w:r>
      <w:r w:rsidR="005529C5" w:rsidRPr="005529C5">
        <w:rPr>
          <w:rFonts w:asciiTheme="majorHAnsi" w:hAnsiTheme="majorHAnsi"/>
          <w:b/>
          <w:color w:val="E36C0A" w:themeColor="accent6" w:themeShade="BF"/>
          <w:sz w:val="28"/>
          <w:szCs w:val="28"/>
        </w:rPr>
        <w:t>BENEFITS</w:t>
      </w:r>
    </w:p>
    <w:p w14:paraId="21F167E0" w14:textId="77777777" w:rsidR="002B2A8D" w:rsidRDefault="004D5E57" w:rsidP="009839A9">
      <w:pPr>
        <w:tabs>
          <w:tab w:val="left" w:pos="7050"/>
        </w:tabs>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The credit</w:t>
      </w:r>
      <w:r w:rsidR="00C37C90">
        <w:rPr>
          <w:rFonts w:asciiTheme="majorHAnsi" w:eastAsiaTheme="majorEastAsia" w:hAnsiTheme="majorHAnsi" w:cstheme="majorBidi"/>
          <w:bCs/>
          <w:color w:val="000000" w:themeColor="text1"/>
          <w:sz w:val="24"/>
          <w:szCs w:val="24"/>
        </w:rPr>
        <w:t xml:space="preserve"> is a </w:t>
      </w:r>
      <w:r w:rsidR="00965527" w:rsidRPr="00965527">
        <w:rPr>
          <w:rFonts w:asciiTheme="majorHAnsi" w:eastAsiaTheme="majorEastAsia" w:hAnsiTheme="majorHAnsi" w:cstheme="majorBidi"/>
          <w:bCs/>
          <w:color w:val="000000" w:themeColor="text1"/>
          <w:sz w:val="24"/>
          <w:szCs w:val="24"/>
        </w:rPr>
        <w:t xml:space="preserve">dollar-for-dollar </w:t>
      </w:r>
      <w:r w:rsidR="00562A90">
        <w:rPr>
          <w:rFonts w:asciiTheme="majorHAnsi" w:eastAsiaTheme="majorEastAsia" w:hAnsiTheme="majorHAnsi" w:cstheme="majorBidi"/>
          <w:bCs/>
          <w:color w:val="000000" w:themeColor="text1"/>
          <w:sz w:val="24"/>
          <w:szCs w:val="24"/>
        </w:rPr>
        <w:t>benefit</w:t>
      </w:r>
      <w:r w:rsidR="00801214">
        <w:rPr>
          <w:rFonts w:asciiTheme="majorHAnsi" w:eastAsiaTheme="majorEastAsia" w:hAnsiTheme="majorHAnsi" w:cstheme="majorBidi"/>
          <w:bCs/>
          <w:color w:val="000000" w:themeColor="text1"/>
          <w:sz w:val="24"/>
          <w:szCs w:val="24"/>
        </w:rPr>
        <w:t xml:space="preserve"> </w:t>
      </w:r>
      <w:r w:rsidR="00965527" w:rsidRPr="00965527">
        <w:rPr>
          <w:rFonts w:asciiTheme="majorHAnsi" w:eastAsiaTheme="majorEastAsia" w:hAnsiTheme="majorHAnsi" w:cstheme="majorBidi"/>
          <w:bCs/>
          <w:color w:val="000000" w:themeColor="text1"/>
          <w:sz w:val="24"/>
          <w:szCs w:val="24"/>
        </w:rPr>
        <w:t xml:space="preserve">to corporations moving goods through Massachusetts </w:t>
      </w:r>
      <w:r w:rsidR="00801214">
        <w:rPr>
          <w:rFonts w:asciiTheme="majorHAnsi" w:eastAsiaTheme="majorEastAsia" w:hAnsiTheme="majorHAnsi" w:cstheme="majorBidi"/>
          <w:bCs/>
          <w:color w:val="000000" w:themeColor="text1"/>
          <w:sz w:val="24"/>
          <w:szCs w:val="24"/>
        </w:rPr>
        <w:t>harbor facilities</w:t>
      </w:r>
      <w:r>
        <w:rPr>
          <w:rFonts w:asciiTheme="majorHAnsi" w:eastAsiaTheme="majorEastAsia" w:hAnsiTheme="majorHAnsi" w:cstheme="majorBidi"/>
          <w:bCs/>
          <w:color w:val="000000" w:themeColor="text1"/>
          <w:sz w:val="24"/>
          <w:szCs w:val="24"/>
        </w:rPr>
        <w:t xml:space="preserve"> </w:t>
      </w:r>
      <w:r w:rsidRPr="00871C71">
        <w:rPr>
          <w:rFonts w:asciiTheme="majorHAnsi" w:eastAsiaTheme="majorEastAsia" w:hAnsiTheme="majorHAnsi" w:cstheme="majorBidi"/>
          <w:bCs/>
          <w:color w:val="000000" w:themeColor="text1"/>
          <w:sz w:val="24"/>
        </w:rPr>
        <w:t>for certain harbor maintenance taxes paid to the federal government</w:t>
      </w:r>
      <w:r w:rsidR="00965527" w:rsidRPr="00965527">
        <w:rPr>
          <w:rFonts w:asciiTheme="majorHAnsi" w:eastAsiaTheme="majorEastAsia" w:hAnsiTheme="majorHAnsi" w:cstheme="majorBidi"/>
          <w:bCs/>
          <w:color w:val="000000" w:themeColor="text1"/>
          <w:sz w:val="24"/>
          <w:szCs w:val="24"/>
        </w:rPr>
        <w:t xml:space="preserve">. </w:t>
      </w:r>
      <w:r w:rsidR="000F327A">
        <w:rPr>
          <w:rFonts w:asciiTheme="majorHAnsi" w:eastAsiaTheme="majorEastAsia" w:hAnsiTheme="majorHAnsi" w:cstheme="majorBidi"/>
          <w:bCs/>
          <w:color w:val="000000" w:themeColor="text1"/>
          <w:sz w:val="24"/>
          <w:szCs w:val="24"/>
        </w:rPr>
        <w:t xml:space="preserve">It </w:t>
      </w:r>
      <w:r w:rsidR="002B2A8D">
        <w:rPr>
          <w:rFonts w:asciiTheme="majorHAnsi" w:eastAsiaTheme="majorEastAsia" w:hAnsiTheme="majorHAnsi" w:cstheme="majorBidi"/>
          <w:bCs/>
          <w:color w:val="000000" w:themeColor="text1"/>
          <w:sz w:val="24"/>
          <w:szCs w:val="24"/>
        </w:rPr>
        <w:t>is limited to</w:t>
      </w:r>
      <w:r w:rsidR="00965527" w:rsidRPr="00965527">
        <w:rPr>
          <w:rFonts w:asciiTheme="majorHAnsi" w:eastAsiaTheme="majorEastAsia" w:hAnsiTheme="majorHAnsi" w:cstheme="majorBidi"/>
          <w:bCs/>
          <w:color w:val="000000" w:themeColor="text1"/>
          <w:sz w:val="24"/>
          <w:szCs w:val="24"/>
        </w:rPr>
        <w:t xml:space="preserve"> containerized and break-bulk cargo</w:t>
      </w:r>
      <w:r w:rsidR="00D106A7">
        <w:rPr>
          <w:rFonts w:asciiTheme="majorHAnsi" w:eastAsiaTheme="majorEastAsia" w:hAnsiTheme="majorHAnsi" w:cstheme="majorBidi"/>
          <w:bCs/>
          <w:color w:val="000000" w:themeColor="text1"/>
          <w:sz w:val="24"/>
          <w:szCs w:val="24"/>
        </w:rPr>
        <w:t xml:space="preserve"> </w:t>
      </w:r>
      <w:r w:rsidR="00965527" w:rsidRPr="00965527">
        <w:rPr>
          <w:rFonts w:asciiTheme="majorHAnsi" w:eastAsiaTheme="majorEastAsia" w:hAnsiTheme="majorHAnsi" w:cstheme="majorBidi"/>
          <w:bCs/>
          <w:color w:val="000000" w:themeColor="text1"/>
          <w:sz w:val="24"/>
          <w:szCs w:val="24"/>
        </w:rPr>
        <w:t>(</w:t>
      </w:r>
      <w:r w:rsidR="00965527" w:rsidRPr="00965527">
        <w:rPr>
          <w:rFonts w:asciiTheme="majorHAnsi" w:hAnsiTheme="majorHAnsi" w:cs="Arial"/>
          <w:color w:val="202122"/>
          <w:sz w:val="24"/>
          <w:szCs w:val="24"/>
          <w:shd w:val="clear" w:color="auto" w:fill="FFFFFF"/>
        </w:rPr>
        <w:t>or general cargo</w:t>
      </w:r>
      <w:r w:rsidR="00965527" w:rsidRPr="00965527">
        <w:rPr>
          <w:rFonts w:ascii="Arial" w:hAnsi="Arial" w:cs="Arial"/>
          <w:b/>
          <w:bCs/>
          <w:color w:val="202122"/>
          <w:sz w:val="24"/>
          <w:szCs w:val="24"/>
          <w:shd w:val="clear" w:color="auto" w:fill="FFFFFF"/>
        </w:rPr>
        <w:t>)</w:t>
      </w:r>
      <w:r w:rsidR="00965527" w:rsidRPr="00965527">
        <w:rPr>
          <w:rFonts w:asciiTheme="majorHAnsi" w:eastAsiaTheme="majorEastAsia" w:hAnsiTheme="majorHAnsi" w:cstheme="majorBidi"/>
          <w:bCs/>
          <w:color w:val="000000" w:themeColor="text1"/>
          <w:sz w:val="24"/>
          <w:szCs w:val="24"/>
        </w:rPr>
        <w:t xml:space="preserve"> and vehicle shipments</w:t>
      </w:r>
      <w:r w:rsidR="00965527">
        <w:rPr>
          <w:rFonts w:asciiTheme="majorHAnsi" w:eastAsiaTheme="majorEastAsia" w:hAnsiTheme="majorHAnsi" w:cstheme="majorBidi"/>
          <w:bCs/>
          <w:color w:val="000000" w:themeColor="text1"/>
          <w:sz w:val="24"/>
          <w:szCs w:val="24"/>
        </w:rPr>
        <w:t xml:space="preserve">, and cargo </w:t>
      </w:r>
      <w:r w:rsidR="00965527" w:rsidRPr="00965527">
        <w:rPr>
          <w:rFonts w:asciiTheme="majorHAnsi" w:eastAsiaTheme="majorEastAsia" w:hAnsiTheme="majorHAnsi" w:cstheme="majorBidi"/>
          <w:bCs/>
          <w:color w:val="000000" w:themeColor="text1"/>
          <w:sz w:val="24"/>
          <w:szCs w:val="24"/>
        </w:rPr>
        <w:t>carried on sea and ocean-going vessels through Massachusetts ports.</w:t>
      </w:r>
      <w:r w:rsidR="00965527">
        <w:rPr>
          <w:rFonts w:asciiTheme="majorHAnsi" w:eastAsiaTheme="majorEastAsia" w:hAnsiTheme="majorHAnsi" w:cstheme="majorBidi"/>
          <w:bCs/>
          <w:color w:val="000000" w:themeColor="text1"/>
          <w:sz w:val="24"/>
          <w:szCs w:val="24"/>
        </w:rPr>
        <w:t xml:space="preserve"> </w:t>
      </w:r>
      <w:r w:rsidR="00D106A7">
        <w:rPr>
          <w:rFonts w:asciiTheme="majorHAnsi" w:eastAsiaTheme="majorEastAsia" w:hAnsiTheme="majorHAnsi" w:cstheme="majorBidi"/>
          <w:bCs/>
          <w:color w:val="000000" w:themeColor="text1"/>
          <w:sz w:val="24"/>
          <w:szCs w:val="24"/>
        </w:rPr>
        <w:t xml:space="preserve">Hence the direct beneficiaries are </w:t>
      </w:r>
      <w:r w:rsidR="00D106A7" w:rsidRPr="00D106A7">
        <w:rPr>
          <w:rFonts w:asciiTheme="majorHAnsi" w:eastAsiaTheme="majorEastAsia" w:hAnsiTheme="majorHAnsi" w:cstheme="majorBidi"/>
          <w:bCs/>
          <w:color w:val="000000" w:themeColor="text1"/>
          <w:sz w:val="24"/>
          <w:szCs w:val="24"/>
        </w:rPr>
        <w:t>corporation</w:t>
      </w:r>
      <w:r w:rsidR="00D106A7">
        <w:rPr>
          <w:rFonts w:asciiTheme="majorHAnsi" w:eastAsiaTheme="majorEastAsia" w:hAnsiTheme="majorHAnsi" w:cstheme="majorBidi"/>
          <w:bCs/>
          <w:color w:val="000000" w:themeColor="text1"/>
          <w:sz w:val="24"/>
          <w:szCs w:val="24"/>
        </w:rPr>
        <w:t>s</w:t>
      </w:r>
      <w:r w:rsidR="00D106A7" w:rsidRPr="00D106A7">
        <w:rPr>
          <w:rFonts w:asciiTheme="majorHAnsi" w:eastAsiaTheme="majorEastAsia" w:hAnsiTheme="majorHAnsi" w:cstheme="majorBidi"/>
          <w:bCs/>
          <w:color w:val="000000" w:themeColor="text1"/>
          <w:sz w:val="24"/>
          <w:szCs w:val="24"/>
        </w:rPr>
        <w:t xml:space="preserve"> </w:t>
      </w:r>
      <w:r w:rsidR="002B2A8D">
        <w:rPr>
          <w:rFonts w:asciiTheme="majorHAnsi" w:eastAsiaTheme="majorEastAsia" w:hAnsiTheme="majorHAnsi" w:cstheme="majorBidi"/>
          <w:bCs/>
          <w:color w:val="000000" w:themeColor="text1"/>
          <w:sz w:val="24"/>
          <w:szCs w:val="24"/>
        </w:rPr>
        <w:t>that are</w:t>
      </w:r>
      <w:r w:rsidR="002B2A8D" w:rsidRPr="00D106A7">
        <w:rPr>
          <w:rFonts w:asciiTheme="majorHAnsi" w:eastAsiaTheme="majorEastAsia" w:hAnsiTheme="majorHAnsi" w:cstheme="majorBidi"/>
          <w:bCs/>
          <w:color w:val="000000" w:themeColor="text1"/>
          <w:sz w:val="24"/>
          <w:szCs w:val="24"/>
        </w:rPr>
        <w:t xml:space="preserve"> </w:t>
      </w:r>
      <w:r w:rsidR="00D106A7" w:rsidRPr="00D106A7">
        <w:rPr>
          <w:rFonts w:asciiTheme="majorHAnsi" w:eastAsiaTheme="majorEastAsia" w:hAnsiTheme="majorHAnsi" w:cstheme="majorBidi"/>
          <w:bCs/>
          <w:color w:val="000000" w:themeColor="text1"/>
          <w:sz w:val="24"/>
          <w:szCs w:val="24"/>
        </w:rPr>
        <w:t>shipper</w:t>
      </w:r>
      <w:r w:rsidR="00D106A7">
        <w:rPr>
          <w:rFonts w:asciiTheme="majorHAnsi" w:eastAsiaTheme="majorEastAsia" w:hAnsiTheme="majorHAnsi" w:cstheme="majorBidi"/>
          <w:bCs/>
          <w:color w:val="000000" w:themeColor="text1"/>
          <w:sz w:val="24"/>
          <w:szCs w:val="24"/>
        </w:rPr>
        <w:t>s</w:t>
      </w:r>
      <w:r w:rsidR="00D106A7" w:rsidRPr="00D106A7">
        <w:rPr>
          <w:rFonts w:asciiTheme="majorHAnsi" w:eastAsiaTheme="majorEastAsia" w:hAnsiTheme="majorHAnsi" w:cstheme="majorBidi"/>
          <w:bCs/>
          <w:color w:val="000000" w:themeColor="text1"/>
          <w:sz w:val="24"/>
          <w:szCs w:val="24"/>
        </w:rPr>
        <w:t>, importer</w:t>
      </w:r>
      <w:r w:rsidR="00D106A7">
        <w:rPr>
          <w:rFonts w:asciiTheme="majorHAnsi" w:eastAsiaTheme="majorEastAsia" w:hAnsiTheme="majorHAnsi" w:cstheme="majorBidi"/>
          <w:bCs/>
          <w:color w:val="000000" w:themeColor="text1"/>
          <w:sz w:val="24"/>
          <w:szCs w:val="24"/>
        </w:rPr>
        <w:t>s</w:t>
      </w:r>
      <w:r w:rsidR="00D106A7" w:rsidRPr="00D106A7">
        <w:rPr>
          <w:rFonts w:asciiTheme="majorHAnsi" w:eastAsiaTheme="majorEastAsia" w:hAnsiTheme="majorHAnsi" w:cstheme="majorBidi"/>
          <w:bCs/>
          <w:color w:val="000000" w:themeColor="text1"/>
          <w:sz w:val="24"/>
          <w:szCs w:val="24"/>
        </w:rPr>
        <w:t xml:space="preserve"> or exporter</w:t>
      </w:r>
      <w:r w:rsidR="00D106A7">
        <w:rPr>
          <w:rFonts w:asciiTheme="majorHAnsi" w:eastAsiaTheme="majorEastAsia" w:hAnsiTheme="majorHAnsi" w:cstheme="majorBidi"/>
          <w:bCs/>
          <w:color w:val="000000" w:themeColor="text1"/>
          <w:sz w:val="24"/>
          <w:szCs w:val="24"/>
        </w:rPr>
        <w:t xml:space="preserve">s. </w:t>
      </w:r>
    </w:p>
    <w:p w14:paraId="452AC02F" w14:textId="77777777" w:rsidR="002B2A8D" w:rsidRDefault="002B2A8D" w:rsidP="009839A9">
      <w:pPr>
        <w:tabs>
          <w:tab w:val="left" w:pos="7050"/>
        </w:tabs>
        <w:spacing w:after="0"/>
        <w:rPr>
          <w:rFonts w:asciiTheme="majorHAnsi" w:eastAsiaTheme="majorEastAsia" w:hAnsiTheme="majorHAnsi" w:cstheme="majorBidi"/>
          <w:bCs/>
          <w:color w:val="000000" w:themeColor="text1"/>
          <w:sz w:val="24"/>
          <w:szCs w:val="24"/>
        </w:rPr>
      </w:pPr>
    </w:p>
    <w:p w14:paraId="141BB3AD" w14:textId="5E533594" w:rsidR="00F72A54" w:rsidRDefault="00F72A54" w:rsidP="00F72A54">
      <w:pPr>
        <w:spacing w:after="0"/>
        <w:rPr>
          <w:rFonts w:asciiTheme="majorHAnsi" w:hAnsiTheme="majorHAnsi"/>
          <w:sz w:val="24"/>
          <w:szCs w:val="24"/>
        </w:rPr>
      </w:pPr>
      <w:r>
        <w:rPr>
          <w:rFonts w:asciiTheme="majorHAnsi" w:hAnsiTheme="majorHAnsi"/>
          <w:sz w:val="24"/>
          <w:szCs w:val="24"/>
        </w:rPr>
        <w:t xml:space="preserve">Tables </w:t>
      </w:r>
      <w:r w:rsidR="00A766E1">
        <w:rPr>
          <w:rFonts w:asciiTheme="majorHAnsi" w:hAnsiTheme="majorHAnsi"/>
          <w:sz w:val="24"/>
          <w:szCs w:val="24"/>
        </w:rPr>
        <w:t>3</w:t>
      </w:r>
      <w:r>
        <w:rPr>
          <w:rFonts w:asciiTheme="majorHAnsi" w:hAnsiTheme="majorHAnsi"/>
          <w:sz w:val="24"/>
          <w:szCs w:val="24"/>
        </w:rPr>
        <w:t>-</w:t>
      </w:r>
      <w:r w:rsidR="00A766E1">
        <w:rPr>
          <w:rFonts w:asciiTheme="majorHAnsi" w:hAnsiTheme="majorHAnsi"/>
          <w:sz w:val="24"/>
          <w:szCs w:val="24"/>
        </w:rPr>
        <w:t>5</w:t>
      </w:r>
      <w:r>
        <w:rPr>
          <w:rFonts w:asciiTheme="majorHAnsi" w:hAnsiTheme="majorHAnsi"/>
          <w:sz w:val="24"/>
          <w:szCs w:val="24"/>
        </w:rPr>
        <w:t xml:space="preserve"> show the number of claimants and claim amounts by income level</w:t>
      </w:r>
      <w:r w:rsidR="00747C0D">
        <w:rPr>
          <w:rFonts w:asciiTheme="majorHAnsi" w:hAnsiTheme="majorHAnsi"/>
          <w:sz w:val="24"/>
          <w:szCs w:val="24"/>
        </w:rPr>
        <w:t xml:space="preserve"> (Table </w:t>
      </w:r>
      <w:r w:rsidR="00A766E1">
        <w:rPr>
          <w:rFonts w:asciiTheme="majorHAnsi" w:hAnsiTheme="majorHAnsi"/>
          <w:sz w:val="24"/>
          <w:szCs w:val="24"/>
        </w:rPr>
        <w:t>3</w:t>
      </w:r>
      <w:r w:rsidR="00747C0D">
        <w:rPr>
          <w:rFonts w:asciiTheme="majorHAnsi" w:hAnsiTheme="majorHAnsi"/>
          <w:sz w:val="24"/>
          <w:szCs w:val="24"/>
        </w:rPr>
        <w:t>)</w:t>
      </w:r>
      <w:r>
        <w:rPr>
          <w:rFonts w:asciiTheme="majorHAnsi" w:hAnsiTheme="majorHAnsi"/>
          <w:sz w:val="24"/>
          <w:szCs w:val="24"/>
        </w:rPr>
        <w:t xml:space="preserve">, size of taxpayer </w:t>
      </w:r>
      <w:r w:rsidR="00BE0925">
        <w:rPr>
          <w:rFonts w:asciiTheme="majorHAnsi" w:hAnsiTheme="majorHAnsi"/>
          <w:sz w:val="24"/>
          <w:szCs w:val="24"/>
        </w:rPr>
        <w:t>by</w:t>
      </w:r>
      <w:r>
        <w:rPr>
          <w:rFonts w:asciiTheme="majorHAnsi" w:hAnsiTheme="majorHAnsi"/>
          <w:sz w:val="24"/>
          <w:szCs w:val="24"/>
        </w:rPr>
        <w:t xml:space="preserve"> number of employees</w:t>
      </w:r>
      <w:r w:rsidR="00747C0D">
        <w:rPr>
          <w:rFonts w:asciiTheme="majorHAnsi" w:hAnsiTheme="majorHAnsi"/>
          <w:sz w:val="24"/>
          <w:szCs w:val="24"/>
        </w:rPr>
        <w:t xml:space="preserve"> (Table </w:t>
      </w:r>
      <w:r w:rsidR="00A766E1">
        <w:rPr>
          <w:rFonts w:asciiTheme="majorHAnsi" w:hAnsiTheme="majorHAnsi"/>
          <w:sz w:val="24"/>
          <w:szCs w:val="24"/>
        </w:rPr>
        <w:t>4</w:t>
      </w:r>
      <w:r w:rsidR="00747C0D">
        <w:rPr>
          <w:rFonts w:asciiTheme="majorHAnsi" w:hAnsiTheme="majorHAnsi"/>
          <w:sz w:val="24"/>
          <w:szCs w:val="24"/>
        </w:rPr>
        <w:t>)</w:t>
      </w:r>
      <w:r>
        <w:rPr>
          <w:rFonts w:asciiTheme="majorHAnsi" w:hAnsiTheme="majorHAnsi"/>
          <w:sz w:val="24"/>
          <w:szCs w:val="24"/>
        </w:rPr>
        <w:t>, and industry</w:t>
      </w:r>
      <w:r w:rsidR="00747C0D">
        <w:rPr>
          <w:rFonts w:asciiTheme="majorHAnsi" w:hAnsiTheme="majorHAnsi"/>
          <w:sz w:val="24"/>
          <w:szCs w:val="24"/>
        </w:rPr>
        <w:t xml:space="preserve"> (Table </w:t>
      </w:r>
      <w:r w:rsidR="00A766E1">
        <w:rPr>
          <w:rFonts w:asciiTheme="majorHAnsi" w:hAnsiTheme="majorHAnsi"/>
          <w:sz w:val="24"/>
          <w:szCs w:val="24"/>
        </w:rPr>
        <w:t>5</w:t>
      </w:r>
      <w:r w:rsidR="00747C0D">
        <w:rPr>
          <w:rFonts w:asciiTheme="majorHAnsi" w:hAnsiTheme="majorHAnsi"/>
          <w:sz w:val="24"/>
          <w:szCs w:val="24"/>
        </w:rPr>
        <w:t>)</w:t>
      </w:r>
      <w:r>
        <w:rPr>
          <w:rFonts w:asciiTheme="majorHAnsi" w:hAnsiTheme="majorHAnsi"/>
          <w:sz w:val="24"/>
          <w:szCs w:val="24"/>
        </w:rPr>
        <w:t xml:space="preserve"> for the 2017 tax year</w:t>
      </w:r>
      <w:r w:rsidR="00A766E1">
        <w:rPr>
          <w:rFonts w:asciiTheme="majorHAnsi" w:hAnsiTheme="majorHAnsi"/>
          <w:sz w:val="24"/>
          <w:szCs w:val="24"/>
        </w:rPr>
        <w:t>. For that year,</w:t>
      </w:r>
      <w:r>
        <w:rPr>
          <w:rFonts w:asciiTheme="majorHAnsi" w:hAnsiTheme="majorHAnsi"/>
          <w:sz w:val="24"/>
          <w:szCs w:val="24"/>
        </w:rPr>
        <w:t xml:space="preserve"> 80.5% of claimants were corporations with </w:t>
      </w:r>
      <w:r w:rsidR="003B7EA0">
        <w:rPr>
          <w:rFonts w:asciiTheme="majorHAnsi" w:hAnsiTheme="majorHAnsi"/>
          <w:sz w:val="24"/>
          <w:szCs w:val="24"/>
        </w:rPr>
        <w:t xml:space="preserve">less than 100 </w:t>
      </w:r>
      <w:r>
        <w:rPr>
          <w:rFonts w:asciiTheme="majorHAnsi" w:hAnsiTheme="majorHAnsi"/>
          <w:sz w:val="24"/>
          <w:szCs w:val="24"/>
        </w:rPr>
        <w:t xml:space="preserve">employees, and </w:t>
      </w:r>
      <w:r>
        <w:rPr>
          <w:rFonts w:asciiTheme="majorHAnsi" w:eastAsiaTheme="majorEastAsia" w:hAnsiTheme="majorHAnsi" w:cstheme="majorBidi"/>
          <w:bCs/>
          <w:color w:val="000000" w:themeColor="text1"/>
          <w:sz w:val="24"/>
          <w:szCs w:val="24"/>
        </w:rPr>
        <w:t xml:space="preserve">83% of </w:t>
      </w:r>
      <w:r>
        <w:rPr>
          <w:rFonts w:asciiTheme="majorHAnsi" w:hAnsiTheme="majorHAnsi"/>
          <w:sz w:val="24"/>
          <w:szCs w:val="24"/>
        </w:rPr>
        <w:t>claimants</w:t>
      </w:r>
      <w:r>
        <w:rPr>
          <w:rFonts w:asciiTheme="majorHAnsi" w:eastAsiaTheme="majorEastAsia" w:hAnsiTheme="majorHAnsi" w:cstheme="majorBidi"/>
          <w:bCs/>
          <w:color w:val="000000" w:themeColor="text1"/>
          <w:sz w:val="24"/>
          <w:szCs w:val="24"/>
        </w:rPr>
        <w:t xml:space="preserve"> were in the industries of manufacturing and wholesale trade.</w:t>
      </w:r>
      <w:r>
        <w:rPr>
          <w:rFonts w:asciiTheme="majorHAnsi" w:hAnsiTheme="majorHAnsi"/>
          <w:sz w:val="24"/>
          <w:szCs w:val="24"/>
        </w:rPr>
        <w:t xml:space="preserve"> </w:t>
      </w:r>
    </w:p>
    <w:p w14:paraId="05C8BD35" w14:textId="77777777" w:rsidR="00F72A54" w:rsidRDefault="00F72A54" w:rsidP="00F72A54">
      <w:pPr>
        <w:spacing w:after="0"/>
        <w:rPr>
          <w:rFonts w:asciiTheme="majorHAnsi" w:hAnsiTheme="majorHAnsi"/>
          <w:sz w:val="24"/>
          <w:szCs w:val="24"/>
        </w:rPr>
      </w:pPr>
    </w:p>
    <w:p w14:paraId="010F4711" w14:textId="19BE2676" w:rsidR="00F72A54" w:rsidRDefault="00F72A54" w:rsidP="00F72A54">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T</w:t>
      </w:r>
      <w:r w:rsidRPr="000F7B86">
        <w:rPr>
          <w:rFonts w:asciiTheme="majorHAnsi" w:eastAsiaTheme="majorEastAsia" w:hAnsiTheme="majorHAnsi" w:cstheme="majorBidi"/>
          <w:bCs/>
          <w:color w:val="000000" w:themeColor="text1"/>
          <w:sz w:val="24"/>
          <w:szCs w:val="24"/>
        </w:rPr>
        <w:t xml:space="preserve">he tax benefit per claimant </w:t>
      </w:r>
      <w:r>
        <w:rPr>
          <w:rFonts w:asciiTheme="majorHAnsi" w:eastAsiaTheme="majorEastAsia" w:hAnsiTheme="majorHAnsi" w:cstheme="majorBidi"/>
          <w:bCs/>
          <w:color w:val="000000" w:themeColor="text1"/>
          <w:sz w:val="24"/>
          <w:szCs w:val="24"/>
        </w:rPr>
        <w:t>averaged</w:t>
      </w:r>
      <w:r w:rsidRPr="000F7B86">
        <w:rPr>
          <w:rFonts w:asciiTheme="majorHAnsi" w:eastAsiaTheme="majorEastAsia" w:hAnsiTheme="majorHAnsi" w:cstheme="majorBidi"/>
          <w:bCs/>
          <w:color w:val="000000" w:themeColor="text1"/>
          <w:sz w:val="24"/>
          <w:szCs w:val="24"/>
        </w:rPr>
        <w:t xml:space="preserve"> $</w:t>
      </w:r>
      <w:r w:rsidR="00931F28">
        <w:rPr>
          <w:rFonts w:asciiTheme="majorHAnsi" w:eastAsiaTheme="majorEastAsia" w:hAnsiTheme="majorHAnsi" w:cstheme="majorBidi"/>
          <w:bCs/>
          <w:color w:val="000000" w:themeColor="text1"/>
          <w:sz w:val="24"/>
          <w:szCs w:val="24"/>
        </w:rPr>
        <w:t>14</w:t>
      </w:r>
      <w:r w:rsidRPr="000F7B86">
        <w:rPr>
          <w:rFonts w:asciiTheme="majorHAnsi" w:eastAsiaTheme="majorEastAsia" w:hAnsiTheme="majorHAnsi" w:cstheme="majorBidi"/>
          <w:bCs/>
          <w:color w:val="000000" w:themeColor="text1"/>
          <w:sz w:val="24"/>
          <w:szCs w:val="24"/>
        </w:rPr>
        <w:t>,</w:t>
      </w:r>
      <w:r w:rsidR="00931F28">
        <w:rPr>
          <w:rFonts w:asciiTheme="majorHAnsi" w:eastAsiaTheme="majorEastAsia" w:hAnsiTheme="majorHAnsi" w:cstheme="majorBidi"/>
          <w:bCs/>
          <w:color w:val="000000" w:themeColor="text1"/>
          <w:sz w:val="24"/>
          <w:szCs w:val="24"/>
        </w:rPr>
        <w:t>384</w:t>
      </w:r>
      <w:r>
        <w:rPr>
          <w:rFonts w:asciiTheme="majorHAnsi" w:eastAsiaTheme="majorEastAsia" w:hAnsiTheme="majorHAnsi" w:cstheme="majorBidi"/>
          <w:bCs/>
          <w:color w:val="000000" w:themeColor="text1"/>
          <w:sz w:val="24"/>
          <w:szCs w:val="24"/>
        </w:rPr>
        <w:t>, varying from $</w:t>
      </w:r>
      <w:r w:rsidR="00931F28">
        <w:rPr>
          <w:rFonts w:asciiTheme="majorHAnsi" w:eastAsiaTheme="majorEastAsia" w:hAnsiTheme="majorHAnsi" w:cstheme="majorBidi"/>
          <w:bCs/>
          <w:color w:val="000000" w:themeColor="text1"/>
          <w:sz w:val="24"/>
          <w:szCs w:val="24"/>
        </w:rPr>
        <w:t>4</w:t>
      </w:r>
      <w:r>
        <w:rPr>
          <w:rFonts w:asciiTheme="majorHAnsi" w:eastAsiaTheme="majorEastAsia" w:hAnsiTheme="majorHAnsi" w:cstheme="majorBidi"/>
          <w:bCs/>
          <w:color w:val="000000" w:themeColor="text1"/>
          <w:sz w:val="24"/>
          <w:szCs w:val="24"/>
        </w:rPr>
        <w:t>,</w:t>
      </w:r>
      <w:r w:rsidR="00931F28">
        <w:rPr>
          <w:rFonts w:asciiTheme="majorHAnsi" w:eastAsiaTheme="majorEastAsia" w:hAnsiTheme="majorHAnsi" w:cstheme="majorBidi"/>
          <w:bCs/>
          <w:color w:val="000000" w:themeColor="text1"/>
          <w:sz w:val="24"/>
          <w:szCs w:val="24"/>
        </w:rPr>
        <w:t>335</w:t>
      </w:r>
      <w:r>
        <w:rPr>
          <w:rFonts w:asciiTheme="majorHAnsi" w:eastAsiaTheme="majorEastAsia" w:hAnsiTheme="majorHAnsi" w:cstheme="majorBidi"/>
          <w:bCs/>
          <w:color w:val="000000" w:themeColor="text1"/>
          <w:sz w:val="24"/>
          <w:szCs w:val="24"/>
        </w:rPr>
        <w:t xml:space="preserve"> for </w:t>
      </w:r>
      <w:r w:rsidR="00931F28">
        <w:rPr>
          <w:rFonts w:asciiTheme="majorHAnsi" w:hAnsiTheme="majorHAnsi"/>
          <w:sz w:val="24"/>
          <w:szCs w:val="24"/>
        </w:rPr>
        <w:t xml:space="preserve">corporations with negative taxable income </w:t>
      </w:r>
      <w:r>
        <w:rPr>
          <w:rFonts w:asciiTheme="majorHAnsi" w:hAnsiTheme="majorHAnsi"/>
          <w:sz w:val="24"/>
          <w:szCs w:val="24"/>
        </w:rPr>
        <w:t>to $</w:t>
      </w:r>
      <w:r w:rsidR="00C672F1">
        <w:rPr>
          <w:rFonts w:asciiTheme="majorHAnsi" w:hAnsiTheme="majorHAnsi"/>
          <w:sz w:val="24"/>
          <w:szCs w:val="24"/>
        </w:rPr>
        <w:t>82,380</w:t>
      </w:r>
      <w:r>
        <w:rPr>
          <w:rFonts w:asciiTheme="majorHAnsi" w:hAnsiTheme="majorHAnsi"/>
          <w:sz w:val="24"/>
          <w:szCs w:val="24"/>
        </w:rPr>
        <w:t xml:space="preserve"> for the corporations </w:t>
      </w:r>
      <w:r w:rsidR="00747C0D">
        <w:rPr>
          <w:rFonts w:asciiTheme="majorHAnsi" w:hAnsiTheme="majorHAnsi"/>
          <w:sz w:val="24"/>
          <w:szCs w:val="24"/>
        </w:rPr>
        <w:t>with</w:t>
      </w:r>
      <w:r>
        <w:rPr>
          <w:rFonts w:asciiTheme="majorHAnsi" w:hAnsiTheme="majorHAnsi"/>
          <w:sz w:val="24"/>
          <w:szCs w:val="24"/>
        </w:rPr>
        <w:t xml:space="preserve"> $10 million or </w:t>
      </w:r>
      <w:r w:rsidR="00747C0D">
        <w:rPr>
          <w:rFonts w:asciiTheme="majorHAnsi" w:hAnsiTheme="majorHAnsi"/>
          <w:sz w:val="24"/>
          <w:szCs w:val="24"/>
        </w:rPr>
        <w:t>more in</w:t>
      </w:r>
      <w:r>
        <w:rPr>
          <w:rFonts w:asciiTheme="majorHAnsi" w:hAnsiTheme="majorHAnsi"/>
          <w:sz w:val="24"/>
          <w:szCs w:val="24"/>
        </w:rPr>
        <w:t xml:space="preserve"> taxable income</w:t>
      </w:r>
      <w:r w:rsidR="00747C0D">
        <w:rPr>
          <w:rFonts w:asciiTheme="majorHAnsi" w:hAnsiTheme="majorHAnsi"/>
          <w:sz w:val="24"/>
          <w:szCs w:val="24"/>
        </w:rPr>
        <w:t xml:space="preserve">. See Table </w:t>
      </w:r>
      <w:r w:rsidR="00A766E1">
        <w:rPr>
          <w:rFonts w:asciiTheme="majorHAnsi" w:hAnsiTheme="majorHAnsi"/>
          <w:sz w:val="24"/>
          <w:szCs w:val="24"/>
        </w:rPr>
        <w:t>3</w:t>
      </w:r>
      <w:r w:rsidR="00747C0D">
        <w:rPr>
          <w:rFonts w:asciiTheme="majorHAnsi" w:hAnsiTheme="majorHAnsi"/>
          <w:sz w:val="24"/>
          <w:szCs w:val="24"/>
        </w:rPr>
        <w:t xml:space="preserve"> below.</w:t>
      </w:r>
      <w:r>
        <w:rPr>
          <w:rFonts w:asciiTheme="majorHAnsi" w:hAnsiTheme="majorHAnsi"/>
          <w:sz w:val="24"/>
          <w:szCs w:val="24"/>
        </w:rPr>
        <w:t xml:space="preserve"> </w:t>
      </w:r>
      <w:r w:rsidR="0083324A">
        <w:rPr>
          <w:rFonts w:asciiTheme="majorHAnsi" w:hAnsiTheme="majorHAnsi"/>
          <w:sz w:val="24"/>
          <w:szCs w:val="24"/>
        </w:rPr>
        <w:t xml:space="preserve">Looking at the tax benefit per claimant by number of employees, </w:t>
      </w:r>
      <w:r>
        <w:rPr>
          <w:rFonts w:asciiTheme="majorHAnsi" w:hAnsiTheme="majorHAnsi"/>
          <w:sz w:val="24"/>
          <w:szCs w:val="24"/>
        </w:rPr>
        <w:t xml:space="preserve">corporations </w:t>
      </w:r>
      <w:r w:rsidR="0083324A">
        <w:rPr>
          <w:rFonts w:asciiTheme="majorHAnsi" w:hAnsiTheme="majorHAnsi"/>
          <w:sz w:val="24"/>
          <w:szCs w:val="24"/>
        </w:rPr>
        <w:t>with</w:t>
      </w:r>
      <w:r>
        <w:rPr>
          <w:rFonts w:asciiTheme="majorHAnsi" w:hAnsiTheme="majorHAnsi"/>
          <w:sz w:val="24"/>
          <w:szCs w:val="24"/>
        </w:rPr>
        <w:t xml:space="preserve"> 5-49 employees</w:t>
      </w:r>
      <w:r w:rsidR="0083324A">
        <w:rPr>
          <w:rFonts w:asciiTheme="majorHAnsi" w:hAnsiTheme="majorHAnsi"/>
          <w:sz w:val="24"/>
          <w:szCs w:val="24"/>
        </w:rPr>
        <w:t xml:space="preserve"> had the lowest tax benefit per claimant, with </w:t>
      </w:r>
      <w:r w:rsidR="0083324A">
        <w:rPr>
          <w:rFonts w:asciiTheme="majorHAnsi" w:hAnsiTheme="majorHAnsi"/>
          <w:sz w:val="24"/>
          <w:szCs w:val="24"/>
        </w:rPr>
        <w:lastRenderedPageBreak/>
        <w:t>$4,375 per claimant. C</w:t>
      </w:r>
      <w:r>
        <w:rPr>
          <w:rFonts w:asciiTheme="majorHAnsi" w:hAnsiTheme="majorHAnsi"/>
          <w:sz w:val="24"/>
          <w:szCs w:val="24"/>
        </w:rPr>
        <w:t xml:space="preserve">orporations of </w:t>
      </w:r>
      <w:r w:rsidR="00463058">
        <w:rPr>
          <w:rFonts w:asciiTheme="majorHAnsi" w:hAnsiTheme="majorHAnsi"/>
          <w:sz w:val="24"/>
          <w:szCs w:val="24"/>
        </w:rPr>
        <w:t>2</w:t>
      </w:r>
      <w:r>
        <w:rPr>
          <w:rFonts w:asciiTheme="majorHAnsi" w:hAnsiTheme="majorHAnsi"/>
          <w:sz w:val="24"/>
          <w:szCs w:val="24"/>
        </w:rPr>
        <w:t>00 or more employees</w:t>
      </w:r>
      <w:r w:rsidR="0083324A">
        <w:rPr>
          <w:rFonts w:asciiTheme="majorHAnsi" w:hAnsiTheme="majorHAnsi"/>
          <w:sz w:val="24"/>
          <w:szCs w:val="24"/>
        </w:rPr>
        <w:t xml:space="preserve"> had the highest, averaging $40,390 per claimant. See Table </w:t>
      </w:r>
      <w:r w:rsidR="00A766E1">
        <w:rPr>
          <w:rFonts w:asciiTheme="majorHAnsi" w:hAnsiTheme="majorHAnsi"/>
          <w:sz w:val="24"/>
          <w:szCs w:val="24"/>
        </w:rPr>
        <w:t>4</w:t>
      </w:r>
      <w:r w:rsidR="0083324A">
        <w:rPr>
          <w:rFonts w:asciiTheme="majorHAnsi" w:hAnsiTheme="majorHAnsi"/>
          <w:sz w:val="24"/>
          <w:szCs w:val="24"/>
        </w:rPr>
        <w:t>. By industry, corporations in manufacturing had the lowest average claim with</w:t>
      </w:r>
      <w:r>
        <w:rPr>
          <w:rFonts w:asciiTheme="majorHAnsi" w:hAnsiTheme="majorHAnsi"/>
          <w:sz w:val="24"/>
          <w:szCs w:val="24"/>
        </w:rPr>
        <w:t xml:space="preserve"> $</w:t>
      </w:r>
      <w:r w:rsidR="00463058">
        <w:rPr>
          <w:rFonts w:asciiTheme="majorHAnsi" w:hAnsiTheme="majorHAnsi"/>
          <w:sz w:val="24"/>
          <w:szCs w:val="24"/>
        </w:rPr>
        <w:t>9</w:t>
      </w:r>
      <w:r>
        <w:rPr>
          <w:rFonts w:asciiTheme="majorHAnsi" w:hAnsiTheme="majorHAnsi"/>
          <w:sz w:val="24"/>
          <w:szCs w:val="24"/>
        </w:rPr>
        <w:t>,</w:t>
      </w:r>
      <w:r w:rsidR="00463058">
        <w:rPr>
          <w:rFonts w:asciiTheme="majorHAnsi" w:hAnsiTheme="majorHAnsi"/>
          <w:sz w:val="24"/>
          <w:szCs w:val="24"/>
        </w:rPr>
        <w:t>412</w:t>
      </w:r>
      <w:r w:rsidR="0083324A">
        <w:rPr>
          <w:rFonts w:asciiTheme="majorHAnsi" w:hAnsiTheme="majorHAnsi"/>
          <w:sz w:val="24"/>
          <w:szCs w:val="24"/>
        </w:rPr>
        <w:t>, while</w:t>
      </w:r>
      <w:r>
        <w:rPr>
          <w:rFonts w:asciiTheme="majorHAnsi" w:hAnsiTheme="majorHAnsi"/>
          <w:sz w:val="24"/>
          <w:szCs w:val="24"/>
        </w:rPr>
        <w:t xml:space="preserve"> corporations </w:t>
      </w:r>
      <w:r w:rsidRPr="00F02B4D">
        <w:rPr>
          <w:rFonts w:ascii="Cambria" w:eastAsia="Times New Roman" w:hAnsi="Cambria" w:cs="Helvetica"/>
          <w:color w:val="000000"/>
          <w:sz w:val="24"/>
          <w:szCs w:val="24"/>
          <w:lang w:eastAsia="ko-KR"/>
        </w:rPr>
        <w:t xml:space="preserve">in the </w:t>
      </w:r>
      <w:r w:rsidRPr="00BE6426">
        <w:rPr>
          <w:rFonts w:asciiTheme="majorHAnsi" w:hAnsiTheme="majorHAnsi"/>
          <w:sz w:val="24"/>
          <w:szCs w:val="24"/>
        </w:rPr>
        <w:t>“</w:t>
      </w:r>
      <w:r w:rsidR="00BE6426" w:rsidRPr="00BE6426">
        <w:rPr>
          <w:rFonts w:asciiTheme="majorHAnsi" w:hAnsiTheme="majorHAnsi"/>
          <w:sz w:val="24"/>
          <w:szCs w:val="24"/>
        </w:rPr>
        <w:t>Unmatched or others</w:t>
      </w:r>
      <w:r w:rsidR="00463058" w:rsidRPr="00BE6426">
        <w:rPr>
          <w:rFonts w:asciiTheme="majorHAnsi" w:hAnsiTheme="majorHAnsi"/>
          <w:sz w:val="24"/>
          <w:szCs w:val="24"/>
        </w:rPr>
        <w:t xml:space="preserve">” </w:t>
      </w:r>
      <w:r w:rsidRPr="00BE6426">
        <w:rPr>
          <w:rFonts w:asciiTheme="majorHAnsi" w:hAnsiTheme="majorHAnsi"/>
          <w:sz w:val="24"/>
          <w:szCs w:val="24"/>
        </w:rPr>
        <w:t>industr</w:t>
      </w:r>
      <w:r w:rsidR="00BE6426" w:rsidRPr="00BE6426">
        <w:rPr>
          <w:rFonts w:asciiTheme="majorHAnsi" w:hAnsiTheme="majorHAnsi"/>
          <w:sz w:val="24"/>
          <w:szCs w:val="24"/>
        </w:rPr>
        <w:t>y</w:t>
      </w:r>
      <w:r w:rsidR="0083324A">
        <w:rPr>
          <w:rFonts w:asciiTheme="majorHAnsi" w:hAnsiTheme="majorHAnsi"/>
          <w:sz w:val="24"/>
          <w:szCs w:val="24"/>
        </w:rPr>
        <w:t xml:space="preserve"> had the highest with $38,633</w:t>
      </w:r>
      <w:r>
        <w:rPr>
          <w:rFonts w:asciiTheme="majorHAnsi" w:hAnsiTheme="majorHAnsi"/>
          <w:sz w:val="24"/>
          <w:szCs w:val="24"/>
        </w:rPr>
        <w:t>.</w:t>
      </w:r>
      <w:r w:rsidR="0083324A">
        <w:rPr>
          <w:rFonts w:asciiTheme="majorHAnsi" w:hAnsiTheme="majorHAnsi"/>
          <w:sz w:val="24"/>
          <w:szCs w:val="24"/>
        </w:rPr>
        <w:t xml:space="preserve"> See Table </w:t>
      </w:r>
      <w:r w:rsidR="00A766E1">
        <w:rPr>
          <w:rFonts w:asciiTheme="majorHAnsi" w:hAnsiTheme="majorHAnsi"/>
          <w:sz w:val="24"/>
          <w:szCs w:val="24"/>
        </w:rPr>
        <w:t>5</w:t>
      </w:r>
      <w:r w:rsidR="0083324A">
        <w:rPr>
          <w:rFonts w:asciiTheme="majorHAnsi" w:hAnsiTheme="majorHAnsi"/>
          <w:sz w:val="24"/>
          <w:szCs w:val="24"/>
        </w:rPr>
        <w:t>.</w:t>
      </w:r>
      <w:r>
        <w:rPr>
          <w:rFonts w:asciiTheme="majorHAnsi" w:hAnsiTheme="majorHAnsi"/>
          <w:sz w:val="24"/>
          <w:szCs w:val="24"/>
        </w:rPr>
        <w:t xml:space="preserve"> </w:t>
      </w:r>
    </w:p>
    <w:p w14:paraId="4225FC1E" w14:textId="77777777" w:rsidR="00F72A54" w:rsidRDefault="00F72A54" w:rsidP="00F02B4D">
      <w:pPr>
        <w:spacing w:after="0"/>
        <w:rPr>
          <w:rFonts w:asciiTheme="majorHAnsi" w:eastAsiaTheme="majorEastAsia" w:hAnsiTheme="majorHAnsi" w:cstheme="majorBidi"/>
          <w:bCs/>
          <w:color w:val="000000" w:themeColor="text1"/>
          <w:sz w:val="24"/>
          <w:szCs w:val="24"/>
        </w:rPr>
      </w:pPr>
    </w:p>
    <w:p w14:paraId="4645D36E" w14:textId="77777777" w:rsidR="00BE6426" w:rsidRDefault="00BE6426" w:rsidP="00F02B4D">
      <w:pPr>
        <w:spacing w:after="0"/>
        <w:rPr>
          <w:rFonts w:asciiTheme="majorHAnsi" w:eastAsiaTheme="majorEastAsia" w:hAnsiTheme="majorHAnsi" w:cstheme="majorBidi"/>
          <w:bCs/>
          <w:color w:val="000000" w:themeColor="text1"/>
          <w:sz w:val="24"/>
          <w:szCs w:val="24"/>
        </w:rPr>
      </w:pPr>
    </w:p>
    <w:p w14:paraId="7FCD01AB" w14:textId="0E5B5A1F" w:rsidR="00D4522F" w:rsidRDefault="00442642" w:rsidP="00F02B4D">
      <w:pPr>
        <w:spacing w:after="0"/>
        <w:jc w:val="center"/>
        <w:rPr>
          <w:rFonts w:asciiTheme="majorHAnsi" w:hAnsiTheme="majorHAnsi"/>
          <w:b/>
          <w:sz w:val="24"/>
          <w:szCs w:val="24"/>
        </w:rPr>
      </w:pPr>
      <w:r w:rsidRPr="00CA0391">
        <w:rPr>
          <w:rFonts w:asciiTheme="majorHAnsi" w:hAnsiTheme="majorHAnsi"/>
          <w:b/>
          <w:sz w:val="24"/>
          <w:szCs w:val="24"/>
        </w:rPr>
        <w:t xml:space="preserve">Table </w:t>
      </w:r>
      <w:r w:rsidR="00A766E1">
        <w:rPr>
          <w:rFonts w:asciiTheme="majorHAnsi" w:hAnsiTheme="majorHAnsi"/>
          <w:b/>
          <w:sz w:val="24"/>
          <w:szCs w:val="24"/>
        </w:rPr>
        <w:t>3</w:t>
      </w:r>
      <w:r w:rsidRPr="00CA0391">
        <w:rPr>
          <w:rFonts w:asciiTheme="majorHAnsi" w:hAnsiTheme="majorHAnsi"/>
          <w:b/>
          <w:sz w:val="24"/>
          <w:szCs w:val="24"/>
        </w:rPr>
        <w:t xml:space="preserve">. </w:t>
      </w:r>
      <w:r w:rsidR="00425AA4">
        <w:rPr>
          <w:rFonts w:asciiTheme="majorHAnsi" w:hAnsiTheme="majorHAnsi"/>
          <w:b/>
          <w:sz w:val="24"/>
          <w:szCs w:val="24"/>
        </w:rPr>
        <w:t xml:space="preserve">2017 </w:t>
      </w:r>
      <w:r w:rsidR="000F020C">
        <w:rPr>
          <w:rFonts w:asciiTheme="majorHAnsi" w:hAnsiTheme="majorHAnsi"/>
          <w:b/>
          <w:sz w:val="24"/>
          <w:szCs w:val="24"/>
        </w:rPr>
        <w:t>Harbor Maintenance Tax Credit</w:t>
      </w:r>
      <w:r w:rsidR="00FA2B9E">
        <w:rPr>
          <w:rFonts w:asciiTheme="majorHAnsi" w:hAnsiTheme="majorHAnsi"/>
          <w:b/>
          <w:sz w:val="24"/>
          <w:szCs w:val="24"/>
        </w:rPr>
        <w:t xml:space="preserve"> Claims</w:t>
      </w:r>
      <w:r w:rsidR="000F020C">
        <w:rPr>
          <w:rFonts w:asciiTheme="majorHAnsi" w:hAnsiTheme="majorHAnsi"/>
          <w:b/>
          <w:sz w:val="24"/>
          <w:szCs w:val="24"/>
        </w:rPr>
        <w:t xml:space="preserve"> by Taxable Income</w:t>
      </w:r>
      <w:r w:rsidR="00FA2B9E">
        <w:rPr>
          <w:rFonts w:asciiTheme="majorHAnsi" w:hAnsiTheme="majorHAnsi"/>
          <w:b/>
          <w:sz w:val="24"/>
          <w:szCs w:val="24"/>
        </w:rPr>
        <w:t xml:space="preserve"> Level</w:t>
      </w:r>
    </w:p>
    <w:tbl>
      <w:tblPr>
        <w:tblW w:w="9175" w:type="dxa"/>
        <w:jc w:val="center"/>
        <w:tblLayout w:type="fixed"/>
        <w:tblLook w:val="04A0" w:firstRow="1" w:lastRow="0" w:firstColumn="1" w:lastColumn="0" w:noHBand="0" w:noVBand="1"/>
      </w:tblPr>
      <w:tblGrid>
        <w:gridCol w:w="2695"/>
        <w:gridCol w:w="1350"/>
        <w:gridCol w:w="1350"/>
        <w:gridCol w:w="1151"/>
        <w:gridCol w:w="1369"/>
        <w:gridCol w:w="1260"/>
      </w:tblGrid>
      <w:tr w:rsidR="00FA2B9E" w:rsidRPr="00FA2B9E" w14:paraId="31462F80" w14:textId="77777777" w:rsidTr="00F02B4D">
        <w:trPr>
          <w:trHeight w:val="1200"/>
          <w:jc w:val="center"/>
        </w:trPr>
        <w:tc>
          <w:tcPr>
            <w:tcW w:w="269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76C5EDBC" w14:textId="77777777" w:rsidR="00FA2B9E" w:rsidRPr="00F02B4D" w:rsidRDefault="00FA2B9E" w:rsidP="00F063C9">
            <w:pPr>
              <w:spacing w:after="0" w:line="240" w:lineRule="auto"/>
              <w:jc w:val="center"/>
              <w:rPr>
                <w:rFonts w:ascii="Cambria" w:eastAsia="Times New Roman" w:hAnsi="Cambria" w:cs="Arial"/>
                <w:color w:val="000000"/>
                <w:sz w:val="20"/>
                <w:szCs w:val="20"/>
                <w:lang w:eastAsia="ko-KR"/>
              </w:rPr>
            </w:pPr>
            <w:r w:rsidRPr="00F02B4D">
              <w:rPr>
                <w:rFonts w:ascii="Cambria" w:eastAsia="Times New Roman" w:hAnsi="Cambria" w:cs="Arial"/>
                <w:color w:val="000000"/>
                <w:sz w:val="20"/>
                <w:szCs w:val="20"/>
                <w:lang w:eastAsia="ko-KR"/>
              </w:rPr>
              <w:t>Taxable Income Range</w:t>
            </w:r>
          </w:p>
        </w:tc>
        <w:tc>
          <w:tcPr>
            <w:tcW w:w="135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223E45CD" w14:textId="77777777" w:rsidR="00FA2B9E" w:rsidRPr="00F02B4D" w:rsidRDefault="00FA2B9E" w:rsidP="00F063C9">
            <w:pPr>
              <w:spacing w:after="0" w:line="240" w:lineRule="auto"/>
              <w:jc w:val="center"/>
              <w:rPr>
                <w:rFonts w:ascii="Cambria" w:eastAsia="Times New Roman" w:hAnsi="Cambria" w:cs="Arial"/>
                <w:color w:val="000000"/>
                <w:sz w:val="20"/>
                <w:szCs w:val="20"/>
                <w:lang w:eastAsia="ko-KR"/>
              </w:rPr>
            </w:pPr>
            <w:r w:rsidRPr="00F02B4D">
              <w:rPr>
                <w:rFonts w:ascii="Cambria" w:eastAsia="Times New Roman" w:hAnsi="Cambria" w:cs="Helvetica"/>
                <w:color w:val="000000"/>
                <w:sz w:val="20"/>
                <w:szCs w:val="20"/>
                <w:lang w:eastAsia="ko-KR"/>
              </w:rPr>
              <w:t>Tax Liability after Credit ($000)</w:t>
            </w:r>
          </w:p>
        </w:tc>
        <w:tc>
          <w:tcPr>
            <w:tcW w:w="135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4A0890BB" w14:textId="77777777" w:rsidR="00FA2B9E" w:rsidRPr="00F02B4D" w:rsidRDefault="00FA2B9E" w:rsidP="00F063C9">
            <w:pPr>
              <w:spacing w:after="0" w:line="240" w:lineRule="auto"/>
              <w:jc w:val="center"/>
              <w:rPr>
                <w:rFonts w:ascii="Cambria" w:eastAsia="Times New Roman" w:hAnsi="Cambria" w:cs="Arial"/>
                <w:color w:val="000000"/>
                <w:sz w:val="20"/>
                <w:szCs w:val="20"/>
                <w:lang w:eastAsia="ko-KR"/>
              </w:rPr>
            </w:pPr>
            <w:r w:rsidRPr="00F02B4D">
              <w:rPr>
                <w:rFonts w:ascii="Cambria" w:eastAsia="Times New Roman" w:hAnsi="Cambria" w:cs="Arial"/>
                <w:color w:val="000000"/>
                <w:sz w:val="20"/>
                <w:szCs w:val="20"/>
                <w:lang w:eastAsia="ko-KR"/>
              </w:rPr>
              <w:t xml:space="preserve">Claimed or Shared Credit ($000) </w:t>
            </w:r>
          </w:p>
        </w:tc>
        <w:tc>
          <w:tcPr>
            <w:tcW w:w="1151"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45A525CF" w14:textId="77777777" w:rsidR="00FA2B9E" w:rsidRPr="00F02B4D" w:rsidRDefault="00FA2B9E" w:rsidP="00F063C9">
            <w:pPr>
              <w:spacing w:after="0" w:line="240" w:lineRule="auto"/>
              <w:jc w:val="center"/>
              <w:rPr>
                <w:rFonts w:ascii="Cambria" w:eastAsia="Times New Roman" w:hAnsi="Cambria" w:cs="Arial"/>
                <w:color w:val="000000"/>
                <w:sz w:val="20"/>
                <w:szCs w:val="20"/>
                <w:lang w:eastAsia="ko-KR"/>
              </w:rPr>
            </w:pPr>
            <w:r w:rsidRPr="00F02B4D">
              <w:rPr>
                <w:rFonts w:ascii="Cambria" w:eastAsia="Times New Roman" w:hAnsi="Cambria" w:cs="Arial"/>
                <w:color w:val="000000"/>
                <w:sz w:val="20"/>
                <w:szCs w:val="20"/>
                <w:lang w:eastAsia="ko-KR"/>
              </w:rPr>
              <w:t>Number of Claimants</w:t>
            </w:r>
          </w:p>
        </w:tc>
        <w:tc>
          <w:tcPr>
            <w:tcW w:w="1369"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6BA841CD" w14:textId="77777777" w:rsidR="00FA2B9E" w:rsidRPr="00F02B4D" w:rsidRDefault="00FA2B9E" w:rsidP="00F063C9">
            <w:pPr>
              <w:spacing w:after="0" w:line="240" w:lineRule="auto"/>
              <w:jc w:val="center"/>
              <w:rPr>
                <w:rFonts w:ascii="Cambria" w:eastAsia="Times New Roman" w:hAnsi="Cambria" w:cs="Arial"/>
                <w:color w:val="000000"/>
                <w:sz w:val="20"/>
                <w:szCs w:val="20"/>
                <w:lang w:eastAsia="ko-KR"/>
              </w:rPr>
            </w:pPr>
            <w:r w:rsidRPr="00F02B4D">
              <w:rPr>
                <w:rFonts w:ascii="Cambria" w:eastAsia="Times New Roman" w:hAnsi="Cambria" w:cs="Helvetica"/>
                <w:color w:val="000000"/>
                <w:sz w:val="20"/>
                <w:szCs w:val="20"/>
                <w:lang w:eastAsia="ko-KR"/>
              </w:rPr>
              <w:t>Percent of Total Number of Claimants</w:t>
            </w:r>
          </w:p>
        </w:tc>
        <w:tc>
          <w:tcPr>
            <w:tcW w:w="126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30F139E1" w14:textId="77777777" w:rsidR="00FA2B9E" w:rsidRPr="00F02B4D" w:rsidRDefault="00FA2B9E" w:rsidP="00F063C9">
            <w:pPr>
              <w:spacing w:after="0" w:line="240" w:lineRule="auto"/>
              <w:jc w:val="center"/>
              <w:rPr>
                <w:rFonts w:ascii="Cambria" w:eastAsia="Times New Roman" w:hAnsi="Cambria" w:cs="Arial"/>
                <w:color w:val="000000"/>
                <w:sz w:val="20"/>
                <w:szCs w:val="20"/>
                <w:lang w:eastAsia="ko-KR"/>
              </w:rPr>
            </w:pPr>
            <w:r w:rsidRPr="00F02B4D">
              <w:rPr>
                <w:rFonts w:ascii="Cambria" w:eastAsia="Times New Roman" w:hAnsi="Cambria" w:cs="Arial"/>
                <w:color w:val="000000"/>
                <w:sz w:val="20"/>
                <w:szCs w:val="20"/>
                <w:lang w:eastAsia="ko-KR"/>
              </w:rPr>
              <w:t>Tax Saving Per Claimant ($)</w:t>
            </w:r>
          </w:p>
        </w:tc>
      </w:tr>
      <w:tr w:rsidR="00FA2B9E" w:rsidRPr="00FA2B9E" w14:paraId="4A406EC0" w14:textId="77777777" w:rsidTr="00F02B4D">
        <w:trPr>
          <w:trHeight w:val="48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6C991544" w14:textId="77777777" w:rsidR="00FA2B9E" w:rsidRPr="00F02B4D" w:rsidRDefault="00FA2B9E" w:rsidP="00F02B4D">
            <w:pPr>
              <w:spacing w:after="0" w:line="240" w:lineRule="auto"/>
              <w:rPr>
                <w:rFonts w:ascii="Cambria" w:eastAsia="Times New Roman" w:hAnsi="Cambria" w:cs="Arial"/>
                <w:color w:val="000000"/>
                <w:sz w:val="20"/>
                <w:szCs w:val="20"/>
                <w:lang w:eastAsia="ko-KR"/>
              </w:rPr>
            </w:pPr>
            <w:r w:rsidRPr="00F02B4D">
              <w:rPr>
                <w:rFonts w:ascii="Cambria" w:eastAsia="Times New Roman" w:hAnsi="Cambria" w:cs="Helvetica"/>
                <w:color w:val="000000"/>
                <w:sz w:val="20"/>
                <w:szCs w:val="20"/>
                <w:lang w:eastAsia="ko-KR"/>
              </w:rPr>
              <w:t>Less than $0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1D4C1" w14:textId="77777777" w:rsidR="00FA2B9E" w:rsidRPr="00F02B4D" w:rsidRDefault="00FA2B9E" w:rsidP="001B0158">
            <w:pPr>
              <w:spacing w:after="0" w:line="240" w:lineRule="auto"/>
              <w:jc w:val="center"/>
              <w:rPr>
                <w:rFonts w:ascii="Cambria" w:eastAsia="Times New Roman" w:hAnsi="Cambria" w:cs="Arial"/>
                <w:color w:val="000000"/>
                <w:sz w:val="20"/>
                <w:szCs w:val="20"/>
                <w:lang w:eastAsia="ko-KR"/>
              </w:rPr>
            </w:pPr>
            <w:r w:rsidRPr="00FA2B9E">
              <w:rPr>
                <w:rFonts w:ascii="Cambria" w:hAnsi="Cambria" w:cs="Arial"/>
                <w:sz w:val="20"/>
                <w:szCs w:val="20"/>
              </w:rPr>
              <w:t>$12</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7DBBE1D" w14:textId="77777777" w:rsidR="00FA2B9E" w:rsidRPr="00F02B4D" w:rsidRDefault="00FA2B9E" w:rsidP="001B0158">
            <w:pPr>
              <w:spacing w:after="0" w:line="240" w:lineRule="auto"/>
              <w:jc w:val="center"/>
              <w:rPr>
                <w:rFonts w:ascii="Cambria" w:eastAsia="Times New Roman" w:hAnsi="Cambria" w:cs="Arial"/>
                <w:color w:val="000000"/>
                <w:sz w:val="20"/>
                <w:szCs w:val="20"/>
                <w:lang w:eastAsia="ko-KR"/>
              </w:rPr>
            </w:pPr>
            <w:r w:rsidRPr="00FA2B9E">
              <w:rPr>
                <w:rFonts w:ascii="Cambria" w:hAnsi="Cambria" w:cs="Arial"/>
                <w:sz w:val="20"/>
                <w:szCs w:val="20"/>
              </w:rPr>
              <w:t>$26</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24193BBF" w14:textId="77777777" w:rsidR="00FA2B9E" w:rsidRPr="00F02B4D" w:rsidRDefault="00FA2B9E" w:rsidP="001B0158">
            <w:pPr>
              <w:spacing w:after="0" w:line="240" w:lineRule="auto"/>
              <w:jc w:val="center"/>
              <w:rPr>
                <w:rFonts w:ascii="Cambria" w:eastAsia="Times New Roman" w:hAnsi="Cambria" w:cs="Arial"/>
                <w:color w:val="000000"/>
                <w:sz w:val="20"/>
                <w:szCs w:val="20"/>
                <w:lang w:eastAsia="ko-KR"/>
              </w:rPr>
            </w:pPr>
            <w:r w:rsidRPr="00F02B4D">
              <w:rPr>
                <w:rFonts w:ascii="Cambria" w:hAnsi="Cambria" w:cs="Arial"/>
                <w:color w:val="000000"/>
                <w:sz w:val="20"/>
                <w:szCs w:val="20"/>
              </w:rPr>
              <w:t xml:space="preserve">              6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7715E6B9" w14:textId="77777777" w:rsidR="00FA2B9E" w:rsidRPr="00F02B4D" w:rsidRDefault="00FA2B9E" w:rsidP="001B0158">
            <w:pPr>
              <w:spacing w:after="0" w:line="240" w:lineRule="auto"/>
              <w:jc w:val="center"/>
              <w:rPr>
                <w:rFonts w:ascii="Cambria" w:eastAsia="Times New Roman" w:hAnsi="Cambria" w:cs="Arial"/>
                <w:color w:val="000000"/>
                <w:sz w:val="20"/>
                <w:szCs w:val="20"/>
                <w:lang w:eastAsia="ko-KR"/>
              </w:rPr>
            </w:pPr>
            <w:r w:rsidRPr="00F02B4D">
              <w:rPr>
                <w:rFonts w:ascii="Cambria" w:hAnsi="Cambria" w:cs="Arial"/>
                <w:color w:val="000000"/>
                <w:sz w:val="20"/>
                <w:szCs w:val="20"/>
              </w:rPr>
              <w:t>7.3%</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E414D55" w14:textId="77777777" w:rsidR="00FA2B9E" w:rsidRPr="00F02B4D" w:rsidRDefault="00FA2B9E" w:rsidP="001B0158">
            <w:pPr>
              <w:spacing w:after="0" w:line="240" w:lineRule="auto"/>
              <w:jc w:val="center"/>
              <w:rPr>
                <w:rFonts w:ascii="Cambria" w:eastAsia="Times New Roman" w:hAnsi="Cambria" w:cs="Arial"/>
                <w:color w:val="000000"/>
                <w:sz w:val="20"/>
                <w:szCs w:val="20"/>
                <w:lang w:eastAsia="ko-KR"/>
              </w:rPr>
            </w:pPr>
            <w:r w:rsidRPr="00FA2B9E">
              <w:rPr>
                <w:rFonts w:ascii="Cambria" w:hAnsi="Cambria" w:cs="Arial"/>
                <w:sz w:val="20"/>
                <w:szCs w:val="20"/>
              </w:rPr>
              <w:t>$4,335</w:t>
            </w:r>
          </w:p>
        </w:tc>
      </w:tr>
      <w:tr w:rsidR="00FA2B9E" w:rsidRPr="00FA2B9E" w14:paraId="2EA48969" w14:textId="77777777" w:rsidTr="00F02B4D">
        <w:trPr>
          <w:trHeight w:val="24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24E5906C" w14:textId="77777777" w:rsidR="00FA2B9E" w:rsidRPr="00F02B4D" w:rsidRDefault="00FA2B9E" w:rsidP="00F02B4D">
            <w:pPr>
              <w:spacing w:after="0" w:line="240" w:lineRule="auto"/>
              <w:rPr>
                <w:rFonts w:ascii="Cambria" w:eastAsia="Times New Roman" w:hAnsi="Cambria" w:cs="Arial"/>
                <w:color w:val="000000"/>
                <w:sz w:val="20"/>
                <w:szCs w:val="20"/>
                <w:lang w:eastAsia="ko-KR"/>
              </w:rPr>
            </w:pPr>
            <w:r w:rsidRPr="00F02B4D">
              <w:rPr>
                <w:rFonts w:ascii="Cambria" w:eastAsia="Times New Roman" w:hAnsi="Cambria" w:cs="Arial"/>
                <w:color w:val="000000"/>
                <w:sz w:val="20"/>
                <w:szCs w:val="20"/>
                <w:lang w:eastAsia="ko-KR"/>
              </w:rPr>
              <w:t>0 to $9,999</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14:paraId="15E23C74" w14:textId="77777777" w:rsidR="00FA2B9E" w:rsidRPr="00F02B4D" w:rsidRDefault="00FA2B9E" w:rsidP="001B0158">
            <w:pPr>
              <w:spacing w:after="0" w:line="240" w:lineRule="auto"/>
              <w:jc w:val="center"/>
              <w:rPr>
                <w:rFonts w:ascii="Cambria" w:eastAsia="Times New Roman" w:hAnsi="Cambria" w:cs="Arial"/>
                <w:color w:val="000000"/>
                <w:sz w:val="20"/>
                <w:szCs w:val="20"/>
                <w:lang w:eastAsia="ko-KR"/>
              </w:rPr>
            </w:pPr>
            <w:r w:rsidRPr="00FA2B9E">
              <w:rPr>
                <w:rFonts w:ascii="Cambria" w:hAnsi="Cambria" w:cs="Arial"/>
                <w:sz w:val="20"/>
                <w:szCs w:val="20"/>
              </w:rPr>
              <w:t>$89</w:t>
            </w:r>
          </w:p>
        </w:tc>
        <w:tc>
          <w:tcPr>
            <w:tcW w:w="1350" w:type="dxa"/>
            <w:tcBorders>
              <w:top w:val="nil"/>
              <w:left w:val="nil"/>
              <w:bottom w:val="single" w:sz="4" w:space="0" w:color="auto"/>
              <w:right w:val="single" w:sz="4" w:space="0" w:color="auto"/>
            </w:tcBorders>
            <w:shd w:val="clear" w:color="auto" w:fill="auto"/>
            <w:vAlign w:val="center"/>
            <w:hideMark/>
          </w:tcPr>
          <w:p w14:paraId="2335F0FB" w14:textId="77777777" w:rsidR="00FA2B9E" w:rsidRPr="00F02B4D" w:rsidRDefault="00FA2B9E" w:rsidP="001B0158">
            <w:pPr>
              <w:spacing w:after="0" w:line="240" w:lineRule="auto"/>
              <w:jc w:val="center"/>
              <w:rPr>
                <w:rFonts w:ascii="Cambria" w:eastAsia="Times New Roman" w:hAnsi="Cambria" w:cs="Arial"/>
                <w:color w:val="000000"/>
                <w:sz w:val="20"/>
                <w:szCs w:val="20"/>
                <w:lang w:eastAsia="ko-KR"/>
              </w:rPr>
            </w:pPr>
            <w:r w:rsidRPr="00FA2B9E">
              <w:rPr>
                <w:rFonts w:ascii="Cambria" w:hAnsi="Cambria" w:cs="Arial"/>
                <w:sz w:val="20"/>
                <w:szCs w:val="20"/>
              </w:rPr>
              <w:t>$261</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676A818E" w14:textId="77777777" w:rsidR="00FA2B9E" w:rsidRPr="00F02B4D" w:rsidRDefault="00FA2B9E" w:rsidP="001B0158">
            <w:pPr>
              <w:spacing w:after="0" w:line="240" w:lineRule="auto"/>
              <w:jc w:val="center"/>
              <w:rPr>
                <w:rFonts w:ascii="Cambria" w:eastAsia="Times New Roman" w:hAnsi="Cambria" w:cs="Arial"/>
                <w:color w:val="000000"/>
                <w:sz w:val="20"/>
                <w:szCs w:val="20"/>
                <w:lang w:eastAsia="ko-KR"/>
              </w:rPr>
            </w:pPr>
            <w:r w:rsidRPr="00F02B4D">
              <w:rPr>
                <w:rFonts w:ascii="Cambria" w:hAnsi="Cambria" w:cs="Arial"/>
                <w:color w:val="000000"/>
                <w:sz w:val="20"/>
                <w:szCs w:val="20"/>
              </w:rPr>
              <w:t xml:space="preserve">           24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7BF92383" w14:textId="77777777" w:rsidR="00FA2B9E" w:rsidRPr="00F02B4D" w:rsidRDefault="00FA2B9E" w:rsidP="001B0158">
            <w:pPr>
              <w:spacing w:after="0" w:line="240" w:lineRule="auto"/>
              <w:jc w:val="center"/>
              <w:rPr>
                <w:rFonts w:ascii="Cambria" w:eastAsia="Times New Roman" w:hAnsi="Cambria" w:cs="Arial"/>
                <w:color w:val="000000"/>
                <w:sz w:val="20"/>
                <w:szCs w:val="20"/>
                <w:lang w:eastAsia="ko-KR"/>
              </w:rPr>
            </w:pPr>
            <w:r w:rsidRPr="00F02B4D">
              <w:rPr>
                <w:rFonts w:ascii="Cambria" w:hAnsi="Cambria" w:cs="Arial"/>
                <w:color w:val="000000"/>
                <w:sz w:val="20"/>
                <w:szCs w:val="20"/>
              </w:rPr>
              <w:t>29.3%</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FD44D41" w14:textId="77777777" w:rsidR="00FA2B9E" w:rsidRPr="00F02B4D" w:rsidRDefault="00FA2B9E" w:rsidP="001B0158">
            <w:pPr>
              <w:spacing w:after="0" w:line="240" w:lineRule="auto"/>
              <w:jc w:val="center"/>
              <w:rPr>
                <w:rFonts w:ascii="Cambria" w:eastAsia="Times New Roman" w:hAnsi="Cambria" w:cs="Arial"/>
                <w:color w:val="000000"/>
                <w:sz w:val="20"/>
                <w:szCs w:val="20"/>
                <w:lang w:eastAsia="ko-KR"/>
              </w:rPr>
            </w:pPr>
            <w:r w:rsidRPr="00FA2B9E">
              <w:rPr>
                <w:rFonts w:ascii="Cambria" w:hAnsi="Cambria" w:cs="Arial"/>
                <w:sz w:val="20"/>
                <w:szCs w:val="20"/>
              </w:rPr>
              <w:t>$10,871</w:t>
            </w:r>
          </w:p>
        </w:tc>
      </w:tr>
      <w:tr w:rsidR="00FA2B9E" w:rsidRPr="00FA2B9E" w14:paraId="5421B405" w14:textId="77777777" w:rsidTr="00F02B4D">
        <w:trPr>
          <w:trHeight w:val="48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79384FF7" w14:textId="77777777" w:rsidR="00FA2B9E" w:rsidRPr="00F02B4D" w:rsidRDefault="00FA2B9E" w:rsidP="00F02B4D">
            <w:pPr>
              <w:spacing w:after="0" w:line="240" w:lineRule="auto"/>
              <w:rPr>
                <w:rFonts w:ascii="Cambria" w:eastAsia="Times New Roman" w:hAnsi="Cambria" w:cs="Arial"/>
                <w:color w:val="000000"/>
                <w:sz w:val="20"/>
                <w:szCs w:val="20"/>
                <w:lang w:eastAsia="ko-KR"/>
              </w:rPr>
            </w:pPr>
            <w:r w:rsidRPr="00F02B4D">
              <w:rPr>
                <w:rFonts w:ascii="Cambria" w:eastAsia="Times New Roman" w:hAnsi="Cambria" w:cs="Arial"/>
                <w:color w:val="000000"/>
                <w:sz w:val="20"/>
                <w:szCs w:val="20"/>
                <w:lang w:eastAsia="ko-KR"/>
              </w:rPr>
              <w:t>$10,000 to $99,999</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14:paraId="0060BA3C" w14:textId="77777777" w:rsidR="00FA2B9E" w:rsidRPr="00F02B4D" w:rsidRDefault="00FA2B9E" w:rsidP="001B0158">
            <w:pPr>
              <w:spacing w:after="0" w:line="240" w:lineRule="auto"/>
              <w:jc w:val="center"/>
              <w:rPr>
                <w:rFonts w:ascii="Cambria" w:eastAsia="Times New Roman" w:hAnsi="Cambria" w:cs="Arial"/>
                <w:color w:val="000000"/>
                <w:sz w:val="20"/>
                <w:szCs w:val="20"/>
                <w:lang w:eastAsia="ko-KR"/>
              </w:rPr>
            </w:pPr>
            <w:r w:rsidRPr="00FA2B9E">
              <w:rPr>
                <w:rFonts w:ascii="Cambria" w:hAnsi="Cambria" w:cs="Arial"/>
                <w:sz w:val="20"/>
                <w:szCs w:val="20"/>
              </w:rPr>
              <w:t>$17</w:t>
            </w:r>
          </w:p>
        </w:tc>
        <w:tc>
          <w:tcPr>
            <w:tcW w:w="1350" w:type="dxa"/>
            <w:tcBorders>
              <w:top w:val="nil"/>
              <w:left w:val="nil"/>
              <w:bottom w:val="single" w:sz="4" w:space="0" w:color="auto"/>
              <w:right w:val="single" w:sz="4" w:space="0" w:color="auto"/>
            </w:tcBorders>
            <w:shd w:val="clear" w:color="auto" w:fill="auto"/>
            <w:vAlign w:val="center"/>
            <w:hideMark/>
          </w:tcPr>
          <w:p w14:paraId="19D53AE2" w14:textId="77777777" w:rsidR="00FA2B9E" w:rsidRPr="00F02B4D" w:rsidRDefault="00FA2B9E" w:rsidP="001B0158">
            <w:pPr>
              <w:spacing w:after="0" w:line="240" w:lineRule="auto"/>
              <w:jc w:val="center"/>
              <w:rPr>
                <w:rFonts w:ascii="Cambria" w:eastAsia="Times New Roman" w:hAnsi="Cambria" w:cs="Arial"/>
                <w:color w:val="000000"/>
                <w:sz w:val="20"/>
                <w:szCs w:val="20"/>
                <w:lang w:eastAsia="ko-KR"/>
              </w:rPr>
            </w:pPr>
            <w:r w:rsidRPr="00FA2B9E">
              <w:rPr>
                <w:rFonts w:ascii="Cambria" w:hAnsi="Cambria" w:cs="Arial"/>
                <w:sz w:val="20"/>
                <w:szCs w:val="20"/>
              </w:rPr>
              <w:t>$39</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2440B497" w14:textId="77777777" w:rsidR="00FA2B9E" w:rsidRPr="00F02B4D" w:rsidRDefault="00FA2B9E" w:rsidP="001B0158">
            <w:pPr>
              <w:spacing w:after="0" w:line="240" w:lineRule="auto"/>
              <w:jc w:val="center"/>
              <w:rPr>
                <w:rFonts w:ascii="Cambria" w:eastAsia="Times New Roman" w:hAnsi="Cambria" w:cs="Arial"/>
                <w:color w:val="000000"/>
                <w:sz w:val="20"/>
                <w:szCs w:val="20"/>
                <w:lang w:eastAsia="ko-KR"/>
              </w:rPr>
            </w:pPr>
            <w:r w:rsidRPr="00F02B4D">
              <w:rPr>
                <w:rFonts w:ascii="Cambria" w:hAnsi="Cambria" w:cs="Arial"/>
                <w:color w:val="000000"/>
                <w:sz w:val="20"/>
                <w:szCs w:val="20"/>
              </w:rPr>
              <w:t xml:space="preserve">              9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615CC772" w14:textId="77777777" w:rsidR="00FA2B9E" w:rsidRPr="00F02B4D" w:rsidRDefault="00FA2B9E" w:rsidP="001B0158">
            <w:pPr>
              <w:spacing w:after="0" w:line="240" w:lineRule="auto"/>
              <w:jc w:val="center"/>
              <w:rPr>
                <w:rFonts w:ascii="Cambria" w:eastAsia="Times New Roman" w:hAnsi="Cambria" w:cs="Arial"/>
                <w:color w:val="000000"/>
                <w:sz w:val="20"/>
                <w:szCs w:val="20"/>
                <w:lang w:eastAsia="ko-KR"/>
              </w:rPr>
            </w:pPr>
            <w:r w:rsidRPr="00F02B4D">
              <w:rPr>
                <w:rFonts w:ascii="Cambria" w:hAnsi="Cambria" w:cs="Arial"/>
                <w:color w:val="000000"/>
                <w:sz w:val="20"/>
                <w:szCs w:val="20"/>
              </w:rPr>
              <w:t>11.0%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F5C547A" w14:textId="77777777" w:rsidR="00FA2B9E" w:rsidRPr="00F02B4D" w:rsidRDefault="00FA2B9E" w:rsidP="001B0158">
            <w:pPr>
              <w:spacing w:after="0" w:line="240" w:lineRule="auto"/>
              <w:jc w:val="center"/>
              <w:rPr>
                <w:rFonts w:ascii="Cambria" w:eastAsia="Times New Roman" w:hAnsi="Cambria" w:cs="Arial"/>
                <w:color w:val="000000"/>
                <w:sz w:val="20"/>
                <w:szCs w:val="20"/>
                <w:lang w:eastAsia="ko-KR"/>
              </w:rPr>
            </w:pPr>
            <w:r w:rsidRPr="00FA2B9E">
              <w:rPr>
                <w:rFonts w:ascii="Cambria" w:hAnsi="Cambria" w:cs="Arial"/>
                <w:sz w:val="20"/>
                <w:szCs w:val="20"/>
              </w:rPr>
              <w:t>$4,370</w:t>
            </w:r>
          </w:p>
        </w:tc>
      </w:tr>
      <w:tr w:rsidR="00FA2B9E" w:rsidRPr="00FA2B9E" w14:paraId="06CD6C8C" w14:textId="77777777" w:rsidTr="00F02B4D">
        <w:trPr>
          <w:trHeight w:val="48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2C040CA5" w14:textId="77777777" w:rsidR="00FA2B9E" w:rsidRPr="00F02B4D" w:rsidRDefault="00FA2B9E" w:rsidP="00F02B4D">
            <w:pPr>
              <w:spacing w:after="0" w:line="240" w:lineRule="auto"/>
              <w:rPr>
                <w:rFonts w:ascii="Cambria" w:eastAsia="Times New Roman" w:hAnsi="Cambria" w:cs="Arial"/>
                <w:color w:val="000000"/>
                <w:sz w:val="20"/>
                <w:szCs w:val="20"/>
                <w:lang w:eastAsia="ko-KR"/>
              </w:rPr>
            </w:pPr>
            <w:r w:rsidRPr="00F02B4D">
              <w:rPr>
                <w:rFonts w:ascii="Cambria" w:eastAsia="Times New Roman" w:hAnsi="Cambria" w:cs="Arial"/>
                <w:color w:val="000000"/>
                <w:sz w:val="20"/>
                <w:szCs w:val="20"/>
                <w:lang w:eastAsia="ko-KR"/>
              </w:rPr>
              <w:t>$100,000 to $999,999</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14:paraId="3265CDD7" w14:textId="77777777" w:rsidR="00FA2B9E" w:rsidRPr="00F02B4D" w:rsidRDefault="00FA2B9E" w:rsidP="001B0158">
            <w:pPr>
              <w:spacing w:after="0" w:line="240" w:lineRule="auto"/>
              <w:jc w:val="center"/>
              <w:rPr>
                <w:rFonts w:ascii="Cambria" w:eastAsia="Times New Roman" w:hAnsi="Cambria" w:cs="Arial"/>
                <w:color w:val="000000"/>
                <w:sz w:val="20"/>
                <w:szCs w:val="20"/>
                <w:lang w:eastAsia="ko-KR"/>
              </w:rPr>
            </w:pPr>
            <w:r w:rsidRPr="00FA2B9E">
              <w:rPr>
                <w:rFonts w:ascii="Cambria" w:hAnsi="Cambria" w:cs="Arial"/>
                <w:sz w:val="20"/>
                <w:szCs w:val="20"/>
              </w:rPr>
              <w:t>$263</w:t>
            </w:r>
          </w:p>
        </w:tc>
        <w:tc>
          <w:tcPr>
            <w:tcW w:w="1350" w:type="dxa"/>
            <w:tcBorders>
              <w:top w:val="nil"/>
              <w:left w:val="nil"/>
              <w:bottom w:val="single" w:sz="4" w:space="0" w:color="auto"/>
              <w:right w:val="single" w:sz="4" w:space="0" w:color="auto"/>
            </w:tcBorders>
            <w:shd w:val="clear" w:color="auto" w:fill="auto"/>
            <w:vAlign w:val="center"/>
            <w:hideMark/>
          </w:tcPr>
          <w:p w14:paraId="069677EB" w14:textId="77777777" w:rsidR="00FA2B9E" w:rsidRPr="00F02B4D" w:rsidRDefault="00FA2B9E" w:rsidP="001B0158">
            <w:pPr>
              <w:spacing w:after="0" w:line="240" w:lineRule="auto"/>
              <w:jc w:val="center"/>
              <w:rPr>
                <w:rFonts w:ascii="Cambria" w:eastAsia="Times New Roman" w:hAnsi="Cambria" w:cs="Arial"/>
                <w:color w:val="000000"/>
                <w:sz w:val="20"/>
                <w:szCs w:val="20"/>
                <w:lang w:eastAsia="ko-KR"/>
              </w:rPr>
            </w:pPr>
            <w:r w:rsidRPr="00FA2B9E">
              <w:rPr>
                <w:rFonts w:ascii="Cambria" w:hAnsi="Cambria" w:cs="Arial"/>
                <w:sz w:val="20"/>
                <w:szCs w:val="20"/>
              </w:rPr>
              <w:t>$171</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5583186F" w14:textId="77777777" w:rsidR="00FA2B9E" w:rsidRPr="00F02B4D" w:rsidRDefault="00FA2B9E" w:rsidP="001B0158">
            <w:pPr>
              <w:spacing w:after="0" w:line="240" w:lineRule="auto"/>
              <w:jc w:val="center"/>
              <w:rPr>
                <w:rFonts w:ascii="Cambria" w:eastAsia="Times New Roman" w:hAnsi="Cambria" w:cs="Arial"/>
                <w:color w:val="000000"/>
                <w:sz w:val="20"/>
                <w:szCs w:val="20"/>
                <w:lang w:eastAsia="ko-KR"/>
              </w:rPr>
            </w:pPr>
            <w:r w:rsidRPr="00F02B4D">
              <w:rPr>
                <w:rFonts w:ascii="Cambria" w:hAnsi="Cambria" w:cs="Arial"/>
                <w:color w:val="000000"/>
                <w:sz w:val="20"/>
                <w:szCs w:val="20"/>
              </w:rPr>
              <w:t xml:space="preserve">           19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214D3EA8" w14:textId="77777777" w:rsidR="00FA2B9E" w:rsidRPr="00F02B4D" w:rsidRDefault="00FA2B9E" w:rsidP="001B0158">
            <w:pPr>
              <w:spacing w:after="0" w:line="240" w:lineRule="auto"/>
              <w:jc w:val="center"/>
              <w:rPr>
                <w:rFonts w:ascii="Cambria" w:eastAsia="Times New Roman" w:hAnsi="Cambria" w:cs="Arial"/>
                <w:color w:val="000000"/>
                <w:sz w:val="20"/>
                <w:szCs w:val="20"/>
                <w:lang w:eastAsia="ko-KR"/>
              </w:rPr>
            </w:pPr>
            <w:r w:rsidRPr="00F02B4D">
              <w:rPr>
                <w:rFonts w:ascii="Cambria" w:hAnsi="Cambria" w:cs="Arial"/>
                <w:color w:val="000000"/>
                <w:sz w:val="20"/>
                <w:szCs w:val="20"/>
              </w:rPr>
              <w:t>23.2%</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B696ED3" w14:textId="77777777" w:rsidR="00FA2B9E" w:rsidRPr="00F02B4D" w:rsidRDefault="00FA2B9E" w:rsidP="001B0158">
            <w:pPr>
              <w:spacing w:after="0" w:line="240" w:lineRule="auto"/>
              <w:jc w:val="center"/>
              <w:rPr>
                <w:rFonts w:ascii="Cambria" w:eastAsia="Times New Roman" w:hAnsi="Cambria" w:cs="Arial"/>
                <w:color w:val="000000"/>
                <w:sz w:val="20"/>
                <w:szCs w:val="20"/>
                <w:lang w:eastAsia="ko-KR"/>
              </w:rPr>
            </w:pPr>
            <w:r w:rsidRPr="00FA2B9E">
              <w:rPr>
                <w:rFonts w:ascii="Cambria" w:hAnsi="Cambria" w:cs="Arial"/>
                <w:sz w:val="20"/>
                <w:szCs w:val="20"/>
              </w:rPr>
              <w:t>$9,025</w:t>
            </w:r>
          </w:p>
        </w:tc>
      </w:tr>
      <w:tr w:rsidR="00FA2B9E" w:rsidRPr="00FA2B9E" w14:paraId="1B4B8FBE" w14:textId="77777777" w:rsidTr="00F02B4D">
        <w:trPr>
          <w:trHeight w:val="48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11C9ECD0" w14:textId="77777777" w:rsidR="00FA2B9E" w:rsidRPr="00F02B4D" w:rsidRDefault="00FA2B9E" w:rsidP="00F02B4D">
            <w:pPr>
              <w:spacing w:after="0" w:line="240" w:lineRule="auto"/>
              <w:rPr>
                <w:rFonts w:ascii="Cambria" w:eastAsia="Times New Roman" w:hAnsi="Cambria" w:cs="Arial"/>
                <w:color w:val="000000"/>
                <w:sz w:val="20"/>
                <w:szCs w:val="20"/>
                <w:lang w:eastAsia="ko-KR"/>
              </w:rPr>
            </w:pPr>
            <w:r w:rsidRPr="00F02B4D">
              <w:rPr>
                <w:rFonts w:ascii="Cambria" w:eastAsia="Times New Roman" w:hAnsi="Cambria" w:cs="Arial"/>
                <w:color w:val="000000"/>
                <w:sz w:val="20"/>
                <w:szCs w:val="20"/>
                <w:lang w:eastAsia="ko-KR"/>
              </w:rPr>
              <w:t>$1,000,000 to $9,999,999</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14:paraId="0A8E92A6" w14:textId="77777777" w:rsidR="00FA2B9E" w:rsidRPr="00F02B4D" w:rsidRDefault="00FA2B9E" w:rsidP="001B0158">
            <w:pPr>
              <w:spacing w:after="0" w:line="240" w:lineRule="auto"/>
              <w:jc w:val="center"/>
              <w:rPr>
                <w:rFonts w:ascii="Cambria" w:eastAsia="Times New Roman" w:hAnsi="Cambria" w:cs="Arial"/>
                <w:color w:val="000000"/>
                <w:sz w:val="20"/>
                <w:szCs w:val="20"/>
                <w:lang w:eastAsia="ko-KR"/>
              </w:rPr>
            </w:pPr>
            <w:r w:rsidRPr="00FA2B9E">
              <w:rPr>
                <w:rFonts w:ascii="Cambria" w:hAnsi="Cambria" w:cs="Arial"/>
                <w:sz w:val="20"/>
                <w:szCs w:val="20"/>
              </w:rPr>
              <w:t>$2,697</w:t>
            </w:r>
          </w:p>
        </w:tc>
        <w:tc>
          <w:tcPr>
            <w:tcW w:w="1350" w:type="dxa"/>
            <w:tcBorders>
              <w:top w:val="nil"/>
              <w:left w:val="nil"/>
              <w:bottom w:val="single" w:sz="4" w:space="0" w:color="auto"/>
              <w:right w:val="single" w:sz="4" w:space="0" w:color="auto"/>
            </w:tcBorders>
            <w:shd w:val="clear" w:color="auto" w:fill="auto"/>
            <w:vAlign w:val="center"/>
            <w:hideMark/>
          </w:tcPr>
          <w:p w14:paraId="1A9CAECB" w14:textId="77777777" w:rsidR="00FA2B9E" w:rsidRPr="00F02B4D" w:rsidRDefault="00FA2B9E" w:rsidP="001B0158">
            <w:pPr>
              <w:spacing w:after="0" w:line="240" w:lineRule="auto"/>
              <w:jc w:val="center"/>
              <w:rPr>
                <w:rFonts w:ascii="Cambria" w:eastAsia="Times New Roman" w:hAnsi="Cambria" w:cs="Arial"/>
                <w:color w:val="000000"/>
                <w:sz w:val="20"/>
                <w:szCs w:val="20"/>
                <w:lang w:eastAsia="ko-KR"/>
              </w:rPr>
            </w:pPr>
            <w:r w:rsidRPr="00FA2B9E">
              <w:rPr>
                <w:rFonts w:ascii="Cambria" w:hAnsi="Cambria" w:cs="Arial"/>
                <w:sz w:val="20"/>
                <w:szCs w:val="20"/>
              </w:rPr>
              <w:t>$270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07EA55FA" w14:textId="77777777" w:rsidR="00FA2B9E" w:rsidRPr="00F02B4D" w:rsidRDefault="00FA2B9E" w:rsidP="001B0158">
            <w:pPr>
              <w:spacing w:after="0" w:line="240" w:lineRule="auto"/>
              <w:jc w:val="center"/>
              <w:rPr>
                <w:rFonts w:ascii="Cambria" w:eastAsia="Times New Roman" w:hAnsi="Cambria" w:cs="Arial"/>
                <w:color w:val="000000"/>
                <w:sz w:val="20"/>
                <w:szCs w:val="20"/>
                <w:lang w:eastAsia="ko-KR"/>
              </w:rPr>
            </w:pPr>
            <w:r w:rsidRPr="00F02B4D">
              <w:rPr>
                <w:rFonts w:ascii="Cambria" w:hAnsi="Cambria" w:cs="Arial"/>
                <w:color w:val="000000"/>
                <w:sz w:val="20"/>
                <w:szCs w:val="20"/>
              </w:rPr>
              <w:t xml:space="preserve">           19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43F0FC16" w14:textId="77777777" w:rsidR="00FA2B9E" w:rsidRPr="00F02B4D" w:rsidRDefault="00FA2B9E" w:rsidP="001B0158">
            <w:pPr>
              <w:spacing w:after="0" w:line="240" w:lineRule="auto"/>
              <w:jc w:val="center"/>
              <w:rPr>
                <w:rFonts w:ascii="Cambria" w:eastAsia="Times New Roman" w:hAnsi="Cambria" w:cs="Arial"/>
                <w:color w:val="000000"/>
                <w:sz w:val="20"/>
                <w:szCs w:val="20"/>
                <w:lang w:eastAsia="ko-KR"/>
              </w:rPr>
            </w:pPr>
            <w:r w:rsidRPr="00F02B4D">
              <w:rPr>
                <w:rFonts w:ascii="Cambria" w:hAnsi="Cambria" w:cs="Arial"/>
                <w:color w:val="000000"/>
                <w:sz w:val="20"/>
                <w:szCs w:val="20"/>
              </w:rPr>
              <w:t>23.2%</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F03AE8A" w14:textId="77777777" w:rsidR="00FA2B9E" w:rsidRPr="00F02B4D" w:rsidRDefault="00FA2B9E" w:rsidP="001B0158">
            <w:pPr>
              <w:spacing w:after="0" w:line="240" w:lineRule="auto"/>
              <w:jc w:val="center"/>
              <w:rPr>
                <w:rFonts w:ascii="Cambria" w:eastAsia="Times New Roman" w:hAnsi="Cambria" w:cs="Arial"/>
                <w:color w:val="000000"/>
                <w:sz w:val="20"/>
                <w:szCs w:val="20"/>
                <w:lang w:eastAsia="ko-KR"/>
              </w:rPr>
            </w:pPr>
            <w:r w:rsidRPr="00FA2B9E">
              <w:rPr>
                <w:rFonts w:ascii="Cambria" w:hAnsi="Cambria" w:cs="Arial"/>
                <w:sz w:val="20"/>
                <w:szCs w:val="20"/>
              </w:rPr>
              <w:t>$14,202</w:t>
            </w:r>
          </w:p>
        </w:tc>
      </w:tr>
      <w:tr w:rsidR="00FA2B9E" w:rsidRPr="00FA2B9E" w14:paraId="5399DD4A" w14:textId="77777777" w:rsidTr="00F02B4D">
        <w:trPr>
          <w:trHeight w:val="48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3CD63AEC" w14:textId="77777777" w:rsidR="00FA2B9E" w:rsidRPr="00F02B4D" w:rsidRDefault="00FA2B9E" w:rsidP="00F02B4D">
            <w:pPr>
              <w:spacing w:after="0" w:line="240" w:lineRule="auto"/>
              <w:rPr>
                <w:rFonts w:ascii="Cambria" w:eastAsia="Times New Roman" w:hAnsi="Cambria" w:cs="Arial"/>
                <w:color w:val="000000"/>
                <w:sz w:val="20"/>
                <w:szCs w:val="20"/>
                <w:lang w:eastAsia="ko-KR"/>
              </w:rPr>
            </w:pPr>
            <w:r w:rsidRPr="00F02B4D">
              <w:rPr>
                <w:rFonts w:ascii="Cambria" w:eastAsia="Times New Roman" w:hAnsi="Cambria" w:cs="Arial"/>
                <w:color w:val="000000"/>
                <w:sz w:val="20"/>
                <w:szCs w:val="20"/>
                <w:lang w:eastAsia="ko-KR"/>
              </w:rPr>
              <w:t>$10,000,000 or more</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14:paraId="019F53D8" w14:textId="77777777" w:rsidR="00FA2B9E" w:rsidRPr="00F02B4D" w:rsidRDefault="00FA2B9E" w:rsidP="001B0158">
            <w:pPr>
              <w:spacing w:after="0" w:line="240" w:lineRule="auto"/>
              <w:jc w:val="center"/>
              <w:rPr>
                <w:rFonts w:ascii="Cambria" w:eastAsia="Times New Roman" w:hAnsi="Cambria" w:cs="Arial"/>
                <w:color w:val="000000"/>
                <w:sz w:val="20"/>
                <w:szCs w:val="20"/>
                <w:lang w:eastAsia="ko-KR"/>
              </w:rPr>
            </w:pPr>
            <w:r w:rsidRPr="00FA2B9E">
              <w:rPr>
                <w:rFonts w:ascii="Cambria" w:hAnsi="Cambria" w:cs="Arial"/>
                <w:sz w:val="20"/>
                <w:szCs w:val="20"/>
              </w:rPr>
              <w:t>$4,531</w:t>
            </w:r>
          </w:p>
        </w:tc>
        <w:tc>
          <w:tcPr>
            <w:tcW w:w="1350" w:type="dxa"/>
            <w:tcBorders>
              <w:top w:val="nil"/>
              <w:left w:val="nil"/>
              <w:bottom w:val="single" w:sz="4" w:space="0" w:color="auto"/>
              <w:right w:val="single" w:sz="4" w:space="0" w:color="auto"/>
            </w:tcBorders>
            <w:shd w:val="clear" w:color="auto" w:fill="auto"/>
            <w:vAlign w:val="center"/>
            <w:hideMark/>
          </w:tcPr>
          <w:p w14:paraId="58602C5B" w14:textId="77777777" w:rsidR="00FA2B9E" w:rsidRPr="00F02B4D" w:rsidRDefault="00FA2B9E" w:rsidP="001B0158">
            <w:pPr>
              <w:spacing w:after="0" w:line="240" w:lineRule="auto"/>
              <w:jc w:val="center"/>
              <w:rPr>
                <w:rFonts w:ascii="Cambria" w:eastAsia="Times New Roman" w:hAnsi="Cambria" w:cs="Arial"/>
                <w:color w:val="000000"/>
                <w:sz w:val="20"/>
                <w:szCs w:val="20"/>
                <w:lang w:eastAsia="ko-KR"/>
              </w:rPr>
            </w:pPr>
            <w:r w:rsidRPr="00FA2B9E">
              <w:rPr>
                <w:rFonts w:ascii="Cambria" w:hAnsi="Cambria" w:cs="Arial"/>
                <w:sz w:val="20"/>
                <w:szCs w:val="20"/>
              </w:rPr>
              <w:t>$412</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C92834F" w14:textId="77777777" w:rsidR="00FA2B9E" w:rsidRPr="00F02B4D" w:rsidRDefault="00FA2B9E" w:rsidP="001B0158">
            <w:pPr>
              <w:spacing w:after="0" w:line="240" w:lineRule="auto"/>
              <w:jc w:val="center"/>
              <w:rPr>
                <w:rFonts w:ascii="Cambria" w:eastAsia="Times New Roman" w:hAnsi="Cambria" w:cs="Arial"/>
                <w:color w:val="000000"/>
                <w:sz w:val="20"/>
                <w:szCs w:val="20"/>
                <w:lang w:eastAsia="ko-KR"/>
              </w:rPr>
            </w:pPr>
            <w:r w:rsidRPr="00F02B4D">
              <w:rPr>
                <w:rFonts w:ascii="Cambria" w:hAnsi="Cambria" w:cs="Arial"/>
                <w:color w:val="000000"/>
                <w:sz w:val="20"/>
                <w:szCs w:val="20"/>
              </w:rPr>
              <w:t xml:space="preserve">              5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1BC47AB8" w14:textId="77777777" w:rsidR="00FA2B9E" w:rsidRPr="00F02B4D" w:rsidRDefault="00FA2B9E" w:rsidP="001B0158">
            <w:pPr>
              <w:spacing w:after="0" w:line="240" w:lineRule="auto"/>
              <w:jc w:val="center"/>
              <w:rPr>
                <w:rFonts w:ascii="Cambria" w:eastAsia="Times New Roman" w:hAnsi="Cambria" w:cs="Arial"/>
                <w:color w:val="000000"/>
                <w:sz w:val="20"/>
                <w:szCs w:val="20"/>
                <w:lang w:eastAsia="ko-KR"/>
              </w:rPr>
            </w:pPr>
            <w:r w:rsidRPr="00F02B4D">
              <w:rPr>
                <w:rFonts w:ascii="Cambria" w:hAnsi="Cambria" w:cs="Arial"/>
                <w:color w:val="000000"/>
                <w:sz w:val="20"/>
                <w:szCs w:val="20"/>
              </w:rPr>
              <w:t>6.1%</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BA492A0" w14:textId="77777777" w:rsidR="00FA2B9E" w:rsidRPr="00F02B4D" w:rsidRDefault="00FA2B9E" w:rsidP="001B0158">
            <w:pPr>
              <w:spacing w:after="0" w:line="240" w:lineRule="auto"/>
              <w:jc w:val="center"/>
              <w:rPr>
                <w:rFonts w:ascii="Cambria" w:eastAsia="Times New Roman" w:hAnsi="Cambria" w:cs="Arial"/>
                <w:color w:val="000000"/>
                <w:sz w:val="20"/>
                <w:szCs w:val="20"/>
                <w:lang w:eastAsia="ko-KR"/>
              </w:rPr>
            </w:pPr>
            <w:r w:rsidRPr="00FA2B9E">
              <w:rPr>
                <w:rFonts w:ascii="Cambria" w:hAnsi="Cambria" w:cs="Arial"/>
                <w:sz w:val="20"/>
                <w:szCs w:val="20"/>
              </w:rPr>
              <w:t>$82,380</w:t>
            </w:r>
          </w:p>
        </w:tc>
      </w:tr>
      <w:tr w:rsidR="00FA2B9E" w:rsidRPr="00FA2B9E" w14:paraId="1804673C" w14:textId="77777777" w:rsidTr="00F02B4D">
        <w:trPr>
          <w:trHeight w:val="24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50CB3F91" w14:textId="77777777" w:rsidR="00FA2B9E" w:rsidRPr="00F02B4D" w:rsidRDefault="00FA2B9E" w:rsidP="00F02B4D">
            <w:pPr>
              <w:spacing w:after="0" w:line="240" w:lineRule="auto"/>
              <w:rPr>
                <w:rFonts w:ascii="Cambria" w:eastAsia="Times New Roman" w:hAnsi="Cambria" w:cs="Arial"/>
                <w:color w:val="000000"/>
                <w:sz w:val="20"/>
                <w:szCs w:val="20"/>
                <w:lang w:eastAsia="ko-KR"/>
              </w:rPr>
            </w:pPr>
            <w:r w:rsidRPr="00F02B4D">
              <w:rPr>
                <w:rFonts w:ascii="Cambria" w:eastAsia="Times New Roman" w:hAnsi="Cambria" w:cs="Arial"/>
                <w:color w:val="000000"/>
                <w:sz w:val="20"/>
                <w:szCs w:val="20"/>
                <w:lang w:eastAsia="ko-KR"/>
              </w:rPr>
              <w:t>Total or average</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14:paraId="205275CB" w14:textId="77777777" w:rsidR="00FA2B9E" w:rsidRPr="00F02B4D" w:rsidRDefault="00FA2B9E" w:rsidP="001B0158">
            <w:pPr>
              <w:spacing w:after="0" w:line="240" w:lineRule="auto"/>
              <w:jc w:val="center"/>
              <w:rPr>
                <w:rFonts w:ascii="Cambria" w:eastAsia="Times New Roman" w:hAnsi="Cambria" w:cs="Arial"/>
                <w:color w:val="000000"/>
                <w:sz w:val="20"/>
                <w:szCs w:val="20"/>
                <w:lang w:eastAsia="ko-KR"/>
              </w:rPr>
            </w:pPr>
            <w:r w:rsidRPr="00FA2B9E">
              <w:rPr>
                <w:rFonts w:ascii="Cambria" w:hAnsi="Cambria" w:cs="Arial"/>
                <w:sz w:val="20"/>
                <w:szCs w:val="20"/>
              </w:rPr>
              <w:t>$7,609</w:t>
            </w:r>
          </w:p>
        </w:tc>
        <w:tc>
          <w:tcPr>
            <w:tcW w:w="1350" w:type="dxa"/>
            <w:tcBorders>
              <w:top w:val="nil"/>
              <w:left w:val="nil"/>
              <w:bottom w:val="single" w:sz="4" w:space="0" w:color="auto"/>
              <w:right w:val="single" w:sz="4" w:space="0" w:color="auto"/>
            </w:tcBorders>
            <w:shd w:val="clear" w:color="auto" w:fill="auto"/>
            <w:vAlign w:val="center"/>
            <w:hideMark/>
          </w:tcPr>
          <w:p w14:paraId="167DB79A" w14:textId="77777777" w:rsidR="00FA2B9E" w:rsidRPr="00F02B4D" w:rsidRDefault="00FA2B9E" w:rsidP="001B0158">
            <w:pPr>
              <w:spacing w:after="0" w:line="240" w:lineRule="auto"/>
              <w:jc w:val="center"/>
              <w:rPr>
                <w:rFonts w:ascii="Cambria" w:eastAsia="Times New Roman" w:hAnsi="Cambria" w:cs="Arial"/>
                <w:color w:val="000000"/>
                <w:sz w:val="20"/>
                <w:szCs w:val="20"/>
                <w:lang w:eastAsia="ko-KR"/>
              </w:rPr>
            </w:pPr>
            <w:r w:rsidRPr="00FA2B9E">
              <w:rPr>
                <w:rFonts w:ascii="Cambria" w:hAnsi="Cambria" w:cs="Arial"/>
                <w:sz w:val="20"/>
                <w:szCs w:val="20"/>
              </w:rPr>
              <w:t>$1,179</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6FF95407" w14:textId="77777777" w:rsidR="00FA2B9E" w:rsidRPr="00F02B4D" w:rsidRDefault="00FA2B9E" w:rsidP="001B0158">
            <w:pPr>
              <w:spacing w:after="0" w:line="240" w:lineRule="auto"/>
              <w:jc w:val="center"/>
              <w:rPr>
                <w:rFonts w:ascii="Cambria" w:eastAsia="Times New Roman" w:hAnsi="Cambria" w:cs="Arial"/>
                <w:color w:val="000000"/>
                <w:sz w:val="20"/>
                <w:szCs w:val="20"/>
                <w:lang w:eastAsia="ko-KR"/>
              </w:rPr>
            </w:pPr>
            <w:r w:rsidRPr="00F02B4D">
              <w:rPr>
                <w:rFonts w:ascii="Cambria" w:hAnsi="Cambria" w:cs="Arial"/>
                <w:color w:val="000000"/>
                <w:sz w:val="20"/>
                <w:szCs w:val="20"/>
              </w:rPr>
              <w:t xml:space="preserve">           82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4B197C84" w14:textId="77777777" w:rsidR="00FA2B9E" w:rsidRPr="00F02B4D" w:rsidRDefault="00FA2B9E" w:rsidP="001B0158">
            <w:pPr>
              <w:spacing w:after="0" w:line="240" w:lineRule="auto"/>
              <w:jc w:val="center"/>
              <w:rPr>
                <w:rFonts w:ascii="Cambria" w:eastAsia="Times New Roman" w:hAnsi="Cambria" w:cs="Arial"/>
                <w:color w:val="000000"/>
                <w:sz w:val="20"/>
                <w:szCs w:val="20"/>
                <w:lang w:eastAsia="ko-KR"/>
              </w:rPr>
            </w:pPr>
            <w:r w:rsidRPr="00F02B4D">
              <w:rPr>
                <w:rFonts w:ascii="Cambria" w:hAnsi="Cambria" w:cs="Arial"/>
                <w:color w:val="000000"/>
                <w:sz w:val="20"/>
                <w:szCs w:val="20"/>
              </w:rPr>
              <w:t>100.0%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BCAA40E" w14:textId="77777777" w:rsidR="00FA2B9E" w:rsidRPr="00F02B4D" w:rsidRDefault="00FA2B9E" w:rsidP="001B0158">
            <w:pPr>
              <w:spacing w:after="0" w:line="240" w:lineRule="auto"/>
              <w:jc w:val="center"/>
              <w:rPr>
                <w:rFonts w:ascii="Cambria" w:eastAsia="Times New Roman" w:hAnsi="Cambria" w:cs="Arial"/>
                <w:color w:val="000000"/>
                <w:sz w:val="20"/>
                <w:szCs w:val="20"/>
                <w:lang w:eastAsia="ko-KR"/>
              </w:rPr>
            </w:pPr>
            <w:r w:rsidRPr="00FA2B9E">
              <w:rPr>
                <w:rFonts w:ascii="Cambria" w:hAnsi="Cambria" w:cs="Arial"/>
                <w:sz w:val="20"/>
                <w:szCs w:val="20"/>
              </w:rPr>
              <w:t>$14,384</w:t>
            </w:r>
          </w:p>
        </w:tc>
      </w:tr>
    </w:tbl>
    <w:p w14:paraId="7BF91A79" w14:textId="69EDD4C5" w:rsidR="00D4522F" w:rsidRPr="003A3522" w:rsidRDefault="000408A3" w:rsidP="009839A9">
      <w:pPr>
        <w:tabs>
          <w:tab w:val="left" w:pos="7050"/>
        </w:tabs>
        <w:spacing w:after="0"/>
        <w:rPr>
          <w:rFonts w:asciiTheme="majorHAnsi" w:eastAsiaTheme="majorEastAsia" w:hAnsiTheme="majorHAnsi" w:cstheme="majorBidi"/>
          <w:bCs/>
          <w:color w:val="000000" w:themeColor="text1"/>
          <w:sz w:val="18"/>
          <w:szCs w:val="18"/>
        </w:rPr>
      </w:pPr>
      <w:r w:rsidRPr="003A3522">
        <w:rPr>
          <w:rFonts w:asciiTheme="majorHAnsi" w:eastAsiaTheme="majorEastAsia" w:hAnsiTheme="majorHAnsi" w:cstheme="majorBidi"/>
          <w:bCs/>
          <w:color w:val="000000" w:themeColor="text1"/>
          <w:sz w:val="18"/>
          <w:szCs w:val="18"/>
        </w:rPr>
        <w:t>Source: Department of Revenue</w:t>
      </w:r>
      <w:r w:rsidR="000B664B" w:rsidRPr="003A3522">
        <w:rPr>
          <w:rFonts w:asciiTheme="majorHAnsi" w:eastAsiaTheme="majorEastAsia" w:hAnsiTheme="majorHAnsi" w:cstheme="majorBidi"/>
          <w:bCs/>
          <w:color w:val="000000" w:themeColor="text1"/>
          <w:sz w:val="18"/>
          <w:szCs w:val="18"/>
        </w:rPr>
        <w:t xml:space="preserve"> </w:t>
      </w:r>
      <w:r w:rsidRPr="003A3522">
        <w:rPr>
          <w:rFonts w:asciiTheme="majorHAnsi" w:eastAsiaTheme="majorEastAsia" w:hAnsiTheme="majorHAnsi" w:cstheme="majorBidi"/>
          <w:bCs/>
          <w:color w:val="000000" w:themeColor="text1"/>
          <w:sz w:val="18"/>
          <w:szCs w:val="18"/>
        </w:rPr>
        <w:t>(2017</w:t>
      </w:r>
      <w:r w:rsidR="00D268BF" w:rsidRPr="003A3522">
        <w:rPr>
          <w:rFonts w:asciiTheme="majorHAnsi" w:eastAsiaTheme="majorEastAsia" w:hAnsiTheme="majorHAnsi" w:cstheme="majorBidi"/>
          <w:bCs/>
          <w:color w:val="000000" w:themeColor="text1"/>
          <w:sz w:val="18"/>
          <w:szCs w:val="18"/>
        </w:rPr>
        <w:t xml:space="preserve"> </w:t>
      </w:r>
      <w:r w:rsidR="00BE0925">
        <w:rPr>
          <w:rFonts w:asciiTheme="majorHAnsi" w:eastAsiaTheme="majorEastAsia" w:hAnsiTheme="majorHAnsi" w:cstheme="majorBidi"/>
          <w:bCs/>
          <w:color w:val="000000" w:themeColor="text1"/>
          <w:sz w:val="18"/>
          <w:szCs w:val="18"/>
        </w:rPr>
        <w:t>corporate excise</w:t>
      </w:r>
      <w:r w:rsidR="00D268BF" w:rsidRPr="003A3522">
        <w:rPr>
          <w:rFonts w:asciiTheme="majorHAnsi" w:eastAsiaTheme="majorEastAsia" w:hAnsiTheme="majorHAnsi" w:cstheme="majorBidi"/>
          <w:bCs/>
          <w:color w:val="000000" w:themeColor="text1"/>
          <w:sz w:val="18"/>
          <w:szCs w:val="18"/>
        </w:rPr>
        <w:t xml:space="preserve"> return</w:t>
      </w:r>
      <w:r w:rsidR="00747C0D">
        <w:rPr>
          <w:rFonts w:asciiTheme="majorHAnsi" w:eastAsiaTheme="majorEastAsia" w:hAnsiTheme="majorHAnsi" w:cstheme="majorBidi"/>
          <w:bCs/>
          <w:color w:val="000000" w:themeColor="text1"/>
          <w:sz w:val="18"/>
          <w:szCs w:val="18"/>
        </w:rPr>
        <w:t>s</w:t>
      </w:r>
      <w:r w:rsidRPr="003A3522">
        <w:rPr>
          <w:rFonts w:asciiTheme="majorHAnsi" w:eastAsiaTheme="majorEastAsia" w:hAnsiTheme="majorHAnsi" w:cstheme="majorBidi"/>
          <w:bCs/>
          <w:color w:val="000000" w:themeColor="text1"/>
          <w:sz w:val="18"/>
          <w:szCs w:val="18"/>
        </w:rPr>
        <w:t>)</w:t>
      </w:r>
    </w:p>
    <w:p w14:paraId="1E797E35" w14:textId="77777777" w:rsidR="006201DE" w:rsidRPr="003A3522" w:rsidRDefault="00393D2C" w:rsidP="00393D2C">
      <w:pPr>
        <w:tabs>
          <w:tab w:val="left" w:pos="7050"/>
        </w:tabs>
        <w:spacing w:after="0"/>
        <w:rPr>
          <w:rFonts w:asciiTheme="majorHAnsi" w:eastAsiaTheme="majorEastAsia" w:hAnsiTheme="majorHAnsi" w:cstheme="majorBidi"/>
          <w:bCs/>
          <w:color w:val="000000" w:themeColor="text1"/>
          <w:sz w:val="18"/>
          <w:szCs w:val="18"/>
        </w:rPr>
      </w:pPr>
      <w:r w:rsidRPr="003A3522">
        <w:rPr>
          <w:rFonts w:asciiTheme="majorHAnsi" w:eastAsiaTheme="majorEastAsia" w:hAnsiTheme="majorHAnsi" w:cstheme="majorBidi"/>
          <w:bCs/>
          <w:color w:val="000000" w:themeColor="text1"/>
          <w:sz w:val="18"/>
          <w:szCs w:val="18"/>
        </w:rPr>
        <w:t xml:space="preserve">Note: </w:t>
      </w:r>
      <w:r w:rsidR="006201DE" w:rsidRPr="003A3522">
        <w:rPr>
          <w:rFonts w:asciiTheme="majorHAnsi" w:eastAsiaTheme="majorEastAsia" w:hAnsiTheme="majorHAnsi" w:cstheme="majorBidi"/>
          <w:bCs/>
          <w:color w:val="000000" w:themeColor="text1"/>
          <w:sz w:val="18"/>
          <w:szCs w:val="18"/>
        </w:rPr>
        <w:t xml:space="preserve">The data are preliminary and subject to </w:t>
      </w:r>
      <w:r w:rsidR="00FA2B9E">
        <w:rPr>
          <w:rFonts w:asciiTheme="majorHAnsi" w:eastAsiaTheme="majorEastAsia" w:hAnsiTheme="majorHAnsi" w:cstheme="majorBidi"/>
          <w:bCs/>
          <w:color w:val="000000" w:themeColor="text1"/>
          <w:sz w:val="18"/>
          <w:szCs w:val="18"/>
        </w:rPr>
        <w:t>change</w:t>
      </w:r>
      <w:r w:rsidR="006201DE" w:rsidRPr="003A3522">
        <w:rPr>
          <w:rFonts w:asciiTheme="majorHAnsi" w:eastAsiaTheme="majorEastAsia" w:hAnsiTheme="majorHAnsi" w:cstheme="majorBidi"/>
          <w:bCs/>
          <w:color w:val="000000" w:themeColor="text1"/>
          <w:sz w:val="18"/>
          <w:szCs w:val="18"/>
        </w:rPr>
        <w:t>.</w:t>
      </w:r>
    </w:p>
    <w:p w14:paraId="35EB809C" w14:textId="77777777" w:rsidR="00FA2B9E" w:rsidRDefault="00FA2B9E" w:rsidP="00442642">
      <w:pPr>
        <w:spacing w:after="0"/>
        <w:rPr>
          <w:rFonts w:asciiTheme="majorHAnsi" w:hAnsiTheme="majorHAnsi"/>
          <w:b/>
          <w:sz w:val="24"/>
          <w:szCs w:val="24"/>
        </w:rPr>
      </w:pPr>
    </w:p>
    <w:p w14:paraId="26B1B3D8" w14:textId="77777777" w:rsidR="00D81D38" w:rsidRDefault="00D81D38" w:rsidP="00442642">
      <w:pPr>
        <w:spacing w:after="0"/>
        <w:rPr>
          <w:rFonts w:asciiTheme="majorHAnsi" w:hAnsiTheme="majorHAnsi"/>
          <w:b/>
          <w:sz w:val="24"/>
          <w:szCs w:val="24"/>
        </w:rPr>
      </w:pPr>
    </w:p>
    <w:p w14:paraId="0A4D30C6" w14:textId="6027CC8A" w:rsidR="00D81D38" w:rsidRDefault="00442642" w:rsidP="00F02B4D">
      <w:pPr>
        <w:spacing w:after="0"/>
        <w:jc w:val="center"/>
        <w:rPr>
          <w:rFonts w:asciiTheme="majorHAnsi" w:hAnsiTheme="majorHAnsi"/>
          <w:b/>
          <w:sz w:val="24"/>
          <w:szCs w:val="24"/>
        </w:rPr>
      </w:pPr>
      <w:r w:rsidRPr="00CA0391">
        <w:rPr>
          <w:rFonts w:asciiTheme="majorHAnsi" w:hAnsiTheme="majorHAnsi"/>
          <w:b/>
          <w:sz w:val="24"/>
          <w:szCs w:val="24"/>
        </w:rPr>
        <w:t xml:space="preserve">Table </w:t>
      </w:r>
      <w:r w:rsidR="00A766E1">
        <w:rPr>
          <w:rFonts w:asciiTheme="majorHAnsi" w:hAnsiTheme="majorHAnsi"/>
          <w:b/>
          <w:sz w:val="24"/>
          <w:szCs w:val="24"/>
        </w:rPr>
        <w:t>4</w:t>
      </w:r>
      <w:r w:rsidRPr="00CA0391">
        <w:rPr>
          <w:rFonts w:asciiTheme="majorHAnsi" w:hAnsiTheme="majorHAnsi"/>
          <w:b/>
          <w:sz w:val="24"/>
          <w:szCs w:val="24"/>
        </w:rPr>
        <w:t xml:space="preserve">. </w:t>
      </w:r>
      <w:r w:rsidR="00425AA4">
        <w:rPr>
          <w:rFonts w:asciiTheme="majorHAnsi" w:hAnsiTheme="majorHAnsi"/>
          <w:b/>
          <w:sz w:val="24"/>
          <w:szCs w:val="24"/>
        </w:rPr>
        <w:t xml:space="preserve">2017 </w:t>
      </w:r>
      <w:r w:rsidR="000F020C">
        <w:rPr>
          <w:rFonts w:asciiTheme="majorHAnsi" w:hAnsiTheme="majorHAnsi"/>
          <w:b/>
          <w:sz w:val="24"/>
          <w:szCs w:val="24"/>
        </w:rPr>
        <w:t>Harbor Maintenance Tax Credit</w:t>
      </w:r>
      <w:r w:rsidR="00FA2B9E">
        <w:rPr>
          <w:rFonts w:asciiTheme="majorHAnsi" w:hAnsiTheme="majorHAnsi"/>
          <w:b/>
          <w:sz w:val="24"/>
          <w:szCs w:val="24"/>
        </w:rPr>
        <w:t xml:space="preserve"> Claims </w:t>
      </w:r>
    </w:p>
    <w:p w14:paraId="4E54E476" w14:textId="77777777" w:rsidR="00291074" w:rsidRDefault="00FA2B9E" w:rsidP="00F02B4D">
      <w:pPr>
        <w:spacing w:after="0"/>
        <w:jc w:val="center"/>
        <w:rPr>
          <w:rFonts w:asciiTheme="majorHAnsi" w:hAnsiTheme="majorHAnsi"/>
          <w:b/>
          <w:sz w:val="24"/>
          <w:szCs w:val="24"/>
        </w:rPr>
      </w:pPr>
      <w:r>
        <w:rPr>
          <w:rFonts w:asciiTheme="majorHAnsi" w:hAnsiTheme="majorHAnsi"/>
          <w:b/>
          <w:sz w:val="24"/>
          <w:szCs w:val="24"/>
        </w:rPr>
        <w:t>by Taxpayer Size (Number of Employees)</w:t>
      </w:r>
    </w:p>
    <w:tbl>
      <w:tblPr>
        <w:tblW w:w="8550" w:type="dxa"/>
        <w:jc w:val="center"/>
        <w:tblLayout w:type="fixed"/>
        <w:tblLook w:val="04A0" w:firstRow="1" w:lastRow="0" w:firstColumn="1" w:lastColumn="0" w:noHBand="0" w:noVBand="1"/>
      </w:tblPr>
      <w:tblGrid>
        <w:gridCol w:w="2742"/>
        <w:gridCol w:w="1218"/>
        <w:gridCol w:w="1170"/>
        <w:gridCol w:w="1075"/>
        <w:gridCol w:w="1175"/>
        <w:gridCol w:w="1170"/>
      </w:tblGrid>
      <w:tr w:rsidR="009418FF" w:rsidRPr="00F063C9" w14:paraId="331B1855" w14:textId="77777777" w:rsidTr="00F02B4D">
        <w:trPr>
          <w:trHeight w:val="1200"/>
          <w:jc w:val="center"/>
        </w:trPr>
        <w:tc>
          <w:tcPr>
            <w:tcW w:w="274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29CD561D" w14:textId="77777777" w:rsidR="009418FF" w:rsidRPr="00F063C9" w:rsidRDefault="00C07DE2" w:rsidP="00F063C9">
            <w:pPr>
              <w:spacing w:after="0" w:line="240" w:lineRule="auto"/>
              <w:jc w:val="center"/>
              <w:rPr>
                <w:rFonts w:ascii="Cambria" w:eastAsia="Times New Roman" w:hAnsi="Cambria" w:cs="Arial"/>
                <w:color w:val="000000"/>
                <w:sz w:val="19"/>
                <w:szCs w:val="19"/>
                <w:lang w:eastAsia="ko-KR"/>
              </w:rPr>
            </w:pPr>
            <w:r>
              <w:rPr>
                <w:rFonts w:ascii="Cambria" w:eastAsia="Times New Roman" w:hAnsi="Cambria" w:cs="Arial"/>
                <w:color w:val="000000"/>
                <w:sz w:val="19"/>
                <w:szCs w:val="19"/>
                <w:lang w:eastAsia="ko-KR"/>
              </w:rPr>
              <w:t xml:space="preserve">Reported </w:t>
            </w:r>
            <w:r w:rsidR="009418FF" w:rsidRPr="00F063C9">
              <w:rPr>
                <w:rFonts w:ascii="Cambria" w:eastAsia="Times New Roman" w:hAnsi="Cambria" w:cs="Arial"/>
                <w:color w:val="000000"/>
                <w:sz w:val="19"/>
                <w:szCs w:val="19"/>
                <w:lang w:eastAsia="ko-KR"/>
              </w:rPr>
              <w:t>Employees Range</w:t>
            </w:r>
            <w:r w:rsidR="0035734F">
              <w:rPr>
                <w:rFonts w:ascii="Cambria" w:eastAsia="Times New Roman" w:hAnsi="Cambria" w:cs="Arial"/>
                <w:color w:val="000000"/>
                <w:sz w:val="19"/>
                <w:szCs w:val="19"/>
                <w:lang w:eastAsia="ko-KR"/>
              </w:rPr>
              <w:t>*</w:t>
            </w:r>
          </w:p>
        </w:tc>
        <w:tc>
          <w:tcPr>
            <w:tcW w:w="1218"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456D68CE" w14:textId="77777777" w:rsidR="009418FF" w:rsidRPr="00F063C9" w:rsidRDefault="008D3FD4" w:rsidP="00F063C9">
            <w:pPr>
              <w:spacing w:after="0" w:line="240" w:lineRule="auto"/>
              <w:jc w:val="center"/>
              <w:rPr>
                <w:rFonts w:ascii="Cambria" w:eastAsia="Times New Roman" w:hAnsi="Cambria" w:cs="Arial"/>
                <w:color w:val="000000"/>
                <w:sz w:val="19"/>
                <w:szCs w:val="19"/>
                <w:lang w:eastAsia="ko-KR"/>
              </w:rPr>
            </w:pPr>
            <w:r w:rsidRPr="001E6CEC">
              <w:rPr>
                <w:rFonts w:ascii="Cambria" w:eastAsia="Times New Roman" w:hAnsi="Cambria" w:cs="Helvetica"/>
                <w:color w:val="000000"/>
                <w:sz w:val="18"/>
                <w:szCs w:val="18"/>
                <w:lang w:eastAsia="ko-KR"/>
              </w:rPr>
              <w:t xml:space="preserve">Tax </w:t>
            </w:r>
            <w:r>
              <w:rPr>
                <w:rFonts w:ascii="Cambria" w:eastAsia="Times New Roman" w:hAnsi="Cambria" w:cs="Helvetica"/>
                <w:color w:val="000000"/>
                <w:sz w:val="18"/>
                <w:szCs w:val="18"/>
                <w:lang w:eastAsia="ko-KR"/>
              </w:rPr>
              <w:t xml:space="preserve">Liability after Credit </w:t>
            </w:r>
            <w:r w:rsidRPr="001E6CEC">
              <w:rPr>
                <w:rFonts w:ascii="Cambria" w:eastAsia="Times New Roman" w:hAnsi="Cambria" w:cs="Helvetica"/>
                <w:color w:val="000000"/>
                <w:sz w:val="18"/>
                <w:szCs w:val="18"/>
                <w:lang w:eastAsia="ko-KR"/>
              </w:rPr>
              <w:t>($000)</w:t>
            </w:r>
          </w:p>
        </w:tc>
        <w:tc>
          <w:tcPr>
            <w:tcW w:w="117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115A919D" w14:textId="77777777" w:rsidR="009418FF" w:rsidRPr="00F063C9" w:rsidRDefault="009418FF" w:rsidP="00F063C9">
            <w:pPr>
              <w:spacing w:after="0" w:line="240" w:lineRule="auto"/>
              <w:jc w:val="center"/>
              <w:rPr>
                <w:rFonts w:ascii="Cambria" w:eastAsia="Times New Roman" w:hAnsi="Cambria" w:cs="Arial"/>
                <w:color w:val="000000"/>
                <w:sz w:val="19"/>
                <w:szCs w:val="19"/>
                <w:lang w:eastAsia="ko-KR"/>
              </w:rPr>
            </w:pPr>
            <w:r w:rsidRPr="00F063C9">
              <w:rPr>
                <w:rFonts w:ascii="Cambria" w:eastAsia="Times New Roman" w:hAnsi="Cambria" w:cs="Arial"/>
                <w:color w:val="000000"/>
                <w:sz w:val="19"/>
                <w:szCs w:val="19"/>
                <w:lang w:eastAsia="ko-KR"/>
              </w:rPr>
              <w:t>Claimed</w:t>
            </w:r>
            <w:r w:rsidR="008D3FD4">
              <w:rPr>
                <w:rFonts w:ascii="Cambria" w:eastAsia="Times New Roman" w:hAnsi="Cambria" w:cs="Arial"/>
                <w:color w:val="000000"/>
                <w:sz w:val="19"/>
                <w:szCs w:val="19"/>
                <w:lang w:eastAsia="ko-KR"/>
              </w:rPr>
              <w:t xml:space="preserve"> or Shared</w:t>
            </w:r>
            <w:r w:rsidRPr="00F063C9">
              <w:rPr>
                <w:rFonts w:ascii="Cambria" w:eastAsia="Times New Roman" w:hAnsi="Cambria" w:cs="Arial"/>
                <w:color w:val="000000"/>
                <w:sz w:val="19"/>
                <w:szCs w:val="19"/>
                <w:lang w:eastAsia="ko-KR"/>
              </w:rPr>
              <w:t xml:space="preserve"> Credit</w:t>
            </w:r>
            <w:r>
              <w:rPr>
                <w:rFonts w:ascii="Cambria" w:eastAsia="Times New Roman" w:hAnsi="Cambria" w:cs="Arial"/>
                <w:color w:val="000000"/>
                <w:sz w:val="19"/>
                <w:szCs w:val="19"/>
                <w:lang w:eastAsia="ko-KR"/>
              </w:rPr>
              <w:t xml:space="preserve"> </w:t>
            </w:r>
            <w:r w:rsidRPr="00F063C9">
              <w:rPr>
                <w:rFonts w:ascii="Cambria" w:eastAsia="Times New Roman" w:hAnsi="Cambria" w:cs="Arial"/>
                <w:color w:val="000000"/>
                <w:sz w:val="19"/>
                <w:szCs w:val="19"/>
                <w:lang w:eastAsia="ko-KR"/>
              </w:rPr>
              <w:t xml:space="preserve">($000) </w:t>
            </w:r>
          </w:p>
        </w:tc>
        <w:tc>
          <w:tcPr>
            <w:tcW w:w="1075"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5A90E14A" w14:textId="77777777" w:rsidR="009418FF" w:rsidRPr="00F063C9" w:rsidRDefault="009418FF" w:rsidP="00F063C9">
            <w:pPr>
              <w:spacing w:after="0" w:line="240" w:lineRule="auto"/>
              <w:jc w:val="center"/>
              <w:rPr>
                <w:rFonts w:ascii="Cambria" w:eastAsia="Times New Roman" w:hAnsi="Cambria" w:cs="Arial"/>
                <w:color w:val="000000"/>
                <w:sz w:val="19"/>
                <w:szCs w:val="19"/>
                <w:lang w:eastAsia="ko-KR"/>
              </w:rPr>
            </w:pPr>
            <w:r w:rsidRPr="00F063C9">
              <w:rPr>
                <w:rFonts w:ascii="Cambria" w:eastAsia="Times New Roman" w:hAnsi="Cambria" w:cs="Arial"/>
                <w:color w:val="000000"/>
                <w:sz w:val="19"/>
                <w:szCs w:val="19"/>
                <w:lang w:eastAsia="ko-KR"/>
              </w:rPr>
              <w:t xml:space="preserve">Number of </w:t>
            </w:r>
            <w:r>
              <w:rPr>
                <w:rFonts w:ascii="Cambria" w:eastAsia="Times New Roman" w:hAnsi="Cambria" w:cs="Arial"/>
                <w:color w:val="000000"/>
                <w:sz w:val="19"/>
                <w:szCs w:val="19"/>
                <w:lang w:eastAsia="ko-KR"/>
              </w:rPr>
              <w:t>Claimants</w:t>
            </w:r>
          </w:p>
        </w:tc>
        <w:tc>
          <w:tcPr>
            <w:tcW w:w="1175"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031FC900" w14:textId="77777777" w:rsidR="009418FF" w:rsidRPr="00F063C9" w:rsidRDefault="008D3FD4" w:rsidP="00F063C9">
            <w:pPr>
              <w:spacing w:after="0" w:line="240" w:lineRule="auto"/>
              <w:jc w:val="center"/>
              <w:rPr>
                <w:rFonts w:ascii="Cambria" w:eastAsia="Times New Roman" w:hAnsi="Cambria" w:cs="Arial"/>
                <w:color w:val="000000"/>
                <w:sz w:val="19"/>
                <w:szCs w:val="19"/>
                <w:lang w:eastAsia="ko-KR"/>
              </w:rPr>
            </w:pPr>
            <w:r w:rsidRPr="001E6CEC">
              <w:rPr>
                <w:rFonts w:ascii="Cambria" w:eastAsia="Times New Roman" w:hAnsi="Cambria" w:cs="Helvetica"/>
                <w:color w:val="000000"/>
                <w:sz w:val="18"/>
                <w:szCs w:val="18"/>
                <w:lang w:eastAsia="ko-KR"/>
              </w:rPr>
              <w:t xml:space="preserve">Percent </w:t>
            </w:r>
            <w:r>
              <w:rPr>
                <w:rFonts w:ascii="Cambria" w:eastAsia="Times New Roman" w:hAnsi="Cambria" w:cs="Helvetica"/>
                <w:color w:val="000000"/>
                <w:sz w:val="18"/>
                <w:szCs w:val="18"/>
                <w:lang w:eastAsia="ko-KR"/>
              </w:rPr>
              <w:t>of Total Number of Claimants</w:t>
            </w:r>
          </w:p>
        </w:tc>
        <w:tc>
          <w:tcPr>
            <w:tcW w:w="117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756EB4CD" w14:textId="77777777" w:rsidR="009418FF" w:rsidRPr="00F063C9" w:rsidRDefault="009418FF" w:rsidP="00F063C9">
            <w:pPr>
              <w:spacing w:after="0" w:line="240" w:lineRule="auto"/>
              <w:jc w:val="center"/>
              <w:rPr>
                <w:rFonts w:ascii="Cambria" w:eastAsia="Times New Roman" w:hAnsi="Cambria" w:cs="Arial"/>
                <w:color w:val="000000"/>
                <w:sz w:val="19"/>
                <w:szCs w:val="19"/>
                <w:lang w:eastAsia="ko-KR"/>
              </w:rPr>
            </w:pPr>
            <w:r w:rsidRPr="00F063C9">
              <w:rPr>
                <w:rFonts w:ascii="Cambria" w:eastAsia="Times New Roman" w:hAnsi="Cambria" w:cs="Arial"/>
                <w:color w:val="000000"/>
                <w:sz w:val="19"/>
                <w:szCs w:val="19"/>
                <w:lang w:eastAsia="ko-KR"/>
              </w:rPr>
              <w:t xml:space="preserve">Tax Saving Per </w:t>
            </w:r>
            <w:r>
              <w:rPr>
                <w:rFonts w:ascii="Cambria" w:eastAsia="Times New Roman" w:hAnsi="Cambria" w:cs="Arial"/>
                <w:color w:val="000000"/>
                <w:sz w:val="19"/>
                <w:szCs w:val="19"/>
                <w:lang w:eastAsia="ko-KR"/>
              </w:rPr>
              <w:t>Claimant</w:t>
            </w:r>
            <w:r w:rsidRPr="00F063C9">
              <w:rPr>
                <w:rFonts w:ascii="Cambria" w:eastAsia="Times New Roman" w:hAnsi="Cambria" w:cs="Arial"/>
                <w:color w:val="000000"/>
                <w:sz w:val="19"/>
                <w:szCs w:val="19"/>
                <w:lang w:eastAsia="ko-KR"/>
              </w:rPr>
              <w:t xml:space="preserve"> ($)</w:t>
            </w:r>
          </w:p>
        </w:tc>
      </w:tr>
      <w:tr w:rsidR="008D3FD4" w:rsidRPr="00F063C9" w14:paraId="0CD82C7B" w14:textId="77777777" w:rsidTr="00F02B4D">
        <w:trPr>
          <w:trHeight w:val="240"/>
          <w:jc w:val="center"/>
        </w:trPr>
        <w:tc>
          <w:tcPr>
            <w:tcW w:w="2742" w:type="dxa"/>
            <w:tcBorders>
              <w:top w:val="nil"/>
              <w:left w:val="single" w:sz="4" w:space="0" w:color="auto"/>
              <w:bottom w:val="single" w:sz="4" w:space="0" w:color="auto"/>
              <w:right w:val="single" w:sz="4" w:space="0" w:color="auto"/>
            </w:tcBorders>
            <w:shd w:val="clear" w:color="auto" w:fill="auto"/>
            <w:vAlign w:val="center"/>
            <w:hideMark/>
          </w:tcPr>
          <w:p w14:paraId="31814906" w14:textId="77777777" w:rsidR="009418FF" w:rsidRPr="00F063C9" w:rsidRDefault="009418FF" w:rsidP="00F02B4D">
            <w:pPr>
              <w:spacing w:after="0" w:line="240" w:lineRule="auto"/>
              <w:rPr>
                <w:rFonts w:ascii="Cambria" w:eastAsia="Times New Roman" w:hAnsi="Cambria" w:cs="Arial"/>
                <w:color w:val="000000"/>
                <w:sz w:val="19"/>
                <w:szCs w:val="19"/>
                <w:lang w:eastAsia="ko-KR"/>
              </w:rPr>
            </w:pPr>
            <w:r w:rsidRPr="00F063C9">
              <w:rPr>
                <w:rFonts w:ascii="Cambria" w:eastAsia="Times New Roman" w:hAnsi="Cambria" w:cs="Arial"/>
                <w:color w:val="000000"/>
                <w:sz w:val="19"/>
                <w:szCs w:val="19"/>
                <w:lang w:eastAsia="ko-KR"/>
              </w:rPr>
              <w:t>Less than 5</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B4458" w14:textId="77777777" w:rsidR="009418FF" w:rsidRPr="00F063C9" w:rsidRDefault="009418FF" w:rsidP="001B0158">
            <w:pPr>
              <w:spacing w:after="0" w:line="240" w:lineRule="auto"/>
              <w:jc w:val="center"/>
              <w:rPr>
                <w:rFonts w:ascii="Cambria" w:eastAsia="Times New Roman" w:hAnsi="Cambria" w:cs="Arial"/>
                <w:color w:val="000000"/>
                <w:sz w:val="19"/>
                <w:szCs w:val="19"/>
                <w:lang w:eastAsia="ko-KR"/>
              </w:rPr>
            </w:pPr>
            <w:r>
              <w:rPr>
                <w:rFonts w:ascii="Cambria" w:hAnsi="Cambria" w:cs="Arial"/>
                <w:sz w:val="20"/>
                <w:szCs w:val="20"/>
              </w:rPr>
              <w:t>$4,126</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1D9C3A7" w14:textId="77777777" w:rsidR="009418FF" w:rsidRPr="00F063C9" w:rsidRDefault="009418FF" w:rsidP="001B0158">
            <w:pPr>
              <w:spacing w:after="0" w:line="240" w:lineRule="auto"/>
              <w:jc w:val="center"/>
              <w:rPr>
                <w:rFonts w:ascii="Cambria" w:eastAsia="Times New Roman" w:hAnsi="Cambria" w:cs="Arial"/>
                <w:color w:val="000000"/>
                <w:sz w:val="19"/>
                <w:szCs w:val="19"/>
                <w:lang w:eastAsia="ko-KR"/>
              </w:rPr>
            </w:pPr>
            <w:r>
              <w:rPr>
                <w:rFonts w:ascii="Cambria" w:hAnsi="Cambria" w:cs="Arial"/>
                <w:sz w:val="20"/>
                <w:szCs w:val="20"/>
              </w:rPr>
              <w:t>$422</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14:paraId="5A33B5C8" w14:textId="77777777" w:rsidR="009418FF" w:rsidRPr="00F063C9" w:rsidRDefault="009418FF" w:rsidP="001B0158">
            <w:pPr>
              <w:spacing w:after="0" w:line="240" w:lineRule="auto"/>
              <w:jc w:val="center"/>
              <w:rPr>
                <w:rFonts w:ascii="Cambria" w:eastAsia="Times New Roman" w:hAnsi="Cambria" w:cs="Arial"/>
                <w:color w:val="000000"/>
                <w:sz w:val="19"/>
                <w:szCs w:val="19"/>
                <w:lang w:eastAsia="ko-KR"/>
              </w:rPr>
            </w:pPr>
            <w:r>
              <w:rPr>
                <w:rFonts w:ascii="Cambria" w:hAnsi="Cambria" w:cs="Arial"/>
                <w:sz w:val="20"/>
                <w:szCs w:val="20"/>
              </w:rPr>
              <w:t>12</w:t>
            </w:r>
          </w:p>
        </w:tc>
        <w:tc>
          <w:tcPr>
            <w:tcW w:w="1175" w:type="dxa"/>
            <w:tcBorders>
              <w:top w:val="single" w:sz="4" w:space="0" w:color="auto"/>
              <w:left w:val="nil"/>
              <w:bottom w:val="single" w:sz="4" w:space="0" w:color="auto"/>
              <w:right w:val="single" w:sz="4" w:space="0" w:color="auto"/>
            </w:tcBorders>
            <w:shd w:val="clear" w:color="000000" w:fill="auto"/>
            <w:vAlign w:val="center"/>
            <w:hideMark/>
          </w:tcPr>
          <w:p w14:paraId="0CD1AAE0" w14:textId="77777777" w:rsidR="009418FF" w:rsidRPr="00F063C9" w:rsidRDefault="009418FF" w:rsidP="001B0158">
            <w:pPr>
              <w:spacing w:after="0" w:line="240" w:lineRule="auto"/>
              <w:jc w:val="center"/>
              <w:rPr>
                <w:rFonts w:ascii="Cambria" w:eastAsia="Times New Roman" w:hAnsi="Cambria" w:cs="Arial"/>
                <w:color w:val="000000"/>
                <w:sz w:val="19"/>
                <w:szCs w:val="19"/>
                <w:lang w:eastAsia="ko-KR"/>
              </w:rPr>
            </w:pPr>
            <w:r>
              <w:rPr>
                <w:rFonts w:ascii="Cambria" w:hAnsi="Cambria" w:cs="Arial"/>
                <w:color w:val="000000"/>
                <w:sz w:val="19"/>
                <w:szCs w:val="19"/>
              </w:rPr>
              <w:t>14.6%</w:t>
            </w:r>
          </w:p>
        </w:tc>
        <w:tc>
          <w:tcPr>
            <w:tcW w:w="1170" w:type="dxa"/>
            <w:tcBorders>
              <w:top w:val="single" w:sz="4" w:space="0" w:color="auto"/>
              <w:left w:val="nil"/>
              <w:bottom w:val="single" w:sz="4" w:space="0" w:color="auto"/>
              <w:right w:val="single" w:sz="4" w:space="0" w:color="auto"/>
            </w:tcBorders>
            <w:shd w:val="clear" w:color="000000" w:fill="auto"/>
            <w:vAlign w:val="center"/>
            <w:hideMark/>
          </w:tcPr>
          <w:p w14:paraId="62951875" w14:textId="77777777" w:rsidR="009418FF" w:rsidRPr="00F063C9" w:rsidRDefault="009418FF" w:rsidP="001B0158">
            <w:pPr>
              <w:spacing w:after="0" w:line="240" w:lineRule="auto"/>
              <w:jc w:val="center"/>
              <w:rPr>
                <w:rFonts w:ascii="Cambria" w:eastAsia="Times New Roman" w:hAnsi="Cambria" w:cs="Arial"/>
                <w:color w:val="000000"/>
                <w:sz w:val="19"/>
                <w:szCs w:val="19"/>
                <w:lang w:eastAsia="ko-KR"/>
              </w:rPr>
            </w:pPr>
            <w:r>
              <w:rPr>
                <w:rFonts w:ascii="Cambria" w:hAnsi="Cambria" w:cs="Arial"/>
                <w:sz w:val="20"/>
                <w:szCs w:val="20"/>
              </w:rPr>
              <w:t>$35,136</w:t>
            </w:r>
          </w:p>
        </w:tc>
      </w:tr>
      <w:tr w:rsidR="008D3FD4" w:rsidRPr="00F063C9" w14:paraId="509CF604" w14:textId="77777777" w:rsidTr="00F02B4D">
        <w:trPr>
          <w:trHeight w:val="240"/>
          <w:jc w:val="center"/>
        </w:trPr>
        <w:tc>
          <w:tcPr>
            <w:tcW w:w="2742" w:type="dxa"/>
            <w:tcBorders>
              <w:top w:val="nil"/>
              <w:left w:val="single" w:sz="4" w:space="0" w:color="auto"/>
              <w:bottom w:val="single" w:sz="4" w:space="0" w:color="auto"/>
              <w:right w:val="single" w:sz="4" w:space="0" w:color="auto"/>
            </w:tcBorders>
            <w:shd w:val="clear" w:color="auto" w:fill="auto"/>
            <w:vAlign w:val="center"/>
            <w:hideMark/>
          </w:tcPr>
          <w:p w14:paraId="5C2F1458" w14:textId="77777777" w:rsidR="009418FF" w:rsidRPr="00F063C9" w:rsidRDefault="009418FF" w:rsidP="00F02B4D">
            <w:pPr>
              <w:spacing w:after="0" w:line="240" w:lineRule="auto"/>
              <w:rPr>
                <w:rFonts w:ascii="Cambria" w:eastAsia="Times New Roman" w:hAnsi="Cambria" w:cs="Arial"/>
                <w:color w:val="000000"/>
                <w:sz w:val="19"/>
                <w:szCs w:val="19"/>
                <w:lang w:eastAsia="ko-KR"/>
              </w:rPr>
            </w:pPr>
            <w:r w:rsidRPr="00F063C9">
              <w:rPr>
                <w:rFonts w:ascii="Cambria" w:eastAsia="Times New Roman" w:hAnsi="Cambria" w:cs="Arial"/>
                <w:color w:val="000000"/>
                <w:sz w:val="19"/>
                <w:szCs w:val="19"/>
                <w:lang w:eastAsia="ko-KR"/>
              </w:rPr>
              <w:t>5 to 49</w:t>
            </w:r>
          </w:p>
        </w:tc>
        <w:tc>
          <w:tcPr>
            <w:tcW w:w="1218" w:type="dxa"/>
            <w:tcBorders>
              <w:top w:val="nil"/>
              <w:left w:val="single" w:sz="4" w:space="0" w:color="auto"/>
              <w:bottom w:val="single" w:sz="4" w:space="0" w:color="auto"/>
              <w:right w:val="single" w:sz="4" w:space="0" w:color="auto"/>
            </w:tcBorders>
            <w:shd w:val="clear" w:color="auto" w:fill="auto"/>
            <w:vAlign w:val="center"/>
            <w:hideMark/>
          </w:tcPr>
          <w:p w14:paraId="152C4D83" w14:textId="77777777" w:rsidR="009418FF" w:rsidRPr="00F063C9" w:rsidRDefault="009418FF" w:rsidP="001B0158">
            <w:pPr>
              <w:spacing w:after="0" w:line="240" w:lineRule="auto"/>
              <w:jc w:val="center"/>
              <w:rPr>
                <w:rFonts w:ascii="Cambria" w:eastAsia="Times New Roman" w:hAnsi="Cambria" w:cs="Arial"/>
                <w:color w:val="000000"/>
                <w:sz w:val="19"/>
                <w:szCs w:val="19"/>
                <w:lang w:eastAsia="ko-KR"/>
              </w:rPr>
            </w:pPr>
            <w:r>
              <w:rPr>
                <w:rFonts w:ascii="Cambria" w:hAnsi="Cambria" w:cs="Arial"/>
                <w:sz w:val="20"/>
                <w:szCs w:val="20"/>
              </w:rPr>
              <w:t>$616</w:t>
            </w:r>
          </w:p>
        </w:tc>
        <w:tc>
          <w:tcPr>
            <w:tcW w:w="1170" w:type="dxa"/>
            <w:tcBorders>
              <w:top w:val="nil"/>
              <w:left w:val="nil"/>
              <w:bottom w:val="single" w:sz="4" w:space="0" w:color="auto"/>
              <w:right w:val="single" w:sz="4" w:space="0" w:color="auto"/>
            </w:tcBorders>
            <w:shd w:val="clear" w:color="auto" w:fill="auto"/>
            <w:vAlign w:val="center"/>
            <w:hideMark/>
          </w:tcPr>
          <w:p w14:paraId="5FA65063" w14:textId="77777777" w:rsidR="009418FF" w:rsidRPr="00F063C9" w:rsidRDefault="009418FF" w:rsidP="001B0158">
            <w:pPr>
              <w:spacing w:after="0" w:line="240" w:lineRule="auto"/>
              <w:jc w:val="center"/>
              <w:rPr>
                <w:rFonts w:ascii="Cambria" w:eastAsia="Times New Roman" w:hAnsi="Cambria" w:cs="Arial"/>
                <w:color w:val="000000"/>
                <w:sz w:val="19"/>
                <w:szCs w:val="19"/>
                <w:lang w:eastAsia="ko-KR"/>
              </w:rPr>
            </w:pPr>
            <w:r>
              <w:rPr>
                <w:rFonts w:ascii="Cambria" w:hAnsi="Cambria" w:cs="Arial"/>
                <w:sz w:val="20"/>
                <w:szCs w:val="20"/>
              </w:rPr>
              <w:t>$192</w:t>
            </w:r>
          </w:p>
        </w:tc>
        <w:tc>
          <w:tcPr>
            <w:tcW w:w="1075" w:type="dxa"/>
            <w:tcBorders>
              <w:top w:val="nil"/>
              <w:left w:val="nil"/>
              <w:bottom w:val="single" w:sz="4" w:space="0" w:color="auto"/>
              <w:right w:val="single" w:sz="4" w:space="0" w:color="auto"/>
            </w:tcBorders>
            <w:shd w:val="clear" w:color="auto" w:fill="auto"/>
            <w:vAlign w:val="center"/>
            <w:hideMark/>
          </w:tcPr>
          <w:p w14:paraId="0A66CFD8" w14:textId="77777777" w:rsidR="009418FF" w:rsidRPr="00F063C9" w:rsidRDefault="009418FF" w:rsidP="001B0158">
            <w:pPr>
              <w:spacing w:after="0" w:line="240" w:lineRule="auto"/>
              <w:jc w:val="center"/>
              <w:rPr>
                <w:rFonts w:ascii="Cambria" w:eastAsia="Times New Roman" w:hAnsi="Cambria" w:cs="Arial"/>
                <w:color w:val="000000"/>
                <w:sz w:val="19"/>
                <w:szCs w:val="19"/>
                <w:lang w:eastAsia="ko-KR"/>
              </w:rPr>
            </w:pPr>
            <w:r>
              <w:rPr>
                <w:rFonts w:ascii="Cambria" w:hAnsi="Cambria" w:cs="Arial"/>
                <w:sz w:val="20"/>
                <w:szCs w:val="20"/>
              </w:rPr>
              <w:t>44</w:t>
            </w:r>
          </w:p>
        </w:tc>
        <w:tc>
          <w:tcPr>
            <w:tcW w:w="1175" w:type="dxa"/>
            <w:tcBorders>
              <w:top w:val="single" w:sz="4" w:space="0" w:color="auto"/>
              <w:left w:val="nil"/>
              <w:bottom w:val="single" w:sz="4" w:space="0" w:color="auto"/>
              <w:right w:val="single" w:sz="4" w:space="0" w:color="auto"/>
            </w:tcBorders>
            <w:shd w:val="clear" w:color="000000" w:fill="auto"/>
            <w:vAlign w:val="center"/>
            <w:hideMark/>
          </w:tcPr>
          <w:p w14:paraId="254037D6" w14:textId="77777777" w:rsidR="009418FF" w:rsidRPr="00F063C9" w:rsidRDefault="009418FF" w:rsidP="001B0158">
            <w:pPr>
              <w:spacing w:after="0" w:line="240" w:lineRule="auto"/>
              <w:jc w:val="center"/>
              <w:rPr>
                <w:rFonts w:ascii="Cambria" w:eastAsia="Times New Roman" w:hAnsi="Cambria" w:cs="Arial"/>
                <w:color w:val="000000"/>
                <w:sz w:val="19"/>
                <w:szCs w:val="19"/>
                <w:lang w:eastAsia="ko-KR"/>
              </w:rPr>
            </w:pPr>
            <w:r>
              <w:rPr>
                <w:rFonts w:ascii="Cambria" w:hAnsi="Cambria" w:cs="Arial"/>
                <w:color w:val="000000"/>
                <w:sz w:val="19"/>
                <w:szCs w:val="19"/>
              </w:rPr>
              <w:t>53.7%</w:t>
            </w:r>
          </w:p>
        </w:tc>
        <w:tc>
          <w:tcPr>
            <w:tcW w:w="1170" w:type="dxa"/>
            <w:tcBorders>
              <w:top w:val="single" w:sz="4" w:space="0" w:color="auto"/>
              <w:left w:val="nil"/>
              <w:bottom w:val="single" w:sz="4" w:space="0" w:color="auto"/>
              <w:right w:val="single" w:sz="4" w:space="0" w:color="auto"/>
            </w:tcBorders>
            <w:shd w:val="clear" w:color="000000" w:fill="auto"/>
            <w:vAlign w:val="center"/>
            <w:hideMark/>
          </w:tcPr>
          <w:p w14:paraId="2BAAC038" w14:textId="77777777" w:rsidR="009418FF" w:rsidRPr="00F063C9" w:rsidRDefault="009418FF" w:rsidP="001B0158">
            <w:pPr>
              <w:spacing w:after="0" w:line="240" w:lineRule="auto"/>
              <w:jc w:val="center"/>
              <w:rPr>
                <w:rFonts w:ascii="Cambria" w:eastAsia="Times New Roman" w:hAnsi="Cambria" w:cs="Arial"/>
                <w:color w:val="000000"/>
                <w:sz w:val="19"/>
                <w:szCs w:val="19"/>
                <w:lang w:eastAsia="ko-KR"/>
              </w:rPr>
            </w:pPr>
            <w:r>
              <w:rPr>
                <w:rFonts w:ascii="Cambria" w:hAnsi="Cambria" w:cs="Arial"/>
                <w:sz w:val="20"/>
                <w:szCs w:val="20"/>
              </w:rPr>
              <w:t>$4,375</w:t>
            </w:r>
          </w:p>
        </w:tc>
      </w:tr>
      <w:tr w:rsidR="008D3FD4" w:rsidRPr="00F063C9" w14:paraId="1214E7A5" w14:textId="77777777" w:rsidTr="00F02B4D">
        <w:trPr>
          <w:trHeight w:val="240"/>
          <w:jc w:val="center"/>
        </w:trPr>
        <w:tc>
          <w:tcPr>
            <w:tcW w:w="2742" w:type="dxa"/>
            <w:tcBorders>
              <w:top w:val="nil"/>
              <w:left w:val="single" w:sz="4" w:space="0" w:color="auto"/>
              <w:bottom w:val="single" w:sz="4" w:space="0" w:color="auto"/>
              <w:right w:val="single" w:sz="4" w:space="0" w:color="auto"/>
            </w:tcBorders>
            <w:shd w:val="clear" w:color="auto" w:fill="auto"/>
            <w:vAlign w:val="center"/>
            <w:hideMark/>
          </w:tcPr>
          <w:p w14:paraId="3096D0D8" w14:textId="77777777" w:rsidR="009418FF" w:rsidRPr="00F063C9" w:rsidRDefault="009418FF" w:rsidP="00F02B4D">
            <w:pPr>
              <w:spacing w:after="0" w:line="240" w:lineRule="auto"/>
              <w:rPr>
                <w:rFonts w:ascii="Cambria" w:eastAsia="Times New Roman" w:hAnsi="Cambria" w:cs="Arial"/>
                <w:color w:val="000000"/>
                <w:sz w:val="19"/>
                <w:szCs w:val="19"/>
                <w:lang w:eastAsia="ko-KR"/>
              </w:rPr>
            </w:pPr>
            <w:r w:rsidRPr="00F063C9">
              <w:rPr>
                <w:rFonts w:ascii="Cambria" w:eastAsia="Times New Roman" w:hAnsi="Cambria" w:cs="Arial"/>
                <w:color w:val="000000"/>
                <w:sz w:val="19"/>
                <w:szCs w:val="19"/>
                <w:lang w:eastAsia="ko-KR"/>
              </w:rPr>
              <w:t>50 to 99</w:t>
            </w:r>
          </w:p>
        </w:tc>
        <w:tc>
          <w:tcPr>
            <w:tcW w:w="1218" w:type="dxa"/>
            <w:tcBorders>
              <w:top w:val="nil"/>
              <w:left w:val="single" w:sz="4" w:space="0" w:color="auto"/>
              <w:bottom w:val="single" w:sz="4" w:space="0" w:color="auto"/>
              <w:right w:val="single" w:sz="4" w:space="0" w:color="auto"/>
            </w:tcBorders>
            <w:shd w:val="clear" w:color="auto" w:fill="auto"/>
            <w:vAlign w:val="center"/>
            <w:hideMark/>
          </w:tcPr>
          <w:p w14:paraId="24D6BCB2" w14:textId="77777777" w:rsidR="009418FF" w:rsidRPr="00F063C9" w:rsidRDefault="009418FF" w:rsidP="001B0158">
            <w:pPr>
              <w:spacing w:after="0" w:line="240" w:lineRule="auto"/>
              <w:jc w:val="center"/>
              <w:rPr>
                <w:rFonts w:ascii="Cambria" w:eastAsia="Times New Roman" w:hAnsi="Cambria" w:cs="Arial"/>
                <w:color w:val="000000"/>
                <w:sz w:val="19"/>
                <w:szCs w:val="19"/>
                <w:lang w:eastAsia="ko-KR"/>
              </w:rPr>
            </w:pPr>
            <w:r>
              <w:rPr>
                <w:rFonts w:ascii="Cambria" w:hAnsi="Cambria" w:cs="Arial"/>
                <w:sz w:val="20"/>
                <w:szCs w:val="20"/>
              </w:rPr>
              <w:t>$718</w:t>
            </w:r>
          </w:p>
        </w:tc>
        <w:tc>
          <w:tcPr>
            <w:tcW w:w="1170" w:type="dxa"/>
            <w:tcBorders>
              <w:top w:val="nil"/>
              <w:left w:val="nil"/>
              <w:bottom w:val="single" w:sz="4" w:space="0" w:color="auto"/>
              <w:right w:val="single" w:sz="4" w:space="0" w:color="auto"/>
            </w:tcBorders>
            <w:shd w:val="clear" w:color="auto" w:fill="auto"/>
            <w:vAlign w:val="center"/>
            <w:hideMark/>
          </w:tcPr>
          <w:p w14:paraId="5D11C46A" w14:textId="77777777" w:rsidR="009418FF" w:rsidRPr="00F063C9" w:rsidRDefault="009418FF" w:rsidP="001B0158">
            <w:pPr>
              <w:spacing w:after="0" w:line="240" w:lineRule="auto"/>
              <w:jc w:val="center"/>
              <w:rPr>
                <w:rFonts w:ascii="Cambria" w:eastAsia="Times New Roman" w:hAnsi="Cambria" w:cs="Arial"/>
                <w:color w:val="000000"/>
                <w:sz w:val="19"/>
                <w:szCs w:val="19"/>
                <w:lang w:eastAsia="ko-KR"/>
              </w:rPr>
            </w:pPr>
            <w:r>
              <w:rPr>
                <w:rFonts w:ascii="Cambria" w:hAnsi="Cambria" w:cs="Arial"/>
                <w:sz w:val="20"/>
                <w:szCs w:val="20"/>
              </w:rPr>
              <w:t>$72</w:t>
            </w:r>
          </w:p>
        </w:tc>
        <w:tc>
          <w:tcPr>
            <w:tcW w:w="1075" w:type="dxa"/>
            <w:tcBorders>
              <w:top w:val="nil"/>
              <w:left w:val="nil"/>
              <w:bottom w:val="single" w:sz="4" w:space="0" w:color="auto"/>
              <w:right w:val="single" w:sz="4" w:space="0" w:color="auto"/>
            </w:tcBorders>
            <w:shd w:val="clear" w:color="auto" w:fill="auto"/>
            <w:vAlign w:val="center"/>
            <w:hideMark/>
          </w:tcPr>
          <w:p w14:paraId="0DA908DA" w14:textId="77777777" w:rsidR="009418FF" w:rsidRPr="00F063C9" w:rsidRDefault="009418FF" w:rsidP="001B0158">
            <w:pPr>
              <w:spacing w:after="0" w:line="240" w:lineRule="auto"/>
              <w:jc w:val="center"/>
              <w:rPr>
                <w:rFonts w:ascii="Cambria" w:eastAsia="Times New Roman" w:hAnsi="Cambria" w:cs="Arial"/>
                <w:color w:val="000000"/>
                <w:sz w:val="19"/>
                <w:szCs w:val="19"/>
                <w:lang w:eastAsia="ko-KR"/>
              </w:rPr>
            </w:pPr>
            <w:r>
              <w:rPr>
                <w:rFonts w:ascii="Cambria" w:hAnsi="Cambria" w:cs="Arial"/>
                <w:sz w:val="20"/>
                <w:szCs w:val="20"/>
              </w:rPr>
              <w:t>10</w:t>
            </w:r>
          </w:p>
        </w:tc>
        <w:tc>
          <w:tcPr>
            <w:tcW w:w="1175" w:type="dxa"/>
            <w:tcBorders>
              <w:top w:val="single" w:sz="4" w:space="0" w:color="auto"/>
              <w:left w:val="nil"/>
              <w:bottom w:val="single" w:sz="4" w:space="0" w:color="auto"/>
              <w:right w:val="single" w:sz="4" w:space="0" w:color="auto"/>
            </w:tcBorders>
            <w:shd w:val="clear" w:color="000000" w:fill="auto"/>
            <w:vAlign w:val="center"/>
            <w:hideMark/>
          </w:tcPr>
          <w:p w14:paraId="28C54DB7" w14:textId="77777777" w:rsidR="009418FF" w:rsidRPr="00F063C9" w:rsidRDefault="009418FF" w:rsidP="001B0158">
            <w:pPr>
              <w:spacing w:after="0" w:line="240" w:lineRule="auto"/>
              <w:jc w:val="center"/>
              <w:rPr>
                <w:rFonts w:ascii="Cambria" w:eastAsia="Times New Roman" w:hAnsi="Cambria" w:cs="Arial"/>
                <w:color w:val="000000"/>
                <w:sz w:val="19"/>
                <w:szCs w:val="19"/>
                <w:lang w:eastAsia="ko-KR"/>
              </w:rPr>
            </w:pPr>
            <w:r>
              <w:rPr>
                <w:rFonts w:ascii="Cambria" w:hAnsi="Cambria" w:cs="Arial"/>
                <w:color w:val="000000"/>
                <w:sz w:val="19"/>
                <w:szCs w:val="19"/>
              </w:rPr>
              <w:t>12.2%</w:t>
            </w:r>
          </w:p>
        </w:tc>
        <w:tc>
          <w:tcPr>
            <w:tcW w:w="1170" w:type="dxa"/>
            <w:tcBorders>
              <w:top w:val="single" w:sz="4" w:space="0" w:color="auto"/>
              <w:left w:val="nil"/>
              <w:bottom w:val="single" w:sz="4" w:space="0" w:color="auto"/>
              <w:right w:val="single" w:sz="4" w:space="0" w:color="auto"/>
            </w:tcBorders>
            <w:shd w:val="clear" w:color="000000" w:fill="auto"/>
            <w:vAlign w:val="center"/>
            <w:hideMark/>
          </w:tcPr>
          <w:p w14:paraId="34433A00" w14:textId="77777777" w:rsidR="009418FF" w:rsidRPr="00F063C9" w:rsidRDefault="009418FF" w:rsidP="001B0158">
            <w:pPr>
              <w:spacing w:after="0" w:line="240" w:lineRule="auto"/>
              <w:jc w:val="center"/>
              <w:rPr>
                <w:rFonts w:ascii="Cambria" w:eastAsia="Times New Roman" w:hAnsi="Cambria" w:cs="Arial"/>
                <w:color w:val="000000"/>
                <w:sz w:val="19"/>
                <w:szCs w:val="19"/>
                <w:lang w:eastAsia="ko-KR"/>
              </w:rPr>
            </w:pPr>
            <w:r>
              <w:rPr>
                <w:rFonts w:ascii="Cambria" w:hAnsi="Cambria" w:cs="Arial"/>
                <w:sz w:val="20"/>
                <w:szCs w:val="20"/>
              </w:rPr>
              <w:t>$7,228</w:t>
            </w:r>
          </w:p>
        </w:tc>
      </w:tr>
      <w:tr w:rsidR="008D3FD4" w:rsidRPr="00F063C9" w14:paraId="39810B59" w14:textId="77777777" w:rsidTr="00F02B4D">
        <w:trPr>
          <w:trHeight w:val="240"/>
          <w:jc w:val="center"/>
        </w:trPr>
        <w:tc>
          <w:tcPr>
            <w:tcW w:w="2742" w:type="dxa"/>
            <w:tcBorders>
              <w:top w:val="nil"/>
              <w:left w:val="single" w:sz="4" w:space="0" w:color="auto"/>
              <w:bottom w:val="single" w:sz="4" w:space="0" w:color="auto"/>
              <w:right w:val="single" w:sz="4" w:space="0" w:color="auto"/>
            </w:tcBorders>
            <w:shd w:val="clear" w:color="auto" w:fill="auto"/>
            <w:vAlign w:val="center"/>
            <w:hideMark/>
          </w:tcPr>
          <w:p w14:paraId="47077005" w14:textId="77777777" w:rsidR="009418FF" w:rsidRPr="00F063C9" w:rsidRDefault="009418FF" w:rsidP="00F02B4D">
            <w:pPr>
              <w:spacing w:after="0" w:line="240" w:lineRule="auto"/>
              <w:rPr>
                <w:rFonts w:ascii="Cambria" w:eastAsia="Times New Roman" w:hAnsi="Cambria" w:cs="Arial"/>
                <w:color w:val="000000"/>
                <w:sz w:val="19"/>
                <w:szCs w:val="19"/>
                <w:lang w:eastAsia="ko-KR"/>
              </w:rPr>
            </w:pPr>
            <w:r w:rsidRPr="00F063C9">
              <w:rPr>
                <w:rFonts w:ascii="Cambria" w:eastAsia="Times New Roman" w:hAnsi="Cambria" w:cs="Arial"/>
                <w:color w:val="000000"/>
                <w:sz w:val="19"/>
                <w:szCs w:val="19"/>
                <w:lang w:eastAsia="ko-KR"/>
              </w:rPr>
              <w:t>100 to 199</w:t>
            </w:r>
          </w:p>
        </w:tc>
        <w:tc>
          <w:tcPr>
            <w:tcW w:w="1218" w:type="dxa"/>
            <w:tcBorders>
              <w:top w:val="nil"/>
              <w:left w:val="single" w:sz="4" w:space="0" w:color="auto"/>
              <w:bottom w:val="single" w:sz="4" w:space="0" w:color="auto"/>
              <w:right w:val="single" w:sz="4" w:space="0" w:color="auto"/>
            </w:tcBorders>
            <w:shd w:val="clear" w:color="auto" w:fill="auto"/>
            <w:vAlign w:val="center"/>
            <w:hideMark/>
          </w:tcPr>
          <w:p w14:paraId="036149CF" w14:textId="77777777" w:rsidR="009418FF" w:rsidRPr="00F063C9" w:rsidRDefault="009418FF" w:rsidP="001B0158">
            <w:pPr>
              <w:spacing w:after="0" w:line="240" w:lineRule="auto"/>
              <w:jc w:val="center"/>
              <w:rPr>
                <w:rFonts w:ascii="Cambria" w:eastAsia="Times New Roman" w:hAnsi="Cambria" w:cs="Arial"/>
                <w:color w:val="000000"/>
                <w:sz w:val="19"/>
                <w:szCs w:val="19"/>
                <w:lang w:eastAsia="ko-KR"/>
              </w:rPr>
            </w:pPr>
            <w:r>
              <w:rPr>
                <w:rFonts w:ascii="Cambria" w:hAnsi="Cambria" w:cs="Arial"/>
                <w:sz w:val="20"/>
                <w:szCs w:val="20"/>
              </w:rPr>
              <w:t>$459</w:t>
            </w:r>
          </w:p>
        </w:tc>
        <w:tc>
          <w:tcPr>
            <w:tcW w:w="1170" w:type="dxa"/>
            <w:tcBorders>
              <w:top w:val="nil"/>
              <w:left w:val="nil"/>
              <w:bottom w:val="single" w:sz="4" w:space="0" w:color="auto"/>
              <w:right w:val="single" w:sz="4" w:space="0" w:color="auto"/>
            </w:tcBorders>
            <w:shd w:val="clear" w:color="auto" w:fill="auto"/>
            <w:vAlign w:val="center"/>
            <w:hideMark/>
          </w:tcPr>
          <w:p w14:paraId="46594372" w14:textId="77777777" w:rsidR="009418FF" w:rsidRPr="00F063C9" w:rsidRDefault="009418FF" w:rsidP="001B0158">
            <w:pPr>
              <w:spacing w:after="0" w:line="240" w:lineRule="auto"/>
              <w:jc w:val="center"/>
              <w:rPr>
                <w:rFonts w:ascii="Cambria" w:eastAsia="Times New Roman" w:hAnsi="Cambria" w:cs="Arial"/>
                <w:color w:val="000000"/>
                <w:sz w:val="19"/>
                <w:szCs w:val="19"/>
                <w:lang w:eastAsia="ko-KR"/>
              </w:rPr>
            </w:pPr>
            <w:r>
              <w:rPr>
                <w:rFonts w:ascii="Cambria" w:hAnsi="Cambria" w:cs="Arial"/>
                <w:sz w:val="20"/>
                <w:szCs w:val="20"/>
              </w:rPr>
              <w:t>$89</w:t>
            </w:r>
          </w:p>
        </w:tc>
        <w:tc>
          <w:tcPr>
            <w:tcW w:w="1075" w:type="dxa"/>
            <w:tcBorders>
              <w:top w:val="nil"/>
              <w:left w:val="nil"/>
              <w:bottom w:val="single" w:sz="4" w:space="0" w:color="auto"/>
              <w:right w:val="single" w:sz="4" w:space="0" w:color="auto"/>
            </w:tcBorders>
            <w:shd w:val="clear" w:color="auto" w:fill="auto"/>
            <w:vAlign w:val="center"/>
            <w:hideMark/>
          </w:tcPr>
          <w:p w14:paraId="697D3D8F" w14:textId="77777777" w:rsidR="009418FF" w:rsidRPr="00F063C9" w:rsidRDefault="009418FF" w:rsidP="001B0158">
            <w:pPr>
              <w:spacing w:after="0" w:line="240" w:lineRule="auto"/>
              <w:jc w:val="center"/>
              <w:rPr>
                <w:rFonts w:ascii="Cambria" w:eastAsia="Times New Roman" w:hAnsi="Cambria" w:cs="Arial"/>
                <w:color w:val="000000"/>
                <w:sz w:val="19"/>
                <w:szCs w:val="19"/>
                <w:lang w:eastAsia="ko-KR"/>
              </w:rPr>
            </w:pPr>
            <w:r>
              <w:rPr>
                <w:rFonts w:ascii="Cambria" w:hAnsi="Cambria" w:cs="Arial"/>
                <w:sz w:val="20"/>
                <w:szCs w:val="20"/>
              </w:rPr>
              <w:t>6</w:t>
            </w:r>
          </w:p>
        </w:tc>
        <w:tc>
          <w:tcPr>
            <w:tcW w:w="1175" w:type="dxa"/>
            <w:tcBorders>
              <w:top w:val="single" w:sz="4" w:space="0" w:color="auto"/>
              <w:left w:val="nil"/>
              <w:bottom w:val="single" w:sz="4" w:space="0" w:color="auto"/>
              <w:right w:val="single" w:sz="4" w:space="0" w:color="auto"/>
            </w:tcBorders>
            <w:shd w:val="clear" w:color="000000" w:fill="auto"/>
            <w:vAlign w:val="center"/>
            <w:hideMark/>
          </w:tcPr>
          <w:p w14:paraId="04AF8C4A" w14:textId="77777777" w:rsidR="009418FF" w:rsidRPr="00F063C9" w:rsidRDefault="009418FF" w:rsidP="001B0158">
            <w:pPr>
              <w:spacing w:after="0" w:line="240" w:lineRule="auto"/>
              <w:jc w:val="center"/>
              <w:rPr>
                <w:rFonts w:ascii="Cambria" w:eastAsia="Times New Roman" w:hAnsi="Cambria" w:cs="Arial"/>
                <w:color w:val="000000"/>
                <w:sz w:val="19"/>
                <w:szCs w:val="19"/>
                <w:lang w:eastAsia="ko-KR"/>
              </w:rPr>
            </w:pPr>
            <w:r>
              <w:rPr>
                <w:rFonts w:ascii="Cambria" w:hAnsi="Cambria" w:cs="Arial"/>
                <w:color w:val="000000"/>
                <w:sz w:val="19"/>
                <w:szCs w:val="19"/>
              </w:rPr>
              <w:t>7.3%</w:t>
            </w:r>
          </w:p>
        </w:tc>
        <w:tc>
          <w:tcPr>
            <w:tcW w:w="1170" w:type="dxa"/>
            <w:tcBorders>
              <w:top w:val="single" w:sz="4" w:space="0" w:color="auto"/>
              <w:left w:val="nil"/>
              <w:bottom w:val="single" w:sz="4" w:space="0" w:color="auto"/>
              <w:right w:val="single" w:sz="4" w:space="0" w:color="auto"/>
            </w:tcBorders>
            <w:shd w:val="clear" w:color="000000" w:fill="auto"/>
            <w:vAlign w:val="center"/>
            <w:hideMark/>
          </w:tcPr>
          <w:p w14:paraId="5DA5B797" w14:textId="77777777" w:rsidR="009418FF" w:rsidRPr="00F063C9" w:rsidRDefault="009418FF" w:rsidP="001B0158">
            <w:pPr>
              <w:spacing w:after="0" w:line="240" w:lineRule="auto"/>
              <w:jc w:val="center"/>
              <w:rPr>
                <w:rFonts w:ascii="Cambria" w:eastAsia="Times New Roman" w:hAnsi="Cambria" w:cs="Arial"/>
                <w:color w:val="000000"/>
                <w:sz w:val="19"/>
                <w:szCs w:val="19"/>
                <w:lang w:eastAsia="ko-KR"/>
              </w:rPr>
            </w:pPr>
            <w:r>
              <w:rPr>
                <w:rFonts w:ascii="Cambria" w:hAnsi="Cambria" w:cs="Arial"/>
                <w:sz w:val="20"/>
                <w:szCs w:val="20"/>
              </w:rPr>
              <w:t>$14,859</w:t>
            </w:r>
          </w:p>
        </w:tc>
      </w:tr>
      <w:tr w:rsidR="008D3FD4" w:rsidRPr="00F063C9" w14:paraId="7854C9FC" w14:textId="77777777" w:rsidTr="00F02B4D">
        <w:trPr>
          <w:trHeight w:val="240"/>
          <w:jc w:val="center"/>
        </w:trPr>
        <w:tc>
          <w:tcPr>
            <w:tcW w:w="2742" w:type="dxa"/>
            <w:tcBorders>
              <w:top w:val="nil"/>
              <w:left w:val="single" w:sz="4" w:space="0" w:color="auto"/>
              <w:bottom w:val="single" w:sz="4" w:space="0" w:color="auto"/>
              <w:right w:val="single" w:sz="4" w:space="0" w:color="auto"/>
            </w:tcBorders>
            <w:shd w:val="clear" w:color="auto" w:fill="auto"/>
            <w:vAlign w:val="center"/>
            <w:hideMark/>
          </w:tcPr>
          <w:p w14:paraId="269D39F6" w14:textId="77777777" w:rsidR="009418FF" w:rsidRPr="00F063C9" w:rsidRDefault="009418FF" w:rsidP="00F02B4D">
            <w:pPr>
              <w:spacing w:after="0" w:line="240" w:lineRule="auto"/>
              <w:rPr>
                <w:rFonts w:ascii="Cambria" w:eastAsia="Times New Roman" w:hAnsi="Cambria" w:cs="Arial"/>
                <w:color w:val="000000"/>
                <w:sz w:val="19"/>
                <w:szCs w:val="19"/>
                <w:lang w:eastAsia="ko-KR"/>
              </w:rPr>
            </w:pPr>
            <w:r w:rsidRPr="00F063C9">
              <w:rPr>
                <w:rFonts w:ascii="Cambria" w:eastAsia="Times New Roman" w:hAnsi="Cambria" w:cs="Arial"/>
                <w:color w:val="000000"/>
                <w:sz w:val="19"/>
                <w:szCs w:val="19"/>
                <w:lang w:eastAsia="ko-KR"/>
              </w:rPr>
              <w:t>200 or more</w:t>
            </w:r>
          </w:p>
        </w:tc>
        <w:tc>
          <w:tcPr>
            <w:tcW w:w="1218" w:type="dxa"/>
            <w:tcBorders>
              <w:top w:val="nil"/>
              <w:left w:val="single" w:sz="4" w:space="0" w:color="auto"/>
              <w:bottom w:val="single" w:sz="4" w:space="0" w:color="auto"/>
              <w:right w:val="single" w:sz="4" w:space="0" w:color="auto"/>
            </w:tcBorders>
            <w:shd w:val="clear" w:color="auto" w:fill="auto"/>
            <w:vAlign w:val="center"/>
            <w:hideMark/>
          </w:tcPr>
          <w:p w14:paraId="78C56A08" w14:textId="77777777" w:rsidR="009418FF" w:rsidRPr="00F063C9" w:rsidRDefault="009418FF" w:rsidP="001B0158">
            <w:pPr>
              <w:spacing w:after="0" w:line="240" w:lineRule="auto"/>
              <w:jc w:val="center"/>
              <w:rPr>
                <w:rFonts w:ascii="Cambria" w:eastAsia="Times New Roman" w:hAnsi="Cambria" w:cs="Arial"/>
                <w:color w:val="000000"/>
                <w:sz w:val="19"/>
                <w:szCs w:val="19"/>
                <w:lang w:eastAsia="ko-KR"/>
              </w:rPr>
            </w:pPr>
            <w:r>
              <w:rPr>
                <w:rFonts w:ascii="Cambria" w:hAnsi="Cambria" w:cs="Arial"/>
                <w:sz w:val="20"/>
                <w:szCs w:val="20"/>
              </w:rPr>
              <w:t>$1,689</w:t>
            </w:r>
          </w:p>
        </w:tc>
        <w:tc>
          <w:tcPr>
            <w:tcW w:w="1170" w:type="dxa"/>
            <w:tcBorders>
              <w:top w:val="nil"/>
              <w:left w:val="nil"/>
              <w:bottom w:val="single" w:sz="4" w:space="0" w:color="auto"/>
              <w:right w:val="single" w:sz="4" w:space="0" w:color="auto"/>
            </w:tcBorders>
            <w:shd w:val="clear" w:color="auto" w:fill="auto"/>
            <w:vAlign w:val="center"/>
            <w:hideMark/>
          </w:tcPr>
          <w:p w14:paraId="4881A2AD" w14:textId="77777777" w:rsidR="009418FF" w:rsidRPr="00F063C9" w:rsidRDefault="009418FF" w:rsidP="001B0158">
            <w:pPr>
              <w:spacing w:after="0" w:line="240" w:lineRule="auto"/>
              <w:jc w:val="center"/>
              <w:rPr>
                <w:rFonts w:ascii="Cambria" w:eastAsia="Times New Roman" w:hAnsi="Cambria" w:cs="Arial"/>
                <w:color w:val="000000"/>
                <w:sz w:val="19"/>
                <w:szCs w:val="19"/>
                <w:lang w:eastAsia="ko-KR"/>
              </w:rPr>
            </w:pPr>
            <w:r>
              <w:rPr>
                <w:rFonts w:ascii="Cambria" w:hAnsi="Cambria" w:cs="Arial"/>
                <w:sz w:val="20"/>
                <w:szCs w:val="20"/>
              </w:rPr>
              <w:t>$404</w:t>
            </w:r>
          </w:p>
        </w:tc>
        <w:tc>
          <w:tcPr>
            <w:tcW w:w="1075" w:type="dxa"/>
            <w:tcBorders>
              <w:top w:val="nil"/>
              <w:left w:val="nil"/>
              <w:bottom w:val="single" w:sz="4" w:space="0" w:color="auto"/>
              <w:right w:val="single" w:sz="4" w:space="0" w:color="auto"/>
            </w:tcBorders>
            <w:shd w:val="clear" w:color="auto" w:fill="auto"/>
            <w:vAlign w:val="center"/>
            <w:hideMark/>
          </w:tcPr>
          <w:p w14:paraId="304AA4BC" w14:textId="77777777" w:rsidR="009418FF" w:rsidRPr="00F063C9" w:rsidRDefault="009418FF" w:rsidP="001B0158">
            <w:pPr>
              <w:spacing w:after="0" w:line="240" w:lineRule="auto"/>
              <w:jc w:val="center"/>
              <w:rPr>
                <w:rFonts w:ascii="Cambria" w:eastAsia="Times New Roman" w:hAnsi="Cambria" w:cs="Arial"/>
                <w:color w:val="000000"/>
                <w:sz w:val="19"/>
                <w:szCs w:val="19"/>
                <w:lang w:eastAsia="ko-KR"/>
              </w:rPr>
            </w:pPr>
            <w:r>
              <w:rPr>
                <w:rFonts w:ascii="Cambria" w:hAnsi="Cambria" w:cs="Arial"/>
                <w:sz w:val="20"/>
                <w:szCs w:val="20"/>
              </w:rPr>
              <w:t>10</w:t>
            </w:r>
          </w:p>
        </w:tc>
        <w:tc>
          <w:tcPr>
            <w:tcW w:w="1175" w:type="dxa"/>
            <w:tcBorders>
              <w:top w:val="single" w:sz="4" w:space="0" w:color="auto"/>
              <w:left w:val="nil"/>
              <w:bottom w:val="single" w:sz="4" w:space="0" w:color="auto"/>
              <w:right w:val="single" w:sz="4" w:space="0" w:color="auto"/>
            </w:tcBorders>
            <w:shd w:val="clear" w:color="000000" w:fill="auto"/>
            <w:vAlign w:val="center"/>
            <w:hideMark/>
          </w:tcPr>
          <w:p w14:paraId="3A9E8AA0" w14:textId="77777777" w:rsidR="009418FF" w:rsidRPr="00F063C9" w:rsidRDefault="009418FF" w:rsidP="001B0158">
            <w:pPr>
              <w:spacing w:after="0" w:line="240" w:lineRule="auto"/>
              <w:jc w:val="center"/>
              <w:rPr>
                <w:rFonts w:ascii="Cambria" w:eastAsia="Times New Roman" w:hAnsi="Cambria" w:cs="Arial"/>
                <w:color w:val="000000"/>
                <w:sz w:val="19"/>
                <w:szCs w:val="19"/>
                <w:lang w:eastAsia="ko-KR"/>
              </w:rPr>
            </w:pPr>
            <w:r>
              <w:rPr>
                <w:rFonts w:ascii="Cambria" w:hAnsi="Cambria" w:cs="Arial"/>
                <w:color w:val="000000"/>
                <w:sz w:val="19"/>
                <w:szCs w:val="19"/>
              </w:rPr>
              <w:t>12.2%</w:t>
            </w:r>
          </w:p>
        </w:tc>
        <w:tc>
          <w:tcPr>
            <w:tcW w:w="1170" w:type="dxa"/>
            <w:tcBorders>
              <w:top w:val="single" w:sz="4" w:space="0" w:color="auto"/>
              <w:left w:val="nil"/>
              <w:bottom w:val="single" w:sz="4" w:space="0" w:color="auto"/>
              <w:right w:val="single" w:sz="4" w:space="0" w:color="auto"/>
            </w:tcBorders>
            <w:shd w:val="clear" w:color="000000" w:fill="auto"/>
            <w:vAlign w:val="center"/>
            <w:hideMark/>
          </w:tcPr>
          <w:p w14:paraId="6F38FD28" w14:textId="77777777" w:rsidR="009418FF" w:rsidRPr="00F063C9" w:rsidRDefault="009418FF" w:rsidP="001B0158">
            <w:pPr>
              <w:spacing w:after="0" w:line="240" w:lineRule="auto"/>
              <w:jc w:val="center"/>
              <w:rPr>
                <w:rFonts w:ascii="Cambria" w:eastAsia="Times New Roman" w:hAnsi="Cambria" w:cs="Arial"/>
                <w:color w:val="000000"/>
                <w:sz w:val="19"/>
                <w:szCs w:val="19"/>
                <w:lang w:eastAsia="ko-KR"/>
              </w:rPr>
            </w:pPr>
            <w:r>
              <w:rPr>
                <w:rFonts w:ascii="Cambria" w:hAnsi="Cambria" w:cs="Arial"/>
                <w:sz w:val="20"/>
                <w:szCs w:val="20"/>
              </w:rPr>
              <w:t>$40,390</w:t>
            </w:r>
          </w:p>
        </w:tc>
      </w:tr>
      <w:tr w:rsidR="008D3FD4" w:rsidRPr="00F063C9" w14:paraId="3DAACC92" w14:textId="77777777" w:rsidTr="00F02B4D">
        <w:trPr>
          <w:trHeight w:val="240"/>
          <w:jc w:val="center"/>
        </w:trPr>
        <w:tc>
          <w:tcPr>
            <w:tcW w:w="2742" w:type="dxa"/>
            <w:tcBorders>
              <w:top w:val="nil"/>
              <w:left w:val="single" w:sz="4" w:space="0" w:color="auto"/>
              <w:bottom w:val="single" w:sz="4" w:space="0" w:color="auto"/>
              <w:right w:val="single" w:sz="4" w:space="0" w:color="auto"/>
            </w:tcBorders>
            <w:shd w:val="clear" w:color="auto" w:fill="auto"/>
            <w:vAlign w:val="center"/>
            <w:hideMark/>
          </w:tcPr>
          <w:p w14:paraId="67D5BC75" w14:textId="77777777" w:rsidR="009418FF" w:rsidRPr="00F063C9" w:rsidRDefault="009418FF" w:rsidP="00F02B4D">
            <w:pPr>
              <w:spacing w:after="0" w:line="240" w:lineRule="auto"/>
              <w:rPr>
                <w:rFonts w:ascii="Cambria" w:eastAsia="Times New Roman" w:hAnsi="Cambria" w:cs="Arial"/>
                <w:color w:val="000000"/>
                <w:sz w:val="19"/>
                <w:szCs w:val="19"/>
                <w:lang w:eastAsia="ko-KR"/>
              </w:rPr>
            </w:pPr>
            <w:r w:rsidRPr="00F063C9">
              <w:rPr>
                <w:rFonts w:ascii="Cambria" w:eastAsia="Times New Roman" w:hAnsi="Cambria" w:cs="Arial"/>
                <w:color w:val="000000"/>
                <w:sz w:val="19"/>
                <w:szCs w:val="19"/>
                <w:lang w:eastAsia="ko-KR"/>
              </w:rPr>
              <w:t>Total or average</w:t>
            </w:r>
          </w:p>
        </w:tc>
        <w:tc>
          <w:tcPr>
            <w:tcW w:w="1218" w:type="dxa"/>
            <w:tcBorders>
              <w:top w:val="nil"/>
              <w:left w:val="single" w:sz="4" w:space="0" w:color="auto"/>
              <w:bottom w:val="single" w:sz="4" w:space="0" w:color="auto"/>
              <w:right w:val="single" w:sz="4" w:space="0" w:color="auto"/>
            </w:tcBorders>
            <w:shd w:val="clear" w:color="auto" w:fill="auto"/>
            <w:vAlign w:val="center"/>
            <w:hideMark/>
          </w:tcPr>
          <w:p w14:paraId="0DABD4B6" w14:textId="77777777" w:rsidR="009418FF" w:rsidRPr="00F063C9" w:rsidRDefault="009418FF" w:rsidP="001B0158">
            <w:pPr>
              <w:spacing w:after="0" w:line="240" w:lineRule="auto"/>
              <w:jc w:val="center"/>
              <w:rPr>
                <w:rFonts w:ascii="Cambria" w:eastAsia="Times New Roman" w:hAnsi="Cambria" w:cs="Arial"/>
                <w:color w:val="000000"/>
                <w:sz w:val="19"/>
                <w:szCs w:val="19"/>
                <w:lang w:eastAsia="ko-KR"/>
              </w:rPr>
            </w:pPr>
            <w:r>
              <w:rPr>
                <w:rFonts w:ascii="Cambria" w:hAnsi="Cambria" w:cs="Arial"/>
                <w:sz w:val="20"/>
                <w:szCs w:val="20"/>
              </w:rPr>
              <w:t>$7,609</w:t>
            </w:r>
          </w:p>
        </w:tc>
        <w:tc>
          <w:tcPr>
            <w:tcW w:w="1170" w:type="dxa"/>
            <w:tcBorders>
              <w:top w:val="nil"/>
              <w:left w:val="nil"/>
              <w:bottom w:val="single" w:sz="4" w:space="0" w:color="auto"/>
              <w:right w:val="single" w:sz="4" w:space="0" w:color="auto"/>
            </w:tcBorders>
            <w:shd w:val="clear" w:color="auto" w:fill="auto"/>
            <w:vAlign w:val="center"/>
            <w:hideMark/>
          </w:tcPr>
          <w:p w14:paraId="140BF56E" w14:textId="77777777" w:rsidR="009418FF" w:rsidRPr="00F063C9" w:rsidRDefault="009418FF" w:rsidP="001B0158">
            <w:pPr>
              <w:spacing w:after="0" w:line="240" w:lineRule="auto"/>
              <w:jc w:val="center"/>
              <w:rPr>
                <w:rFonts w:ascii="Cambria" w:eastAsia="Times New Roman" w:hAnsi="Cambria" w:cs="Arial"/>
                <w:color w:val="000000"/>
                <w:sz w:val="19"/>
                <w:szCs w:val="19"/>
                <w:lang w:eastAsia="ko-KR"/>
              </w:rPr>
            </w:pPr>
            <w:r>
              <w:rPr>
                <w:rFonts w:ascii="Cambria" w:hAnsi="Cambria" w:cs="Arial"/>
                <w:sz w:val="20"/>
                <w:szCs w:val="20"/>
              </w:rPr>
              <w:t>$1,179</w:t>
            </w:r>
          </w:p>
        </w:tc>
        <w:tc>
          <w:tcPr>
            <w:tcW w:w="1075" w:type="dxa"/>
            <w:tcBorders>
              <w:top w:val="nil"/>
              <w:left w:val="nil"/>
              <w:bottom w:val="single" w:sz="4" w:space="0" w:color="auto"/>
              <w:right w:val="single" w:sz="4" w:space="0" w:color="auto"/>
            </w:tcBorders>
            <w:shd w:val="clear" w:color="auto" w:fill="auto"/>
            <w:vAlign w:val="center"/>
            <w:hideMark/>
          </w:tcPr>
          <w:p w14:paraId="29D32FFD" w14:textId="77777777" w:rsidR="009418FF" w:rsidRPr="00F063C9" w:rsidRDefault="009418FF" w:rsidP="001B0158">
            <w:pPr>
              <w:spacing w:after="0" w:line="240" w:lineRule="auto"/>
              <w:jc w:val="center"/>
              <w:rPr>
                <w:rFonts w:ascii="Cambria" w:eastAsia="Times New Roman" w:hAnsi="Cambria" w:cs="Arial"/>
                <w:color w:val="000000"/>
                <w:sz w:val="19"/>
                <w:szCs w:val="19"/>
                <w:lang w:eastAsia="ko-KR"/>
              </w:rPr>
            </w:pPr>
            <w:r>
              <w:rPr>
                <w:rFonts w:ascii="Cambria" w:hAnsi="Cambria" w:cs="Arial"/>
                <w:sz w:val="20"/>
                <w:szCs w:val="20"/>
              </w:rPr>
              <w:t>82</w:t>
            </w:r>
          </w:p>
        </w:tc>
        <w:tc>
          <w:tcPr>
            <w:tcW w:w="1175" w:type="dxa"/>
            <w:tcBorders>
              <w:top w:val="single" w:sz="4" w:space="0" w:color="auto"/>
              <w:left w:val="nil"/>
              <w:bottom w:val="single" w:sz="4" w:space="0" w:color="auto"/>
              <w:right w:val="single" w:sz="4" w:space="0" w:color="auto"/>
            </w:tcBorders>
            <w:shd w:val="clear" w:color="000000" w:fill="auto"/>
            <w:vAlign w:val="center"/>
            <w:hideMark/>
          </w:tcPr>
          <w:p w14:paraId="25E4CB23" w14:textId="77777777" w:rsidR="009418FF" w:rsidRPr="00F063C9" w:rsidRDefault="009418FF" w:rsidP="001B0158">
            <w:pPr>
              <w:spacing w:after="0" w:line="240" w:lineRule="auto"/>
              <w:jc w:val="center"/>
              <w:rPr>
                <w:rFonts w:ascii="Cambria" w:eastAsia="Times New Roman" w:hAnsi="Cambria" w:cs="Arial"/>
                <w:color w:val="000000"/>
                <w:sz w:val="19"/>
                <w:szCs w:val="19"/>
                <w:lang w:eastAsia="ko-KR"/>
              </w:rPr>
            </w:pPr>
            <w:r>
              <w:rPr>
                <w:rFonts w:ascii="Cambria" w:hAnsi="Cambria" w:cs="Arial"/>
                <w:color w:val="000000"/>
                <w:sz w:val="19"/>
                <w:szCs w:val="19"/>
              </w:rPr>
              <w:t>100.0%</w:t>
            </w:r>
          </w:p>
        </w:tc>
        <w:tc>
          <w:tcPr>
            <w:tcW w:w="1170" w:type="dxa"/>
            <w:tcBorders>
              <w:top w:val="single" w:sz="4" w:space="0" w:color="auto"/>
              <w:left w:val="nil"/>
              <w:bottom w:val="single" w:sz="4" w:space="0" w:color="auto"/>
              <w:right w:val="single" w:sz="4" w:space="0" w:color="auto"/>
            </w:tcBorders>
            <w:shd w:val="clear" w:color="000000" w:fill="auto"/>
            <w:vAlign w:val="center"/>
            <w:hideMark/>
          </w:tcPr>
          <w:p w14:paraId="5551C977" w14:textId="77777777" w:rsidR="009418FF" w:rsidRPr="00F063C9" w:rsidRDefault="009418FF" w:rsidP="001B0158">
            <w:pPr>
              <w:spacing w:after="0" w:line="240" w:lineRule="auto"/>
              <w:jc w:val="center"/>
              <w:rPr>
                <w:rFonts w:ascii="Cambria" w:eastAsia="Times New Roman" w:hAnsi="Cambria" w:cs="Arial"/>
                <w:color w:val="000000"/>
                <w:sz w:val="19"/>
                <w:szCs w:val="19"/>
                <w:lang w:eastAsia="ko-KR"/>
              </w:rPr>
            </w:pPr>
            <w:r>
              <w:rPr>
                <w:rFonts w:ascii="Cambria" w:hAnsi="Cambria" w:cs="Arial"/>
                <w:sz w:val="20"/>
                <w:szCs w:val="20"/>
              </w:rPr>
              <w:t>$14,384</w:t>
            </w:r>
          </w:p>
        </w:tc>
      </w:tr>
    </w:tbl>
    <w:p w14:paraId="5C76DDEC" w14:textId="64088293" w:rsidR="00CB1305" w:rsidRPr="003A3522" w:rsidRDefault="008D3FD4" w:rsidP="00291074">
      <w:pPr>
        <w:tabs>
          <w:tab w:val="left" w:pos="7050"/>
        </w:tabs>
        <w:spacing w:after="0"/>
        <w:rPr>
          <w:rFonts w:asciiTheme="majorHAnsi" w:hAnsiTheme="majorHAnsi"/>
          <w:b/>
          <w:sz w:val="18"/>
          <w:szCs w:val="18"/>
        </w:rPr>
      </w:pPr>
      <w:r>
        <w:rPr>
          <w:rFonts w:asciiTheme="majorHAnsi" w:eastAsiaTheme="majorEastAsia" w:hAnsiTheme="majorHAnsi" w:cstheme="majorBidi"/>
          <w:bCs/>
          <w:color w:val="000000" w:themeColor="text1"/>
          <w:sz w:val="18"/>
          <w:szCs w:val="18"/>
        </w:rPr>
        <w:t xml:space="preserve">         </w:t>
      </w:r>
      <w:r w:rsidR="000408A3" w:rsidRPr="003A3522">
        <w:rPr>
          <w:rFonts w:asciiTheme="majorHAnsi" w:eastAsiaTheme="majorEastAsia" w:hAnsiTheme="majorHAnsi" w:cstheme="majorBidi"/>
          <w:bCs/>
          <w:color w:val="000000" w:themeColor="text1"/>
          <w:sz w:val="18"/>
          <w:szCs w:val="18"/>
        </w:rPr>
        <w:t>Source: Department of Revenue</w:t>
      </w:r>
      <w:r w:rsidR="000B664B" w:rsidRPr="003A3522">
        <w:rPr>
          <w:rFonts w:asciiTheme="majorHAnsi" w:eastAsiaTheme="majorEastAsia" w:hAnsiTheme="majorHAnsi" w:cstheme="majorBidi"/>
          <w:bCs/>
          <w:color w:val="000000" w:themeColor="text1"/>
          <w:sz w:val="18"/>
          <w:szCs w:val="18"/>
        </w:rPr>
        <w:t xml:space="preserve"> </w:t>
      </w:r>
      <w:r w:rsidR="000408A3" w:rsidRPr="003A3522">
        <w:rPr>
          <w:rFonts w:asciiTheme="majorHAnsi" w:eastAsiaTheme="majorEastAsia" w:hAnsiTheme="majorHAnsi" w:cstheme="majorBidi"/>
          <w:bCs/>
          <w:color w:val="000000" w:themeColor="text1"/>
          <w:sz w:val="18"/>
          <w:szCs w:val="18"/>
        </w:rPr>
        <w:t>(2017</w:t>
      </w:r>
      <w:r w:rsidR="00D268BF" w:rsidRPr="003A3522">
        <w:rPr>
          <w:rFonts w:asciiTheme="majorHAnsi" w:eastAsiaTheme="majorEastAsia" w:hAnsiTheme="majorHAnsi" w:cstheme="majorBidi"/>
          <w:bCs/>
          <w:color w:val="000000" w:themeColor="text1"/>
          <w:sz w:val="18"/>
          <w:szCs w:val="18"/>
        </w:rPr>
        <w:t xml:space="preserve"> </w:t>
      </w:r>
      <w:r w:rsidR="00BE0925">
        <w:rPr>
          <w:rFonts w:asciiTheme="majorHAnsi" w:eastAsiaTheme="majorEastAsia" w:hAnsiTheme="majorHAnsi" w:cstheme="majorBidi"/>
          <w:bCs/>
          <w:color w:val="000000" w:themeColor="text1"/>
          <w:sz w:val="18"/>
          <w:szCs w:val="18"/>
        </w:rPr>
        <w:t>corporate excise</w:t>
      </w:r>
      <w:r w:rsidR="00D268BF" w:rsidRPr="003A3522">
        <w:rPr>
          <w:rFonts w:asciiTheme="majorHAnsi" w:eastAsiaTheme="majorEastAsia" w:hAnsiTheme="majorHAnsi" w:cstheme="majorBidi"/>
          <w:bCs/>
          <w:color w:val="000000" w:themeColor="text1"/>
          <w:sz w:val="18"/>
          <w:szCs w:val="18"/>
        </w:rPr>
        <w:t xml:space="preserve"> return</w:t>
      </w:r>
      <w:r w:rsidR="005F35BD">
        <w:rPr>
          <w:rFonts w:asciiTheme="majorHAnsi" w:eastAsiaTheme="majorEastAsia" w:hAnsiTheme="majorHAnsi" w:cstheme="majorBidi"/>
          <w:bCs/>
          <w:color w:val="000000" w:themeColor="text1"/>
          <w:sz w:val="18"/>
          <w:szCs w:val="18"/>
        </w:rPr>
        <w:t>s</w:t>
      </w:r>
      <w:r w:rsidR="000408A3" w:rsidRPr="003A3522">
        <w:rPr>
          <w:rFonts w:asciiTheme="majorHAnsi" w:eastAsiaTheme="majorEastAsia" w:hAnsiTheme="majorHAnsi" w:cstheme="majorBidi"/>
          <w:bCs/>
          <w:color w:val="000000" w:themeColor="text1"/>
          <w:sz w:val="18"/>
          <w:szCs w:val="18"/>
        </w:rPr>
        <w:t>)</w:t>
      </w:r>
    </w:p>
    <w:p w14:paraId="572C7B41" w14:textId="77777777" w:rsidR="00D81D38" w:rsidRDefault="008D3FD4" w:rsidP="002F0C65">
      <w:pPr>
        <w:tabs>
          <w:tab w:val="left" w:pos="7050"/>
        </w:tabs>
        <w:spacing w:after="0"/>
        <w:rPr>
          <w:rFonts w:asciiTheme="majorHAnsi" w:hAnsiTheme="majorHAnsi"/>
          <w:sz w:val="18"/>
          <w:szCs w:val="18"/>
        </w:rPr>
      </w:pPr>
      <w:r>
        <w:rPr>
          <w:rFonts w:asciiTheme="majorHAnsi" w:hAnsiTheme="majorHAnsi"/>
          <w:sz w:val="18"/>
          <w:szCs w:val="18"/>
        </w:rPr>
        <w:t xml:space="preserve">       </w:t>
      </w:r>
      <w:r w:rsidR="00D81D38">
        <w:rPr>
          <w:rFonts w:asciiTheme="majorHAnsi" w:hAnsiTheme="majorHAnsi"/>
          <w:sz w:val="18"/>
          <w:szCs w:val="18"/>
        </w:rPr>
        <w:t xml:space="preserve"> </w:t>
      </w:r>
      <w:r>
        <w:rPr>
          <w:rFonts w:asciiTheme="majorHAnsi" w:hAnsiTheme="majorHAnsi"/>
          <w:sz w:val="18"/>
          <w:szCs w:val="18"/>
        </w:rPr>
        <w:t xml:space="preserve"> </w:t>
      </w:r>
      <w:r w:rsidR="00B430E2" w:rsidRPr="003A3522">
        <w:rPr>
          <w:rFonts w:asciiTheme="majorHAnsi" w:hAnsiTheme="majorHAnsi"/>
          <w:sz w:val="18"/>
          <w:szCs w:val="18"/>
        </w:rPr>
        <w:t>Note</w:t>
      </w:r>
      <w:r w:rsidR="006201DE" w:rsidRPr="003A3522">
        <w:rPr>
          <w:rFonts w:asciiTheme="majorHAnsi" w:hAnsiTheme="majorHAnsi"/>
          <w:sz w:val="18"/>
          <w:szCs w:val="18"/>
        </w:rPr>
        <w:t>s</w:t>
      </w:r>
      <w:r w:rsidR="00B430E2" w:rsidRPr="003A3522">
        <w:rPr>
          <w:rFonts w:asciiTheme="majorHAnsi" w:hAnsiTheme="majorHAnsi"/>
          <w:sz w:val="18"/>
          <w:szCs w:val="18"/>
        </w:rPr>
        <w:t xml:space="preserve">: </w:t>
      </w:r>
      <w:r w:rsidR="006201DE" w:rsidRPr="003A3522">
        <w:rPr>
          <w:rFonts w:asciiTheme="majorHAnsi" w:hAnsiTheme="majorHAnsi"/>
          <w:sz w:val="18"/>
          <w:szCs w:val="18"/>
        </w:rPr>
        <w:t xml:space="preserve">1. </w:t>
      </w:r>
      <w:r w:rsidR="00B430E2" w:rsidRPr="003A3522">
        <w:rPr>
          <w:rFonts w:asciiTheme="majorHAnsi" w:hAnsiTheme="majorHAnsi"/>
          <w:sz w:val="18"/>
          <w:szCs w:val="18"/>
        </w:rPr>
        <w:t xml:space="preserve">* </w:t>
      </w:r>
      <w:r w:rsidR="00537623">
        <w:rPr>
          <w:rFonts w:asciiTheme="majorHAnsi" w:hAnsiTheme="majorHAnsi"/>
          <w:sz w:val="18"/>
          <w:szCs w:val="18"/>
        </w:rPr>
        <w:t>I</w:t>
      </w:r>
      <w:r w:rsidR="00B430E2" w:rsidRPr="003A3522">
        <w:rPr>
          <w:rFonts w:asciiTheme="majorHAnsi" w:hAnsiTheme="majorHAnsi"/>
          <w:sz w:val="18"/>
          <w:szCs w:val="18"/>
        </w:rPr>
        <w:t xml:space="preserve">nformation </w:t>
      </w:r>
      <w:r w:rsidR="00537623">
        <w:rPr>
          <w:rFonts w:asciiTheme="majorHAnsi" w:hAnsiTheme="majorHAnsi"/>
          <w:sz w:val="18"/>
          <w:szCs w:val="18"/>
        </w:rPr>
        <w:t xml:space="preserve">is based on number of employees as reported by </w:t>
      </w:r>
      <w:r w:rsidR="00B430E2" w:rsidRPr="003A3522">
        <w:rPr>
          <w:rFonts w:asciiTheme="majorHAnsi" w:hAnsiTheme="majorHAnsi"/>
          <w:sz w:val="18"/>
          <w:szCs w:val="18"/>
        </w:rPr>
        <w:t>taxpayers.</w:t>
      </w:r>
      <w:r w:rsidR="006201DE" w:rsidRPr="003A3522">
        <w:rPr>
          <w:rFonts w:asciiTheme="majorHAnsi" w:hAnsiTheme="majorHAnsi"/>
          <w:sz w:val="18"/>
          <w:szCs w:val="18"/>
        </w:rPr>
        <w:t xml:space="preserve"> </w:t>
      </w:r>
    </w:p>
    <w:p w14:paraId="60814241" w14:textId="77777777" w:rsidR="006201DE" w:rsidRPr="00E00515" w:rsidRDefault="00D81D38" w:rsidP="00B430E2">
      <w:pPr>
        <w:tabs>
          <w:tab w:val="left" w:pos="7050"/>
        </w:tabs>
        <w:spacing w:after="0"/>
        <w:rPr>
          <w:rFonts w:asciiTheme="majorHAnsi" w:hAnsiTheme="majorHAnsi"/>
          <w:sz w:val="20"/>
          <w:szCs w:val="20"/>
        </w:rPr>
      </w:pPr>
      <w:r>
        <w:rPr>
          <w:rFonts w:asciiTheme="majorHAnsi" w:hAnsiTheme="majorHAnsi"/>
          <w:sz w:val="18"/>
          <w:szCs w:val="18"/>
        </w:rPr>
        <w:t xml:space="preserve">                      </w:t>
      </w:r>
      <w:r w:rsidR="006201DE" w:rsidRPr="003A3522">
        <w:rPr>
          <w:rFonts w:asciiTheme="majorHAnsi" w:hAnsiTheme="majorHAnsi"/>
          <w:sz w:val="18"/>
          <w:szCs w:val="18"/>
        </w:rPr>
        <w:t xml:space="preserve">2. The data are preliminary and subject to </w:t>
      </w:r>
      <w:r w:rsidR="000F327A">
        <w:rPr>
          <w:rFonts w:asciiTheme="majorHAnsi" w:hAnsiTheme="majorHAnsi"/>
          <w:sz w:val="18"/>
          <w:szCs w:val="18"/>
        </w:rPr>
        <w:t>change</w:t>
      </w:r>
      <w:r w:rsidR="006201DE" w:rsidRPr="006201DE">
        <w:rPr>
          <w:rFonts w:asciiTheme="majorHAnsi" w:hAnsiTheme="majorHAnsi"/>
          <w:sz w:val="20"/>
          <w:szCs w:val="20"/>
        </w:rPr>
        <w:t>.</w:t>
      </w:r>
    </w:p>
    <w:p w14:paraId="59D7A90E" w14:textId="77777777" w:rsidR="00CB1305" w:rsidRDefault="00CB1305" w:rsidP="00291074">
      <w:pPr>
        <w:tabs>
          <w:tab w:val="left" w:pos="7050"/>
        </w:tabs>
        <w:spacing w:after="0"/>
        <w:rPr>
          <w:rFonts w:asciiTheme="majorHAnsi" w:hAnsiTheme="majorHAnsi"/>
          <w:b/>
          <w:sz w:val="24"/>
          <w:szCs w:val="24"/>
        </w:rPr>
      </w:pPr>
    </w:p>
    <w:p w14:paraId="417D5813" w14:textId="3781A7EA" w:rsidR="00F82702" w:rsidRDefault="00F82702" w:rsidP="00291074">
      <w:pPr>
        <w:tabs>
          <w:tab w:val="left" w:pos="7050"/>
        </w:tabs>
        <w:spacing w:after="0"/>
        <w:rPr>
          <w:rFonts w:asciiTheme="majorHAnsi" w:hAnsiTheme="majorHAnsi"/>
          <w:b/>
          <w:sz w:val="24"/>
          <w:szCs w:val="24"/>
        </w:rPr>
      </w:pPr>
    </w:p>
    <w:p w14:paraId="04137EB3" w14:textId="7AF03F76" w:rsidR="0013575D" w:rsidRDefault="0013575D" w:rsidP="00291074">
      <w:pPr>
        <w:tabs>
          <w:tab w:val="left" w:pos="7050"/>
        </w:tabs>
        <w:spacing w:after="0"/>
        <w:rPr>
          <w:rFonts w:asciiTheme="majorHAnsi" w:hAnsiTheme="majorHAnsi"/>
          <w:b/>
          <w:sz w:val="24"/>
          <w:szCs w:val="24"/>
        </w:rPr>
      </w:pPr>
    </w:p>
    <w:p w14:paraId="6DBF9909" w14:textId="77777777" w:rsidR="0013575D" w:rsidRDefault="0013575D" w:rsidP="00291074">
      <w:pPr>
        <w:tabs>
          <w:tab w:val="left" w:pos="7050"/>
        </w:tabs>
        <w:spacing w:after="0"/>
        <w:rPr>
          <w:rFonts w:asciiTheme="majorHAnsi" w:hAnsiTheme="majorHAnsi"/>
          <w:b/>
          <w:sz w:val="24"/>
          <w:szCs w:val="24"/>
        </w:rPr>
      </w:pPr>
    </w:p>
    <w:p w14:paraId="00A8B084" w14:textId="061A0F90" w:rsidR="00442642" w:rsidRDefault="00442642" w:rsidP="00F82702">
      <w:pPr>
        <w:spacing w:after="0"/>
        <w:jc w:val="center"/>
        <w:rPr>
          <w:rFonts w:asciiTheme="majorHAnsi" w:hAnsiTheme="majorHAnsi"/>
          <w:b/>
          <w:sz w:val="24"/>
          <w:szCs w:val="24"/>
        </w:rPr>
      </w:pPr>
      <w:r w:rsidRPr="00CA0391">
        <w:rPr>
          <w:rFonts w:asciiTheme="majorHAnsi" w:hAnsiTheme="majorHAnsi"/>
          <w:b/>
          <w:sz w:val="24"/>
          <w:szCs w:val="24"/>
        </w:rPr>
        <w:lastRenderedPageBreak/>
        <w:t xml:space="preserve">Table </w:t>
      </w:r>
      <w:r w:rsidR="00A766E1">
        <w:rPr>
          <w:rFonts w:asciiTheme="majorHAnsi" w:hAnsiTheme="majorHAnsi"/>
          <w:b/>
          <w:sz w:val="24"/>
          <w:szCs w:val="24"/>
        </w:rPr>
        <w:t>5</w:t>
      </w:r>
      <w:r w:rsidRPr="00CA0391">
        <w:rPr>
          <w:rFonts w:asciiTheme="majorHAnsi" w:hAnsiTheme="majorHAnsi"/>
          <w:b/>
          <w:sz w:val="24"/>
          <w:szCs w:val="24"/>
        </w:rPr>
        <w:t xml:space="preserve">. </w:t>
      </w:r>
      <w:r w:rsidR="00425AA4">
        <w:rPr>
          <w:rFonts w:asciiTheme="majorHAnsi" w:hAnsiTheme="majorHAnsi"/>
          <w:b/>
          <w:sz w:val="24"/>
          <w:szCs w:val="24"/>
        </w:rPr>
        <w:t xml:space="preserve">2017 </w:t>
      </w:r>
      <w:r w:rsidR="000F020C">
        <w:rPr>
          <w:rFonts w:asciiTheme="majorHAnsi" w:hAnsiTheme="majorHAnsi"/>
          <w:b/>
          <w:sz w:val="24"/>
          <w:szCs w:val="24"/>
        </w:rPr>
        <w:t>Harbor Maintenance Tax Credit</w:t>
      </w:r>
      <w:r w:rsidR="00FE0043">
        <w:rPr>
          <w:rFonts w:asciiTheme="majorHAnsi" w:hAnsiTheme="majorHAnsi"/>
          <w:b/>
          <w:sz w:val="24"/>
          <w:szCs w:val="24"/>
        </w:rPr>
        <w:t xml:space="preserve"> </w:t>
      </w:r>
      <w:r w:rsidR="00425AA4">
        <w:rPr>
          <w:rFonts w:asciiTheme="majorHAnsi" w:hAnsiTheme="majorHAnsi"/>
          <w:b/>
          <w:sz w:val="24"/>
          <w:szCs w:val="24"/>
        </w:rPr>
        <w:t>Claims</w:t>
      </w:r>
      <w:r w:rsidR="000F020C">
        <w:rPr>
          <w:rFonts w:asciiTheme="majorHAnsi" w:hAnsiTheme="majorHAnsi"/>
          <w:b/>
          <w:sz w:val="24"/>
          <w:szCs w:val="24"/>
        </w:rPr>
        <w:t xml:space="preserve"> by Industry</w:t>
      </w:r>
    </w:p>
    <w:tbl>
      <w:tblPr>
        <w:tblW w:w="8740" w:type="dxa"/>
        <w:jc w:val="center"/>
        <w:tblLayout w:type="fixed"/>
        <w:tblLook w:val="04A0" w:firstRow="1" w:lastRow="0" w:firstColumn="1" w:lastColumn="0" w:noHBand="0" w:noVBand="1"/>
      </w:tblPr>
      <w:tblGrid>
        <w:gridCol w:w="3035"/>
        <w:gridCol w:w="1280"/>
        <w:gridCol w:w="1170"/>
        <w:gridCol w:w="1080"/>
        <w:gridCol w:w="1233"/>
        <w:gridCol w:w="942"/>
      </w:tblGrid>
      <w:tr w:rsidR="00425AA4" w:rsidRPr="00F063C9" w14:paraId="4B4E8B87" w14:textId="77777777" w:rsidTr="00F02B4D">
        <w:trPr>
          <w:trHeight w:val="1200"/>
          <w:jc w:val="center"/>
        </w:trPr>
        <w:tc>
          <w:tcPr>
            <w:tcW w:w="303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628862BC" w14:textId="77777777" w:rsidR="00425AA4" w:rsidRPr="00F063C9" w:rsidRDefault="00425AA4" w:rsidP="00F063C9">
            <w:pPr>
              <w:spacing w:after="0" w:line="240" w:lineRule="auto"/>
              <w:jc w:val="center"/>
              <w:rPr>
                <w:rFonts w:ascii="Cambria" w:eastAsia="Times New Roman" w:hAnsi="Cambria" w:cs="Arial"/>
                <w:color w:val="000000"/>
                <w:sz w:val="19"/>
                <w:szCs w:val="19"/>
                <w:lang w:eastAsia="ko-KR"/>
              </w:rPr>
            </w:pPr>
            <w:r w:rsidRPr="00F063C9">
              <w:rPr>
                <w:rFonts w:ascii="Cambria" w:eastAsia="Times New Roman" w:hAnsi="Cambria" w:cs="Arial"/>
                <w:color w:val="000000"/>
                <w:sz w:val="19"/>
                <w:szCs w:val="19"/>
                <w:lang w:eastAsia="ko-KR"/>
              </w:rPr>
              <w:t>Industry</w:t>
            </w:r>
          </w:p>
        </w:tc>
        <w:tc>
          <w:tcPr>
            <w:tcW w:w="128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2540BBA3" w14:textId="77777777" w:rsidR="00425AA4" w:rsidRPr="00F063C9" w:rsidRDefault="00425AA4" w:rsidP="00F063C9">
            <w:pPr>
              <w:spacing w:after="0" w:line="240" w:lineRule="auto"/>
              <w:jc w:val="center"/>
              <w:rPr>
                <w:rFonts w:ascii="Cambria" w:eastAsia="Times New Roman" w:hAnsi="Cambria" w:cs="Arial"/>
                <w:color w:val="000000"/>
                <w:sz w:val="19"/>
                <w:szCs w:val="19"/>
                <w:lang w:eastAsia="ko-KR"/>
              </w:rPr>
            </w:pPr>
            <w:r w:rsidRPr="001E6CEC">
              <w:rPr>
                <w:rFonts w:ascii="Cambria" w:eastAsia="Times New Roman" w:hAnsi="Cambria" w:cs="Helvetica"/>
                <w:color w:val="000000"/>
                <w:sz w:val="18"/>
                <w:szCs w:val="18"/>
                <w:lang w:eastAsia="ko-KR"/>
              </w:rPr>
              <w:t xml:space="preserve">Tax </w:t>
            </w:r>
            <w:r>
              <w:rPr>
                <w:rFonts w:ascii="Cambria" w:eastAsia="Times New Roman" w:hAnsi="Cambria" w:cs="Helvetica"/>
                <w:color w:val="000000"/>
                <w:sz w:val="18"/>
                <w:szCs w:val="18"/>
                <w:lang w:eastAsia="ko-KR"/>
              </w:rPr>
              <w:t>Liability after Credit</w:t>
            </w:r>
            <w:r w:rsidRPr="001E6CEC">
              <w:rPr>
                <w:rFonts w:ascii="Cambria" w:eastAsia="Times New Roman" w:hAnsi="Cambria" w:cs="Helvetica"/>
                <w:color w:val="000000"/>
                <w:sz w:val="18"/>
                <w:szCs w:val="18"/>
                <w:lang w:eastAsia="ko-KR"/>
              </w:rPr>
              <w:t xml:space="preserve"> ($000)</w:t>
            </w:r>
          </w:p>
        </w:tc>
        <w:tc>
          <w:tcPr>
            <w:tcW w:w="117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3F6B2C63" w14:textId="77777777" w:rsidR="00425AA4" w:rsidRPr="00F063C9" w:rsidRDefault="00425AA4" w:rsidP="00F063C9">
            <w:pPr>
              <w:spacing w:after="0" w:line="240" w:lineRule="auto"/>
              <w:jc w:val="center"/>
              <w:rPr>
                <w:rFonts w:ascii="Cambria" w:eastAsia="Times New Roman" w:hAnsi="Cambria" w:cs="Arial"/>
                <w:color w:val="000000"/>
                <w:sz w:val="19"/>
                <w:szCs w:val="19"/>
                <w:lang w:eastAsia="ko-KR"/>
              </w:rPr>
            </w:pPr>
            <w:r w:rsidRPr="00F063C9">
              <w:rPr>
                <w:rFonts w:ascii="Cambria" w:eastAsia="Times New Roman" w:hAnsi="Cambria" w:cs="Arial"/>
                <w:color w:val="000000"/>
                <w:sz w:val="19"/>
                <w:szCs w:val="19"/>
                <w:lang w:eastAsia="ko-KR"/>
              </w:rPr>
              <w:t xml:space="preserve">Claimed </w:t>
            </w:r>
            <w:r>
              <w:rPr>
                <w:rFonts w:ascii="Cambria" w:eastAsia="Times New Roman" w:hAnsi="Cambria" w:cs="Arial"/>
                <w:color w:val="000000"/>
                <w:sz w:val="19"/>
                <w:szCs w:val="19"/>
                <w:lang w:eastAsia="ko-KR"/>
              </w:rPr>
              <w:t xml:space="preserve">or Shared </w:t>
            </w:r>
            <w:r w:rsidRPr="00F063C9">
              <w:rPr>
                <w:rFonts w:ascii="Cambria" w:eastAsia="Times New Roman" w:hAnsi="Cambria" w:cs="Arial"/>
                <w:color w:val="000000"/>
                <w:sz w:val="19"/>
                <w:szCs w:val="19"/>
                <w:lang w:eastAsia="ko-KR"/>
              </w:rPr>
              <w:t>Credit</w:t>
            </w:r>
            <w:r>
              <w:rPr>
                <w:rFonts w:ascii="Cambria" w:eastAsia="Times New Roman" w:hAnsi="Cambria" w:cs="Arial"/>
                <w:color w:val="000000"/>
                <w:sz w:val="19"/>
                <w:szCs w:val="19"/>
                <w:lang w:eastAsia="ko-KR"/>
              </w:rPr>
              <w:t xml:space="preserve"> </w:t>
            </w:r>
            <w:r w:rsidRPr="00F063C9">
              <w:rPr>
                <w:rFonts w:ascii="Cambria" w:eastAsia="Times New Roman" w:hAnsi="Cambria" w:cs="Arial"/>
                <w:color w:val="000000"/>
                <w:sz w:val="19"/>
                <w:szCs w:val="19"/>
                <w:lang w:eastAsia="ko-KR"/>
              </w:rPr>
              <w:t xml:space="preserve">($000) </w:t>
            </w:r>
          </w:p>
        </w:tc>
        <w:tc>
          <w:tcPr>
            <w:tcW w:w="108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0D92B972" w14:textId="77777777" w:rsidR="00425AA4" w:rsidRPr="00F063C9" w:rsidRDefault="00425AA4" w:rsidP="00F063C9">
            <w:pPr>
              <w:spacing w:after="0" w:line="240" w:lineRule="auto"/>
              <w:jc w:val="center"/>
              <w:rPr>
                <w:rFonts w:ascii="Cambria" w:eastAsia="Times New Roman" w:hAnsi="Cambria" w:cs="Arial"/>
                <w:color w:val="000000"/>
                <w:sz w:val="19"/>
                <w:szCs w:val="19"/>
                <w:lang w:eastAsia="ko-KR"/>
              </w:rPr>
            </w:pPr>
            <w:r w:rsidRPr="00F063C9">
              <w:rPr>
                <w:rFonts w:ascii="Cambria" w:eastAsia="Times New Roman" w:hAnsi="Cambria" w:cs="Arial"/>
                <w:color w:val="000000"/>
                <w:sz w:val="19"/>
                <w:szCs w:val="19"/>
                <w:lang w:eastAsia="ko-KR"/>
              </w:rPr>
              <w:t xml:space="preserve">Number of </w:t>
            </w:r>
            <w:r>
              <w:rPr>
                <w:rFonts w:ascii="Cambria" w:eastAsia="Times New Roman" w:hAnsi="Cambria" w:cs="Arial"/>
                <w:color w:val="000000"/>
                <w:sz w:val="19"/>
                <w:szCs w:val="19"/>
                <w:lang w:eastAsia="ko-KR"/>
              </w:rPr>
              <w:t>Claimants</w:t>
            </w:r>
          </w:p>
        </w:tc>
        <w:tc>
          <w:tcPr>
            <w:tcW w:w="1233"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50E0F7F8" w14:textId="77777777" w:rsidR="00425AA4" w:rsidRPr="00F063C9" w:rsidRDefault="00425AA4" w:rsidP="00F063C9">
            <w:pPr>
              <w:spacing w:after="0" w:line="240" w:lineRule="auto"/>
              <w:jc w:val="center"/>
              <w:rPr>
                <w:rFonts w:ascii="Cambria" w:eastAsia="Times New Roman" w:hAnsi="Cambria" w:cs="Arial"/>
                <w:color w:val="000000"/>
                <w:sz w:val="19"/>
                <w:szCs w:val="19"/>
                <w:lang w:eastAsia="ko-KR"/>
              </w:rPr>
            </w:pPr>
            <w:r w:rsidRPr="001E6CEC">
              <w:rPr>
                <w:rFonts w:ascii="Cambria" w:eastAsia="Times New Roman" w:hAnsi="Cambria" w:cs="Helvetica"/>
                <w:color w:val="000000"/>
                <w:sz w:val="18"/>
                <w:szCs w:val="18"/>
                <w:lang w:eastAsia="ko-KR"/>
              </w:rPr>
              <w:t xml:space="preserve">Percent </w:t>
            </w:r>
            <w:r>
              <w:rPr>
                <w:rFonts w:ascii="Cambria" w:eastAsia="Times New Roman" w:hAnsi="Cambria" w:cs="Helvetica"/>
                <w:color w:val="000000"/>
                <w:sz w:val="18"/>
                <w:szCs w:val="18"/>
                <w:lang w:eastAsia="ko-KR"/>
              </w:rPr>
              <w:t>of Total Number of Claimants</w:t>
            </w:r>
          </w:p>
        </w:tc>
        <w:tc>
          <w:tcPr>
            <w:tcW w:w="942"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6195CFB7" w14:textId="77777777" w:rsidR="00425AA4" w:rsidRPr="00F063C9" w:rsidRDefault="00425AA4" w:rsidP="00F063C9">
            <w:pPr>
              <w:spacing w:after="0" w:line="240" w:lineRule="auto"/>
              <w:jc w:val="center"/>
              <w:rPr>
                <w:rFonts w:ascii="Cambria" w:eastAsia="Times New Roman" w:hAnsi="Cambria" w:cs="Arial"/>
                <w:color w:val="000000"/>
                <w:sz w:val="19"/>
                <w:szCs w:val="19"/>
                <w:lang w:eastAsia="ko-KR"/>
              </w:rPr>
            </w:pPr>
            <w:r w:rsidRPr="00F063C9">
              <w:rPr>
                <w:rFonts w:ascii="Cambria" w:eastAsia="Times New Roman" w:hAnsi="Cambria" w:cs="Arial"/>
                <w:color w:val="000000"/>
                <w:sz w:val="19"/>
                <w:szCs w:val="19"/>
                <w:lang w:eastAsia="ko-KR"/>
              </w:rPr>
              <w:t xml:space="preserve">Tax Saving Per </w:t>
            </w:r>
            <w:r>
              <w:rPr>
                <w:rFonts w:ascii="Cambria" w:eastAsia="Times New Roman" w:hAnsi="Cambria" w:cs="Arial"/>
                <w:color w:val="000000"/>
                <w:sz w:val="19"/>
                <w:szCs w:val="19"/>
                <w:lang w:eastAsia="ko-KR"/>
              </w:rPr>
              <w:t>Claimant</w:t>
            </w:r>
            <w:r w:rsidRPr="00F063C9">
              <w:rPr>
                <w:rFonts w:ascii="Cambria" w:eastAsia="Times New Roman" w:hAnsi="Cambria" w:cs="Arial"/>
                <w:color w:val="000000"/>
                <w:sz w:val="19"/>
                <w:szCs w:val="19"/>
                <w:lang w:eastAsia="ko-KR"/>
              </w:rPr>
              <w:t xml:space="preserve"> ($)</w:t>
            </w:r>
          </w:p>
        </w:tc>
      </w:tr>
      <w:tr w:rsidR="00425AA4" w:rsidRPr="00F063C9" w14:paraId="49B47351" w14:textId="77777777" w:rsidTr="00F02B4D">
        <w:trPr>
          <w:trHeight w:val="480"/>
          <w:jc w:val="center"/>
        </w:trPr>
        <w:tc>
          <w:tcPr>
            <w:tcW w:w="3035" w:type="dxa"/>
            <w:tcBorders>
              <w:top w:val="nil"/>
              <w:left w:val="single" w:sz="4" w:space="0" w:color="auto"/>
              <w:bottom w:val="single" w:sz="4" w:space="0" w:color="auto"/>
              <w:right w:val="single" w:sz="4" w:space="0" w:color="auto"/>
            </w:tcBorders>
            <w:shd w:val="clear" w:color="auto" w:fill="auto"/>
            <w:hideMark/>
          </w:tcPr>
          <w:p w14:paraId="1F4B9109" w14:textId="77777777" w:rsidR="00425AA4" w:rsidRPr="00F063C9" w:rsidRDefault="00425AA4" w:rsidP="00F02B4D">
            <w:pPr>
              <w:spacing w:after="0" w:line="240" w:lineRule="auto"/>
              <w:rPr>
                <w:rFonts w:ascii="Cambria" w:eastAsia="Times New Roman" w:hAnsi="Cambria" w:cs="Arial"/>
                <w:color w:val="000000"/>
                <w:sz w:val="19"/>
                <w:szCs w:val="19"/>
                <w:lang w:eastAsia="ko-KR"/>
              </w:rPr>
            </w:pPr>
            <w:r w:rsidRPr="00F063C9">
              <w:rPr>
                <w:rFonts w:ascii="Cambria" w:eastAsia="Times New Roman" w:hAnsi="Cambria" w:cs="Arial"/>
                <w:color w:val="000000"/>
                <w:sz w:val="19"/>
                <w:szCs w:val="19"/>
                <w:lang w:eastAsia="ko-KR"/>
              </w:rPr>
              <w:t>31-33 Manufacturing</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7DBB0" w14:textId="77777777" w:rsidR="00425AA4" w:rsidRPr="00F063C9" w:rsidRDefault="00425AA4" w:rsidP="001B0158">
            <w:pPr>
              <w:spacing w:after="0" w:line="240" w:lineRule="auto"/>
              <w:jc w:val="center"/>
              <w:rPr>
                <w:rFonts w:ascii="Cambria" w:eastAsia="Times New Roman" w:hAnsi="Cambria" w:cs="Arial"/>
                <w:color w:val="000000"/>
                <w:sz w:val="19"/>
                <w:szCs w:val="19"/>
                <w:lang w:eastAsia="ko-KR"/>
              </w:rPr>
            </w:pPr>
            <w:r>
              <w:rPr>
                <w:rFonts w:ascii="Cambria" w:hAnsi="Cambria" w:cs="Arial"/>
                <w:sz w:val="20"/>
                <w:szCs w:val="20"/>
              </w:rPr>
              <w:t>$487</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583CB7A" w14:textId="77777777" w:rsidR="00425AA4" w:rsidRPr="00F063C9" w:rsidRDefault="00425AA4" w:rsidP="001B0158">
            <w:pPr>
              <w:spacing w:after="0" w:line="240" w:lineRule="auto"/>
              <w:jc w:val="center"/>
              <w:rPr>
                <w:rFonts w:ascii="Cambria" w:eastAsia="Times New Roman" w:hAnsi="Cambria" w:cs="Arial"/>
                <w:color w:val="000000"/>
                <w:sz w:val="19"/>
                <w:szCs w:val="19"/>
                <w:lang w:eastAsia="ko-KR"/>
              </w:rPr>
            </w:pPr>
            <w:r>
              <w:rPr>
                <w:rFonts w:ascii="Cambria" w:hAnsi="Cambria" w:cs="Arial"/>
                <w:sz w:val="20"/>
                <w:szCs w:val="20"/>
              </w:rPr>
              <w:t>$179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C21C74E" w14:textId="77777777" w:rsidR="00425AA4" w:rsidRPr="00F063C9" w:rsidRDefault="00425AA4" w:rsidP="001B0158">
            <w:pPr>
              <w:spacing w:after="0" w:line="240" w:lineRule="auto"/>
              <w:jc w:val="center"/>
              <w:rPr>
                <w:rFonts w:ascii="Cambria" w:eastAsia="Times New Roman" w:hAnsi="Cambria" w:cs="Arial"/>
                <w:color w:val="000000"/>
                <w:sz w:val="19"/>
                <w:szCs w:val="19"/>
                <w:lang w:eastAsia="ko-KR"/>
              </w:rPr>
            </w:pPr>
            <w:r>
              <w:rPr>
                <w:rFonts w:ascii="Cambria" w:hAnsi="Cambria" w:cs="Arial"/>
                <w:color w:val="000000"/>
                <w:sz w:val="19"/>
                <w:szCs w:val="19"/>
              </w:rPr>
              <w:t xml:space="preserve">           19 </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14:paraId="36E8002F" w14:textId="77777777" w:rsidR="00425AA4" w:rsidRPr="00F063C9" w:rsidRDefault="00425AA4" w:rsidP="001B0158">
            <w:pPr>
              <w:spacing w:after="0" w:line="240" w:lineRule="auto"/>
              <w:jc w:val="center"/>
              <w:rPr>
                <w:rFonts w:ascii="Cambria" w:eastAsia="Times New Roman" w:hAnsi="Cambria" w:cs="Arial"/>
                <w:color w:val="000000"/>
                <w:sz w:val="19"/>
                <w:szCs w:val="19"/>
                <w:lang w:eastAsia="ko-KR"/>
              </w:rPr>
            </w:pPr>
            <w:r>
              <w:rPr>
                <w:rFonts w:ascii="Cambria" w:hAnsi="Cambria" w:cs="Arial"/>
                <w:color w:val="000000"/>
                <w:sz w:val="19"/>
                <w:szCs w:val="19"/>
              </w:rPr>
              <w:t>23.2%</w:t>
            </w:r>
          </w:p>
        </w:tc>
        <w:tc>
          <w:tcPr>
            <w:tcW w:w="942" w:type="dxa"/>
            <w:tcBorders>
              <w:top w:val="single" w:sz="4" w:space="0" w:color="auto"/>
              <w:left w:val="nil"/>
              <w:bottom w:val="single" w:sz="4" w:space="0" w:color="auto"/>
              <w:right w:val="single" w:sz="4" w:space="0" w:color="auto"/>
            </w:tcBorders>
            <w:shd w:val="clear" w:color="auto" w:fill="auto"/>
            <w:vAlign w:val="center"/>
            <w:hideMark/>
          </w:tcPr>
          <w:p w14:paraId="7D5BE6DC" w14:textId="77777777" w:rsidR="00425AA4" w:rsidRPr="00F063C9" w:rsidRDefault="00425AA4" w:rsidP="001B0158">
            <w:pPr>
              <w:spacing w:after="0" w:line="240" w:lineRule="auto"/>
              <w:jc w:val="center"/>
              <w:rPr>
                <w:rFonts w:ascii="Cambria" w:eastAsia="Times New Roman" w:hAnsi="Cambria" w:cs="Arial"/>
                <w:color w:val="000000"/>
                <w:sz w:val="19"/>
                <w:szCs w:val="19"/>
                <w:lang w:eastAsia="ko-KR"/>
              </w:rPr>
            </w:pPr>
            <w:r>
              <w:rPr>
                <w:rFonts w:ascii="Cambria" w:hAnsi="Cambria" w:cs="Arial"/>
                <w:sz w:val="20"/>
                <w:szCs w:val="20"/>
              </w:rPr>
              <w:t>$9,412</w:t>
            </w:r>
          </w:p>
        </w:tc>
      </w:tr>
      <w:tr w:rsidR="00425AA4" w:rsidRPr="00F063C9" w14:paraId="32C4827C" w14:textId="77777777" w:rsidTr="00F02B4D">
        <w:trPr>
          <w:trHeight w:val="480"/>
          <w:jc w:val="center"/>
        </w:trPr>
        <w:tc>
          <w:tcPr>
            <w:tcW w:w="3035" w:type="dxa"/>
            <w:tcBorders>
              <w:top w:val="nil"/>
              <w:left w:val="single" w:sz="4" w:space="0" w:color="auto"/>
              <w:bottom w:val="single" w:sz="4" w:space="0" w:color="auto"/>
              <w:right w:val="single" w:sz="4" w:space="0" w:color="auto"/>
            </w:tcBorders>
            <w:shd w:val="clear" w:color="auto" w:fill="auto"/>
            <w:hideMark/>
          </w:tcPr>
          <w:p w14:paraId="2AB8CBC2" w14:textId="77777777" w:rsidR="00425AA4" w:rsidRPr="00F063C9" w:rsidRDefault="00425AA4" w:rsidP="00F02B4D">
            <w:pPr>
              <w:spacing w:after="0" w:line="240" w:lineRule="auto"/>
              <w:rPr>
                <w:rFonts w:ascii="Cambria" w:eastAsia="Times New Roman" w:hAnsi="Cambria" w:cs="Arial"/>
                <w:color w:val="000000"/>
                <w:sz w:val="19"/>
                <w:szCs w:val="19"/>
                <w:lang w:eastAsia="ko-KR"/>
              </w:rPr>
            </w:pPr>
            <w:r w:rsidRPr="00F063C9">
              <w:rPr>
                <w:rFonts w:ascii="Cambria" w:eastAsia="Times New Roman" w:hAnsi="Cambria" w:cs="Arial"/>
                <w:color w:val="000000"/>
                <w:sz w:val="19"/>
                <w:szCs w:val="19"/>
                <w:lang w:eastAsia="ko-KR"/>
              </w:rPr>
              <w:t>42 Wholesale Trade</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14:paraId="0E6DA972" w14:textId="77777777" w:rsidR="00425AA4" w:rsidRPr="00F063C9" w:rsidRDefault="00425AA4" w:rsidP="001B0158">
            <w:pPr>
              <w:spacing w:after="0" w:line="240" w:lineRule="auto"/>
              <w:jc w:val="center"/>
              <w:rPr>
                <w:rFonts w:ascii="Cambria" w:eastAsia="Times New Roman" w:hAnsi="Cambria" w:cs="Arial"/>
                <w:color w:val="000000"/>
                <w:sz w:val="19"/>
                <w:szCs w:val="19"/>
                <w:lang w:eastAsia="ko-KR"/>
              </w:rPr>
            </w:pPr>
            <w:r>
              <w:rPr>
                <w:rFonts w:ascii="Cambria" w:hAnsi="Cambria" w:cs="Arial"/>
                <w:sz w:val="20"/>
                <w:szCs w:val="20"/>
              </w:rPr>
              <w:t>$2,893</w:t>
            </w:r>
          </w:p>
        </w:tc>
        <w:tc>
          <w:tcPr>
            <w:tcW w:w="1170" w:type="dxa"/>
            <w:tcBorders>
              <w:top w:val="nil"/>
              <w:left w:val="nil"/>
              <w:bottom w:val="single" w:sz="4" w:space="0" w:color="auto"/>
              <w:right w:val="single" w:sz="4" w:space="0" w:color="auto"/>
            </w:tcBorders>
            <w:shd w:val="clear" w:color="auto" w:fill="auto"/>
            <w:vAlign w:val="center"/>
            <w:hideMark/>
          </w:tcPr>
          <w:p w14:paraId="200A3755" w14:textId="77777777" w:rsidR="00425AA4" w:rsidRPr="00F063C9" w:rsidRDefault="00425AA4" w:rsidP="001B0158">
            <w:pPr>
              <w:spacing w:after="0" w:line="240" w:lineRule="auto"/>
              <w:jc w:val="center"/>
              <w:rPr>
                <w:rFonts w:ascii="Cambria" w:eastAsia="Times New Roman" w:hAnsi="Cambria" w:cs="Arial"/>
                <w:color w:val="000000"/>
                <w:sz w:val="19"/>
                <w:szCs w:val="19"/>
                <w:lang w:eastAsia="ko-KR"/>
              </w:rPr>
            </w:pPr>
            <w:r>
              <w:rPr>
                <w:rFonts w:ascii="Cambria" w:hAnsi="Cambria" w:cs="Arial"/>
                <w:sz w:val="20"/>
                <w:szCs w:val="20"/>
              </w:rPr>
              <w:t>$528</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2F98534" w14:textId="77777777" w:rsidR="00425AA4" w:rsidRPr="00F063C9" w:rsidRDefault="00425AA4" w:rsidP="001B0158">
            <w:pPr>
              <w:spacing w:after="0" w:line="240" w:lineRule="auto"/>
              <w:jc w:val="center"/>
              <w:rPr>
                <w:rFonts w:ascii="Cambria" w:eastAsia="Times New Roman" w:hAnsi="Cambria" w:cs="Arial"/>
                <w:color w:val="000000"/>
                <w:sz w:val="19"/>
                <w:szCs w:val="19"/>
                <w:lang w:eastAsia="ko-KR"/>
              </w:rPr>
            </w:pPr>
            <w:r>
              <w:rPr>
                <w:rFonts w:ascii="Cambria" w:hAnsi="Cambria" w:cs="Arial"/>
                <w:color w:val="000000"/>
                <w:sz w:val="19"/>
                <w:szCs w:val="19"/>
              </w:rPr>
              <w:t xml:space="preserve">           49 </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14:paraId="7978071C" w14:textId="77777777" w:rsidR="00425AA4" w:rsidRPr="00F063C9" w:rsidRDefault="00425AA4" w:rsidP="001B0158">
            <w:pPr>
              <w:spacing w:after="0" w:line="240" w:lineRule="auto"/>
              <w:jc w:val="center"/>
              <w:rPr>
                <w:rFonts w:ascii="Cambria" w:eastAsia="Times New Roman" w:hAnsi="Cambria" w:cs="Arial"/>
                <w:color w:val="000000"/>
                <w:sz w:val="19"/>
                <w:szCs w:val="19"/>
                <w:lang w:eastAsia="ko-KR"/>
              </w:rPr>
            </w:pPr>
            <w:r>
              <w:rPr>
                <w:rFonts w:ascii="Cambria" w:hAnsi="Cambria" w:cs="Arial"/>
                <w:color w:val="000000"/>
                <w:sz w:val="19"/>
                <w:szCs w:val="19"/>
              </w:rPr>
              <w:t>59.8%</w:t>
            </w:r>
          </w:p>
        </w:tc>
        <w:tc>
          <w:tcPr>
            <w:tcW w:w="942" w:type="dxa"/>
            <w:tcBorders>
              <w:top w:val="single" w:sz="4" w:space="0" w:color="auto"/>
              <w:left w:val="nil"/>
              <w:bottom w:val="single" w:sz="4" w:space="0" w:color="auto"/>
              <w:right w:val="single" w:sz="4" w:space="0" w:color="auto"/>
            </w:tcBorders>
            <w:shd w:val="clear" w:color="auto" w:fill="auto"/>
            <w:vAlign w:val="center"/>
            <w:hideMark/>
          </w:tcPr>
          <w:p w14:paraId="0CB5BA9B" w14:textId="77777777" w:rsidR="00425AA4" w:rsidRPr="00F063C9" w:rsidRDefault="00425AA4" w:rsidP="001B0158">
            <w:pPr>
              <w:spacing w:after="0" w:line="240" w:lineRule="auto"/>
              <w:jc w:val="center"/>
              <w:rPr>
                <w:rFonts w:ascii="Cambria" w:eastAsia="Times New Roman" w:hAnsi="Cambria" w:cs="Arial"/>
                <w:color w:val="000000"/>
                <w:sz w:val="19"/>
                <w:szCs w:val="19"/>
                <w:lang w:eastAsia="ko-KR"/>
              </w:rPr>
            </w:pPr>
            <w:r>
              <w:rPr>
                <w:rFonts w:ascii="Cambria" w:hAnsi="Cambria" w:cs="Arial"/>
                <w:sz w:val="20"/>
                <w:szCs w:val="20"/>
              </w:rPr>
              <w:t>$10,769</w:t>
            </w:r>
          </w:p>
        </w:tc>
      </w:tr>
      <w:tr w:rsidR="00425AA4" w:rsidRPr="00F063C9" w14:paraId="4B320120" w14:textId="77777777" w:rsidTr="00F02B4D">
        <w:trPr>
          <w:trHeight w:val="480"/>
          <w:jc w:val="center"/>
        </w:trPr>
        <w:tc>
          <w:tcPr>
            <w:tcW w:w="3035" w:type="dxa"/>
            <w:tcBorders>
              <w:top w:val="nil"/>
              <w:left w:val="single" w:sz="4" w:space="0" w:color="auto"/>
              <w:bottom w:val="single" w:sz="4" w:space="0" w:color="auto"/>
              <w:right w:val="single" w:sz="4" w:space="0" w:color="auto"/>
            </w:tcBorders>
            <w:shd w:val="clear" w:color="auto" w:fill="auto"/>
            <w:hideMark/>
          </w:tcPr>
          <w:p w14:paraId="37CE8F09" w14:textId="77777777" w:rsidR="00425AA4" w:rsidRPr="00F063C9" w:rsidRDefault="00425AA4" w:rsidP="00F02B4D">
            <w:pPr>
              <w:spacing w:after="0" w:line="240" w:lineRule="auto"/>
              <w:rPr>
                <w:rFonts w:ascii="Cambria" w:eastAsia="Times New Roman" w:hAnsi="Cambria" w:cs="Arial"/>
                <w:color w:val="000000"/>
                <w:sz w:val="19"/>
                <w:szCs w:val="19"/>
                <w:lang w:eastAsia="ko-KR"/>
              </w:rPr>
            </w:pPr>
            <w:r w:rsidRPr="00F063C9">
              <w:rPr>
                <w:rFonts w:ascii="Cambria" w:eastAsia="Times New Roman" w:hAnsi="Cambria" w:cs="Arial"/>
                <w:color w:val="000000"/>
                <w:sz w:val="19"/>
                <w:szCs w:val="19"/>
                <w:lang w:eastAsia="ko-KR"/>
              </w:rPr>
              <w:t>44-45 Retail Trade</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14:paraId="0A522AC2" w14:textId="77777777" w:rsidR="00425AA4" w:rsidRPr="00F063C9" w:rsidRDefault="00425AA4" w:rsidP="001B0158">
            <w:pPr>
              <w:spacing w:after="0" w:line="240" w:lineRule="auto"/>
              <w:jc w:val="center"/>
              <w:rPr>
                <w:rFonts w:ascii="Cambria" w:eastAsia="Times New Roman" w:hAnsi="Cambria" w:cs="Arial"/>
                <w:color w:val="000000"/>
                <w:sz w:val="19"/>
                <w:szCs w:val="19"/>
                <w:lang w:eastAsia="ko-KR"/>
              </w:rPr>
            </w:pPr>
            <w:r>
              <w:rPr>
                <w:rFonts w:ascii="Cambria" w:hAnsi="Cambria" w:cs="Arial"/>
                <w:sz w:val="20"/>
                <w:szCs w:val="20"/>
              </w:rPr>
              <w:t>$982</w:t>
            </w:r>
          </w:p>
        </w:tc>
        <w:tc>
          <w:tcPr>
            <w:tcW w:w="1170" w:type="dxa"/>
            <w:tcBorders>
              <w:top w:val="nil"/>
              <w:left w:val="nil"/>
              <w:bottom w:val="single" w:sz="4" w:space="0" w:color="auto"/>
              <w:right w:val="single" w:sz="4" w:space="0" w:color="auto"/>
            </w:tcBorders>
            <w:shd w:val="clear" w:color="auto" w:fill="auto"/>
            <w:vAlign w:val="center"/>
            <w:hideMark/>
          </w:tcPr>
          <w:p w14:paraId="0D3F09D4" w14:textId="77777777" w:rsidR="00425AA4" w:rsidRPr="00F063C9" w:rsidRDefault="00425AA4" w:rsidP="001B0158">
            <w:pPr>
              <w:spacing w:after="0" w:line="240" w:lineRule="auto"/>
              <w:jc w:val="center"/>
              <w:rPr>
                <w:rFonts w:ascii="Cambria" w:eastAsia="Times New Roman" w:hAnsi="Cambria" w:cs="Arial"/>
                <w:color w:val="000000"/>
                <w:sz w:val="19"/>
                <w:szCs w:val="19"/>
                <w:lang w:eastAsia="ko-KR"/>
              </w:rPr>
            </w:pPr>
            <w:r>
              <w:rPr>
                <w:rFonts w:ascii="Cambria" w:hAnsi="Cambria" w:cs="Arial"/>
                <w:sz w:val="20"/>
                <w:szCs w:val="20"/>
              </w:rPr>
              <w:t>$202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668CA14" w14:textId="77777777" w:rsidR="00425AA4" w:rsidRPr="00F063C9" w:rsidRDefault="00425AA4" w:rsidP="001B0158">
            <w:pPr>
              <w:spacing w:after="0" w:line="240" w:lineRule="auto"/>
              <w:jc w:val="center"/>
              <w:rPr>
                <w:rFonts w:ascii="Cambria" w:eastAsia="Times New Roman" w:hAnsi="Cambria" w:cs="Arial"/>
                <w:color w:val="000000"/>
                <w:sz w:val="19"/>
                <w:szCs w:val="19"/>
                <w:lang w:eastAsia="ko-KR"/>
              </w:rPr>
            </w:pPr>
            <w:r>
              <w:rPr>
                <w:rFonts w:ascii="Cambria" w:hAnsi="Cambria" w:cs="Arial"/>
                <w:color w:val="000000"/>
                <w:sz w:val="19"/>
                <w:szCs w:val="19"/>
              </w:rPr>
              <w:t xml:space="preserve">              7 </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14:paraId="3D1D46B8" w14:textId="77777777" w:rsidR="00425AA4" w:rsidRPr="00F063C9" w:rsidRDefault="00425AA4" w:rsidP="001B0158">
            <w:pPr>
              <w:spacing w:after="0" w:line="240" w:lineRule="auto"/>
              <w:jc w:val="center"/>
              <w:rPr>
                <w:rFonts w:ascii="Cambria" w:eastAsia="Times New Roman" w:hAnsi="Cambria" w:cs="Arial"/>
                <w:color w:val="000000"/>
                <w:sz w:val="19"/>
                <w:szCs w:val="19"/>
                <w:lang w:eastAsia="ko-KR"/>
              </w:rPr>
            </w:pPr>
            <w:r>
              <w:rPr>
                <w:rFonts w:ascii="Cambria" w:hAnsi="Cambria" w:cs="Arial"/>
                <w:color w:val="000000"/>
                <w:sz w:val="19"/>
                <w:szCs w:val="19"/>
              </w:rPr>
              <w:t>8.5%</w:t>
            </w:r>
          </w:p>
        </w:tc>
        <w:tc>
          <w:tcPr>
            <w:tcW w:w="942" w:type="dxa"/>
            <w:tcBorders>
              <w:top w:val="single" w:sz="4" w:space="0" w:color="auto"/>
              <w:left w:val="nil"/>
              <w:bottom w:val="single" w:sz="4" w:space="0" w:color="auto"/>
              <w:right w:val="single" w:sz="4" w:space="0" w:color="auto"/>
            </w:tcBorders>
            <w:shd w:val="clear" w:color="auto" w:fill="auto"/>
            <w:vAlign w:val="center"/>
            <w:hideMark/>
          </w:tcPr>
          <w:p w14:paraId="272ED870" w14:textId="77777777" w:rsidR="00425AA4" w:rsidRPr="00F063C9" w:rsidRDefault="00425AA4" w:rsidP="001B0158">
            <w:pPr>
              <w:spacing w:after="0" w:line="240" w:lineRule="auto"/>
              <w:jc w:val="center"/>
              <w:rPr>
                <w:rFonts w:ascii="Cambria" w:eastAsia="Times New Roman" w:hAnsi="Cambria" w:cs="Arial"/>
                <w:color w:val="000000"/>
                <w:sz w:val="19"/>
                <w:szCs w:val="19"/>
                <w:lang w:eastAsia="ko-KR"/>
              </w:rPr>
            </w:pPr>
            <w:r>
              <w:rPr>
                <w:rFonts w:ascii="Cambria" w:hAnsi="Cambria" w:cs="Arial"/>
                <w:sz w:val="20"/>
                <w:szCs w:val="20"/>
              </w:rPr>
              <w:t>$28,927</w:t>
            </w:r>
          </w:p>
        </w:tc>
      </w:tr>
      <w:tr w:rsidR="00425AA4" w:rsidRPr="00F063C9" w14:paraId="77FA068C" w14:textId="77777777" w:rsidTr="00F02B4D">
        <w:trPr>
          <w:trHeight w:val="520"/>
          <w:jc w:val="center"/>
        </w:trPr>
        <w:tc>
          <w:tcPr>
            <w:tcW w:w="3035" w:type="dxa"/>
            <w:tcBorders>
              <w:top w:val="nil"/>
              <w:left w:val="single" w:sz="4" w:space="0" w:color="auto"/>
              <w:bottom w:val="single" w:sz="4" w:space="0" w:color="auto"/>
              <w:right w:val="single" w:sz="4" w:space="0" w:color="auto"/>
            </w:tcBorders>
            <w:shd w:val="clear" w:color="auto" w:fill="auto"/>
            <w:hideMark/>
          </w:tcPr>
          <w:p w14:paraId="58620A8E" w14:textId="77777777" w:rsidR="00425AA4" w:rsidRPr="00F063C9" w:rsidRDefault="00425AA4" w:rsidP="00F02B4D">
            <w:pPr>
              <w:spacing w:after="0" w:line="240" w:lineRule="auto"/>
              <w:rPr>
                <w:rFonts w:ascii="Cambria" w:eastAsia="Times New Roman" w:hAnsi="Cambria" w:cs="Arial"/>
                <w:color w:val="000000"/>
                <w:sz w:val="19"/>
                <w:szCs w:val="19"/>
                <w:lang w:eastAsia="ko-KR"/>
              </w:rPr>
            </w:pPr>
            <w:r w:rsidRPr="00F063C9">
              <w:rPr>
                <w:rFonts w:ascii="Cambria" w:eastAsia="Times New Roman" w:hAnsi="Cambria" w:cs="Arial"/>
                <w:color w:val="000000"/>
                <w:sz w:val="19"/>
                <w:szCs w:val="19"/>
                <w:lang w:eastAsia="ko-KR"/>
              </w:rPr>
              <w:t>Unmatched</w:t>
            </w:r>
            <w:r>
              <w:rPr>
                <w:rFonts w:ascii="Cambria" w:eastAsia="Times New Roman" w:hAnsi="Cambria" w:cs="Arial"/>
                <w:color w:val="000000"/>
                <w:sz w:val="19"/>
                <w:szCs w:val="19"/>
                <w:lang w:eastAsia="ko-KR"/>
              </w:rPr>
              <w:t>*</w:t>
            </w:r>
            <w:r w:rsidRPr="00F063C9">
              <w:rPr>
                <w:rFonts w:ascii="Cambria" w:eastAsia="Times New Roman" w:hAnsi="Cambria" w:cs="Arial"/>
                <w:color w:val="000000"/>
                <w:sz w:val="19"/>
                <w:szCs w:val="19"/>
                <w:lang w:eastAsia="ko-KR"/>
              </w:rPr>
              <w:t xml:space="preserve"> or others</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14:paraId="443BD2EF" w14:textId="77777777" w:rsidR="00425AA4" w:rsidRPr="00F063C9" w:rsidRDefault="00BE6426" w:rsidP="001B0158">
            <w:pPr>
              <w:spacing w:after="0" w:line="240" w:lineRule="auto"/>
              <w:jc w:val="center"/>
              <w:rPr>
                <w:rFonts w:ascii="Cambria" w:eastAsia="Times New Roman" w:hAnsi="Cambria" w:cs="Arial"/>
                <w:color w:val="000000"/>
                <w:sz w:val="19"/>
                <w:szCs w:val="19"/>
                <w:lang w:eastAsia="ko-KR"/>
              </w:rPr>
            </w:pPr>
            <w:r>
              <w:rPr>
                <w:rFonts w:ascii="Cambria" w:hAnsi="Cambria" w:cs="Arial"/>
                <w:sz w:val="20"/>
                <w:szCs w:val="20"/>
              </w:rPr>
              <w:t>$3,247</w:t>
            </w:r>
          </w:p>
        </w:tc>
        <w:tc>
          <w:tcPr>
            <w:tcW w:w="1170" w:type="dxa"/>
            <w:tcBorders>
              <w:top w:val="nil"/>
              <w:left w:val="nil"/>
              <w:bottom w:val="single" w:sz="4" w:space="0" w:color="auto"/>
              <w:right w:val="single" w:sz="4" w:space="0" w:color="auto"/>
            </w:tcBorders>
            <w:shd w:val="clear" w:color="auto" w:fill="auto"/>
            <w:vAlign w:val="center"/>
            <w:hideMark/>
          </w:tcPr>
          <w:p w14:paraId="46180380" w14:textId="77777777" w:rsidR="00425AA4" w:rsidRPr="00F063C9" w:rsidRDefault="00425AA4" w:rsidP="001B0158">
            <w:pPr>
              <w:spacing w:after="0" w:line="240" w:lineRule="auto"/>
              <w:jc w:val="center"/>
              <w:rPr>
                <w:rFonts w:ascii="Cambria" w:eastAsia="Times New Roman" w:hAnsi="Cambria" w:cs="Arial"/>
                <w:color w:val="000000"/>
                <w:sz w:val="19"/>
                <w:szCs w:val="19"/>
                <w:lang w:eastAsia="ko-KR"/>
              </w:rPr>
            </w:pPr>
            <w:r>
              <w:rPr>
                <w:rFonts w:ascii="Cambria" w:hAnsi="Cambria" w:cs="Arial"/>
                <w:sz w:val="20"/>
                <w:szCs w:val="20"/>
              </w:rPr>
              <w:t>$</w:t>
            </w:r>
            <w:r w:rsidR="00BE6426">
              <w:rPr>
                <w:rFonts w:ascii="Cambria" w:hAnsi="Cambria" w:cs="Arial"/>
                <w:sz w:val="20"/>
                <w:szCs w:val="20"/>
              </w:rPr>
              <w:t>270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24B15D3" w14:textId="77777777" w:rsidR="00425AA4" w:rsidRPr="00F063C9" w:rsidRDefault="00425AA4" w:rsidP="001B0158">
            <w:pPr>
              <w:spacing w:after="0" w:line="240" w:lineRule="auto"/>
              <w:jc w:val="center"/>
              <w:rPr>
                <w:rFonts w:ascii="Cambria" w:eastAsia="Times New Roman" w:hAnsi="Cambria" w:cs="Arial"/>
                <w:color w:val="000000"/>
                <w:sz w:val="19"/>
                <w:szCs w:val="19"/>
                <w:lang w:eastAsia="ko-KR"/>
              </w:rPr>
            </w:pPr>
            <w:r>
              <w:rPr>
                <w:rFonts w:ascii="Cambria" w:hAnsi="Cambria" w:cs="Arial"/>
                <w:color w:val="000000"/>
                <w:sz w:val="19"/>
                <w:szCs w:val="19"/>
              </w:rPr>
              <w:t xml:space="preserve">              </w:t>
            </w:r>
            <w:r w:rsidR="00BE6426">
              <w:rPr>
                <w:rFonts w:ascii="Cambria" w:hAnsi="Cambria" w:cs="Arial"/>
                <w:color w:val="000000"/>
                <w:sz w:val="19"/>
                <w:szCs w:val="19"/>
              </w:rPr>
              <w:t>7</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14:paraId="35910EB4" w14:textId="77777777" w:rsidR="00425AA4" w:rsidRPr="00F063C9" w:rsidRDefault="00BE6426" w:rsidP="001B0158">
            <w:pPr>
              <w:spacing w:after="0" w:line="240" w:lineRule="auto"/>
              <w:jc w:val="center"/>
              <w:rPr>
                <w:rFonts w:ascii="Cambria" w:eastAsia="Times New Roman" w:hAnsi="Cambria" w:cs="Arial"/>
                <w:color w:val="000000"/>
                <w:sz w:val="19"/>
                <w:szCs w:val="19"/>
                <w:lang w:eastAsia="ko-KR"/>
              </w:rPr>
            </w:pPr>
            <w:r>
              <w:rPr>
                <w:rFonts w:ascii="Cambria" w:hAnsi="Cambria" w:cs="Arial"/>
                <w:color w:val="000000"/>
                <w:sz w:val="19"/>
                <w:szCs w:val="19"/>
              </w:rPr>
              <w:t>8.5</w:t>
            </w:r>
            <w:r w:rsidR="00425AA4">
              <w:rPr>
                <w:rFonts w:ascii="Cambria" w:hAnsi="Cambria" w:cs="Arial"/>
                <w:color w:val="000000"/>
                <w:sz w:val="19"/>
                <w:szCs w:val="19"/>
              </w:rPr>
              <w:t>%</w:t>
            </w:r>
          </w:p>
        </w:tc>
        <w:tc>
          <w:tcPr>
            <w:tcW w:w="942" w:type="dxa"/>
            <w:tcBorders>
              <w:top w:val="single" w:sz="4" w:space="0" w:color="auto"/>
              <w:left w:val="nil"/>
              <w:bottom w:val="single" w:sz="4" w:space="0" w:color="auto"/>
              <w:right w:val="single" w:sz="4" w:space="0" w:color="auto"/>
            </w:tcBorders>
            <w:shd w:val="clear" w:color="auto" w:fill="auto"/>
            <w:vAlign w:val="center"/>
            <w:hideMark/>
          </w:tcPr>
          <w:p w14:paraId="18EDDB12" w14:textId="77777777" w:rsidR="00425AA4" w:rsidRPr="00F063C9" w:rsidRDefault="00425AA4" w:rsidP="001B0158">
            <w:pPr>
              <w:spacing w:after="0" w:line="240" w:lineRule="auto"/>
              <w:jc w:val="center"/>
              <w:rPr>
                <w:rFonts w:ascii="Cambria" w:eastAsia="Times New Roman" w:hAnsi="Cambria" w:cs="Arial"/>
                <w:color w:val="000000"/>
                <w:sz w:val="19"/>
                <w:szCs w:val="19"/>
                <w:lang w:eastAsia="ko-KR"/>
              </w:rPr>
            </w:pPr>
            <w:r>
              <w:rPr>
                <w:rFonts w:ascii="Cambria" w:hAnsi="Cambria" w:cs="Arial"/>
                <w:sz w:val="20"/>
                <w:szCs w:val="20"/>
              </w:rPr>
              <w:t>$</w:t>
            </w:r>
            <w:r w:rsidR="00BE6426">
              <w:rPr>
                <w:rFonts w:ascii="Cambria" w:hAnsi="Cambria" w:cs="Arial"/>
                <w:sz w:val="20"/>
                <w:szCs w:val="20"/>
              </w:rPr>
              <w:t>38</w:t>
            </w:r>
            <w:r>
              <w:rPr>
                <w:rFonts w:ascii="Cambria" w:hAnsi="Cambria" w:cs="Arial"/>
                <w:sz w:val="20"/>
                <w:szCs w:val="20"/>
              </w:rPr>
              <w:t>,</w:t>
            </w:r>
            <w:r w:rsidR="00BE6426">
              <w:rPr>
                <w:rFonts w:ascii="Cambria" w:hAnsi="Cambria" w:cs="Arial"/>
                <w:sz w:val="20"/>
                <w:szCs w:val="20"/>
              </w:rPr>
              <w:t>633</w:t>
            </w:r>
          </w:p>
        </w:tc>
      </w:tr>
      <w:tr w:rsidR="00425AA4" w:rsidRPr="00F063C9" w14:paraId="166192BE" w14:textId="77777777" w:rsidTr="00F02B4D">
        <w:trPr>
          <w:trHeight w:val="240"/>
          <w:jc w:val="center"/>
        </w:trPr>
        <w:tc>
          <w:tcPr>
            <w:tcW w:w="3035" w:type="dxa"/>
            <w:tcBorders>
              <w:top w:val="nil"/>
              <w:left w:val="single" w:sz="4" w:space="0" w:color="auto"/>
              <w:bottom w:val="single" w:sz="4" w:space="0" w:color="auto"/>
              <w:right w:val="single" w:sz="4" w:space="0" w:color="auto"/>
            </w:tcBorders>
            <w:shd w:val="clear" w:color="auto" w:fill="auto"/>
            <w:hideMark/>
          </w:tcPr>
          <w:p w14:paraId="4DDA0DDD" w14:textId="77777777" w:rsidR="00425AA4" w:rsidRPr="00F063C9" w:rsidRDefault="00425AA4" w:rsidP="00F02B4D">
            <w:pPr>
              <w:spacing w:after="0" w:line="240" w:lineRule="auto"/>
              <w:rPr>
                <w:rFonts w:ascii="Cambria" w:eastAsia="Times New Roman" w:hAnsi="Cambria" w:cs="Arial"/>
                <w:color w:val="000000"/>
                <w:sz w:val="19"/>
                <w:szCs w:val="19"/>
                <w:lang w:eastAsia="ko-KR"/>
              </w:rPr>
            </w:pPr>
            <w:r w:rsidRPr="00F063C9">
              <w:rPr>
                <w:rFonts w:ascii="Cambria" w:eastAsia="Times New Roman" w:hAnsi="Cambria" w:cs="Arial"/>
                <w:color w:val="000000"/>
                <w:sz w:val="19"/>
                <w:szCs w:val="19"/>
                <w:lang w:eastAsia="ko-KR"/>
              </w:rPr>
              <w:t>Total</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14:paraId="4152AB6E" w14:textId="77777777" w:rsidR="00425AA4" w:rsidRPr="00F063C9" w:rsidRDefault="00425AA4" w:rsidP="001B0158">
            <w:pPr>
              <w:spacing w:after="0" w:line="240" w:lineRule="auto"/>
              <w:jc w:val="center"/>
              <w:rPr>
                <w:rFonts w:ascii="Cambria" w:eastAsia="Times New Roman" w:hAnsi="Cambria" w:cs="Arial"/>
                <w:color w:val="000000"/>
                <w:sz w:val="19"/>
                <w:szCs w:val="19"/>
                <w:lang w:eastAsia="ko-KR"/>
              </w:rPr>
            </w:pPr>
            <w:r>
              <w:rPr>
                <w:rFonts w:ascii="Cambria" w:hAnsi="Cambria" w:cs="Arial"/>
                <w:sz w:val="20"/>
                <w:szCs w:val="20"/>
              </w:rPr>
              <w:t>$7,609</w:t>
            </w:r>
          </w:p>
        </w:tc>
        <w:tc>
          <w:tcPr>
            <w:tcW w:w="1170" w:type="dxa"/>
            <w:tcBorders>
              <w:top w:val="nil"/>
              <w:left w:val="nil"/>
              <w:bottom w:val="single" w:sz="4" w:space="0" w:color="auto"/>
              <w:right w:val="single" w:sz="4" w:space="0" w:color="auto"/>
            </w:tcBorders>
            <w:shd w:val="clear" w:color="auto" w:fill="auto"/>
            <w:vAlign w:val="center"/>
            <w:hideMark/>
          </w:tcPr>
          <w:p w14:paraId="1B877421" w14:textId="77777777" w:rsidR="00425AA4" w:rsidRPr="00F063C9" w:rsidRDefault="00425AA4" w:rsidP="001B0158">
            <w:pPr>
              <w:spacing w:after="0" w:line="240" w:lineRule="auto"/>
              <w:jc w:val="center"/>
              <w:rPr>
                <w:rFonts w:ascii="Cambria" w:eastAsia="Times New Roman" w:hAnsi="Cambria" w:cs="Arial"/>
                <w:color w:val="000000"/>
                <w:sz w:val="19"/>
                <w:szCs w:val="19"/>
                <w:lang w:eastAsia="ko-KR"/>
              </w:rPr>
            </w:pPr>
            <w:r>
              <w:rPr>
                <w:rFonts w:ascii="Cambria" w:hAnsi="Cambria" w:cs="Arial"/>
                <w:sz w:val="20"/>
                <w:szCs w:val="20"/>
              </w:rPr>
              <w:t>$1,179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67ECF4F" w14:textId="77777777" w:rsidR="00425AA4" w:rsidRPr="00F063C9" w:rsidRDefault="00425AA4" w:rsidP="001B0158">
            <w:pPr>
              <w:spacing w:after="0" w:line="240" w:lineRule="auto"/>
              <w:jc w:val="center"/>
              <w:rPr>
                <w:rFonts w:ascii="Cambria" w:eastAsia="Times New Roman" w:hAnsi="Cambria" w:cs="Arial"/>
                <w:color w:val="000000"/>
                <w:sz w:val="19"/>
                <w:szCs w:val="19"/>
                <w:lang w:eastAsia="ko-KR"/>
              </w:rPr>
            </w:pPr>
            <w:r>
              <w:rPr>
                <w:rFonts w:ascii="Cambria" w:hAnsi="Cambria" w:cs="Arial"/>
                <w:color w:val="000000"/>
                <w:sz w:val="19"/>
                <w:szCs w:val="19"/>
              </w:rPr>
              <w:t xml:space="preserve">           82 </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14:paraId="39E3E1D1" w14:textId="77777777" w:rsidR="00425AA4" w:rsidRPr="00F063C9" w:rsidRDefault="00425AA4" w:rsidP="001B0158">
            <w:pPr>
              <w:spacing w:after="0" w:line="240" w:lineRule="auto"/>
              <w:jc w:val="center"/>
              <w:rPr>
                <w:rFonts w:ascii="Cambria" w:eastAsia="Times New Roman" w:hAnsi="Cambria" w:cs="Arial"/>
                <w:color w:val="000000"/>
                <w:sz w:val="19"/>
                <w:szCs w:val="19"/>
                <w:lang w:eastAsia="ko-KR"/>
              </w:rPr>
            </w:pPr>
            <w:r>
              <w:rPr>
                <w:rFonts w:ascii="Cambria" w:hAnsi="Cambria" w:cs="Arial"/>
                <w:color w:val="000000"/>
                <w:sz w:val="19"/>
                <w:szCs w:val="19"/>
              </w:rPr>
              <w:t>100.0%</w:t>
            </w:r>
          </w:p>
        </w:tc>
        <w:tc>
          <w:tcPr>
            <w:tcW w:w="942" w:type="dxa"/>
            <w:tcBorders>
              <w:top w:val="single" w:sz="4" w:space="0" w:color="auto"/>
              <w:left w:val="nil"/>
              <w:bottom w:val="single" w:sz="4" w:space="0" w:color="auto"/>
              <w:right w:val="single" w:sz="4" w:space="0" w:color="auto"/>
            </w:tcBorders>
            <w:shd w:val="clear" w:color="auto" w:fill="auto"/>
            <w:vAlign w:val="center"/>
            <w:hideMark/>
          </w:tcPr>
          <w:p w14:paraId="765AD9C7" w14:textId="77777777" w:rsidR="00425AA4" w:rsidRPr="00F063C9" w:rsidRDefault="00425AA4" w:rsidP="001B0158">
            <w:pPr>
              <w:spacing w:after="0" w:line="240" w:lineRule="auto"/>
              <w:jc w:val="center"/>
              <w:rPr>
                <w:rFonts w:ascii="Cambria" w:eastAsia="Times New Roman" w:hAnsi="Cambria" w:cs="Arial"/>
                <w:color w:val="000000"/>
                <w:sz w:val="19"/>
                <w:szCs w:val="19"/>
                <w:lang w:eastAsia="ko-KR"/>
              </w:rPr>
            </w:pPr>
            <w:r>
              <w:rPr>
                <w:rFonts w:ascii="Cambria" w:hAnsi="Cambria" w:cs="Arial"/>
                <w:sz w:val="20"/>
                <w:szCs w:val="20"/>
              </w:rPr>
              <w:t>$14,384</w:t>
            </w:r>
          </w:p>
        </w:tc>
      </w:tr>
    </w:tbl>
    <w:p w14:paraId="384748C8" w14:textId="77777777" w:rsidR="00F378E5" w:rsidRPr="003A3522" w:rsidRDefault="00F82702" w:rsidP="00291074">
      <w:pPr>
        <w:tabs>
          <w:tab w:val="left" w:pos="7050"/>
        </w:tabs>
        <w:spacing w:after="0"/>
        <w:rPr>
          <w:rFonts w:asciiTheme="majorHAnsi" w:hAnsiTheme="majorHAnsi"/>
          <w:b/>
          <w:sz w:val="18"/>
          <w:szCs w:val="18"/>
        </w:rPr>
      </w:pPr>
      <w:r>
        <w:rPr>
          <w:rFonts w:asciiTheme="majorHAnsi" w:eastAsiaTheme="majorEastAsia" w:hAnsiTheme="majorHAnsi" w:cstheme="majorBidi"/>
          <w:bCs/>
          <w:color w:val="000000" w:themeColor="text1"/>
          <w:sz w:val="18"/>
          <w:szCs w:val="18"/>
        </w:rPr>
        <w:t xml:space="preserve">       </w:t>
      </w:r>
      <w:r w:rsidR="000408A3" w:rsidRPr="003A3522">
        <w:rPr>
          <w:rFonts w:asciiTheme="majorHAnsi" w:eastAsiaTheme="majorEastAsia" w:hAnsiTheme="majorHAnsi" w:cstheme="majorBidi"/>
          <w:bCs/>
          <w:color w:val="000000" w:themeColor="text1"/>
          <w:sz w:val="18"/>
          <w:szCs w:val="18"/>
        </w:rPr>
        <w:t>Source: Department of Revenue</w:t>
      </w:r>
      <w:r w:rsidR="000B664B" w:rsidRPr="003A3522">
        <w:rPr>
          <w:rFonts w:asciiTheme="majorHAnsi" w:eastAsiaTheme="majorEastAsia" w:hAnsiTheme="majorHAnsi" w:cstheme="majorBidi"/>
          <w:bCs/>
          <w:color w:val="000000" w:themeColor="text1"/>
          <w:sz w:val="18"/>
          <w:szCs w:val="18"/>
        </w:rPr>
        <w:t xml:space="preserve"> </w:t>
      </w:r>
      <w:r w:rsidR="000408A3" w:rsidRPr="003A3522">
        <w:rPr>
          <w:rFonts w:asciiTheme="majorHAnsi" w:eastAsiaTheme="majorEastAsia" w:hAnsiTheme="majorHAnsi" w:cstheme="majorBidi"/>
          <w:bCs/>
          <w:color w:val="000000" w:themeColor="text1"/>
          <w:sz w:val="18"/>
          <w:szCs w:val="18"/>
        </w:rPr>
        <w:t>(2017</w:t>
      </w:r>
      <w:r w:rsidR="00D268BF" w:rsidRPr="003A3522">
        <w:rPr>
          <w:rFonts w:asciiTheme="majorHAnsi" w:eastAsiaTheme="majorEastAsia" w:hAnsiTheme="majorHAnsi" w:cstheme="majorBidi"/>
          <w:bCs/>
          <w:color w:val="000000" w:themeColor="text1"/>
          <w:sz w:val="18"/>
          <w:szCs w:val="18"/>
        </w:rPr>
        <w:t xml:space="preserve"> </w:t>
      </w:r>
      <w:r w:rsidR="00BE0925">
        <w:rPr>
          <w:rFonts w:asciiTheme="majorHAnsi" w:eastAsiaTheme="majorEastAsia" w:hAnsiTheme="majorHAnsi" w:cstheme="majorBidi"/>
          <w:bCs/>
          <w:color w:val="000000" w:themeColor="text1"/>
          <w:sz w:val="18"/>
          <w:szCs w:val="18"/>
        </w:rPr>
        <w:t xml:space="preserve">corporate excise </w:t>
      </w:r>
      <w:r w:rsidR="00D268BF" w:rsidRPr="003A3522">
        <w:rPr>
          <w:rFonts w:asciiTheme="majorHAnsi" w:eastAsiaTheme="majorEastAsia" w:hAnsiTheme="majorHAnsi" w:cstheme="majorBidi"/>
          <w:bCs/>
          <w:color w:val="000000" w:themeColor="text1"/>
          <w:sz w:val="18"/>
          <w:szCs w:val="18"/>
        </w:rPr>
        <w:t>return</w:t>
      </w:r>
      <w:r w:rsidR="005F35BD">
        <w:rPr>
          <w:rFonts w:asciiTheme="majorHAnsi" w:eastAsiaTheme="majorEastAsia" w:hAnsiTheme="majorHAnsi" w:cstheme="majorBidi"/>
          <w:bCs/>
          <w:color w:val="000000" w:themeColor="text1"/>
          <w:sz w:val="18"/>
          <w:szCs w:val="18"/>
        </w:rPr>
        <w:t>s</w:t>
      </w:r>
      <w:r w:rsidR="000408A3" w:rsidRPr="003A3522">
        <w:rPr>
          <w:rFonts w:asciiTheme="majorHAnsi" w:eastAsiaTheme="majorEastAsia" w:hAnsiTheme="majorHAnsi" w:cstheme="majorBidi"/>
          <w:bCs/>
          <w:color w:val="000000" w:themeColor="text1"/>
          <w:sz w:val="18"/>
          <w:szCs w:val="18"/>
        </w:rPr>
        <w:t>)</w:t>
      </w:r>
    </w:p>
    <w:p w14:paraId="21BFFE9E" w14:textId="77777777" w:rsidR="00992A3E" w:rsidRPr="003A3522" w:rsidRDefault="00F82702" w:rsidP="00992A3E">
      <w:pPr>
        <w:tabs>
          <w:tab w:val="left" w:pos="7050"/>
        </w:tabs>
        <w:spacing w:after="0"/>
        <w:rPr>
          <w:rFonts w:asciiTheme="majorHAnsi" w:eastAsiaTheme="majorEastAsia" w:hAnsiTheme="majorHAnsi" w:cstheme="majorBidi"/>
          <w:bCs/>
          <w:color w:val="000000" w:themeColor="text1"/>
          <w:sz w:val="18"/>
          <w:szCs w:val="18"/>
        </w:rPr>
      </w:pPr>
      <w:r>
        <w:rPr>
          <w:rFonts w:asciiTheme="majorHAnsi" w:eastAsiaTheme="majorEastAsia" w:hAnsiTheme="majorHAnsi" w:cstheme="majorBidi"/>
          <w:bCs/>
          <w:color w:val="000000" w:themeColor="text1"/>
          <w:sz w:val="18"/>
          <w:szCs w:val="18"/>
        </w:rPr>
        <w:t xml:space="preserve">       </w:t>
      </w:r>
      <w:r w:rsidR="00992A3E" w:rsidRPr="003A3522">
        <w:rPr>
          <w:rFonts w:asciiTheme="majorHAnsi" w:eastAsiaTheme="majorEastAsia" w:hAnsiTheme="majorHAnsi" w:cstheme="majorBidi"/>
          <w:bCs/>
          <w:color w:val="000000" w:themeColor="text1"/>
          <w:sz w:val="18"/>
          <w:szCs w:val="18"/>
        </w:rPr>
        <w:t>Note</w:t>
      </w:r>
      <w:r w:rsidR="006201DE" w:rsidRPr="003A3522">
        <w:rPr>
          <w:rFonts w:asciiTheme="majorHAnsi" w:eastAsiaTheme="majorEastAsia" w:hAnsiTheme="majorHAnsi" w:cstheme="majorBidi"/>
          <w:bCs/>
          <w:color w:val="000000" w:themeColor="text1"/>
          <w:sz w:val="18"/>
          <w:szCs w:val="18"/>
        </w:rPr>
        <w:t>s</w:t>
      </w:r>
      <w:r w:rsidR="00992A3E" w:rsidRPr="003A3522">
        <w:rPr>
          <w:rFonts w:asciiTheme="majorHAnsi" w:eastAsiaTheme="majorEastAsia" w:hAnsiTheme="majorHAnsi" w:cstheme="majorBidi"/>
          <w:bCs/>
          <w:color w:val="000000" w:themeColor="text1"/>
          <w:sz w:val="18"/>
          <w:szCs w:val="18"/>
        </w:rPr>
        <w:t xml:space="preserve">: </w:t>
      </w:r>
      <w:r w:rsidR="006201DE" w:rsidRPr="003A3522">
        <w:rPr>
          <w:rFonts w:asciiTheme="majorHAnsi" w:eastAsiaTheme="majorEastAsia" w:hAnsiTheme="majorHAnsi" w:cstheme="majorBidi"/>
          <w:bCs/>
          <w:color w:val="000000" w:themeColor="text1"/>
          <w:sz w:val="18"/>
          <w:szCs w:val="18"/>
        </w:rPr>
        <w:t xml:space="preserve">1. </w:t>
      </w:r>
      <w:r w:rsidR="00992A3E" w:rsidRPr="003A3522">
        <w:rPr>
          <w:rFonts w:asciiTheme="majorHAnsi" w:eastAsiaTheme="majorEastAsia" w:hAnsiTheme="majorHAnsi" w:cstheme="majorBidi"/>
          <w:bCs/>
          <w:color w:val="000000" w:themeColor="text1"/>
          <w:sz w:val="18"/>
          <w:szCs w:val="18"/>
        </w:rPr>
        <w:t xml:space="preserve">*Unmatched means that we could not find some taxpayers in one or more of data sets to match. </w:t>
      </w:r>
    </w:p>
    <w:p w14:paraId="5D97C4B2" w14:textId="77777777" w:rsidR="006201DE" w:rsidRPr="003A3522" w:rsidRDefault="006201DE" w:rsidP="00992A3E">
      <w:pPr>
        <w:tabs>
          <w:tab w:val="left" w:pos="7050"/>
        </w:tabs>
        <w:spacing w:after="0"/>
        <w:rPr>
          <w:rFonts w:asciiTheme="majorHAnsi" w:eastAsiaTheme="majorEastAsia" w:hAnsiTheme="majorHAnsi" w:cstheme="majorBidi"/>
          <w:bCs/>
          <w:color w:val="000000" w:themeColor="text1"/>
          <w:sz w:val="18"/>
          <w:szCs w:val="18"/>
        </w:rPr>
      </w:pPr>
      <w:r w:rsidRPr="003A3522">
        <w:rPr>
          <w:rFonts w:asciiTheme="majorHAnsi" w:eastAsiaTheme="majorEastAsia" w:hAnsiTheme="majorHAnsi" w:cstheme="majorBidi"/>
          <w:bCs/>
          <w:color w:val="000000" w:themeColor="text1"/>
          <w:sz w:val="18"/>
          <w:szCs w:val="18"/>
        </w:rPr>
        <w:t xml:space="preserve">         </w:t>
      </w:r>
      <w:r w:rsidR="00F82702">
        <w:rPr>
          <w:rFonts w:asciiTheme="majorHAnsi" w:eastAsiaTheme="majorEastAsia" w:hAnsiTheme="majorHAnsi" w:cstheme="majorBidi"/>
          <w:bCs/>
          <w:color w:val="000000" w:themeColor="text1"/>
          <w:sz w:val="18"/>
          <w:szCs w:val="18"/>
        </w:rPr>
        <w:t xml:space="preserve">      </w:t>
      </w:r>
      <w:r w:rsidRPr="003A3522">
        <w:rPr>
          <w:rFonts w:asciiTheme="majorHAnsi" w:eastAsiaTheme="majorEastAsia" w:hAnsiTheme="majorHAnsi" w:cstheme="majorBidi"/>
          <w:bCs/>
          <w:color w:val="000000" w:themeColor="text1"/>
          <w:sz w:val="18"/>
          <w:szCs w:val="18"/>
        </w:rPr>
        <w:t xml:space="preserve">     2. The data are preliminary and subject to </w:t>
      </w:r>
      <w:r w:rsidR="00425AA4">
        <w:rPr>
          <w:rFonts w:asciiTheme="majorHAnsi" w:eastAsiaTheme="majorEastAsia" w:hAnsiTheme="majorHAnsi" w:cstheme="majorBidi"/>
          <w:bCs/>
          <w:color w:val="000000" w:themeColor="text1"/>
          <w:sz w:val="18"/>
          <w:szCs w:val="18"/>
        </w:rPr>
        <w:t>change</w:t>
      </w:r>
      <w:r w:rsidRPr="003A3522">
        <w:rPr>
          <w:rFonts w:asciiTheme="majorHAnsi" w:eastAsiaTheme="majorEastAsia" w:hAnsiTheme="majorHAnsi" w:cstheme="majorBidi"/>
          <w:bCs/>
          <w:color w:val="000000" w:themeColor="text1"/>
          <w:sz w:val="18"/>
          <w:szCs w:val="18"/>
        </w:rPr>
        <w:t>.</w:t>
      </w:r>
    </w:p>
    <w:p w14:paraId="1AB2933C" w14:textId="77777777" w:rsidR="00714E66" w:rsidRDefault="00714E66" w:rsidP="00291074">
      <w:pPr>
        <w:tabs>
          <w:tab w:val="left" w:pos="7050"/>
        </w:tabs>
        <w:spacing w:after="0"/>
        <w:rPr>
          <w:rFonts w:asciiTheme="majorHAnsi" w:hAnsiTheme="majorHAnsi"/>
          <w:b/>
          <w:sz w:val="24"/>
          <w:szCs w:val="24"/>
        </w:rPr>
      </w:pPr>
    </w:p>
    <w:p w14:paraId="4FC72EAD" w14:textId="77777777" w:rsidR="00316595" w:rsidRPr="00003FFA" w:rsidRDefault="00316595" w:rsidP="00291074">
      <w:pPr>
        <w:tabs>
          <w:tab w:val="left" w:pos="7050"/>
        </w:tabs>
        <w:spacing w:after="0"/>
        <w:rPr>
          <w:rFonts w:asciiTheme="majorHAnsi" w:hAnsiTheme="majorHAnsi"/>
          <w:b/>
          <w:sz w:val="24"/>
          <w:szCs w:val="24"/>
        </w:rPr>
      </w:pPr>
    </w:p>
    <w:p w14:paraId="2756806F" w14:textId="77777777" w:rsidR="00291074" w:rsidRDefault="00291074" w:rsidP="00291074">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t>EVALUATION:  COMPARING COSTS AND BENEFITS</w:t>
      </w:r>
    </w:p>
    <w:p w14:paraId="3C89F725" w14:textId="6D762A32" w:rsidR="00BD34A6" w:rsidRDefault="00BD34A6" w:rsidP="00C57DD8">
      <w:pPr>
        <w:tabs>
          <w:tab w:val="left" w:pos="7050"/>
        </w:tabs>
        <w:spacing w:after="0"/>
        <w:rPr>
          <w:rFonts w:asciiTheme="majorHAnsi" w:hAnsiTheme="majorHAnsi"/>
          <w:bCs/>
          <w:sz w:val="24"/>
          <w:szCs w:val="24"/>
        </w:rPr>
      </w:pPr>
      <w:r>
        <w:rPr>
          <w:rFonts w:asciiTheme="majorHAnsi" w:hAnsiTheme="majorHAnsi"/>
          <w:bCs/>
          <w:sz w:val="24"/>
          <w:szCs w:val="24"/>
        </w:rPr>
        <w:t>In the previous sections, we report</w:t>
      </w:r>
      <w:r w:rsidR="00BE0925">
        <w:rPr>
          <w:rFonts w:asciiTheme="majorHAnsi" w:hAnsiTheme="majorHAnsi"/>
          <w:bCs/>
          <w:sz w:val="24"/>
          <w:szCs w:val="24"/>
        </w:rPr>
        <w:t>ed</w:t>
      </w:r>
      <w:r>
        <w:rPr>
          <w:rFonts w:asciiTheme="majorHAnsi" w:hAnsiTheme="majorHAnsi"/>
          <w:bCs/>
          <w:sz w:val="24"/>
          <w:szCs w:val="24"/>
        </w:rPr>
        <w:t xml:space="preserve"> the direct costs (to the Commonwealth</w:t>
      </w:r>
      <w:r w:rsidR="004607E2">
        <w:rPr>
          <w:rFonts w:asciiTheme="majorHAnsi" w:hAnsiTheme="majorHAnsi"/>
          <w:bCs/>
          <w:sz w:val="24"/>
          <w:szCs w:val="24"/>
        </w:rPr>
        <w:t xml:space="preserve">, or more specifically, to the Massachusetts residents or businesses who benefit from state </w:t>
      </w:r>
      <w:r w:rsidR="006D59B4">
        <w:rPr>
          <w:rFonts w:asciiTheme="majorHAnsi" w:hAnsiTheme="majorHAnsi"/>
          <w:bCs/>
          <w:sz w:val="24"/>
          <w:szCs w:val="24"/>
        </w:rPr>
        <w:t>expenditures</w:t>
      </w:r>
      <w:r w:rsidR="006E7EFA">
        <w:rPr>
          <w:rStyle w:val="FootnoteReference"/>
          <w:rFonts w:asciiTheme="majorHAnsi" w:hAnsiTheme="majorHAnsi"/>
          <w:bCs/>
          <w:sz w:val="24"/>
          <w:szCs w:val="24"/>
        </w:rPr>
        <w:footnoteReference w:id="1"/>
      </w:r>
      <w:r>
        <w:rPr>
          <w:rFonts w:asciiTheme="majorHAnsi" w:hAnsiTheme="majorHAnsi"/>
          <w:bCs/>
          <w:sz w:val="24"/>
          <w:szCs w:val="24"/>
        </w:rPr>
        <w:t>) and direct benefits (to taxpayers who claim the benefits) of this tax expenditure. Since the direct costs to the Commonwealth are the direct benefits to taxpayers, the</w:t>
      </w:r>
      <w:r w:rsidR="00A766E1">
        <w:rPr>
          <w:rFonts w:asciiTheme="majorHAnsi" w:hAnsiTheme="majorHAnsi"/>
          <w:bCs/>
          <w:sz w:val="24"/>
          <w:szCs w:val="24"/>
        </w:rPr>
        <w:t>y</w:t>
      </w:r>
      <w:r>
        <w:rPr>
          <w:rFonts w:asciiTheme="majorHAnsi" w:hAnsiTheme="majorHAnsi"/>
          <w:bCs/>
          <w:sz w:val="24"/>
          <w:szCs w:val="24"/>
        </w:rPr>
        <w:t xml:space="preserve"> are equal.</w:t>
      </w:r>
    </w:p>
    <w:p w14:paraId="13DB1199" w14:textId="77777777" w:rsidR="00C57DD8" w:rsidRDefault="00C57DD8" w:rsidP="00C57DD8">
      <w:pPr>
        <w:tabs>
          <w:tab w:val="left" w:pos="7050"/>
        </w:tabs>
        <w:spacing w:after="0"/>
        <w:rPr>
          <w:rFonts w:asciiTheme="majorHAnsi" w:hAnsiTheme="majorHAnsi"/>
          <w:bCs/>
          <w:sz w:val="24"/>
          <w:szCs w:val="24"/>
        </w:rPr>
      </w:pPr>
    </w:p>
    <w:p w14:paraId="563ED52D" w14:textId="77777777" w:rsidR="008859A0" w:rsidRDefault="00BD34A6" w:rsidP="00BD34A6">
      <w:pPr>
        <w:tabs>
          <w:tab w:val="left" w:pos="7050"/>
        </w:tabs>
        <w:spacing w:after="0"/>
        <w:rPr>
          <w:rFonts w:asciiTheme="majorHAnsi" w:hAnsiTheme="majorHAnsi"/>
          <w:bCs/>
          <w:sz w:val="24"/>
          <w:szCs w:val="24"/>
        </w:rPr>
      </w:pPr>
      <w:r>
        <w:rPr>
          <w:rFonts w:asciiTheme="majorHAnsi" w:hAnsiTheme="majorHAnsi"/>
          <w:bCs/>
          <w:sz w:val="24"/>
          <w:szCs w:val="24"/>
        </w:rPr>
        <w:t xml:space="preserve">Besides the direct costs and benefits, there are </w:t>
      </w:r>
      <w:r w:rsidR="008859A0">
        <w:rPr>
          <w:rFonts w:asciiTheme="majorHAnsi" w:hAnsiTheme="majorHAnsi"/>
          <w:bCs/>
          <w:sz w:val="24"/>
          <w:szCs w:val="24"/>
        </w:rPr>
        <w:t>indirect</w:t>
      </w:r>
      <w:r w:rsidR="008A324C">
        <w:rPr>
          <w:rFonts w:asciiTheme="majorHAnsi" w:hAnsiTheme="majorHAnsi"/>
          <w:bCs/>
          <w:sz w:val="24"/>
          <w:szCs w:val="24"/>
        </w:rPr>
        <w:t xml:space="preserve"> and induced</w:t>
      </w:r>
      <w:r w:rsidR="008859A0">
        <w:rPr>
          <w:rFonts w:asciiTheme="majorHAnsi" w:hAnsiTheme="majorHAnsi"/>
          <w:bCs/>
          <w:sz w:val="24"/>
          <w:szCs w:val="24"/>
        </w:rPr>
        <w:t xml:space="preserve"> </w:t>
      </w:r>
      <w:r>
        <w:rPr>
          <w:rFonts w:asciiTheme="majorHAnsi" w:hAnsiTheme="majorHAnsi"/>
          <w:bCs/>
          <w:sz w:val="24"/>
          <w:szCs w:val="24"/>
        </w:rPr>
        <w:t xml:space="preserve">costs and benefits associated with this tax expenditure. </w:t>
      </w:r>
      <w:r w:rsidR="006E7EFA">
        <w:rPr>
          <w:rFonts w:asciiTheme="majorHAnsi" w:eastAsiaTheme="majorEastAsia" w:hAnsiTheme="majorHAnsi" w:cstheme="majorBidi"/>
          <w:bCs/>
          <w:color w:val="000000" w:themeColor="text1"/>
          <w:sz w:val="24"/>
          <w:szCs w:val="24"/>
        </w:rPr>
        <w:t xml:space="preserve">The indirect impact (cost or benefit) is felt by the chain of businesses that provide intermediate products and services to the directly impacted businesses.  The induced </w:t>
      </w:r>
      <w:r w:rsidR="0074390A">
        <w:rPr>
          <w:rFonts w:asciiTheme="majorHAnsi" w:eastAsiaTheme="majorEastAsia" w:hAnsiTheme="majorHAnsi" w:cstheme="majorBidi"/>
          <w:bCs/>
          <w:color w:val="000000" w:themeColor="text1"/>
          <w:sz w:val="24"/>
          <w:szCs w:val="24"/>
        </w:rPr>
        <w:t>impact</w:t>
      </w:r>
      <w:r w:rsidR="00AC1DC7">
        <w:rPr>
          <w:rFonts w:asciiTheme="majorHAnsi" w:eastAsiaTheme="majorEastAsia" w:hAnsiTheme="majorHAnsi" w:cstheme="majorBidi"/>
          <w:bCs/>
          <w:color w:val="000000" w:themeColor="text1"/>
          <w:sz w:val="24"/>
          <w:szCs w:val="24"/>
        </w:rPr>
        <w:t xml:space="preserve"> (cost or benefit)</w:t>
      </w:r>
      <w:r w:rsidR="006E7EFA">
        <w:rPr>
          <w:rFonts w:asciiTheme="majorHAnsi" w:eastAsiaTheme="majorEastAsia" w:hAnsiTheme="majorHAnsi" w:cstheme="majorBidi"/>
          <w:bCs/>
          <w:color w:val="000000" w:themeColor="text1"/>
          <w:sz w:val="24"/>
          <w:szCs w:val="24"/>
        </w:rPr>
        <w:t xml:space="preserve"> results from any overall change in the economy, for example where a chain of businesses benefit</w:t>
      </w:r>
      <w:r w:rsidR="00AC1DC7">
        <w:rPr>
          <w:rFonts w:asciiTheme="majorHAnsi" w:eastAsiaTheme="majorEastAsia" w:hAnsiTheme="majorHAnsi" w:cstheme="majorBidi"/>
          <w:bCs/>
          <w:color w:val="000000" w:themeColor="text1"/>
          <w:sz w:val="24"/>
          <w:szCs w:val="24"/>
        </w:rPr>
        <w:t>s</w:t>
      </w:r>
      <w:r w:rsidR="006E7EFA">
        <w:rPr>
          <w:rFonts w:asciiTheme="majorHAnsi" w:eastAsiaTheme="majorEastAsia" w:hAnsiTheme="majorHAnsi" w:cstheme="majorBidi"/>
          <w:bCs/>
          <w:color w:val="000000" w:themeColor="text1"/>
          <w:sz w:val="24"/>
          <w:szCs w:val="24"/>
        </w:rPr>
        <w:t xml:space="preserve"> when the employees working for the directly impacted businesses spend their wages and salaries to buy goods and services.  The total benefits or costs to the whole economy are larger than the initial impacts.  This phenomenon is called the “Multiplier Effect”.</w:t>
      </w:r>
      <w:r w:rsidR="006E7EFA">
        <w:rPr>
          <w:rStyle w:val="FootnoteReference"/>
          <w:rFonts w:asciiTheme="majorHAnsi" w:eastAsiaTheme="majorEastAsia" w:hAnsiTheme="majorHAnsi"/>
          <w:bCs/>
          <w:color w:val="000000" w:themeColor="text1"/>
          <w:sz w:val="24"/>
          <w:szCs w:val="24"/>
        </w:rPr>
        <w:footnoteReference w:id="2"/>
      </w:r>
    </w:p>
    <w:p w14:paraId="4384FAD6" w14:textId="77777777" w:rsidR="008859A0" w:rsidRDefault="008859A0" w:rsidP="00BD34A6">
      <w:pPr>
        <w:tabs>
          <w:tab w:val="left" w:pos="7050"/>
        </w:tabs>
        <w:spacing w:after="0"/>
        <w:rPr>
          <w:rFonts w:asciiTheme="majorHAnsi" w:hAnsiTheme="majorHAnsi"/>
          <w:bCs/>
          <w:sz w:val="24"/>
          <w:szCs w:val="24"/>
        </w:rPr>
      </w:pPr>
    </w:p>
    <w:p w14:paraId="5F97B543" w14:textId="77777777" w:rsidR="00BD34A6" w:rsidRDefault="008A324C" w:rsidP="00BD34A6">
      <w:pPr>
        <w:tabs>
          <w:tab w:val="left" w:pos="7050"/>
        </w:tabs>
        <w:spacing w:after="0"/>
        <w:rPr>
          <w:rFonts w:asciiTheme="majorHAnsi" w:hAnsiTheme="majorHAnsi"/>
          <w:bCs/>
          <w:sz w:val="24"/>
          <w:szCs w:val="24"/>
        </w:rPr>
      </w:pPr>
      <w:r>
        <w:rPr>
          <w:rFonts w:asciiTheme="majorHAnsi" w:hAnsiTheme="majorHAnsi"/>
          <w:bCs/>
          <w:sz w:val="24"/>
          <w:szCs w:val="24"/>
        </w:rPr>
        <w:t xml:space="preserve">To measure these indirect </w:t>
      </w:r>
      <w:r w:rsidR="00C57DD8">
        <w:rPr>
          <w:rFonts w:asciiTheme="majorHAnsi" w:hAnsiTheme="majorHAnsi"/>
          <w:bCs/>
          <w:sz w:val="24"/>
          <w:szCs w:val="24"/>
        </w:rPr>
        <w:t>and</w:t>
      </w:r>
      <w:r>
        <w:rPr>
          <w:rFonts w:asciiTheme="majorHAnsi" w:hAnsiTheme="majorHAnsi"/>
          <w:bCs/>
          <w:sz w:val="24"/>
          <w:szCs w:val="24"/>
        </w:rPr>
        <w:t xml:space="preserve"> induced costs and benefits, economists often need to utilize complicated models</w:t>
      </w:r>
      <w:r w:rsidR="000610C4">
        <w:rPr>
          <w:rFonts w:asciiTheme="majorHAnsi" w:hAnsiTheme="majorHAnsi"/>
          <w:bCs/>
          <w:sz w:val="24"/>
          <w:szCs w:val="24"/>
        </w:rPr>
        <w:t>, such as REMI or IMPLAN</w:t>
      </w:r>
      <w:r>
        <w:rPr>
          <w:rFonts w:asciiTheme="majorHAnsi" w:hAnsiTheme="majorHAnsi"/>
          <w:bCs/>
          <w:sz w:val="24"/>
          <w:szCs w:val="24"/>
        </w:rPr>
        <w:t xml:space="preserve">. </w:t>
      </w:r>
      <w:r w:rsidR="00BD34A6">
        <w:rPr>
          <w:rFonts w:asciiTheme="majorHAnsi" w:hAnsiTheme="majorHAnsi"/>
          <w:bCs/>
          <w:sz w:val="24"/>
          <w:szCs w:val="24"/>
        </w:rPr>
        <w:t xml:space="preserve">Given that the amount of direct costs and </w:t>
      </w:r>
      <w:r w:rsidR="00BD34A6">
        <w:rPr>
          <w:rFonts w:asciiTheme="majorHAnsi" w:hAnsiTheme="majorHAnsi"/>
          <w:bCs/>
          <w:sz w:val="24"/>
          <w:szCs w:val="24"/>
        </w:rPr>
        <w:lastRenderedPageBreak/>
        <w:t>benefits are small</w:t>
      </w:r>
      <w:r w:rsidR="00AC1DC7" w:rsidRPr="00AC1DC7">
        <w:rPr>
          <w:rFonts w:asciiTheme="majorHAnsi" w:hAnsiTheme="majorHAnsi"/>
          <w:bCs/>
          <w:sz w:val="24"/>
          <w:szCs w:val="24"/>
        </w:rPr>
        <w:t xml:space="preserve"> </w:t>
      </w:r>
      <w:r w:rsidR="00AC1DC7">
        <w:rPr>
          <w:rFonts w:asciiTheme="majorHAnsi" w:hAnsiTheme="majorHAnsi"/>
          <w:bCs/>
          <w:sz w:val="24"/>
          <w:szCs w:val="24"/>
        </w:rPr>
        <w:t>for this tax expenditure</w:t>
      </w:r>
      <w:r w:rsidR="00BD34A6">
        <w:rPr>
          <w:rFonts w:asciiTheme="majorHAnsi" w:hAnsiTheme="majorHAnsi"/>
          <w:bCs/>
          <w:sz w:val="24"/>
          <w:szCs w:val="24"/>
        </w:rPr>
        <w:t xml:space="preserve">, less than $2 million per year, </w:t>
      </w:r>
      <w:r w:rsidR="0035734F">
        <w:rPr>
          <w:rFonts w:asciiTheme="majorHAnsi" w:hAnsiTheme="majorHAnsi"/>
          <w:bCs/>
          <w:sz w:val="24"/>
          <w:szCs w:val="24"/>
        </w:rPr>
        <w:t>DOR did not attempt to quantify such costs and benefits</w:t>
      </w:r>
      <w:r w:rsidR="00BD34A6">
        <w:rPr>
          <w:rFonts w:asciiTheme="majorHAnsi" w:hAnsiTheme="majorHAnsi"/>
          <w:bCs/>
          <w:sz w:val="24"/>
          <w:szCs w:val="24"/>
        </w:rPr>
        <w:t>.</w:t>
      </w:r>
    </w:p>
    <w:p w14:paraId="5A11BD28" w14:textId="77777777" w:rsidR="00291074" w:rsidRDefault="00BD34A6" w:rsidP="00291074">
      <w:pPr>
        <w:tabs>
          <w:tab w:val="left" w:pos="7050"/>
        </w:tabs>
        <w:spacing w:after="0"/>
        <w:rPr>
          <w:rFonts w:asciiTheme="majorHAnsi" w:hAnsiTheme="majorHAnsi"/>
          <w:bCs/>
          <w:sz w:val="24"/>
          <w:szCs w:val="23"/>
        </w:rPr>
      </w:pPr>
      <w:r>
        <w:rPr>
          <w:rFonts w:asciiTheme="majorHAnsi" w:hAnsiTheme="majorHAnsi"/>
          <w:bCs/>
          <w:sz w:val="24"/>
          <w:szCs w:val="24"/>
        </w:rPr>
        <w:t xml:space="preserve"> </w:t>
      </w:r>
    </w:p>
    <w:p w14:paraId="75927DFF" w14:textId="77777777" w:rsidR="00882FE4" w:rsidRDefault="00882FE4" w:rsidP="00291074">
      <w:pPr>
        <w:tabs>
          <w:tab w:val="left" w:pos="7050"/>
        </w:tabs>
        <w:spacing w:after="0"/>
        <w:rPr>
          <w:rFonts w:asciiTheme="majorHAnsi" w:hAnsiTheme="majorHAnsi"/>
          <w:bCs/>
          <w:sz w:val="24"/>
          <w:szCs w:val="23"/>
        </w:rPr>
      </w:pPr>
    </w:p>
    <w:p w14:paraId="0FF89102" w14:textId="77777777" w:rsidR="001B3390" w:rsidRPr="004C3153" w:rsidRDefault="001B3390" w:rsidP="00645843">
      <w:pPr>
        <w:spacing w:after="0"/>
        <w:rPr>
          <w:rFonts w:asciiTheme="majorHAnsi" w:eastAsiaTheme="majorEastAsia" w:hAnsiTheme="majorHAnsi" w:cstheme="majorBidi"/>
          <w:b/>
          <w:bCs/>
          <w:color w:val="E36C0A" w:themeColor="accent6" w:themeShade="BF"/>
          <w:sz w:val="28"/>
          <w:szCs w:val="28"/>
        </w:rPr>
      </w:pPr>
      <w:r w:rsidRPr="004C3153">
        <w:rPr>
          <w:rFonts w:asciiTheme="majorHAnsi" w:eastAsiaTheme="majorEastAsia" w:hAnsiTheme="majorHAnsi" w:cstheme="majorBidi"/>
          <w:b/>
          <w:bCs/>
          <w:color w:val="E36C0A" w:themeColor="accent6" w:themeShade="BF"/>
          <w:sz w:val="28"/>
          <w:szCs w:val="28"/>
        </w:rPr>
        <w:t>S</w:t>
      </w:r>
      <w:r w:rsidR="000726ED">
        <w:rPr>
          <w:rFonts w:asciiTheme="majorHAnsi" w:eastAsiaTheme="majorEastAsia" w:hAnsiTheme="majorHAnsi" w:cstheme="majorBidi"/>
          <w:b/>
          <w:bCs/>
          <w:color w:val="E36C0A" w:themeColor="accent6" w:themeShade="BF"/>
          <w:sz w:val="28"/>
          <w:szCs w:val="28"/>
        </w:rPr>
        <w:t>IMILAR TAX EXPENDITURES OFFERED by OTHER STATES</w:t>
      </w:r>
    </w:p>
    <w:p w14:paraId="4DDFA675" w14:textId="2F94AAB5" w:rsidR="00871C71" w:rsidRPr="0074390A" w:rsidRDefault="00F62D70" w:rsidP="0074390A">
      <w:pPr>
        <w:tabs>
          <w:tab w:val="left" w:pos="7050"/>
        </w:tabs>
        <w:spacing w:after="0"/>
        <w:rPr>
          <w:rFonts w:asciiTheme="majorHAnsi" w:hAnsiTheme="majorHAnsi"/>
          <w:bCs/>
          <w:sz w:val="24"/>
          <w:szCs w:val="24"/>
        </w:rPr>
      </w:pPr>
      <w:r w:rsidRPr="0074390A">
        <w:rPr>
          <w:rFonts w:asciiTheme="majorHAnsi" w:hAnsiTheme="majorHAnsi"/>
          <w:bCs/>
          <w:sz w:val="24"/>
          <w:szCs w:val="24"/>
        </w:rPr>
        <w:t>No other state provides a dollar</w:t>
      </w:r>
      <w:r w:rsidR="00BE0925">
        <w:rPr>
          <w:rFonts w:asciiTheme="majorHAnsi" w:hAnsiTheme="majorHAnsi"/>
          <w:bCs/>
          <w:sz w:val="24"/>
          <w:szCs w:val="24"/>
        </w:rPr>
        <w:t>-</w:t>
      </w:r>
      <w:r w:rsidRPr="0074390A">
        <w:rPr>
          <w:rFonts w:asciiTheme="majorHAnsi" w:hAnsiTheme="majorHAnsi"/>
          <w:bCs/>
          <w:sz w:val="24"/>
          <w:szCs w:val="24"/>
        </w:rPr>
        <w:t>for</w:t>
      </w:r>
      <w:r w:rsidR="00BE0925">
        <w:rPr>
          <w:rFonts w:asciiTheme="majorHAnsi" w:hAnsiTheme="majorHAnsi"/>
          <w:bCs/>
          <w:sz w:val="24"/>
          <w:szCs w:val="24"/>
        </w:rPr>
        <w:t>-</w:t>
      </w:r>
      <w:r w:rsidRPr="0074390A">
        <w:rPr>
          <w:rFonts w:asciiTheme="majorHAnsi" w:hAnsiTheme="majorHAnsi"/>
          <w:bCs/>
          <w:sz w:val="24"/>
          <w:szCs w:val="24"/>
        </w:rPr>
        <w:t>dollar offset of the federal harbor maintenance excise.  However, several other states</w:t>
      </w:r>
      <w:r w:rsidR="000726ED" w:rsidRPr="0074390A">
        <w:rPr>
          <w:rFonts w:asciiTheme="majorHAnsi" w:hAnsiTheme="majorHAnsi"/>
          <w:bCs/>
          <w:sz w:val="24"/>
          <w:szCs w:val="24"/>
        </w:rPr>
        <w:t>, including Georgia and Louisiana,</w:t>
      </w:r>
      <w:r w:rsidRPr="0074390A">
        <w:rPr>
          <w:rFonts w:asciiTheme="majorHAnsi" w:hAnsiTheme="majorHAnsi"/>
          <w:bCs/>
          <w:sz w:val="24"/>
          <w:szCs w:val="24"/>
        </w:rPr>
        <w:t xml:space="preserve"> provide credits for increasing </w:t>
      </w:r>
      <w:r w:rsidR="00680371" w:rsidRPr="0074390A">
        <w:rPr>
          <w:rFonts w:asciiTheme="majorHAnsi" w:hAnsiTheme="majorHAnsi"/>
          <w:bCs/>
          <w:sz w:val="24"/>
          <w:szCs w:val="24"/>
        </w:rPr>
        <w:t xml:space="preserve">imports and/or exports through their harbors.  </w:t>
      </w:r>
    </w:p>
    <w:p w14:paraId="1801C134" w14:textId="77777777" w:rsidR="000726ED" w:rsidRDefault="000726ED" w:rsidP="00291074">
      <w:pPr>
        <w:tabs>
          <w:tab w:val="left" w:pos="7050"/>
        </w:tabs>
        <w:spacing w:after="0" w:line="240" w:lineRule="auto"/>
        <w:rPr>
          <w:rFonts w:asciiTheme="majorHAnsi" w:hAnsiTheme="majorHAnsi"/>
          <w:bCs/>
          <w:sz w:val="24"/>
          <w:szCs w:val="23"/>
        </w:rPr>
      </w:pPr>
    </w:p>
    <w:p w14:paraId="165DB48C" w14:textId="77777777" w:rsidR="000726ED" w:rsidRDefault="000726ED" w:rsidP="00291074">
      <w:pPr>
        <w:tabs>
          <w:tab w:val="left" w:pos="7050"/>
        </w:tabs>
        <w:spacing w:after="0" w:line="240" w:lineRule="auto"/>
        <w:rPr>
          <w:rFonts w:asciiTheme="majorHAnsi" w:hAnsiTheme="majorHAnsi"/>
          <w:b/>
          <w:sz w:val="23"/>
          <w:szCs w:val="23"/>
        </w:rPr>
      </w:pPr>
    </w:p>
    <w:p w14:paraId="23E40B5E" w14:textId="77777777" w:rsidR="00291074" w:rsidRPr="00A07439" w:rsidRDefault="00F51224" w:rsidP="00291074">
      <w:pPr>
        <w:tabs>
          <w:tab w:val="left" w:pos="7050"/>
        </w:tabs>
        <w:spacing w:after="0" w:line="240" w:lineRule="auto"/>
        <w:rPr>
          <w:rFonts w:asciiTheme="majorHAnsi" w:eastAsiaTheme="majorEastAsia" w:hAnsiTheme="majorHAnsi" w:cstheme="majorBidi"/>
          <w:b/>
          <w:bCs/>
          <w:color w:val="E36C0A" w:themeColor="accent6" w:themeShade="BF"/>
          <w:sz w:val="28"/>
          <w:szCs w:val="28"/>
        </w:rPr>
      </w:pPr>
      <w:r>
        <w:rPr>
          <w:rFonts w:asciiTheme="majorHAnsi" w:eastAsiaTheme="majorEastAsia" w:hAnsiTheme="majorHAnsi" w:cstheme="majorBidi"/>
          <w:b/>
          <w:bCs/>
          <w:color w:val="E36C0A" w:themeColor="accent6" w:themeShade="BF"/>
          <w:sz w:val="28"/>
          <w:szCs w:val="28"/>
        </w:rPr>
        <w:t xml:space="preserve">IS THE INCENTIVE </w:t>
      </w:r>
      <w:r w:rsidR="00291074" w:rsidRPr="00A07439">
        <w:rPr>
          <w:rFonts w:asciiTheme="majorHAnsi" w:eastAsiaTheme="majorEastAsia" w:hAnsiTheme="majorHAnsi" w:cstheme="majorBidi"/>
          <w:b/>
          <w:bCs/>
          <w:color w:val="E36C0A" w:themeColor="accent6" w:themeShade="BF"/>
          <w:sz w:val="28"/>
          <w:szCs w:val="28"/>
        </w:rPr>
        <w:t xml:space="preserve">AS DESIGNED ACCOMPLISHING ITS PURPOSE?  </w:t>
      </w:r>
    </w:p>
    <w:p w14:paraId="7E94EAF0" w14:textId="77777777" w:rsidR="00291074" w:rsidRDefault="00317394" w:rsidP="00291074">
      <w:pPr>
        <w:tabs>
          <w:tab w:val="left" w:pos="7050"/>
        </w:tabs>
        <w:spacing w:after="0" w:line="240" w:lineRule="auto"/>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[FOR TERC TO COMPLETE]</w:t>
      </w:r>
    </w:p>
    <w:p w14:paraId="3205F891" w14:textId="54770B41" w:rsidR="00BE0CAE" w:rsidRDefault="00BE0CAE" w:rsidP="00291074">
      <w:pPr>
        <w:tabs>
          <w:tab w:val="left" w:pos="7050"/>
        </w:tabs>
        <w:spacing w:after="0" w:line="240" w:lineRule="auto"/>
        <w:rPr>
          <w:rFonts w:asciiTheme="majorHAnsi" w:eastAsiaTheme="majorEastAsia" w:hAnsiTheme="majorHAnsi" w:cstheme="majorBidi"/>
          <w:bCs/>
          <w:color w:val="000000" w:themeColor="text1"/>
          <w:sz w:val="24"/>
          <w:szCs w:val="24"/>
        </w:rPr>
      </w:pPr>
    </w:p>
    <w:p w14:paraId="75F79D31" w14:textId="3756662D" w:rsidR="0079476D" w:rsidRDefault="0079476D" w:rsidP="00291074">
      <w:pPr>
        <w:tabs>
          <w:tab w:val="left" w:pos="7050"/>
        </w:tabs>
        <w:spacing w:after="0" w:line="240" w:lineRule="auto"/>
        <w:rPr>
          <w:rFonts w:asciiTheme="majorHAnsi" w:eastAsiaTheme="majorEastAsia" w:hAnsiTheme="majorHAnsi" w:cstheme="majorBidi"/>
          <w:bCs/>
          <w:color w:val="000000" w:themeColor="text1"/>
          <w:sz w:val="24"/>
          <w:szCs w:val="24"/>
        </w:rPr>
      </w:pPr>
    </w:p>
    <w:p w14:paraId="089A8C1E" w14:textId="7DF5DDF3" w:rsidR="0079476D" w:rsidRDefault="0079476D" w:rsidP="00291074">
      <w:pPr>
        <w:tabs>
          <w:tab w:val="left" w:pos="7050"/>
        </w:tabs>
        <w:spacing w:after="0" w:line="240" w:lineRule="auto"/>
        <w:rPr>
          <w:rFonts w:asciiTheme="majorHAnsi" w:eastAsiaTheme="majorEastAsia" w:hAnsiTheme="majorHAnsi" w:cstheme="majorBidi"/>
          <w:b/>
          <w:bCs/>
          <w:color w:val="E36C0A" w:themeColor="accent6" w:themeShade="BF"/>
          <w:sz w:val="28"/>
          <w:szCs w:val="28"/>
        </w:rPr>
      </w:pPr>
      <w:r>
        <w:rPr>
          <w:rFonts w:asciiTheme="majorHAnsi" w:eastAsiaTheme="majorEastAsia" w:hAnsiTheme="majorHAnsi" w:cstheme="majorBidi"/>
          <w:b/>
          <w:bCs/>
          <w:color w:val="E36C0A" w:themeColor="accent6" w:themeShade="BF"/>
          <w:sz w:val="28"/>
          <w:szCs w:val="28"/>
        </w:rPr>
        <w:t>Note:</w:t>
      </w:r>
    </w:p>
    <w:p w14:paraId="32EF8B37" w14:textId="0991346B" w:rsidR="0079476D" w:rsidRPr="0079476D" w:rsidRDefault="0079476D" w:rsidP="0079476D">
      <w:pPr>
        <w:tabs>
          <w:tab w:val="left" w:pos="7050"/>
        </w:tabs>
        <w:spacing w:after="0"/>
        <w:rPr>
          <w:rFonts w:asciiTheme="majorHAnsi" w:hAnsiTheme="majorHAnsi"/>
          <w:bCs/>
          <w:sz w:val="24"/>
          <w:szCs w:val="24"/>
        </w:rPr>
      </w:pPr>
      <w:r w:rsidRPr="0079476D">
        <w:rPr>
          <w:rFonts w:asciiTheme="majorHAnsi" w:hAnsiTheme="majorHAnsi"/>
          <w:bCs/>
          <w:sz w:val="24"/>
          <w:szCs w:val="24"/>
        </w:rPr>
        <w:t>Information provided in th</w:t>
      </w:r>
      <w:r>
        <w:rPr>
          <w:rFonts w:asciiTheme="majorHAnsi" w:hAnsiTheme="majorHAnsi"/>
          <w:bCs/>
          <w:sz w:val="24"/>
          <w:szCs w:val="24"/>
        </w:rPr>
        <w:t>is</w:t>
      </w:r>
      <w:r w:rsidRPr="0079476D">
        <w:rPr>
          <w:rFonts w:asciiTheme="majorHAnsi" w:hAnsiTheme="majorHAnsi"/>
          <w:bCs/>
          <w:sz w:val="24"/>
          <w:szCs w:val="24"/>
        </w:rPr>
        <w:t xml:space="preserve"> report is based on directly, and in some cases, indirectly available information and data. Any new information or data will be reflected in the updated versions of this report in the future. </w:t>
      </w:r>
    </w:p>
    <w:p w14:paraId="5C50B93F" w14:textId="77777777" w:rsidR="0079476D" w:rsidRDefault="0079476D" w:rsidP="00291074">
      <w:pPr>
        <w:tabs>
          <w:tab w:val="left" w:pos="7050"/>
        </w:tabs>
        <w:spacing w:after="0" w:line="240" w:lineRule="auto"/>
        <w:rPr>
          <w:rFonts w:asciiTheme="majorHAnsi" w:eastAsiaTheme="majorEastAsia" w:hAnsiTheme="majorHAnsi" w:cstheme="majorBidi"/>
          <w:bCs/>
          <w:color w:val="000000" w:themeColor="text1"/>
          <w:sz w:val="24"/>
          <w:szCs w:val="24"/>
        </w:rPr>
      </w:pPr>
    </w:p>
    <w:sectPr w:rsidR="0079476D" w:rsidSect="00ED4589">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27523" w14:textId="77777777" w:rsidR="001D1E24" w:rsidRDefault="001D1E24" w:rsidP="00110E98">
      <w:pPr>
        <w:spacing w:after="0" w:line="240" w:lineRule="auto"/>
      </w:pPr>
      <w:r>
        <w:separator/>
      </w:r>
    </w:p>
  </w:endnote>
  <w:endnote w:type="continuationSeparator" w:id="0">
    <w:p w14:paraId="139A9BC3" w14:textId="77777777" w:rsidR="001D1E24" w:rsidRDefault="001D1E24" w:rsidP="0011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abon LT Std">
    <w:altName w:val="Sabon LT St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B3212" w14:textId="77777777" w:rsidR="006B1A1F" w:rsidRDefault="006B1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1002447"/>
      <w:docPartObj>
        <w:docPartGallery w:val="Page Numbers (Bottom of Page)"/>
        <w:docPartUnique/>
      </w:docPartObj>
    </w:sdtPr>
    <w:sdtEndPr>
      <w:rPr>
        <w:noProof/>
      </w:rPr>
    </w:sdtEndPr>
    <w:sdtContent>
      <w:p w14:paraId="539537B7" w14:textId="77777777" w:rsidR="00D81E0D" w:rsidRDefault="00D81E0D">
        <w:pPr>
          <w:pStyle w:val="Footer"/>
          <w:jc w:val="center"/>
        </w:pPr>
        <w:r>
          <w:fldChar w:fldCharType="begin"/>
        </w:r>
        <w:r>
          <w:instrText xml:space="preserve"> PAGE   \* MERGEFORMAT </w:instrText>
        </w:r>
        <w:r>
          <w:fldChar w:fldCharType="separate"/>
        </w:r>
        <w:r w:rsidR="003B7EA0">
          <w:rPr>
            <w:noProof/>
          </w:rPr>
          <w:t>1</w:t>
        </w:r>
        <w:r>
          <w:rPr>
            <w:noProof/>
          </w:rPr>
          <w:fldChar w:fldCharType="end"/>
        </w:r>
      </w:p>
    </w:sdtContent>
  </w:sdt>
  <w:p w14:paraId="1E874418" w14:textId="77777777" w:rsidR="00D81E0D" w:rsidRDefault="00D81E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4DB9F" w14:textId="77777777" w:rsidR="006B1A1F" w:rsidRDefault="006B1A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793664"/>
      <w:docPartObj>
        <w:docPartGallery w:val="Page Numbers (Bottom of Page)"/>
        <w:docPartUnique/>
      </w:docPartObj>
    </w:sdtPr>
    <w:sdtEndPr>
      <w:rPr>
        <w:rFonts w:asciiTheme="majorHAnsi" w:hAnsiTheme="majorHAnsi"/>
        <w:noProof/>
        <w:sz w:val="24"/>
      </w:rPr>
    </w:sdtEndPr>
    <w:sdtContent>
      <w:p w14:paraId="6F9BAE35" w14:textId="77777777" w:rsidR="00D81E0D" w:rsidRPr="00B204AF" w:rsidRDefault="00D81E0D">
        <w:pPr>
          <w:pStyle w:val="Footer"/>
          <w:jc w:val="center"/>
          <w:rPr>
            <w:rFonts w:asciiTheme="majorHAnsi" w:hAnsiTheme="majorHAnsi"/>
            <w:sz w:val="24"/>
          </w:rPr>
        </w:pPr>
        <w:r w:rsidRPr="00B204AF">
          <w:rPr>
            <w:rFonts w:asciiTheme="majorHAnsi" w:hAnsiTheme="majorHAnsi"/>
            <w:sz w:val="24"/>
          </w:rPr>
          <w:fldChar w:fldCharType="begin"/>
        </w:r>
        <w:r w:rsidRPr="00B204AF">
          <w:rPr>
            <w:rFonts w:asciiTheme="majorHAnsi" w:hAnsiTheme="majorHAnsi"/>
            <w:sz w:val="24"/>
          </w:rPr>
          <w:instrText xml:space="preserve"> PAGE   \* MERGEFORMAT </w:instrText>
        </w:r>
        <w:r w:rsidRPr="00B204AF">
          <w:rPr>
            <w:rFonts w:asciiTheme="majorHAnsi" w:hAnsiTheme="majorHAnsi"/>
            <w:sz w:val="24"/>
          </w:rPr>
          <w:fldChar w:fldCharType="separate"/>
        </w:r>
        <w:r w:rsidR="003B7EA0">
          <w:rPr>
            <w:rFonts w:asciiTheme="majorHAnsi" w:hAnsiTheme="majorHAnsi"/>
            <w:noProof/>
            <w:sz w:val="24"/>
          </w:rPr>
          <w:t>3</w:t>
        </w:r>
        <w:r w:rsidRPr="00B204AF">
          <w:rPr>
            <w:rFonts w:asciiTheme="majorHAnsi" w:hAnsiTheme="majorHAnsi"/>
            <w:noProof/>
            <w:sz w:val="24"/>
          </w:rPr>
          <w:fldChar w:fldCharType="end"/>
        </w:r>
      </w:p>
    </w:sdtContent>
  </w:sdt>
  <w:p w14:paraId="427729B4" w14:textId="77777777" w:rsidR="00D81E0D" w:rsidRDefault="00D81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FC138" w14:textId="77777777" w:rsidR="001D1E24" w:rsidRDefault="001D1E24" w:rsidP="00110E98">
      <w:pPr>
        <w:spacing w:after="0" w:line="240" w:lineRule="auto"/>
      </w:pPr>
      <w:r>
        <w:separator/>
      </w:r>
    </w:p>
  </w:footnote>
  <w:footnote w:type="continuationSeparator" w:id="0">
    <w:p w14:paraId="12390063" w14:textId="77777777" w:rsidR="001D1E24" w:rsidRDefault="001D1E24" w:rsidP="00110E98">
      <w:pPr>
        <w:spacing w:after="0" w:line="240" w:lineRule="auto"/>
      </w:pPr>
      <w:r>
        <w:continuationSeparator/>
      </w:r>
    </w:p>
  </w:footnote>
  <w:footnote w:id="1">
    <w:p w14:paraId="0BFB38DD" w14:textId="77777777" w:rsidR="006E7EFA" w:rsidRDefault="006E7EFA" w:rsidP="0013575D">
      <w:pPr>
        <w:pStyle w:val="FootnoteText"/>
        <w:jc w:val="left"/>
      </w:pPr>
      <w:r>
        <w:rPr>
          <w:rStyle w:val="FootnoteReference"/>
        </w:rPr>
        <w:footnoteRef/>
      </w:r>
      <w:r>
        <w:t xml:space="preserve"> </w:t>
      </w:r>
      <w:r>
        <w:rPr>
          <w:rFonts w:asciiTheme="majorHAnsi" w:hAnsiTheme="majorHAnsi"/>
          <w:bCs/>
        </w:rPr>
        <w:t>S</w:t>
      </w:r>
      <w:r w:rsidRPr="0074390A">
        <w:rPr>
          <w:rFonts w:asciiTheme="majorHAnsi" w:hAnsiTheme="majorHAnsi"/>
          <w:bCs/>
        </w:rPr>
        <w:t xml:space="preserve">pending </w:t>
      </w:r>
      <w:r w:rsidRPr="0074390A">
        <w:rPr>
          <w:rFonts w:asciiTheme="majorHAnsi" w:eastAsiaTheme="majorEastAsia" w:hAnsiTheme="majorHAnsi" w:cstheme="majorBidi"/>
          <w:bCs/>
          <w:color w:val="000000" w:themeColor="text1"/>
        </w:rPr>
        <w:t>on a specific tax incentive means less spending on other expenditure needs for the Commonwealth under balanced budget requirement if there is no increase in state revenues. Reduced spending on other expenditure items means forgone benefits from these items. This is an opportunity cost to the Commonwealth</w:t>
      </w:r>
      <w:r>
        <w:rPr>
          <w:rFonts w:asciiTheme="majorHAnsi" w:eastAsiaTheme="majorEastAsia" w:hAnsiTheme="majorHAnsi" w:cstheme="majorBidi"/>
          <w:bCs/>
          <w:color w:val="000000" w:themeColor="text1"/>
        </w:rPr>
        <w:t>, which, more specifically, is borne by the Massachusetts residents or businesses who benefit from these expenditure items</w:t>
      </w:r>
      <w:r w:rsidR="0074390A">
        <w:rPr>
          <w:rFonts w:asciiTheme="majorHAnsi" w:eastAsiaTheme="majorEastAsia" w:hAnsiTheme="majorHAnsi" w:cstheme="majorBidi"/>
          <w:bCs/>
          <w:color w:val="000000" w:themeColor="text1"/>
        </w:rPr>
        <w:t>.</w:t>
      </w:r>
    </w:p>
  </w:footnote>
  <w:footnote w:id="2">
    <w:p w14:paraId="3FC1257E" w14:textId="306CA27D" w:rsidR="006E7EFA" w:rsidRDefault="006E7EFA" w:rsidP="006E7EFA">
      <w:pPr>
        <w:pStyle w:val="FootnoteText"/>
        <w:jc w:val="left"/>
      </w:pPr>
      <w:r>
        <w:rPr>
          <w:rStyle w:val="FootnoteReference"/>
        </w:rPr>
        <w:footnoteRef/>
      </w:r>
      <w:r>
        <w:t xml:space="preserve"> For an </w:t>
      </w:r>
      <w:r>
        <w:rPr>
          <w:rFonts w:asciiTheme="majorHAnsi" w:hAnsiTheme="majorHAnsi"/>
        </w:rPr>
        <w:t>illustration of “Multiplier Effect”, s</w:t>
      </w:r>
      <w:r>
        <w:t xml:space="preserve">ee </w:t>
      </w:r>
      <w:r>
        <w:rPr>
          <w:rFonts w:asciiTheme="majorHAnsi" w:hAnsiTheme="majorHAnsi"/>
        </w:rPr>
        <w:t xml:space="preserve">Slide 4 of: </w:t>
      </w:r>
      <w:hyperlink r:id="rId1" w:history="1">
        <w:r w:rsidR="007F0B79" w:rsidRPr="000B3C06">
          <w:rPr>
            <w:rStyle w:val="Hyperlink"/>
            <w:rFonts w:asciiTheme="majorHAnsi" w:hAnsiTheme="majorHAnsi"/>
          </w:rPr>
          <w:t>https://www.ilw.com/seminars/JohnNeillCitation.pdf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F952E" w14:textId="77777777" w:rsidR="006B1A1F" w:rsidRDefault="006B1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379300"/>
      <w:docPartObj>
        <w:docPartGallery w:val="Watermarks"/>
        <w:docPartUnique/>
      </w:docPartObj>
    </w:sdtPr>
    <w:sdtEndPr/>
    <w:sdtContent>
      <w:p w14:paraId="530F0C4C" w14:textId="3F64069D" w:rsidR="00D81E0D" w:rsidRDefault="001D1E24">
        <w:pPr>
          <w:pStyle w:val="Header"/>
        </w:pPr>
        <w:r>
          <w:rPr>
            <w:noProof/>
          </w:rPr>
          <w:pict w14:anchorId="3039FA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38986" w14:textId="77777777" w:rsidR="006B1A1F" w:rsidRDefault="006B1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82913"/>
    <w:multiLevelType w:val="hybridMultilevel"/>
    <w:tmpl w:val="0D1C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E6CED"/>
    <w:multiLevelType w:val="hybridMultilevel"/>
    <w:tmpl w:val="1408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F1DB1"/>
    <w:multiLevelType w:val="hybridMultilevel"/>
    <w:tmpl w:val="9EA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1580B"/>
    <w:multiLevelType w:val="hybridMultilevel"/>
    <w:tmpl w:val="AC84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7149C6"/>
    <w:multiLevelType w:val="hybridMultilevel"/>
    <w:tmpl w:val="E2C6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F3F"/>
    <w:rsid w:val="00002EEB"/>
    <w:rsid w:val="00003921"/>
    <w:rsid w:val="0000427B"/>
    <w:rsid w:val="0000728B"/>
    <w:rsid w:val="000203AA"/>
    <w:rsid w:val="00024829"/>
    <w:rsid w:val="000320DB"/>
    <w:rsid w:val="00036304"/>
    <w:rsid w:val="000408A3"/>
    <w:rsid w:val="00046C6A"/>
    <w:rsid w:val="00052960"/>
    <w:rsid w:val="000610C4"/>
    <w:rsid w:val="00066F7A"/>
    <w:rsid w:val="00070465"/>
    <w:rsid w:val="000726ED"/>
    <w:rsid w:val="00083EF3"/>
    <w:rsid w:val="00095370"/>
    <w:rsid w:val="000A6018"/>
    <w:rsid w:val="000B371D"/>
    <w:rsid w:val="000B664B"/>
    <w:rsid w:val="000C56D9"/>
    <w:rsid w:val="000D0F19"/>
    <w:rsid w:val="000D3ABD"/>
    <w:rsid w:val="000F020C"/>
    <w:rsid w:val="000F2125"/>
    <w:rsid w:val="000F327A"/>
    <w:rsid w:val="000F3809"/>
    <w:rsid w:val="001043F9"/>
    <w:rsid w:val="00107835"/>
    <w:rsid w:val="00110E98"/>
    <w:rsid w:val="0011622E"/>
    <w:rsid w:val="00117DE5"/>
    <w:rsid w:val="00122D60"/>
    <w:rsid w:val="001242A9"/>
    <w:rsid w:val="0013575D"/>
    <w:rsid w:val="00141566"/>
    <w:rsid w:val="00167931"/>
    <w:rsid w:val="00183ABF"/>
    <w:rsid w:val="00184423"/>
    <w:rsid w:val="001877EA"/>
    <w:rsid w:val="001A3666"/>
    <w:rsid w:val="001B0158"/>
    <w:rsid w:val="001B3390"/>
    <w:rsid w:val="001B5236"/>
    <w:rsid w:val="001C354E"/>
    <w:rsid w:val="001D1E24"/>
    <w:rsid w:val="001D746A"/>
    <w:rsid w:val="00200515"/>
    <w:rsid w:val="002055FE"/>
    <w:rsid w:val="002116BE"/>
    <w:rsid w:val="002135C4"/>
    <w:rsid w:val="00217125"/>
    <w:rsid w:val="00235025"/>
    <w:rsid w:val="00245D07"/>
    <w:rsid w:val="002520F6"/>
    <w:rsid w:val="00264319"/>
    <w:rsid w:val="00265E07"/>
    <w:rsid w:val="00274A23"/>
    <w:rsid w:val="002768F2"/>
    <w:rsid w:val="00282EBF"/>
    <w:rsid w:val="0028699E"/>
    <w:rsid w:val="00291074"/>
    <w:rsid w:val="002970B4"/>
    <w:rsid w:val="002975EF"/>
    <w:rsid w:val="002A54D6"/>
    <w:rsid w:val="002A5D04"/>
    <w:rsid w:val="002A71E8"/>
    <w:rsid w:val="002B2A8D"/>
    <w:rsid w:val="002D2674"/>
    <w:rsid w:val="002D74AE"/>
    <w:rsid w:val="002D7941"/>
    <w:rsid w:val="002F041E"/>
    <w:rsid w:val="002F0C65"/>
    <w:rsid w:val="002F10DB"/>
    <w:rsid w:val="002F3C52"/>
    <w:rsid w:val="002F5704"/>
    <w:rsid w:val="002F71B7"/>
    <w:rsid w:val="00301445"/>
    <w:rsid w:val="00304B33"/>
    <w:rsid w:val="00316595"/>
    <w:rsid w:val="00317394"/>
    <w:rsid w:val="003229C4"/>
    <w:rsid w:val="00330F9D"/>
    <w:rsid w:val="00331BC2"/>
    <w:rsid w:val="0033497B"/>
    <w:rsid w:val="003365B1"/>
    <w:rsid w:val="00336764"/>
    <w:rsid w:val="00344841"/>
    <w:rsid w:val="00353A29"/>
    <w:rsid w:val="00355122"/>
    <w:rsid w:val="00355A51"/>
    <w:rsid w:val="0035734F"/>
    <w:rsid w:val="00377BB7"/>
    <w:rsid w:val="00380D5D"/>
    <w:rsid w:val="00393D2C"/>
    <w:rsid w:val="00396264"/>
    <w:rsid w:val="003A3522"/>
    <w:rsid w:val="003A7CDE"/>
    <w:rsid w:val="003B38E0"/>
    <w:rsid w:val="003B7EA0"/>
    <w:rsid w:val="003D1D01"/>
    <w:rsid w:val="003D3837"/>
    <w:rsid w:val="003E71AD"/>
    <w:rsid w:val="004143F6"/>
    <w:rsid w:val="00425AA4"/>
    <w:rsid w:val="004351B8"/>
    <w:rsid w:val="00442642"/>
    <w:rsid w:val="00450A00"/>
    <w:rsid w:val="004607E2"/>
    <w:rsid w:val="00463058"/>
    <w:rsid w:val="00463A6F"/>
    <w:rsid w:val="00470128"/>
    <w:rsid w:val="0047312D"/>
    <w:rsid w:val="004737EE"/>
    <w:rsid w:val="00481E5A"/>
    <w:rsid w:val="00482105"/>
    <w:rsid w:val="004841B1"/>
    <w:rsid w:val="00485FBB"/>
    <w:rsid w:val="00486F3F"/>
    <w:rsid w:val="00497E0F"/>
    <w:rsid w:val="004A1129"/>
    <w:rsid w:val="004A3B69"/>
    <w:rsid w:val="004A71D7"/>
    <w:rsid w:val="004B14D0"/>
    <w:rsid w:val="004B6F54"/>
    <w:rsid w:val="004B7F89"/>
    <w:rsid w:val="004C0367"/>
    <w:rsid w:val="004C1A2A"/>
    <w:rsid w:val="004C45A3"/>
    <w:rsid w:val="004C529B"/>
    <w:rsid w:val="004C7865"/>
    <w:rsid w:val="004D0617"/>
    <w:rsid w:val="004D0D37"/>
    <w:rsid w:val="004D54CC"/>
    <w:rsid w:val="004D5E57"/>
    <w:rsid w:val="004E1A51"/>
    <w:rsid w:val="004E214D"/>
    <w:rsid w:val="005029F1"/>
    <w:rsid w:val="00503DFA"/>
    <w:rsid w:val="00507D7A"/>
    <w:rsid w:val="00510E28"/>
    <w:rsid w:val="00515EE7"/>
    <w:rsid w:val="0052032B"/>
    <w:rsid w:val="00520345"/>
    <w:rsid w:val="005225DA"/>
    <w:rsid w:val="00524831"/>
    <w:rsid w:val="0053002E"/>
    <w:rsid w:val="00537223"/>
    <w:rsid w:val="005375E5"/>
    <w:rsid w:val="00537623"/>
    <w:rsid w:val="00542A6B"/>
    <w:rsid w:val="00544D82"/>
    <w:rsid w:val="0054506E"/>
    <w:rsid w:val="005529C5"/>
    <w:rsid w:val="005531C8"/>
    <w:rsid w:val="00554AD9"/>
    <w:rsid w:val="0056236F"/>
    <w:rsid w:val="00562A90"/>
    <w:rsid w:val="00565D22"/>
    <w:rsid w:val="00567D60"/>
    <w:rsid w:val="00573D68"/>
    <w:rsid w:val="00576773"/>
    <w:rsid w:val="00591B1A"/>
    <w:rsid w:val="005962E2"/>
    <w:rsid w:val="00596546"/>
    <w:rsid w:val="005A0637"/>
    <w:rsid w:val="005A53F3"/>
    <w:rsid w:val="005B1BBE"/>
    <w:rsid w:val="005C58B6"/>
    <w:rsid w:val="005E48F1"/>
    <w:rsid w:val="005E6116"/>
    <w:rsid w:val="005F32FA"/>
    <w:rsid w:val="005F35BD"/>
    <w:rsid w:val="005F4AF7"/>
    <w:rsid w:val="0060122B"/>
    <w:rsid w:val="006016F3"/>
    <w:rsid w:val="00612BCB"/>
    <w:rsid w:val="00612DE2"/>
    <w:rsid w:val="00613F2A"/>
    <w:rsid w:val="00617863"/>
    <w:rsid w:val="006201DE"/>
    <w:rsid w:val="00620A70"/>
    <w:rsid w:val="006278A6"/>
    <w:rsid w:val="00633981"/>
    <w:rsid w:val="00645843"/>
    <w:rsid w:val="0065164F"/>
    <w:rsid w:val="00653133"/>
    <w:rsid w:val="00664139"/>
    <w:rsid w:val="006719D3"/>
    <w:rsid w:val="00680371"/>
    <w:rsid w:val="006900DC"/>
    <w:rsid w:val="006958A8"/>
    <w:rsid w:val="006A209C"/>
    <w:rsid w:val="006A245E"/>
    <w:rsid w:val="006A5B6B"/>
    <w:rsid w:val="006B1A1F"/>
    <w:rsid w:val="006D0E7A"/>
    <w:rsid w:val="006D4962"/>
    <w:rsid w:val="006D59B4"/>
    <w:rsid w:val="006E5B96"/>
    <w:rsid w:val="006E7EFA"/>
    <w:rsid w:val="006F4DB1"/>
    <w:rsid w:val="00704DF9"/>
    <w:rsid w:val="00714E66"/>
    <w:rsid w:val="0073067E"/>
    <w:rsid w:val="00731C23"/>
    <w:rsid w:val="0073470C"/>
    <w:rsid w:val="00734D21"/>
    <w:rsid w:val="007361C4"/>
    <w:rsid w:val="0074239C"/>
    <w:rsid w:val="0074390A"/>
    <w:rsid w:val="00747C0D"/>
    <w:rsid w:val="00750164"/>
    <w:rsid w:val="00757E67"/>
    <w:rsid w:val="00760BE9"/>
    <w:rsid w:val="00761020"/>
    <w:rsid w:val="00761601"/>
    <w:rsid w:val="00761E54"/>
    <w:rsid w:val="007857F6"/>
    <w:rsid w:val="00785DF0"/>
    <w:rsid w:val="007907E9"/>
    <w:rsid w:val="00794215"/>
    <w:rsid w:val="0079476D"/>
    <w:rsid w:val="007A3349"/>
    <w:rsid w:val="007A6CDB"/>
    <w:rsid w:val="007C3ABD"/>
    <w:rsid w:val="007D04C3"/>
    <w:rsid w:val="007D17CB"/>
    <w:rsid w:val="007F0B79"/>
    <w:rsid w:val="007F1706"/>
    <w:rsid w:val="007F1A03"/>
    <w:rsid w:val="007F37BE"/>
    <w:rsid w:val="007F4A86"/>
    <w:rsid w:val="00801214"/>
    <w:rsid w:val="0080305B"/>
    <w:rsid w:val="008039ED"/>
    <w:rsid w:val="00821A4E"/>
    <w:rsid w:val="0083324A"/>
    <w:rsid w:val="008337C2"/>
    <w:rsid w:val="00833CF7"/>
    <w:rsid w:val="0083421A"/>
    <w:rsid w:val="00841B76"/>
    <w:rsid w:val="00860149"/>
    <w:rsid w:val="00863A4A"/>
    <w:rsid w:val="00863F5F"/>
    <w:rsid w:val="008668E7"/>
    <w:rsid w:val="00871C71"/>
    <w:rsid w:val="00881147"/>
    <w:rsid w:val="0088123C"/>
    <w:rsid w:val="00882FE4"/>
    <w:rsid w:val="00883933"/>
    <w:rsid w:val="008859A0"/>
    <w:rsid w:val="00894A26"/>
    <w:rsid w:val="008975D2"/>
    <w:rsid w:val="008977D2"/>
    <w:rsid w:val="008A05D1"/>
    <w:rsid w:val="008A2416"/>
    <w:rsid w:val="008A324C"/>
    <w:rsid w:val="008A384E"/>
    <w:rsid w:val="008B5A3C"/>
    <w:rsid w:val="008C2341"/>
    <w:rsid w:val="008C2652"/>
    <w:rsid w:val="008C2713"/>
    <w:rsid w:val="008C7788"/>
    <w:rsid w:val="008D3FD4"/>
    <w:rsid w:val="008E3871"/>
    <w:rsid w:val="008E7923"/>
    <w:rsid w:val="008F578F"/>
    <w:rsid w:val="009038FE"/>
    <w:rsid w:val="00907C7E"/>
    <w:rsid w:val="0091014B"/>
    <w:rsid w:val="00921525"/>
    <w:rsid w:val="009223DE"/>
    <w:rsid w:val="00931F28"/>
    <w:rsid w:val="00932D9E"/>
    <w:rsid w:val="009418FF"/>
    <w:rsid w:val="009510DD"/>
    <w:rsid w:val="00960571"/>
    <w:rsid w:val="009619E5"/>
    <w:rsid w:val="00962624"/>
    <w:rsid w:val="00965527"/>
    <w:rsid w:val="00967A03"/>
    <w:rsid w:val="00982D98"/>
    <w:rsid w:val="009839A9"/>
    <w:rsid w:val="00992A3E"/>
    <w:rsid w:val="00993AF9"/>
    <w:rsid w:val="00993B90"/>
    <w:rsid w:val="009952D9"/>
    <w:rsid w:val="00996C7C"/>
    <w:rsid w:val="009A03F3"/>
    <w:rsid w:val="009B016B"/>
    <w:rsid w:val="009B404B"/>
    <w:rsid w:val="009C4128"/>
    <w:rsid w:val="009D226D"/>
    <w:rsid w:val="009D37A7"/>
    <w:rsid w:val="009D6234"/>
    <w:rsid w:val="009D68D3"/>
    <w:rsid w:val="009E477C"/>
    <w:rsid w:val="009E7760"/>
    <w:rsid w:val="009F10FC"/>
    <w:rsid w:val="009F4525"/>
    <w:rsid w:val="00A0771B"/>
    <w:rsid w:val="00A07796"/>
    <w:rsid w:val="00A14D59"/>
    <w:rsid w:val="00A159F2"/>
    <w:rsid w:val="00A1698A"/>
    <w:rsid w:val="00A17F9F"/>
    <w:rsid w:val="00A20D2F"/>
    <w:rsid w:val="00A2421F"/>
    <w:rsid w:val="00A328E9"/>
    <w:rsid w:val="00A37C08"/>
    <w:rsid w:val="00A46860"/>
    <w:rsid w:val="00A46C07"/>
    <w:rsid w:val="00A57996"/>
    <w:rsid w:val="00A6097D"/>
    <w:rsid w:val="00A66FBE"/>
    <w:rsid w:val="00A7001F"/>
    <w:rsid w:val="00A72B62"/>
    <w:rsid w:val="00A766E1"/>
    <w:rsid w:val="00A76CAE"/>
    <w:rsid w:val="00A779E8"/>
    <w:rsid w:val="00A84349"/>
    <w:rsid w:val="00A846CA"/>
    <w:rsid w:val="00A91D8D"/>
    <w:rsid w:val="00A922B8"/>
    <w:rsid w:val="00A9399F"/>
    <w:rsid w:val="00A93B16"/>
    <w:rsid w:val="00A94CCD"/>
    <w:rsid w:val="00A967DB"/>
    <w:rsid w:val="00AC1DC7"/>
    <w:rsid w:val="00AC2F6A"/>
    <w:rsid w:val="00AC346D"/>
    <w:rsid w:val="00AC7511"/>
    <w:rsid w:val="00AD2A39"/>
    <w:rsid w:val="00AD44EC"/>
    <w:rsid w:val="00AE40DC"/>
    <w:rsid w:val="00AE7357"/>
    <w:rsid w:val="00AF2A73"/>
    <w:rsid w:val="00B05C4A"/>
    <w:rsid w:val="00B204AF"/>
    <w:rsid w:val="00B22F9D"/>
    <w:rsid w:val="00B325B3"/>
    <w:rsid w:val="00B37DB1"/>
    <w:rsid w:val="00B430E2"/>
    <w:rsid w:val="00B46CDA"/>
    <w:rsid w:val="00B70E47"/>
    <w:rsid w:val="00B71E68"/>
    <w:rsid w:val="00B7239F"/>
    <w:rsid w:val="00B77D67"/>
    <w:rsid w:val="00B80C28"/>
    <w:rsid w:val="00B81376"/>
    <w:rsid w:val="00BA3254"/>
    <w:rsid w:val="00BA350A"/>
    <w:rsid w:val="00BA44D4"/>
    <w:rsid w:val="00BA523F"/>
    <w:rsid w:val="00BB37D7"/>
    <w:rsid w:val="00BB3C9F"/>
    <w:rsid w:val="00BB5FC4"/>
    <w:rsid w:val="00BC6806"/>
    <w:rsid w:val="00BC7939"/>
    <w:rsid w:val="00BD3224"/>
    <w:rsid w:val="00BD34A6"/>
    <w:rsid w:val="00BE01E6"/>
    <w:rsid w:val="00BE07AD"/>
    <w:rsid w:val="00BE0925"/>
    <w:rsid w:val="00BE0CAE"/>
    <w:rsid w:val="00BE6426"/>
    <w:rsid w:val="00BF0A3C"/>
    <w:rsid w:val="00BF6781"/>
    <w:rsid w:val="00C07688"/>
    <w:rsid w:val="00C07DE2"/>
    <w:rsid w:val="00C13338"/>
    <w:rsid w:val="00C24414"/>
    <w:rsid w:val="00C27996"/>
    <w:rsid w:val="00C32F93"/>
    <w:rsid w:val="00C35F02"/>
    <w:rsid w:val="00C37C90"/>
    <w:rsid w:val="00C4485B"/>
    <w:rsid w:val="00C52FFB"/>
    <w:rsid w:val="00C55640"/>
    <w:rsid w:val="00C5604B"/>
    <w:rsid w:val="00C57DD8"/>
    <w:rsid w:val="00C65FC3"/>
    <w:rsid w:val="00C66BE9"/>
    <w:rsid w:val="00C672F1"/>
    <w:rsid w:val="00C83F8A"/>
    <w:rsid w:val="00C848D9"/>
    <w:rsid w:val="00C8794C"/>
    <w:rsid w:val="00CB1305"/>
    <w:rsid w:val="00CC05CE"/>
    <w:rsid w:val="00CC16BD"/>
    <w:rsid w:val="00CC208F"/>
    <w:rsid w:val="00CC5146"/>
    <w:rsid w:val="00CC7BE7"/>
    <w:rsid w:val="00CF2756"/>
    <w:rsid w:val="00CF41DD"/>
    <w:rsid w:val="00CF6AA0"/>
    <w:rsid w:val="00CF716F"/>
    <w:rsid w:val="00D106A7"/>
    <w:rsid w:val="00D17E68"/>
    <w:rsid w:val="00D20A1C"/>
    <w:rsid w:val="00D268BF"/>
    <w:rsid w:val="00D27042"/>
    <w:rsid w:val="00D363DB"/>
    <w:rsid w:val="00D4431A"/>
    <w:rsid w:val="00D4522F"/>
    <w:rsid w:val="00D73F36"/>
    <w:rsid w:val="00D80D2E"/>
    <w:rsid w:val="00D81D38"/>
    <w:rsid w:val="00D81E0D"/>
    <w:rsid w:val="00D90264"/>
    <w:rsid w:val="00D90E6F"/>
    <w:rsid w:val="00D91680"/>
    <w:rsid w:val="00DA035B"/>
    <w:rsid w:val="00DA05AE"/>
    <w:rsid w:val="00DC2306"/>
    <w:rsid w:val="00DC5BD0"/>
    <w:rsid w:val="00DC6164"/>
    <w:rsid w:val="00DD4075"/>
    <w:rsid w:val="00DE0DA2"/>
    <w:rsid w:val="00E23797"/>
    <w:rsid w:val="00E31A22"/>
    <w:rsid w:val="00E50BD7"/>
    <w:rsid w:val="00E671DE"/>
    <w:rsid w:val="00E70487"/>
    <w:rsid w:val="00E718AF"/>
    <w:rsid w:val="00E742ED"/>
    <w:rsid w:val="00E82B60"/>
    <w:rsid w:val="00E92C1D"/>
    <w:rsid w:val="00E97C7A"/>
    <w:rsid w:val="00EB40E2"/>
    <w:rsid w:val="00EB6F01"/>
    <w:rsid w:val="00ED3285"/>
    <w:rsid w:val="00ED4589"/>
    <w:rsid w:val="00EE574F"/>
    <w:rsid w:val="00EE7D64"/>
    <w:rsid w:val="00EF2845"/>
    <w:rsid w:val="00EF4AAA"/>
    <w:rsid w:val="00EF5952"/>
    <w:rsid w:val="00F00082"/>
    <w:rsid w:val="00F02B4D"/>
    <w:rsid w:val="00F063C9"/>
    <w:rsid w:val="00F065BC"/>
    <w:rsid w:val="00F076B1"/>
    <w:rsid w:val="00F22DAA"/>
    <w:rsid w:val="00F24AE3"/>
    <w:rsid w:val="00F24AE8"/>
    <w:rsid w:val="00F378E5"/>
    <w:rsid w:val="00F51224"/>
    <w:rsid w:val="00F62D70"/>
    <w:rsid w:val="00F634CA"/>
    <w:rsid w:val="00F67EC3"/>
    <w:rsid w:val="00F72A54"/>
    <w:rsid w:val="00F7439D"/>
    <w:rsid w:val="00F7586D"/>
    <w:rsid w:val="00F75FB8"/>
    <w:rsid w:val="00F81A10"/>
    <w:rsid w:val="00F82702"/>
    <w:rsid w:val="00F82F4E"/>
    <w:rsid w:val="00F8690F"/>
    <w:rsid w:val="00F87082"/>
    <w:rsid w:val="00F927CB"/>
    <w:rsid w:val="00FA1389"/>
    <w:rsid w:val="00FA2B9E"/>
    <w:rsid w:val="00FA3170"/>
    <w:rsid w:val="00FA50D7"/>
    <w:rsid w:val="00FA67C0"/>
    <w:rsid w:val="00FC090D"/>
    <w:rsid w:val="00FC7795"/>
    <w:rsid w:val="00FE0043"/>
    <w:rsid w:val="00FE05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4E88DA"/>
  <w15:docId w15:val="{112B72E9-87C8-431A-B132-4E64AFDE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366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841"/>
    <w:rPr>
      <w:rFonts w:ascii="Tahoma" w:hAnsi="Tahoma" w:cs="Tahoma"/>
      <w:sz w:val="16"/>
      <w:szCs w:val="16"/>
    </w:rPr>
  </w:style>
  <w:style w:type="table" w:styleId="TableGrid">
    <w:name w:val="Table Grid"/>
    <w:basedOn w:val="TableNormal"/>
    <w:uiPriority w:val="59"/>
    <w:rsid w:val="00A8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46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A846C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
    <w:name w:val="Medium Shading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A846C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customStyle="1" w:styleId="Default">
    <w:name w:val="Default"/>
    <w:rsid w:val="00245D07"/>
    <w:pPr>
      <w:autoSpaceDE w:val="0"/>
      <w:autoSpaceDN w:val="0"/>
      <w:adjustRightInd w:val="0"/>
      <w:spacing w:after="0" w:line="240" w:lineRule="auto"/>
    </w:pPr>
    <w:rPr>
      <w:rFonts w:ascii="Sabon LT Std" w:hAnsi="Sabon LT Std" w:cs="Sabon LT Std"/>
      <w:color w:val="000000"/>
      <w:sz w:val="24"/>
      <w:szCs w:val="24"/>
    </w:rPr>
  </w:style>
  <w:style w:type="paragraph" w:styleId="FootnoteText">
    <w:name w:val="footnote text"/>
    <w:basedOn w:val="Normal"/>
    <w:link w:val="FootnoteTextChar"/>
    <w:semiHidden/>
    <w:rsid w:val="00110E98"/>
    <w:pPr>
      <w:tabs>
        <w:tab w:val="left" w:pos="360"/>
        <w:tab w:val="left" w:pos="720"/>
        <w:tab w:val="left" w:pos="1080"/>
        <w:tab w:val="left" w:pos="1440"/>
        <w:tab w:val="right" w:pos="9360"/>
      </w:tabs>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10E98"/>
    <w:rPr>
      <w:rFonts w:ascii="Times New Roman" w:eastAsia="Times New Roman" w:hAnsi="Times New Roman" w:cs="Times New Roman"/>
      <w:sz w:val="20"/>
      <w:szCs w:val="20"/>
    </w:rPr>
  </w:style>
  <w:style w:type="character" w:styleId="FootnoteReference">
    <w:name w:val="footnote reference"/>
    <w:semiHidden/>
    <w:rsid w:val="00110E98"/>
    <w:rPr>
      <w:rFonts w:cs="Times New Roman"/>
      <w:vertAlign w:val="superscript"/>
    </w:rPr>
  </w:style>
  <w:style w:type="character" w:styleId="Hyperlink">
    <w:name w:val="Hyperlink"/>
    <w:rsid w:val="00110E98"/>
    <w:rPr>
      <w:rFonts w:cs="Times New Roman"/>
      <w:color w:val="0000FF"/>
      <w:u w:val="single"/>
    </w:rPr>
  </w:style>
  <w:style w:type="paragraph" w:styleId="ListParagraph">
    <w:name w:val="List Paragraph"/>
    <w:basedOn w:val="Normal"/>
    <w:uiPriority w:val="34"/>
    <w:qFormat/>
    <w:rsid w:val="00D80D2E"/>
    <w:pPr>
      <w:ind w:left="720"/>
      <w:contextualSpacing/>
    </w:pPr>
  </w:style>
  <w:style w:type="paragraph" w:styleId="Header">
    <w:name w:val="header"/>
    <w:basedOn w:val="Normal"/>
    <w:link w:val="HeaderChar"/>
    <w:uiPriority w:val="99"/>
    <w:unhideWhenUsed/>
    <w:rsid w:val="00B2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4AF"/>
  </w:style>
  <w:style w:type="paragraph" w:styleId="Footer">
    <w:name w:val="footer"/>
    <w:basedOn w:val="Normal"/>
    <w:link w:val="FooterChar"/>
    <w:uiPriority w:val="99"/>
    <w:unhideWhenUsed/>
    <w:rsid w:val="00B2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4AF"/>
  </w:style>
  <w:style w:type="character" w:styleId="CommentReference">
    <w:name w:val="annotation reference"/>
    <w:basedOn w:val="DefaultParagraphFont"/>
    <w:uiPriority w:val="99"/>
    <w:semiHidden/>
    <w:unhideWhenUsed/>
    <w:rsid w:val="00A07796"/>
    <w:rPr>
      <w:sz w:val="16"/>
      <w:szCs w:val="16"/>
    </w:rPr>
  </w:style>
  <w:style w:type="paragraph" w:styleId="CommentText">
    <w:name w:val="annotation text"/>
    <w:basedOn w:val="Normal"/>
    <w:link w:val="CommentTextChar"/>
    <w:uiPriority w:val="99"/>
    <w:semiHidden/>
    <w:unhideWhenUsed/>
    <w:rsid w:val="00A07796"/>
    <w:pPr>
      <w:spacing w:line="240" w:lineRule="auto"/>
    </w:pPr>
    <w:rPr>
      <w:sz w:val="20"/>
      <w:szCs w:val="20"/>
    </w:rPr>
  </w:style>
  <w:style w:type="character" w:customStyle="1" w:styleId="CommentTextChar">
    <w:name w:val="Comment Text Char"/>
    <w:basedOn w:val="DefaultParagraphFont"/>
    <w:link w:val="CommentText"/>
    <w:uiPriority w:val="99"/>
    <w:semiHidden/>
    <w:rsid w:val="00A07796"/>
    <w:rPr>
      <w:sz w:val="20"/>
      <w:szCs w:val="20"/>
    </w:rPr>
  </w:style>
  <w:style w:type="paragraph" w:styleId="CommentSubject">
    <w:name w:val="annotation subject"/>
    <w:basedOn w:val="CommentText"/>
    <w:next w:val="CommentText"/>
    <w:link w:val="CommentSubjectChar"/>
    <w:uiPriority w:val="99"/>
    <w:semiHidden/>
    <w:unhideWhenUsed/>
    <w:rsid w:val="00A07796"/>
    <w:rPr>
      <w:b/>
      <w:bCs/>
    </w:rPr>
  </w:style>
  <w:style w:type="character" w:customStyle="1" w:styleId="CommentSubjectChar">
    <w:name w:val="Comment Subject Char"/>
    <w:basedOn w:val="CommentTextChar"/>
    <w:link w:val="CommentSubject"/>
    <w:uiPriority w:val="99"/>
    <w:semiHidden/>
    <w:rsid w:val="00A07796"/>
    <w:rPr>
      <w:b/>
      <w:bCs/>
      <w:sz w:val="20"/>
      <w:szCs w:val="20"/>
    </w:rPr>
  </w:style>
  <w:style w:type="character" w:customStyle="1" w:styleId="Heading1Char">
    <w:name w:val="Heading 1 Char"/>
    <w:basedOn w:val="DefaultParagraphFont"/>
    <w:link w:val="Heading1"/>
    <w:uiPriority w:val="9"/>
    <w:rsid w:val="001A3666"/>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1A3666"/>
  </w:style>
  <w:style w:type="paragraph" w:styleId="Revision">
    <w:name w:val="Revision"/>
    <w:hidden/>
    <w:uiPriority w:val="99"/>
    <w:semiHidden/>
    <w:rsid w:val="00095370"/>
    <w:pPr>
      <w:spacing w:after="0" w:line="240" w:lineRule="auto"/>
    </w:pPr>
  </w:style>
  <w:style w:type="character" w:styleId="FollowedHyperlink">
    <w:name w:val="FollowedHyperlink"/>
    <w:basedOn w:val="DefaultParagraphFont"/>
    <w:uiPriority w:val="99"/>
    <w:semiHidden/>
    <w:unhideWhenUsed/>
    <w:rsid w:val="008A324C"/>
    <w:rPr>
      <w:color w:val="800080" w:themeColor="followedHyperlink"/>
      <w:u w:val="single"/>
    </w:rPr>
  </w:style>
  <w:style w:type="character" w:styleId="UnresolvedMention">
    <w:name w:val="Unresolved Mention"/>
    <w:basedOn w:val="DefaultParagraphFont"/>
    <w:uiPriority w:val="99"/>
    <w:semiHidden/>
    <w:unhideWhenUsed/>
    <w:rsid w:val="007F0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0349">
      <w:bodyDiv w:val="1"/>
      <w:marLeft w:val="0"/>
      <w:marRight w:val="0"/>
      <w:marTop w:val="0"/>
      <w:marBottom w:val="0"/>
      <w:divBdr>
        <w:top w:val="none" w:sz="0" w:space="0" w:color="auto"/>
        <w:left w:val="none" w:sz="0" w:space="0" w:color="auto"/>
        <w:bottom w:val="none" w:sz="0" w:space="0" w:color="auto"/>
        <w:right w:val="none" w:sz="0" w:space="0" w:color="auto"/>
      </w:divBdr>
    </w:div>
    <w:div w:id="351536413">
      <w:bodyDiv w:val="1"/>
      <w:marLeft w:val="0"/>
      <w:marRight w:val="0"/>
      <w:marTop w:val="0"/>
      <w:marBottom w:val="0"/>
      <w:divBdr>
        <w:top w:val="none" w:sz="0" w:space="0" w:color="auto"/>
        <w:left w:val="none" w:sz="0" w:space="0" w:color="auto"/>
        <w:bottom w:val="none" w:sz="0" w:space="0" w:color="auto"/>
        <w:right w:val="none" w:sz="0" w:space="0" w:color="auto"/>
      </w:divBdr>
    </w:div>
    <w:div w:id="407268994">
      <w:bodyDiv w:val="1"/>
      <w:marLeft w:val="0"/>
      <w:marRight w:val="0"/>
      <w:marTop w:val="0"/>
      <w:marBottom w:val="0"/>
      <w:divBdr>
        <w:top w:val="none" w:sz="0" w:space="0" w:color="auto"/>
        <w:left w:val="none" w:sz="0" w:space="0" w:color="auto"/>
        <w:bottom w:val="none" w:sz="0" w:space="0" w:color="auto"/>
        <w:right w:val="none" w:sz="0" w:space="0" w:color="auto"/>
      </w:divBdr>
    </w:div>
    <w:div w:id="417143652">
      <w:bodyDiv w:val="1"/>
      <w:marLeft w:val="0"/>
      <w:marRight w:val="0"/>
      <w:marTop w:val="0"/>
      <w:marBottom w:val="0"/>
      <w:divBdr>
        <w:top w:val="none" w:sz="0" w:space="0" w:color="auto"/>
        <w:left w:val="none" w:sz="0" w:space="0" w:color="auto"/>
        <w:bottom w:val="none" w:sz="0" w:space="0" w:color="auto"/>
        <w:right w:val="none" w:sz="0" w:space="0" w:color="auto"/>
      </w:divBdr>
    </w:div>
    <w:div w:id="699209533">
      <w:bodyDiv w:val="1"/>
      <w:marLeft w:val="0"/>
      <w:marRight w:val="0"/>
      <w:marTop w:val="0"/>
      <w:marBottom w:val="0"/>
      <w:divBdr>
        <w:top w:val="none" w:sz="0" w:space="0" w:color="auto"/>
        <w:left w:val="none" w:sz="0" w:space="0" w:color="auto"/>
        <w:bottom w:val="none" w:sz="0" w:space="0" w:color="auto"/>
        <w:right w:val="none" w:sz="0" w:space="0" w:color="auto"/>
      </w:divBdr>
    </w:div>
    <w:div w:id="716592301">
      <w:bodyDiv w:val="1"/>
      <w:marLeft w:val="0"/>
      <w:marRight w:val="0"/>
      <w:marTop w:val="0"/>
      <w:marBottom w:val="0"/>
      <w:divBdr>
        <w:top w:val="none" w:sz="0" w:space="0" w:color="auto"/>
        <w:left w:val="none" w:sz="0" w:space="0" w:color="auto"/>
        <w:bottom w:val="none" w:sz="0" w:space="0" w:color="auto"/>
        <w:right w:val="none" w:sz="0" w:space="0" w:color="auto"/>
      </w:divBdr>
    </w:div>
    <w:div w:id="899287079">
      <w:bodyDiv w:val="1"/>
      <w:marLeft w:val="0"/>
      <w:marRight w:val="0"/>
      <w:marTop w:val="0"/>
      <w:marBottom w:val="0"/>
      <w:divBdr>
        <w:top w:val="none" w:sz="0" w:space="0" w:color="auto"/>
        <w:left w:val="none" w:sz="0" w:space="0" w:color="auto"/>
        <w:bottom w:val="none" w:sz="0" w:space="0" w:color="auto"/>
        <w:right w:val="none" w:sz="0" w:space="0" w:color="auto"/>
      </w:divBdr>
    </w:div>
    <w:div w:id="921569099">
      <w:bodyDiv w:val="1"/>
      <w:marLeft w:val="0"/>
      <w:marRight w:val="0"/>
      <w:marTop w:val="0"/>
      <w:marBottom w:val="0"/>
      <w:divBdr>
        <w:top w:val="none" w:sz="0" w:space="0" w:color="auto"/>
        <w:left w:val="none" w:sz="0" w:space="0" w:color="auto"/>
        <w:bottom w:val="none" w:sz="0" w:space="0" w:color="auto"/>
        <w:right w:val="none" w:sz="0" w:space="0" w:color="auto"/>
      </w:divBdr>
    </w:div>
    <w:div w:id="933395069">
      <w:bodyDiv w:val="1"/>
      <w:marLeft w:val="0"/>
      <w:marRight w:val="0"/>
      <w:marTop w:val="0"/>
      <w:marBottom w:val="0"/>
      <w:divBdr>
        <w:top w:val="none" w:sz="0" w:space="0" w:color="auto"/>
        <w:left w:val="none" w:sz="0" w:space="0" w:color="auto"/>
        <w:bottom w:val="none" w:sz="0" w:space="0" w:color="auto"/>
        <w:right w:val="none" w:sz="0" w:space="0" w:color="auto"/>
      </w:divBdr>
    </w:div>
    <w:div w:id="1185167501">
      <w:bodyDiv w:val="1"/>
      <w:marLeft w:val="0"/>
      <w:marRight w:val="0"/>
      <w:marTop w:val="0"/>
      <w:marBottom w:val="0"/>
      <w:divBdr>
        <w:top w:val="none" w:sz="0" w:space="0" w:color="auto"/>
        <w:left w:val="none" w:sz="0" w:space="0" w:color="auto"/>
        <w:bottom w:val="none" w:sz="0" w:space="0" w:color="auto"/>
        <w:right w:val="none" w:sz="0" w:space="0" w:color="auto"/>
      </w:divBdr>
    </w:div>
    <w:div w:id="1189879629">
      <w:bodyDiv w:val="1"/>
      <w:marLeft w:val="0"/>
      <w:marRight w:val="0"/>
      <w:marTop w:val="0"/>
      <w:marBottom w:val="0"/>
      <w:divBdr>
        <w:top w:val="none" w:sz="0" w:space="0" w:color="auto"/>
        <w:left w:val="none" w:sz="0" w:space="0" w:color="auto"/>
        <w:bottom w:val="none" w:sz="0" w:space="0" w:color="auto"/>
        <w:right w:val="none" w:sz="0" w:space="0" w:color="auto"/>
      </w:divBdr>
    </w:div>
    <w:div w:id="1313951596">
      <w:bodyDiv w:val="1"/>
      <w:marLeft w:val="0"/>
      <w:marRight w:val="0"/>
      <w:marTop w:val="0"/>
      <w:marBottom w:val="0"/>
      <w:divBdr>
        <w:top w:val="none" w:sz="0" w:space="0" w:color="auto"/>
        <w:left w:val="none" w:sz="0" w:space="0" w:color="auto"/>
        <w:bottom w:val="none" w:sz="0" w:space="0" w:color="auto"/>
        <w:right w:val="none" w:sz="0" w:space="0" w:color="auto"/>
      </w:divBdr>
    </w:div>
    <w:div w:id="1362514262">
      <w:bodyDiv w:val="1"/>
      <w:marLeft w:val="0"/>
      <w:marRight w:val="0"/>
      <w:marTop w:val="0"/>
      <w:marBottom w:val="0"/>
      <w:divBdr>
        <w:top w:val="none" w:sz="0" w:space="0" w:color="auto"/>
        <w:left w:val="none" w:sz="0" w:space="0" w:color="auto"/>
        <w:bottom w:val="none" w:sz="0" w:space="0" w:color="auto"/>
        <w:right w:val="none" w:sz="0" w:space="0" w:color="auto"/>
      </w:divBdr>
    </w:div>
    <w:div w:id="1593666419">
      <w:bodyDiv w:val="1"/>
      <w:marLeft w:val="0"/>
      <w:marRight w:val="0"/>
      <w:marTop w:val="0"/>
      <w:marBottom w:val="0"/>
      <w:divBdr>
        <w:top w:val="none" w:sz="0" w:space="0" w:color="auto"/>
        <w:left w:val="none" w:sz="0" w:space="0" w:color="auto"/>
        <w:bottom w:val="none" w:sz="0" w:space="0" w:color="auto"/>
        <w:right w:val="none" w:sz="0" w:space="0" w:color="auto"/>
      </w:divBdr>
    </w:div>
    <w:div w:id="1607811057">
      <w:bodyDiv w:val="1"/>
      <w:marLeft w:val="0"/>
      <w:marRight w:val="0"/>
      <w:marTop w:val="0"/>
      <w:marBottom w:val="0"/>
      <w:divBdr>
        <w:top w:val="none" w:sz="0" w:space="0" w:color="auto"/>
        <w:left w:val="none" w:sz="0" w:space="0" w:color="auto"/>
        <w:bottom w:val="none" w:sz="0" w:space="0" w:color="auto"/>
        <w:right w:val="none" w:sz="0" w:space="0" w:color="auto"/>
      </w:divBdr>
    </w:div>
    <w:div w:id="1750227218">
      <w:bodyDiv w:val="1"/>
      <w:marLeft w:val="0"/>
      <w:marRight w:val="0"/>
      <w:marTop w:val="0"/>
      <w:marBottom w:val="0"/>
      <w:divBdr>
        <w:top w:val="none" w:sz="0" w:space="0" w:color="auto"/>
        <w:left w:val="none" w:sz="0" w:space="0" w:color="auto"/>
        <w:bottom w:val="none" w:sz="0" w:space="0" w:color="auto"/>
        <w:right w:val="none" w:sz="0" w:space="0" w:color="auto"/>
      </w:divBdr>
    </w:div>
    <w:div w:id="1758818687">
      <w:bodyDiv w:val="1"/>
      <w:marLeft w:val="0"/>
      <w:marRight w:val="0"/>
      <w:marTop w:val="0"/>
      <w:marBottom w:val="0"/>
      <w:divBdr>
        <w:top w:val="none" w:sz="0" w:space="0" w:color="auto"/>
        <w:left w:val="none" w:sz="0" w:space="0" w:color="auto"/>
        <w:bottom w:val="none" w:sz="0" w:space="0" w:color="auto"/>
        <w:right w:val="none" w:sz="0" w:space="0" w:color="auto"/>
      </w:divBdr>
    </w:div>
    <w:div w:id="1992904341">
      <w:bodyDiv w:val="1"/>
      <w:marLeft w:val="0"/>
      <w:marRight w:val="0"/>
      <w:marTop w:val="0"/>
      <w:marBottom w:val="0"/>
      <w:divBdr>
        <w:top w:val="none" w:sz="0" w:space="0" w:color="auto"/>
        <w:left w:val="none" w:sz="0" w:space="0" w:color="auto"/>
        <w:bottom w:val="none" w:sz="0" w:space="0" w:color="auto"/>
        <w:right w:val="none" w:sz="0" w:space="0" w:color="auto"/>
      </w:divBdr>
    </w:div>
    <w:div w:id="2014992024">
      <w:bodyDiv w:val="1"/>
      <w:marLeft w:val="0"/>
      <w:marRight w:val="0"/>
      <w:marTop w:val="0"/>
      <w:marBottom w:val="0"/>
      <w:divBdr>
        <w:top w:val="none" w:sz="0" w:space="0" w:color="auto"/>
        <w:left w:val="none" w:sz="0" w:space="0" w:color="auto"/>
        <w:bottom w:val="none" w:sz="0" w:space="0" w:color="auto"/>
        <w:right w:val="none" w:sz="0" w:space="0" w:color="auto"/>
      </w:divBdr>
    </w:div>
    <w:div w:id="2052219192">
      <w:bodyDiv w:val="1"/>
      <w:marLeft w:val="0"/>
      <w:marRight w:val="0"/>
      <w:marTop w:val="0"/>
      <w:marBottom w:val="0"/>
      <w:divBdr>
        <w:top w:val="none" w:sz="0" w:space="0" w:color="auto"/>
        <w:left w:val="none" w:sz="0" w:space="0" w:color="auto"/>
        <w:bottom w:val="none" w:sz="0" w:space="0" w:color="auto"/>
        <w:right w:val="none" w:sz="0" w:space="0" w:color="auto"/>
      </w:divBdr>
    </w:div>
    <w:div w:id="2079008412">
      <w:bodyDiv w:val="1"/>
      <w:marLeft w:val="0"/>
      <w:marRight w:val="0"/>
      <w:marTop w:val="0"/>
      <w:marBottom w:val="0"/>
      <w:divBdr>
        <w:top w:val="none" w:sz="0" w:space="0" w:color="auto"/>
        <w:left w:val="none" w:sz="0" w:space="0" w:color="auto"/>
        <w:bottom w:val="none" w:sz="0" w:space="0" w:color="auto"/>
        <w:right w:val="none" w:sz="0" w:space="0" w:color="auto"/>
      </w:divBdr>
    </w:div>
    <w:div w:id="208995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ilw.com/seminars/JohnNeillCi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Kei01</b:Tag>
    <b:SourceType>JournalArticle</b:SourceType>
    <b:Guid>{A0843040-038B-436D-B613-D31E48F67D03}</b:Guid>
    <b:Author>
      <b:Author>
        <b:Corporate>Keith R. Ihlanfeldt, David L. Sjoquist</b:Corporate>
      </b:Author>
    </b:Author>
    <b:Title>Conducting an Analysis of Georgia’s Economic Development Tax Incentive Program</b:Title>
    <b:Year>2001</b:Year>
    <b:Month>August</b:Month>
    <b:JournalName>ECONOMIC DEVELOPMENT QUARTERLY</b:JournalName>
    <b:Pages>217-228</b:Pages>
    <b:Publisher>Sage Publications</b:Publisher>
    <b:Volume>15</b:Volume>
    <b:Issue>3</b:Issue>
    <b:RefOrder>2</b:RefOrder>
  </b:Source>
  <b:Source>
    <b:Tag>MOD</b:Tag>
    <b:SourceType>InternetSite</b:SourceType>
    <b:Guid>{BCEA689A-4171-43CD-A07E-1F467FC70C08}</b:Guid>
    <b:Title>MODELS: TAX-PI</b:Title>
    <b:InternetSiteTitle>Regional Economic Models, Inc.</b:InternetSiteTitle>
    <b:URL>https://www.remi.com/model/tax-pi/</b:URL>
    <b:RefOrder>1</b:RefOrder>
  </b:Source>
</b:Sources>
</file>

<file path=customXml/itemProps1.xml><?xml version="1.0" encoding="utf-8"?>
<ds:datastoreItem xmlns:ds="http://schemas.openxmlformats.org/officeDocument/2006/customXml" ds:itemID="{126B1E9C-008E-4B55-85A4-D90A3E2ED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Commonwealth of MA</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 Pokharel</dc:creator>
  <cp:lastModifiedBy>Tansey, Ellen (DOR)</cp:lastModifiedBy>
  <cp:revision>2</cp:revision>
  <cp:lastPrinted>2020-01-28T19:08:00Z</cp:lastPrinted>
  <dcterms:created xsi:type="dcterms:W3CDTF">2020-11-03T17:54:00Z</dcterms:created>
  <dcterms:modified xsi:type="dcterms:W3CDTF">2020-11-03T17:54:00Z</dcterms:modified>
</cp:coreProperties>
</file>