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sz w:val="20"/>
        </w:rPr>
      </w:pPr>
      <w:r>
        <w:rPr>
          <w:sz w:val="20"/>
        </w:rPr>
        <w:drawing>
          <wp:inline distT="0" distB="0" distL="0" distR="0">
            <wp:extent cx="907630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30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6"/>
        </w:rPr>
      </w:pPr>
    </w:p>
    <w:p>
      <w:pPr>
        <w:spacing w:line="185" w:lineRule="exact" w:before="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BAKER</w:t>
      </w:r>
    </w:p>
    <w:p>
      <w:pPr>
        <w:spacing w:before="0"/>
        <w:ind w:left="97" w:right="3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5" w:lineRule="exact" w:before="12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POLITO</w:t>
      </w:r>
    </w:p>
    <w:p>
      <w:pPr>
        <w:spacing w:line="162" w:lineRule="exact" w:before="0"/>
        <w:ind w:left="97" w:right="28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4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0"/>
        </w:rPr>
        <w:t> </w:t>
      </w:r>
      <w:r>
        <w:rPr/>
        <w:t>Commonwealth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Massachusetts</w:t>
      </w:r>
    </w:p>
    <w:p>
      <w:pPr>
        <w:spacing w:before="0"/>
        <w:ind w:left="116" w:right="47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line="321" w:lineRule="exact" w:before="0"/>
        <w:ind w:left="172" w:right="104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line="185" w:lineRule="exact" w:before="106"/>
        <w:ind w:left="98" w:right="99" w:firstLine="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MARYLOU</w:t>
      </w:r>
      <w:r>
        <w:rPr>
          <w:rFonts w:ascii="Arial Rounded MT Bold"/>
          <w:spacing w:val="1"/>
          <w:sz w:val="16"/>
        </w:rPr>
        <w:t> </w:t>
      </w:r>
      <w:r>
        <w:rPr>
          <w:rFonts w:ascii="Arial Rounded MT Bold"/>
          <w:spacing w:val="-2"/>
          <w:sz w:val="16"/>
        </w:rPr>
        <w:t>SUDDERS</w:t>
      </w:r>
    </w:p>
    <w:p>
      <w:pPr>
        <w:spacing w:line="162" w:lineRule="exact" w:before="0"/>
        <w:ind w:left="98" w:right="97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20"/>
        <w:ind w:left="98" w:right="9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COOKE</w:t>
      </w:r>
    </w:p>
    <w:p>
      <w:pPr>
        <w:spacing w:before="0"/>
        <w:ind w:left="98" w:right="98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rPr>
          <w:rFonts w:ascii="Arial Rounded MT Bold"/>
          <w:sz w:val="14"/>
        </w:rPr>
      </w:pPr>
    </w:p>
    <w:p>
      <w:pPr>
        <w:spacing w:before="0"/>
        <w:ind w:left="98" w:right="9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98" w:right="98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700" w:right="520"/>
          <w:cols w:num="3" w:equalWidth="0">
            <w:col w:w="1745" w:space="732"/>
            <w:col w:w="6269" w:space="405"/>
            <w:col w:w="1869"/>
          </w:cols>
        </w:sect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tabs>
          <w:tab w:pos="2540" w:val="left" w:leader="none"/>
        </w:tabs>
        <w:spacing w:before="90"/>
        <w:ind w:left="38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TO:</w:t>
      </w:r>
      <w:r>
        <w:rPr>
          <w:b/>
          <w:sz w:val="24"/>
        </w:rPr>
        <w:tab/>
        <w:t>BSAS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LICENSEES,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PROVIDERS,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STAKEHOLDERS</w:t>
      </w:r>
    </w:p>
    <w:p>
      <w:pPr>
        <w:pStyle w:val="BodyText"/>
        <w:spacing w:before="1"/>
        <w:rPr>
          <w:b/>
          <w:sz w:val="26"/>
        </w:rPr>
      </w:pPr>
    </w:p>
    <w:p>
      <w:pPr>
        <w:tabs>
          <w:tab w:pos="2540" w:val="left" w:leader="none"/>
        </w:tabs>
        <w:spacing w:before="0"/>
        <w:ind w:left="2540" w:right="1697" w:hanging="2161"/>
        <w:jc w:val="left"/>
        <w:rPr>
          <w:b/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  <w:t>DEIRDRE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CALVERT,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DIRECTOR,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BUREAU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SUBSTANCE ADDICTION SERVICES</w:t>
      </w:r>
    </w:p>
    <w:p>
      <w:pPr>
        <w:pStyle w:val="BodyText"/>
        <w:spacing w:before="1"/>
        <w:rPr>
          <w:b/>
          <w:sz w:val="26"/>
        </w:rPr>
      </w:pPr>
    </w:p>
    <w:p>
      <w:pPr>
        <w:tabs>
          <w:tab w:pos="2540" w:val="left" w:leader="none"/>
        </w:tabs>
        <w:spacing w:before="0"/>
        <w:ind w:left="2540" w:right="558" w:hanging="2161"/>
        <w:jc w:val="both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UPDATES TO REGULATIONS RELATED TO </w:t>
      </w:r>
      <w:r>
        <w:rPr>
          <w:b/>
          <w:sz w:val="24"/>
        </w:rPr>
        <w:t>REQUIRED NOTIFICATION 105 CMR 164.000 – LICENSURE OF SUBSTANCE USE DISORDER TREATMENT PROGRAMS</w:t>
      </w:r>
    </w:p>
    <w:p>
      <w:pPr>
        <w:pStyle w:val="BodyText"/>
        <w:spacing w:before="1"/>
        <w:rPr>
          <w:b/>
          <w:sz w:val="26"/>
        </w:rPr>
      </w:pPr>
    </w:p>
    <w:p>
      <w:pPr>
        <w:tabs>
          <w:tab w:pos="2540" w:val="left" w:leader="none"/>
        </w:tabs>
        <w:spacing w:before="0"/>
        <w:ind w:left="380" w:right="0" w:firstLine="0"/>
        <w:jc w:val="left"/>
        <w:rPr>
          <w:b/>
          <w:sz w:val="24"/>
        </w:rPr>
      </w:pPr>
      <w:r>
        <w:rPr/>
        <w:pict>
          <v:rect style="position:absolute;margin-left:52.5pt;margin-top:14.743131pt;width:507.06pt;height:1.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  <w:t>NOVEMBER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11,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2022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0"/>
        <w:ind w:left="380" w:right="556"/>
        <w:jc w:val="both"/>
      </w:pPr>
      <w:r>
        <w:rPr/>
        <w:t>This</w:t>
      </w:r>
      <w:r>
        <w:rPr/>
        <w:t> document</w:t>
      </w:r>
      <w:r>
        <w:rPr/>
        <w:t> is intended to issue guidance to all providers licensed/approved by the Massachusetts Department of Public Health’s (DPH) Bureau of Substance Addiction Services (BSAS) regarding compliance with new requirements for required notifications in BSAS’ regulation for </w:t>
      </w:r>
      <w:r>
        <w:rPr>
          <w:i/>
        </w:rPr>
        <w:t>Licensure of</w:t>
      </w:r>
      <w:r>
        <w:rPr>
          <w:i/>
        </w:rPr>
        <w:t> Substance Use Disorder Treatment Programs</w:t>
      </w:r>
      <w:r>
        <w:rPr/>
        <w:t>, 105 CMR 164.000.</w:t>
      </w:r>
    </w:p>
    <w:p>
      <w:pPr>
        <w:pStyle w:val="BodyText"/>
        <w:spacing w:before="5"/>
      </w:pPr>
    </w:p>
    <w:p>
      <w:pPr>
        <w:pStyle w:val="BodyText"/>
        <w:ind w:left="380" w:right="624"/>
      </w:pPr>
      <w:r>
        <w:rPr/>
        <w:t>BSAS</w:t>
      </w:r>
      <w:r>
        <w:rPr>
          <w:spacing w:val="-4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facts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encourages</w:t>
      </w:r>
      <w:r>
        <w:rPr>
          <w:spacing w:val="-3"/>
        </w:rPr>
        <w:t> </w:t>
      </w:r>
      <w:r>
        <w:rPr/>
        <w:t>stakeholders with specific questions to contact your Regional License Inspector: </w:t>
      </w:r>
      <w:hyperlink r:id="rId7">
        <w:r>
          <w:rPr>
            <w:color w:val="0000FF"/>
            <w:u w:val="single" w:color="0000FF"/>
          </w:rPr>
          <w:t>https://www.mass.gov/service-</w:t>
        </w:r>
      </w:hyperlink>
      <w:r>
        <w:rPr>
          <w:color w:val="0000FF"/>
        </w:rPr>
        <w:t> </w:t>
      </w:r>
      <w:hyperlink r:id="rId7">
        <w:r>
          <w:rPr>
            <w:color w:val="0000FF"/>
            <w:spacing w:val="-2"/>
            <w:u w:val="single" w:color="0000FF"/>
          </w:rPr>
          <w:t>details/information-for-licensed-substance-use-disorder-treatment-programs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380" w:right="557"/>
        <w:jc w:val="both"/>
      </w:pPr>
      <w:r>
        <w:rPr/>
        <w:t>BSAS encourages all providers to review the updated regulation in its entirety, which may be found at the following link: </w:t>
      </w:r>
      <w:hyperlink r:id="rId8">
        <w:r>
          <w:rPr>
            <w:color w:val="0000FF"/>
            <w:u w:val="single" w:color="0000FF"/>
          </w:rPr>
          <w:t>https://www.mass.gov/regulations/105-CMR-16400-licensure-of-substance-abuse-</w:t>
        </w:r>
      </w:hyperlink>
      <w:r>
        <w:rPr>
          <w:color w:val="0000FF"/>
        </w:rPr>
        <w:t> </w:t>
      </w:r>
      <w:hyperlink r:id="rId8">
        <w:r>
          <w:rPr>
            <w:color w:val="0000FF"/>
            <w:spacing w:val="-2"/>
            <w:u w:val="single" w:color="0000FF"/>
          </w:rPr>
          <w:t>treatment-programs</w:t>
        </w:r>
      </w:hyperlink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ind w:left="380" w:firstLine="0"/>
      </w:pPr>
      <w:r>
        <w:rPr>
          <w:u w:val="single"/>
        </w:rPr>
        <w:t>Requirements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Clarifications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380" w:right="556" w:firstLine="0"/>
        <w:jc w:val="both"/>
        <w:rPr>
          <w:sz w:val="24"/>
        </w:rPr>
      </w:pPr>
      <w:r>
        <w:rPr>
          <w:sz w:val="24"/>
        </w:rPr>
        <w:t>Providers must ensure that any event that results, or may result, in a risk to patients’, residents’, or staff health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reported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BSAS.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CMR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164.035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(F)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distinguish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which types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Department immediately </w:t>
      </w:r>
      <w:r>
        <w:rPr>
          <w:sz w:val="24"/>
        </w:rPr>
        <w:t>(under</w:t>
      </w:r>
      <w:r>
        <w:rPr>
          <w:spacing w:val="-2"/>
          <w:sz w:val="24"/>
        </w:rPr>
        <w:t> </w:t>
      </w:r>
      <w:r>
        <w:rPr>
          <w:sz w:val="24"/>
        </w:rPr>
        <w:t>105</w:t>
      </w:r>
      <w:r>
        <w:rPr>
          <w:spacing w:val="-2"/>
          <w:sz w:val="24"/>
        </w:rPr>
        <w:t> </w:t>
      </w:r>
      <w:r>
        <w:rPr>
          <w:sz w:val="24"/>
        </w:rPr>
        <w:t>CMR</w:t>
      </w:r>
      <w:r>
        <w:rPr>
          <w:spacing w:val="-1"/>
          <w:sz w:val="24"/>
        </w:rPr>
        <w:t> </w:t>
      </w:r>
      <w:r>
        <w:rPr>
          <w:sz w:val="24"/>
        </w:rPr>
        <w:t>164.035</w:t>
      </w:r>
      <w:r>
        <w:rPr>
          <w:spacing w:val="-2"/>
          <w:sz w:val="24"/>
        </w:rPr>
        <w:t> </w:t>
      </w:r>
      <w:r>
        <w:rPr>
          <w:sz w:val="24"/>
        </w:rPr>
        <w:t>(F)</w:t>
      </w:r>
      <w:r>
        <w:rPr>
          <w:spacing w:val="-1"/>
          <w:sz w:val="24"/>
        </w:rPr>
        <w:t> </w:t>
      </w:r>
      <w:r>
        <w:rPr>
          <w:sz w:val="24"/>
        </w:rPr>
        <w:t>1),</w:t>
      </w:r>
      <w:r>
        <w:rPr>
          <w:spacing w:val="-1"/>
          <w:sz w:val="24"/>
        </w:rPr>
        <w:t> </w:t>
      </w:r>
      <w:r>
        <w:rPr>
          <w:sz w:val="24"/>
        </w:rPr>
        <w:t>or </w:t>
      </w:r>
      <w:r>
        <w:rPr>
          <w:b/>
          <w:sz w:val="24"/>
        </w:rPr>
        <w:t>within five business days </w:t>
      </w:r>
      <w:r>
        <w:rPr>
          <w:sz w:val="24"/>
        </w:rPr>
        <w:t>(under 105 CMR 164.035 (F) 2).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80" w:right="557"/>
        <w:jc w:val="both"/>
      </w:pPr>
      <w:r>
        <w:rPr/>
        <w:t>As noted on the </w:t>
      </w:r>
      <w:r>
        <w:rPr>
          <w:i/>
        </w:rPr>
        <w:t>Health and Safety Required Notifications Reporting Form</w:t>
      </w:r>
      <w:r>
        <w:rPr/>
        <w:t>, reportable events require Providers to submit detailed information in a narrative format which include but are not limited to: the individuals involved, circumstances around the event, date of the event, date of patient admission, shift during which this event occurred, location of event, and any other relevant information.</w:t>
      </w:r>
    </w:p>
    <w:p>
      <w:pPr>
        <w:pStyle w:val="BodyText"/>
        <w:spacing w:before="1"/>
      </w:pPr>
    </w:p>
    <w:p>
      <w:pPr>
        <w:spacing w:before="0"/>
        <w:ind w:left="380" w:right="557" w:firstLine="0"/>
        <w:jc w:val="both"/>
        <w:rPr>
          <w:sz w:val="24"/>
        </w:rPr>
      </w:pPr>
      <w:r>
        <w:rPr>
          <w:sz w:val="24"/>
        </w:rPr>
        <w:t>To access the </w:t>
      </w:r>
      <w:r>
        <w:rPr>
          <w:i/>
          <w:sz w:val="24"/>
        </w:rPr>
        <w:t>Required Notification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Reporting Form </w:t>
      </w:r>
      <w:r>
        <w:rPr>
          <w:sz w:val="24"/>
        </w:rPr>
        <w:t>please visit: </w:t>
      </w:r>
      <w:hyperlink r:id="rId9">
        <w:r>
          <w:rPr>
            <w:color w:val="0000FF"/>
            <w:sz w:val="24"/>
            <w:u w:val="single" w:color="0000FF"/>
          </w:rPr>
          <w:t>https://www.mass.gov/doc/health-and-</w:t>
        </w:r>
      </w:hyperlink>
      <w:r>
        <w:rPr>
          <w:color w:val="0000FF"/>
          <w:sz w:val="24"/>
        </w:rPr>
        <w:t> </w:t>
      </w:r>
      <w:hyperlink r:id="rId9">
        <w:r>
          <w:rPr>
            <w:color w:val="0000FF"/>
            <w:spacing w:val="-2"/>
            <w:sz w:val="24"/>
            <w:u w:val="single" w:color="0000FF"/>
          </w:rPr>
          <w:t>safety-required-notification-form-0/download</w:t>
        </w:r>
      </w:hyperlink>
    </w:p>
    <w:p>
      <w:pPr>
        <w:spacing w:after="0"/>
        <w:jc w:val="both"/>
        <w:rPr>
          <w:sz w:val="24"/>
        </w:rPr>
        <w:sectPr>
          <w:type w:val="continuous"/>
          <w:pgSz w:w="12240" w:h="15840"/>
          <w:pgMar w:top="560" w:bottom="280" w:left="700" w:right="520"/>
        </w:sectPr>
      </w:pPr>
    </w:p>
    <w:p>
      <w:pPr>
        <w:pStyle w:val="Heading1"/>
        <w:spacing w:before="60"/>
        <w:ind w:left="380" w:firstLine="0"/>
      </w:pPr>
      <w:r>
        <w:rPr>
          <w:u w:val="single"/>
        </w:rPr>
        <w:t>Events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reported</w:t>
      </w:r>
      <w:r>
        <w:rPr>
          <w:spacing w:val="-4"/>
          <w:u w:val="single"/>
        </w:rPr>
        <w:t> </w:t>
      </w:r>
      <w:r>
        <w:rPr>
          <w:u w:val="single"/>
        </w:rPr>
        <w:t>immediately</w:t>
      </w:r>
      <w:r>
        <w:rPr>
          <w:spacing w:val="-4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accordance</w:t>
      </w:r>
      <w:r>
        <w:rPr>
          <w:spacing w:val="-2"/>
          <w:u w:val="single"/>
        </w:rPr>
        <w:t> </w:t>
      </w:r>
      <w:r>
        <w:rPr>
          <w:u w:val="single"/>
        </w:rPr>
        <w:t>with</w:t>
      </w:r>
      <w:r>
        <w:rPr>
          <w:spacing w:val="-2"/>
          <w:u w:val="single"/>
        </w:rPr>
        <w:t> </w:t>
      </w:r>
      <w:r>
        <w:rPr>
          <w:u w:val="single"/>
        </w:rPr>
        <w:t>105</w:t>
      </w:r>
      <w:r>
        <w:rPr>
          <w:spacing w:val="-2"/>
          <w:u w:val="single"/>
        </w:rPr>
        <w:t> </w:t>
      </w:r>
      <w:r>
        <w:rPr>
          <w:u w:val="single"/>
        </w:rPr>
        <w:t>CMR</w:t>
      </w:r>
      <w:r>
        <w:rPr>
          <w:spacing w:val="-3"/>
          <w:u w:val="single"/>
        </w:rPr>
        <w:t> </w:t>
      </w:r>
      <w:r>
        <w:rPr>
          <w:u w:val="single"/>
        </w:rPr>
        <w:t>164.035(F)(1),</w:t>
      </w:r>
      <w:r>
        <w:rPr>
          <w:spacing w:val="-4"/>
          <w:u w:val="single"/>
        </w:rPr>
        <w:t> </w:t>
      </w:r>
      <w:r>
        <w:rPr>
          <w:u w:val="single"/>
        </w:rPr>
        <w:t>164.535</w:t>
      </w:r>
      <w:r>
        <w:rPr>
          <w:spacing w:val="-2"/>
          <w:u w:val="single"/>
        </w:rPr>
        <w:t> </w:t>
      </w:r>
      <w:r>
        <w:rPr>
          <w:u w:val="single"/>
        </w:rPr>
        <w:t>(F)</w:t>
      </w:r>
      <w:r>
        <w:rPr>
          <w:spacing w:val="-3"/>
          <w:u w:val="single"/>
        </w:rPr>
        <w:t> </w:t>
      </w:r>
      <w:r>
        <w:rPr>
          <w:u w:val="single"/>
        </w:rPr>
        <w:t>(1)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/>
        <w:t> </w:t>
      </w:r>
      <w:r>
        <w:rPr>
          <w:u w:val="single"/>
        </w:rPr>
        <w:t>164.620 (F) (1):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380" w:right="624" w:firstLine="0"/>
        <w:jc w:val="left"/>
        <w:rPr>
          <w:sz w:val="24"/>
        </w:rPr>
      </w:pPr>
      <w:r>
        <w:rPr>
          <w:sz w:val="24"/>
        </w:rPr>
        <w:t>Below includes, but does not limit, incidents which must be reported to BSAS immediately. These incidents are significant and pose a serious and imminent threat to patient, resident, and/or staff health and safety at the Program. Notifying the Department immediately means </w:t>
      </w:r>
      <w:r>
        <w:rPr>
          <w:b/>
          <w:sz w:val="24"/>
        </w:rPr>
        <w:t>as soon as the Licensed or Approved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occurring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auspice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licensed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approved </w:t>
      </w:r>
      <w:r>
        <w:rPr>
          <w:b/>
          <w:spacing w:val="-2"/>
          <w:sz w:val="24"/>
        </w:rPr>
        <w:t>program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  <w:ind w:left="380" w:right="624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examples;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exhaustive</w:t>
      </w:r>
      <w:r>
        <w:rPr>
          <w:spacing w:val="-3"/>
        </w:rPr>
        <w:t> </w:t>
      </w:r>
      <w:r>
        <w:rPr/>
        <w:t>list.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expectation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Licensed</w:t>
      </w:r>
      <w:r>
        <w:rPr>
          <w:spacing w:val="-5"/>
        </w:rPr>
        <w:t> </w:t>
      </w:r>
      <w:r>
        <w:rPr/>
        <w:t>and Approved providers is to assess each event and report accordingly.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100" w:right="0" w:hanging="360"/>
        <w:jc w:val="both"/>
      </w:pPr>
      <w:r>
        <w:rPr/>
        <w:t>Death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occurred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>
          <w:spacing w:val="-2"/>
        </w:rPr>
        <w:t>auspices</w:t>
      </w:r>
    </w:p>
    <w:p>
      <w:pPr>
        <w:pStyle w:val="BodyText"/>
        <w:spacing w:before="20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Serious</w:t>
      </w:r>
      <w:r>
        <w:rPr>
          <w:spacing w:val="27"/>
        </w:rPr>
        <w:t> </w:t>
      </w:r>
      <w:r>
        <w:rPr/>
        <w:t>injuries</w:t>
      </w:r>
      <w:r>
        <w:rPr>
          <w:spacing w:val="27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non-fatal</w:t>
      </w:r>
      <w:r>
        <w:rPr>
          <w:spacing w:val="26"/>
        </w:rPr>
        <w:t> </w:t>
      </w:r>
      <w:r>
        <w:rPr/>
        <w:t>overdose,</w:t>
      </w:r>
      <w:r>
        <w:rPr>
          <w:spacing w:val="27"/>
        </w:rPr>
        <w:t> </w:t>
      </w:r>
      <w:r>
        <w:rPr/>
        <w:t>adverse</w:t>
      </w:r>
      <w:r>
        <w:rPr>
          <w:spacing w:val="27"/>
        </w:rPr>
        <w:t> </w:t>
      </w:r>
      <w:r>
        <w:rPr/>
        <w:t>medical</w:t>
      </w:r>
      <w:r>
        <w:rPr>
          <w:spacing w:val="27"/>
        </w:rPr>
        <w:t> </w:t>
      </w:r>
      <w:r>
        <w:rPr/>
        <w:t>event,</w:t>
      </w:r>
      <w:r>
        <w:rPr>
          <w:spacing w:val="27"/>
        </w:rPr>
        <w:t> </w:t>
      </w:r>
      <w:r>
        <w:rPr/>
        <w:t>instances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self- mutilation, or suicidal ideation with intent.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56" w:lineRule="auto" w:before="0" w:after="0"/>
        <w:ind w:left="1100" w:right="561" w:hanging="360"/>
        <w:jc w:val="left"/>
      </w:pPr>
      <w:r>
        <w:rPr/>
        <w:t>Alleged</w:t>
      </w:r>
      <w:r>
        <w:rPr>
          <w:spacing w:val="72"/>
        </w:rPr>
        <w:t> </w:t>
      </w:r>
      <w:r>
        <w:rPr/>
        <w:t>abuse,</w:t>
      </w:r>
      <w:r>
        <w:rPr>
          <w:spacing w:val="72"/>
        </w:rPr>
        <w:t> </w:t>
      </w:r>
      <w:r>
        <w:rPr/>
        <w:t>neglect,</w:t>
      </w:r>
      <w:r>
        <w:rPr>
          <w:spacing w:val="72"/>
        </w:rPr>
        <w:t> </w:t>
      </w:r>
      <w:r>
        <w:rPr/>
        <w:t>physical</w:t>
      </w:r>
      <w:r>
        <w:rPr>
          <w:spacing w:val="72"/>
        </w:rPr>
        <w:t> </w:t>
      </w:r>
      <w:r>
        <w:rPr/>
        <w:t>or</w:t>
      </w:r>
      <w:r>
        <w:rPr>
          <w:spacing w:val="72"/>
        </w:rPr>
        <w:t> </w:t>
      </w:r>
      <w:r>
        <w:rPr/>
        <w:t>sexual</w:t>
      </w:r>
      <w:r>
        <w:rPr>
          <w:spacing w:val="71"/>
        </w:rPr>
        <w:t> </w:t>
      </w:r>
      <w:r>
        <w:rPr/>
        <w:t>assault,</w:t>
      </w:r>
      <w:r>
        <w:rPr>
          <w:spacing w:val="70"/>
        </w:rPr>
        <w:t> </w:t>
      </w:r>
      <w:r>
        <w:rPr/>
        <w:t>harassment,</w:t>
      </w:r>
      <w:r>
        <w:rPr>
          <w:spacing w:val="71"/>
        </w:rPr>
        <w:t> </w:t>
      </w:r>
      <w:r>
        <w:rPr/>
        <w:t>or</w:t>
      </w:r>
      <w:r>
        <w:rPr>
          <w:spacing w:val="72"/>
        </w:rPr>
        <w:t> </w:t>
      </w:r>
      <w:r>
        <w:rPr/>
        <w:t>other</w:t>
      </w:r>
      <w:r>
        <w:rPr>
          <w:spacing w:val="72"/>
        </w:rPr>
        <w:t> </w:t>
      </w:r>
      <w:r>
        <w:rPr/>
        <w:t>serious</w:t>
      </w:r>
      <w:r>
        <w:rPr>
          <w:spacing w:val="72"/>
        </w:rPr>
        <w:t> </w:t>
      </w:r>
      <w:r>
        <w:rPr/>
        <w:t>staff </w:t>
      </w:r>
      <w:r>
        <w:rPr>
          <w:spacing w:val="-2"/>
        </w:rPr>
        <w:t>misconduct</w:t>
      </w:r>
    </w:p>
    <w:p>
      <w:pPr>
        <w:pStyle w:val="BodyText"/>
        <w:spacing w:before="2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Report</w:t>
      </w:r>
      <w:r>
        <w:rPr>
          <w:spacing w:val="36"/>
        </w:rPr>
        <w:t> </w:t>
      </w:r>
      <w:r>
        <w:rPr/>
        <w:t>should</w:t>
      </w:r>
      <w:r>
        <w:rPr>
          <w:spacing w:val="36"/>
        </w:rPr>
        <w:t> </w:t>
      </w:r>
      <w:r>
        <w:rPr/>
        <w:t>also</w:t>
      </w:r>
      <w:r>
        <w:rPr>
          <w:spacing w:val="35"/>
        </w:rPr>
        <w:t> </w:t>
      </w:r>
      <w:r>
        <w:rPr/>
        <w:t>indicate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type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violation</w:t>
      </w:r>
      <w:r>
        <w:rPr>
          <w:spacing w:val="36"/>
        </w:rPr>
        <w:t> </w:t>
      </w:r>
      <w:r>
        <w:rPr/>
        <w:t>(such</w:t>
      </w:r>
      <w:r>
        <w:rPr>
          <w:spacing w:val="36"/>
        </w:rPr>
        <w:t> </w:t>
      </w:r>
      <w:r>
        <w:rPr/>
        <w:t>as</w:t>
      </w:r>
      <w:r>
        <w:rPr>
          <w:spacing w:val="35"/>
        </w:rPr>
        <w:t> </w:t>
      </w:r>
      <w:r>
        <w:rPr/>
        <w:t>boundary</w:t>
      </w:r>
      <w:r>
        <w:rPr>
          <w:spacing w:val="36"/>
        </w:rPr>
        <w:t> </w:t>
      </w:r>
      <w:r>
        <w:rPr/>
        <w:t>violations,</w:t>
      </w:r>
      <w:r>
        <w:rPr>
          <w:spacing w:val="36"/>
        </w:rPr>
        <w:t> </w:t>
      </w:r>
      <w:r>
        <w:rPr/>
        <w:t>sexual harassment, or sexual misconduct)</w:t>
      </w:r>
    </w:p>
    <w:p>
      <w:pPr>
        <w:pStyle w:val="BodyText"/>
        <w:spacing w:before="23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/>
        <w:t>Staff being impaired at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765" w:hanging="360"/>
        <w:jc w:val="left"/>
      </w:pPr>
      <w:r>
        <w:rPr/>
        <w:t>Report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neglect</w:t>
      </w:r>
      <w:r>
        <w:rPr>
          <w:spacing w:val="-4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and/or</w:t>
      </w:r>
      <w:r>
        <w:rPr>
          <w:spacing w:val="-2"/>
        </w:rPr>
        <w:t> </w:t>
      </w:r>
      <w:r>
        <w:rPr/>
        <w:t>filed</w:t>
      </w:r>
      <w:r>
        <w:rPr>
          <w:spacing w:val="-5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 of a:</w:t>
      </w:r>
    </w:p>
    <w:p>
      <w:pPr>
        <w:pStyle w:val="BodyText"/>
        <w:spacing w:before="1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/>
        <w:t>Child or </w:t>
      </w:r>
      <w:r>
        <w:rPr>
          <w:spacing w:val="-2"/>
        </w:rPr>
        <w:t>children</w:t>
      </w:r>
    </w:p>
    <w:p>
      <w:pPr>
        <w:pStyle w:val="BodyText"/>
        <w:spacing w:before="1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>
          <w:spacing w:val="-2"/>
        </w:rPr>
        <w:t>Elder(s)</w:t>
      </w:r>
    </w:p>
    <w:p>
      <w:pPr>
        <w:pStyle w:val="BodyText"/>
        <w:spacing w:before="2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5"/>
        </w:rPr>
        <w:t> </w:t>
      </w:r>
      <w:r>
        <w:rPr/>
        <w:t>Individual(s)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disabilities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1" w:after="0"/>
        <w:ind w:left="1100" w:right="0" w:hanging="360"/>
        <w:jc w:val="both"/>
      </w:pPr>
      <w:r>
        <w:rPr/>
        <w:t>Communicable </w:t>
      </w:r>
      <w:r>
        <w:rPr>
          <w:spacing w:val="-2"/>
        </w:rPr>
        <w:t>Diseases</w:t>
      </w:r>
    </w:p>
    <w:p>
      <w:pPr>
        <w:pStyle w:val="BodyText"/>
        <w:spacing w:line="223" w:lineRule="auto" w:before="35"/>
        <w:ind w:left="1820" w:right="1027" w:hanging="360"/>
        <w:jc w:val="both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communicable</w:t>
      </w:r>
      <w:r>
        <w:rPr>
          <w:spacing w:val="-3"/>
        </w:rPr>
        <w:t> </w:t>
      </w:r>
      <w:r>
        <w:rPr/>
        <w:t>disease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transmission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 impact on the health and safety or operations of the program (such as COVID-19).</w:t>
      </w:r>
    </w:p>
    <w:p>
      <w:pPr>
        <w:pStyle w:val="BodyText"/>
        <w:spacing w:line="249" w:lineRule="auto" w:before="4"/>
        <w:ind w:left="1820" w:right="561" w:hanging="360"/>
        <w:jc w:val="both"/>
      </w:pPr>
      <w:r>
        <w:rPr>
          <w:rFonts w:ascii="Courier New" w:hAnsi="Courier New"/>
        </w:rPr>
        <w:t>‒ </w:t>
      </w:r>
      <w:r>
        <w:rPr/>
        <w:t>Report should include information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 program</w:t>
      </w:r>
      <w:r>
        <w:rPr>
          <w:spacing w:val="-1"/>
        </w:rPr>
        <w:t> </w:t>
      </w:r>
      <w:r>
        <w:rPr/>
        <w:t>response, patient</w:t>
      </w:r>
      <w:r>
        <w:rPr>
          <w:spacing w:val="-1"/>
        </w:rPr>
        <w:t> </w:t>
      </w:r>
      <w:r>
        <w:rPr/>
        <w:t>care required,</w:t>
      </w:r>
      <w:r>
        <w:rPr>
          <w:spacing w:val="-2"/>
        </w:rPr>
        <w:t> </w:t>
      </w:r>
      <w:r>
        <w:rPr/>
        <w:t>and other notifications made to Local Boards of Health or the DPH Bureau of Infectious Disease and Laboratory Sciences.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Medication</w:t>
      </w:r>
      <w:r>
        <w:rPr>
          <w:spacing w:val="-4"/>
        </w:rPr>
        <w:t> </w:t>
      </w:r>
      <w:r>
        <w:rPr/>
        <w:t>Errors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Events</w:t>
      </w:r>
    </w:p>
    <w:p>
      <w:pPr>
        <w:pStyle w:val="BodyText"/>
        <w:spacing w:before="19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7"/>
        </w:rPr>
        <w:t> </w:t>
      </w:r>
      <w:r>
        <w:rPr/>
        <w:t>Medication</w:t>
      </w:r>
      <w:r>
        <w:rPr>
          <w:spacing w:val="-3"/>
        </w:rPr>
        <w:t> </w:t>
      </w:r>
      <w:r>
        <w:rPr/>
        <w:t>errors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the potential</w:t>
      </w:r>
      <w:r>
        <w:rPr>
          <w:spacing w:val="-1"/>
        </w:rPr>
        <w:t> </w:t>
      </w:r>
      <w:r>
        <w:rPr/>
        <w:t>for harmful</w:t>
      </w:r>
      <w:r>
        <w:rPr>
          <w:spacing w:val="-2"/>
        </w:rPr>
        <w:t> </w:t>
      </w:r>
      <w:r>
        <w:rPr/>
        <w:t>adverse</w:t>
      </w:r>
      <w:r>
        <w:rPr>
          <w:spacing w:val="-1"/>
        </w:rPr>
        <w:t> </w:t>
      </w:r>
      <w:r>
        <w:rPr>
          <w:spacing w:val="-2"/>
        </w:rPr>
        <w:t>effects.</w:t>
      </w:r>
    </w:p>
    <w:p>
      <w:pPr>
        <w:pStyle w:val="BodyText"/>
        <w:spacing w:before="2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8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diversion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patient, resident,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or any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individual</w:t>
      </w:r>
    </w:p>
    <w:p>
      <w:pPr>
        <w:pStyle w:val="BodyText"/>
        <w:spacing w:before="2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Unaccounted for count discrepancies of controlled substances or substances with a high</w:t>
      </w:r>
      <w:r>
        <w:rPr>
          <w:spacing w:val="40"/>
        </w:rPr>
        <w:t> </w:t>
      </w:r>
      <w:r>
        <w:rPr/>
        <w:t>likelihood of misuse (i.e., gabapentin).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Loss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Essential</w:t>
      </w:r>
      <w:r>
        <w:rPr>
          <w:spacing w:val="-5"/>
        </w:rPr>
        <w:t> </w:t>
      </w:r>
      <w:r>
        <w:rPr>
          <w:spacing w:val="-2"/>
        </w:rPr>
        <w:t>Services</w:t>
      </w:r>
    </w:p>
    <w:p>
      <w:pPr>
        <w:pStyle w:val="BodyText"/>
        <w:spacing w:before="21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8"/>
        </w:rPr>
        <w:t> </w:t>
      </w:r>
      <w:r>
        <w:rPr/>
        <w:t>Evacuation</w:t>
      </w:r>
      <w:r>
        <w:rPr>
          <w:spacing w:val="-1"/>
        </w:rPr>
        <w:t> </w:t>
      </w:r>
      <w:r>
        <w:rPr/>
        <w:t>due to</w:t>
      </w:r>
      <w:r>
        <w:rPr>
          <w:spacing w:val="-1"/>
        </w:rPr>
        <w:t> </w:t>
      </w:r>
      <w:r>
        <w:rPr/>
        <w:t>a fire</w:t>
      </w:r>
      <w:r>
        <w:rPr>
          <w:spacing w:val="-1"/>
        </w:rPr>
        <w:t> </w:t>
      </w:r>
      <w:r>
        <w:rPr/>
        <w:t>in the program or </w:t>
      </w:r>
      <w:r>
        <w:rPr>
          <w:spacing w:val="-2"/>
        </w:rPr>
        <w:t>building</w:t>
      </w:r>
    </w:p>
    <w:p>
      <w:pPr>
        <w:spacing w:after="0"/>
        <w:sectPr>
          <w:pgSz w:w="12240" w:h="15840"/>
          <w:pgMar w:top="1380" w:bottom="280" w:left="700" w:right="520"/>
        </w:sectPr>
      </w:pPr>
    </w:p>
    <w:p>
      <w:pPr>
        <w:pStyle w:val="BodyText"/>
        <w:spacing w:before="60"/>
        <w:ind w:left="1820" w:right="624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Any incident that results in immediate health and safety risk or causes significant loss of </w:t>
      </w:r>
      <w:r>
        <w:rPr>
          <w:spacing w:val="-2"/>
        </w:rPr>
        <w:t>services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Information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Breach</w:t>
      </w:r>
    </w:p>
    <w:p>
      <w:pPr>
        <w:pStyle w:val="BodyText"/>
        <w:spacing w:before="20"/>
        <w:ind w:left="1820" w:right="118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Unauthorized</w:t>
      </w:r>
      <w:r>
        <w:rPr>
          <w:spacing w:val="28"/>
        </w:rPr>
        <w:t> </w:t>
      </w:r>
      <w:r>
        <w:rPr/>
        <w:t>access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confidential</w:t>
      </w:r>
      <w:r>
        <w:rPr>
          <w:spacing w:val="27"/>
        </w:rPr>
        <w:t> </w:t>
      </w:r>
      <w:r>
        <w:rPr/>
        <w:t>information</w:t>
      </w:r>
      <w:r>
        <w:rPr>
          <w:spacing w:val="27"/>
        </w:rPr>
        <w:t> </w:t>
      </w:r>
      <w:r>
        <w:rPr/>
        <w:t>such</w:t>
      </w:r>
      <w:r>
        <w:rPr>
          <w:spacing w:val="28"/>
        </w:rPr>
        <w:t> </w:t>
      </w:r>
      <w:r>
        <w:rPr/>
        <w:t>as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hacker</w:t>
      </w:r>
      <w:r>
        <w:rPr>
          <w:spacing w:val="28"/>
        </w:rPr>
        <w:t> </w:t>
      </w:r>
      <w:r>
        <w:rPr/>
        <w:t>stealing</w:t>
      </w:r>
      <w:r>
        <w:rPr>
          <w:spacing w:val="28"/>
        </w:rPr>
        <w:t> </w:t>
      </w:r>
      <w:r>
        <w:rPr/>
        <w:t>information, stolen information by staff or former staff.</w:t>
      </w:r>
    </w:p>
    <w:p>
      <w:pPr>
        <w:pStyle w:val="Heading1"/>
        <w:spacing w:before="184"/>
        <w:ind w:left="380" w:right="624" w:firstLine="0"/>
      </w:pPr>
      <w:r>
        <w:rPr>
          <w:u w:val="single"/>
        </w:rPr>
        <w:t>Events</w:t>
      </w:r>
      <w:r>
        <w:rPr>
          <w:spacing w:val="-3"/>
          <w:u w:val="single"/>
        </w:rPr>
        <w:t> </w:t>
      </w:r>
      <w:r>
        <w:rPr>
          <w:u w:val="single"/>
        </w:rPr>
        <w:t>that</w:t>
      </w:r>
      <w:r>
        <w:rPr>
          <w:spacing w:val="-4"/>
          <w:u w:val="single"/>
        </w:rPr>
        <w:t> </w:t>
      </w:r>
      <w:r>
        <w:rPr>
          <w:u w:val="single"/>
        </w:rPr>
        <w:t>must</w:t>
      </w:r>
      <w:r>
        <w:rPr>
          <w:spacing w:val="-3"/>
          <w:u w:val="single"/>
        </w:rPr>
        <w:t> </w:t>
      </w:r>
      <w:r>
        <w:rPr>
          <w:u w:val="single"/>
        </w:rPr>
        <w:t>be</w:t>
      </w:r>
      <w:r>
        <w:rPr>
          <w:spacing w:val="-3"/>
          <w:u w:val="single"/>
        </w:rPr>
        <w:t> </w:t>
      </w:r>
      <w:r>
        <w:rPr>
          <w:u w:val="single"/>
        </w:rPr>
        <w:t>reported</w:t>
      </w:r>
      <w:r>
        <w:rPr>
          <w:spacing w:val="-3"/>
          <w:u w:val="single"/>
        </w:rPr>
        <w:t> </w:t>
      </w:r>
      <w:r>
        <w:rPr>
          <w:u w:val="single"/>
        </w:rPr>
        <w:t>within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3"/>
          <w:u w:val="single"/>
        </w:rPr>
        <w:t> </w:t>
      </w:r>
      <w:r>
        <w:rPr>
          <w:u w:val="single"/>
        </w:rPr>
        <w:t>business</w:t>
      </w:r>
      <w:r>
        <w:rPr>
          <w:spacing w:val="-3"/>
          <w:u w:val="single"/>
        </w:rPr>
        <w:t> </w:t>
      </w:r>
      <w:r>
        <w:rPr>
          <w:u w:val="single"/>
        </w:rPr>
        <w:t>days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date</w:t>
      </w:r>
      <w:r>
        <w:rPr>
          <w:spacing w:val="-3"/>
          <w:u w:val="single"/>
        </w:rPr>
        <w:t> </w:t>
      </w:r>
      <w:r>
        <w:rPr>
          <w:u w:val="single"/>
        </w:rPr>
        <w:t>of the</w:t>
      </w:r>
      <w:r>
        <w:rPr>
          <w:spacing w:val="-3"/>
          <w:u w:val="single"/>
        </w:rPr>
        <w:t> </w:t>
      </w:r>
      <w:r>
        <w:rPr>
          <w:u w:val="single"/>
        </w:rPr>
        <w:t>incident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accordance</w:t>
      </w:r>
      <w:r>
        <w:rPr>
          <w:spacing w:val="-3"/>
          <w:u w:val="single"/>
        </w:rPr>
        <w:t> </w:t>
      </w:r>
      <w:r>
        <w:rPr>
          <w:u w:val="single"/>
        </w:rPr>
        <w:t>with</w:t>
      </w:r>
      <w:r>
        <w:rPr/>
        <w:t> </w:t>
      </w:r>
      <w:r>
        <w:rPr>
          <w:u w:val="single"/>
        </w:rPr>
        <w:t>105 CMR 164.035(F)(2)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line="259" w:lineRule="auto" w:before="90"/>
        <w:ind w:left="380" w:right="624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includes,</w:t>
      </w:r>
      <w:r>
        <w:rPr>
          <w:spacing w:val="-5"/>
        </w:rPr>
        <w:t> </w:t>
      </w:r>
      <w:r>
        <w:rPr/>
        <w:t>but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limit,</w:t>
      </w:r>
      <w:r>
        <w:rPr>
          <w:spacing w:val="-3"/>
        </w:rPr>
        <w:t> </w:t>
      </w:r>
      <w:r>
        <w:rPr/>
        <w:t>incidents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BSAS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5 business days from the date of the incident.</w:t>
      </w:r>
    </w:p>
    <w:p>
      <w:pPr>
        <w:pStyle w:val="BodyText"/>
        <w:spacing w:line="259" w:lineRule="auto" w:before="158"/>
        <w:ind w:left="380" w:right="624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examples;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exhaustive</w:t>
      </w:r>
      <w:r>
        <w:rPr>
          <w:spacing w:val="-4"/>
        </w:rPr>
        <w:t> </w:t>
      </w:r>
      <w:r>
        <w:rPr/>
        <w:t>list.</w:t>
      </w:r>
      <w:r>
        <w:rPr>
          <w:spacing w:val="-2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event and report accordingly.</w:t>
      </w: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161" w:after="0"/>
        <w:ind w:left="1100" w:right="0" w:hanging="360"/>
        <w:jc w:val="both"/>
      </w:pPr>
      <w:r>
        <w:rPr/>
        <w:t>Staff </w:t>
      </w:r>
      <w:r>
        <w:rPr>
          <w:spacing w:val="-2"/>
        </w:rPr>
        <w:t>Misconduct</w:t>
      </w:r>
    </w:p>
    <w:p>
      <w:pPr>
        <w:pStyle w:val="BodyText"/>
        <w:spacing w:line="249" w:lineRule="auto" w:before="21"/>
        <w:ind w:left="1820" w:right="562" w:hanging="360"/>
        <w:jc w:val="both"/>
      </w:pPr>
      <w:r>
        <w:rPr>
          <w:rFonts w:ascii="Courier New" w:hAnsi="Courier New"/>
        </w:rPr>
        <w:t>‒ </w:t>
      </w:r>
      <w:r>
        <w:rPr/>
        <w:t>Staff misconduct that does not pose a serious and imminent threat to health and safety or patients, residents, and other staff. This may include staff actions that adversely impact patients/residents or violates the program’s policies and procedures.</w:t>
      </w:r>
    </w:p>
    <w:p>
      <w:pPr>
        <w:pStyle w:val="BodyText"/>
        <w:spacing w:line="249" w:lineRule="auto" w:before="11"/>
        <w:ind w:left="1820" w:right="560" w:hanging="360"/>
        <w:jc w:val="both"/>
      </w:pPr>
      <w:r>
        <w:rPr>
          <w:rFonts w:ascii="Courier New" w:hAnsi="Courier New"/>
        </w:rPr>
        <w:t>‒ </w:t>
      </w:r>
      <w:r>
        <w:rPr/>
        <w:t>Staff misconduct includes, but is not limited to, staff</w:t>
      </w:r>
      <w:r>
        <w:rPr/>
        <w:t> stealing belongings of patients/residents, falsification</w:t>
      </w:r>
      <w:r>
        <w:rPr/>
        <w:t> of</w:t>
      </w:r>
      <w:r>
        <w:rPr/>
        <w:t> patient/resident</w:t>
      </w:r>
      <w:r>
        <w:rPr/>
        <w:t> records,</w:t>
      </w:r>
      <w:r>
        <w:rPr/>
        <w:t> and</w:t>
      </w:r>
      <w:r>
        <w:rPr/>
        <w:t> any</w:t>
      </w:r>
      <w:r>
        <w:rPr/>
        <w:t> action</w:t>
      </w:r>
      <w:r>
        <w:rPr/>
        <w:t> by</w:t>
      </w:r>
      <w:r>
        <w:rPr/>
        <w:t> staff</w:t>
      </w:r>
      <w:r>
        <w:rPr/>
        <w:t> that violates patients’/residents’ rights.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1" w:after="0"/>
        <w:ind w:left="1100" w:right="0" w:hanging="360"/>
        <w:jc w:val="both"/>
      </w:pPr>
      <w:r>
        <w:rPr/>
        <w:t>Other</w:t>
      </w:r>
      <w:r>
        <w:rPr>
          <w:spacing w:val="-12"/>
        </w:rPr>
        <w:t> </w:t>
      </w:r>
      <w:r>
        <w:rPr/>
        <w:t>Medication-Related</w:t>
      </w:r>
      <w:r>
        <w:rPr>
          <w:spacing w:val="-13"/>
        </w:rPr>
        <w:t> </w:t>
      </w:r>
      <w:r>
        <w:rPr>
          <w:spacing w:val="-2"/>
        </w:rPr>
        <w:t>Events</w:t>
      </w:r>
    </w:p>
    <w:p>
      <w:pPr>
        <w:pStyle w:val="BodyText"/>
        <w:spacing w:line="249" w:lineRule="auto" w:before="20"/>
        <w:ind w:left="1820" w:right="561" w:hanging="360"/>
        <w:jc w:val="both"/>
      </w:pPr>
      <w:r>
        <w:rPr>
          <w:rFonts w:ascii="Courier New" w:hAnsi="Courier New"/>
        </w:rPr>
        <w:t>‒ </w:t>
      </w:r>
      <w:r>
        <w:rPr/>
        <w:t>Unaccounted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count</w:t>
      </w:r>
      <w:r>
        <w:rPr>
          <w:spacing w:val="40"/>
        </w:rPr>
        <w:t> </w:t>
      </w:r>
      <w:r>
        <w:rPr/>
        <w:t>discrepancies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non-narcotics,</w:t>
      </w:r>
      <w:r>
        <w:rPr>
          <w:spacing w:val="40"/>
        </w:rPr>
        <w:t> </w:t>
      </w:r>
      <w:r>
        <w:rPr/>
        <w:t>medication</w:t>
      </w:r>
      <w:r>
        <w:rPr>
          <w:spacing w:val="40"/>
        </w:rPr>
        <w:t> </w:t>
      </w:r>
      <w:r>
        <w:rPr/>
        <w:t>errors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 have the potential for adverse effects as determined by appropriately trained health care </w:t>
      </w:r>
      <w:r>
        <w:rPr>
          <w:spacing w:val="-2"/>
        </w:rPr>
        <w:t>professional.</w:t>
      </w:r>
    </w:p>
    <w:p>
      <w:pPr>
        <w:pStyle w:val="BodyTex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Change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Capacity/Change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>
          <w:spacing w:val="-2"/>
        </w:rPr>
        <w:t>Status</w:t>
      </w:r>
    </w:p>
    <w:p>
      <w:pPr>
        <w:pStyle w:val="BodyText"/>
        <w:spacing w:before="21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2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staffing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census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1" w:after="0"/>
        <w:ind w:left="1100" w:right="0" w:hanging="360"/>
        <w:jc w:val="left"/>
      </w:pPr>
      <w:r>
        <w:rPr/>
        <w:t>Other</w:t>
      </w:r>
      <w:r>
        <w:rPr>
          <w:spacing w:val="-5"/>
        </w:rPr>
        <w:t> </w:t>
      </w:r>
      <w:r>
        <w:rPr/>
        <w:t>Violations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>
          <w:spacing w:val="-5"/>
        </w:rPr>
        <w:t>CFR</w:t>
      </w:r>
    </w:p>
    <w:p>
      <w:pPr>
        <w:pStyle w:val="BodyText"/>
        <w:spacing w:before="20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6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patient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appropriate,</w:t>
      </w:r>
      <w:r>
        <w:rPr>
          <w:spacing w:val="-1"/>
        </w:rPr>
        <w:t> </w:t>
      </w:r>
      <w:r>
        <w:rPr/>
        <w:t>signed</w:t>
      </w:r>
      <w:r>
        <w:rPr>
          <w:spacing w:val="-1"/>
        </w:rPr>
        <w:t> </w:t>
      </w:r>
      <w:r>
        <w:rPr/>
        <w:t>consent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Police</w:t>
      </w:r>
      <w:r>
        <w:rPr>
          <w:spacing w:val="-2"/>
        </w:rPr>
        <w:t> Activity</w:t>
      </w:r>
    </w:p>
    <w:p>
      <w:pPr>
        <w:pStyle w:val="BodyText"/>
        <w:spacing w:before="21"/>
        <w:ind w:left="1820" w:right="563" w:hanging="360"/>
        <w:jc w:val="both"/>
      </w:pPr>
      <w:r>
        <w:rPr>
          <w:rFonts w:ascii="Courier New" w:hAnsi="Courier New"/>
        </w:rPr>
        <w:t>‒ </w:t>
      </w:r>
      <w:r>
        <w:rPr/>
        <w:t>Activity that is not the result of a serious health or safety event at the program such as execution of a warrant.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Conditions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program</w:t>
      </w:r>
    </w:p>
    <w:p>
      <w:pPr>
        <w:pStyle w:val="BodyText"/>
        <w:spacing w:before="21"/>
        <w:ind w:left="1820" w:right="559" w:hanging="360"/>
        <w:jc w:val="both"/>
      </w:pPr>
      <w:r>
        <w:rPr>
          <w:rFonts w:ascii="Courier New" w:hAnsi="Courier New"/>
        </w:rPr>
        <w:t>‒ </w:t>
      </w:r>
      <w:r>
        <w:rPr/>
        <w:t>Unsanitary</w:t>
      </w:r>
      <w:r>
        <w:rPr/>
        <w:t> conditions</w:t>
      </w:r>
      <w:r>
        <w:rPr/>
        <w:t> that</w:t>
      </w:r>
      <w:r>
        <w:rPr/>
        <w:t> do</w:t>
      </w:r>
      <w:r>
        <w:rPr/>
        <w:t> not</w:t>
      </w:r>
      <w:r>
        <w:rPr/>
        <w:t> impact</w:t>
      </w:r>
      <w:r>
        <w:rPr/>
        <w:t> to</w:t>
      </w:r>
      <w:r>
        <w:rPr/>
        <w:t> health</w:t>
      </w:r>
      <w:r>
        <w:rPr/>
        <w:t> and</w:t>
      </w:r>
      <w:r>
        <w:rPr/>
        <w:t> safety</w:t>
      </w:r>
      <w:r>
        <w:rPr/>
        <w:t> or</w:t>
      </w:r>
      <w:r>
        <w:rPr/>
        <w:t> the</w:t>
      </w:r>
      <w:r>
        <w:rPr/>
        <w:t> ability</w:t>
      </w:r>
      <w:r>
        <w:rPr/>
        <w:t> to</w:t>
      </w:r>
      <w:r>
        <w:rPr/>
        <w:t> provide </w:t>
      </w:r>
      <w:r>
        <w:rPr>
          <w:spacing w:val="-2"/>
        </w:rPr>
        <w:t>services</w:t>
      </w:r>
    </w:p>
    <w:p>
      <w:pPr>
        <w:pStyle w:val="BodyText"/>
        <w:spacing w:before="184"/>
        <w:ind w:left="380" w:right="118"/>
      </w:pPr>
      <w:r>
        <w:rPr/>
        <w:t>Please</w:t>
      </w:r>
      <w:r>
        <w:rPr>
          <w:spacing w:val="-3"/>
        </w:rPr>
        <w:t> </w:t>
      </w:r>
      <w:r>
        <w:rPr/>
        <w:t>note,</w:t>
      </w:r>
      <w:r>
        <w:rPr>
          <w:spacing w:val="-3"/>
        </w:rPr>
        <w:t> </w:t>
      </w:r>
      <w:r>
        <w:rPr/>
        <w:t>BSAS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incident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 about the need to report.</w:t>
      </w:r>
    </w:p>
    <w:sectPr>
      <w:pgSz w:w="12240" w:h="15840"/>
      <w:pgMar w:top="1380" w:bottom="280" w:left="7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0"/>
      <w:ind w:left="116" w:right="49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https://www.mass.gov/service-details/information-for-licensed-substance-use-disorder-treatment-programs" TargetMode="External"/><Relationship Id="rId8" Type="http://schemas.openxmlformats.org/officeDocument/2006/relationships/hyperlink" Target="https://www.mass.gov/regulations/105-CMR-16400-licensure-of-substance-abuse-treatment-programs" TargetMode="External"/><Relationship Id="rId9" Type="http://schemas.openxmlformats.org/officeDocument/2006/relationships/hyperlink" Target="https://www.mass.gov/doc/health-and-safety-required-notification-form-0/download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2022-11-01T15:08:44Z</dcterms:created>
  <dcterms:modified xsi:type="dcterms:W3CDTF">2022-11-01T15:08:44Z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  <property fmtid="{D5CDD505-2E9C-101B-9397-08002B2CF9AE}" pid="5" name="Producer">
    <vt:lpwstr>Microsoft® Word for Microsoft 365</vt:lpwstr>
  </property>
</Properties>
</file>