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5B62F42C" w14:textId="77777777" w:rsidTr="00DC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AE464B6"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26F8A1BD"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2B61A0CF" w14:textId="77777777" w:rsidR="004B14D0" w:rsidRPr="004B14D0" w:rsidRDefault="004B14D0" w:rsidP="00565D22">
            <w:pPr>
              <w:rPr>
                <w:color w:val="150399"/>
                <w:sz w:val="28"/>
                <w:szCs w:val="28"/>
              </w:rPr>
            </w:pPr>
          </w:p>
        </w:tc>
      </w:tr>
      <w:tr w:rsidR="005B1BBE" w:rsidRPr="002C2079" w14:paraId="316D3395" w14:textId="77777777" w:rsidTr="00DC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E3E270E"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0C2D83D5" w14:textId="77777777" w:rsidTr="001E672D">
        <w:trPr>
          <w:trHeight w:val="360"/>
        </w:trPr>
        <w:tc>
          <w:tcPr>
            <w:tcW w:w="4707" w:type="dxa"/>
          </w:tcPr>
          <w:p w14:paraId="45609965" w14:textId="77777777" w:rsidR="005B1BBE" w:rsidRPr="002C2079" w:rsidRDefault="005B1BBE" w:rsidP="005B1BBE">
            <w:pPr>
              <w:tabs>
                <w:tab w:val="left" w:pos="7050"/>
              </w:tabs>
              <w:rPr>
                <w:rFonts w:asciiTheme="majorHAnsi" w:hAnsiTheme="majorHAnsi"/>
              </w:rPr>
            </w:pPr>
          </w:p>
        </w:tc>
        <w:tc>
          <w:tcPr>
            <w:tcW w:w="4653" w:type="dxa"/>
          </w:tcPr>
          <w:p w14:paraId="25E98F5C" w14:textId="77777777" w:rsidR="005B1BBE" w:rsidRPr="002C2079" w:rsidRDefault="005B1BBE" w:rsidP="005B1BBE">
            <w:pPr>
              <w:tabs>
                <w:tab w:val="left" w:pos="7050"/>
              </w:tabs>
              <w:rPr>
                <w:rFonts w:asciiTheme="majorHAnsi" w:hAnsiTheme="majorHAnsi"/>
              </w:rPr>
            </w:pPr>
          </w:p>
        </w:tc>
      </w:tr>
      <w:tr w:rsidR="005B1BBE" w:rsidRPr="002C2079" w14:paraId="3C51FBA0" w14:textId="77777777" w:rsidTr="001E672D">
        <w:tc>
          <w:tcPr>
            <w:tcW w:w="4707" w:type="dxa"/>
          </w:tcPr>
          <w:p w14:paraId="492739D3"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TITLE</w:t>
            </w:r>
          </w:p>
          <w:p w14:paraId="00E23D61" w14:textId="77777777" w:rsidR="005B1BBE" w:rsidRPr="00104651" w:rsidRDefault="005B1BBE" w:rsidP="005B1BBE">
            <w:pPr>
              <w:tabs>
                <w:tab w:val="left" w:pos="7050"/>
              </w:tabs>
              <w:rPr>
                <w:rFonts w:asciiTheme="majorHAnsi" w:hAnsiTheme="majorHAnsi"/>
                <w:sz w:val="24"/>
                <w:szCs w:val="24"/>
              </w:rPr>
            </w:pPr>
          </w:p>
        </w:tc>
        <w:tc>
          <w:tcPr>
            <w:tcW w:w="4653" w:type="dxa"/>
          </w:tcPr>
          <w:p w14:paraId="02597108" w14:textId="2F20BB86" w:rsidR="005B1BBE" w:rsidRPr="00104651" w:rsidRDefault="005A462D" w:rsidP="005B1BBE">
            <w:pPr>
              <w:tabs>
                <w:tab w:val="left" w:pos="7050"/>
              </w:tabs>
              <w:rPr>
                <w:rFonts w:asciiTheme="majorHAnsi" w:hAnsiTheme="majorHAnsi"/>
                <w:sz w:val="24"/>
                <w:szCs w:val="24"/>
              </w:rPr>
            </w:pPr>
            <w:r w:rsidRPr="00104651">
              <w:rPr>
                <w:rFonts w:asciiTheme="majorHAnsi" w:hAnsiTheme="majorHAnsi"/>
                <w:sz w:val="24"/>
                <w:szCs w:val="24"/>
              </w:rPr>
              <w:t>Exemption for Newspapers and Magazines</w:t>
            </w:r>
          </w:p>
        </w:tc>
      </w:tr>
      <w:tr w:rsidR="005B1BBE" w:rsidRPr="002C2079" w14:paraId="317949EF" w14:textId="77777777" w:rsidTr="001E672D">
        <w:tc>
          <w:tcPr>
            <w:tcW w:w="4707" w:type="dxa"/>
          </w:tcPr>
          <w:p w14:paraId="302F058C"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NUMBER</w:t>
            </w:r>
          </w:p>
          <w:p w14:paraId="16F4A3FA" w14:textId="77777777" w:rsidR="005B1BBE" w:rsidRPr="00104651" w:rsidRDefault="005B1BBE" w:rsidP="005B1BBE">
            <w:pPr>
              <w:tabs>
                <w:tab w:val="left" w:pos="7050"/>
              </w:tabs>
              <w:rPr>
                <w:rFonts w:asciiTheme="majorHAnsi" w:hAnsiTheme="majorHAnsi"/>
                <w:sz w:val="24"/>
                <w:szCs w:val="24"/>
              </w:rPr>
            </w:pPr>
          </w:p>
        </w:tc>
        <w:tc>
          <w:tcPr>
            <w:tcW w:w="4653" w:type="dxa"/>
          </w:tcPr>
          <w:p w14:paraId="424378AD" w14:textId="0980218D" w:rsidR="005B1BBE" w:rsidRPr="00104651" w:rsidRDefault="005A462D" w:rsidP="005B1BBE">
            <w:pPr>
              <w:tabs>
                <w:tab w:val="left" w:pos="7050"/>
              </w:tabs>
              <w:rPr>
                <w:rFonts w:asciiTheme="majorHAnsi" w:hAnsiTheme="majorHAnsi"/>
                <w:sz w:val="24"/>
                <w:szCs w:val="24"/>
              </w:rPr>
            </w:pPr>
            <w:r w:rsidRPr="00104651">
              <w:rPr>
                <w:rFonts w:asciiTheme="majorHAnsi" w:hAnsiTheme="majorHAnsi"/>
                <w:sz w:val="24"/>
                <w:szCs w:val="24"/>
              </w:rPr>
              <w:t>3.106</w:t>
            </w:r>
          </w:p>
        </w:tc>
      </w:tr>
      <w:tr w:rsidR="005B1BBE" w:rsidRPr="002C2079" w14:paraId="5B7A632C" w14:textId="77777777" w:rsidTr="001E672D">
        <w:tc>
          <w:tcPr>
            <w:tcW w:w="4707" w:type="dxa"/>
          </w:tcPr>
          <w:p w14:paraId="15161B70"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CATEGORY</w:t>
            </w:r>
          </w:p>
          <w:p w14:paraId="0C27415A" w14:textId="77777777" w:rsidR="005B1BBE" w:rsidRPr="00104651" w:rsidRDefault="005B1BBE" w:rsidP="005B1BBE">
            <w:pPr>
              <w:tabs>
                <w:tab w:val="left" w:pos="7050"/>
              </w:tabs>
              <w:rPr>
                <w:rFonts w:asciiTheme="majorHAnsi" w:hAnsiTheme="majorHAnsi"/>
                <w:sz w:val="24"/>
                <w:szCs w:val="24"/>
              </w:rPr>
            </w:pPr>
          </w:p>
        </w:tc>
        <w:tc>
          <w:tcPr>
            <w:tcW w:w="4653" w:type="dxa"/>
          </w:tcPr>
          <w:p w14:paraId="5902CCDF" w14:textId="34B4149D" w:rsidR="005B1BBE" w:rsidRPr="00104651" w:rsidRDefault="005A462D" w:rsidP="005B1BBE">
            <w:pPr>
              <w:tabs>
                <w:tab w:val="left" w:pos="7050"/>
              </w:tabs>
              <w:rPr>
                <w:rFonts w:asciiTheme="majorHAnsi" w:hAnsiTheme="majorHAnsi"/>
                <w:sz w:val="24"/>
                <w:szCs w:val="24"/>
              </w:rPr>
            </w:pPr>
            <w:r w:rsidRPr="00104651">
              <w:rPr>
                <w:rFonts w:asciiTheme="majorHAnsi" w:hAnsiTheme="majorHAnsi"/>
                <w:sz w:val="24"/>
                <w:szCs w:val="24"/>
              </w:rPr>
              <w:t>Exempt Products/Services</w:t>
            </w:r>
            <w:r w:rsidR="002A7E4B" w:rsidRPr="00104651">
              <w:rPr>
                <w:rFonts w:asciiTheme="majorHAnsi" w:hAnsiTheme="majorHAnsi"/>
                <w:sz w:val="24"/>
                <w:szCs w:val="24"/>
              </w:rPr>
              <w:t xml:space="preserve"> </w:t>
            </w:r>
          </w:p>
        </w:tc>
      </w:tr>
      <w:tr w:rsidR="005B1BBE" w:rsidRPr="002C2079" w14:paraId="610D9D23" w14:textId="77777777" w:rsidTr="001E672D">
        <w:tc>
          <w:tcPr>
            <w:tcW w:w="4707" w:type="dxa"/>
          </w:tcPr>
          <w:p w14:paraId="013B78DD"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TYPE</w:t>
            </w:r>
          </w:p>
          <w:p w14:paraId="61985CA6" w14:textId="77777777" w:rsidR="005B1BBE" w:rsidRPr="00104651" w:rsidRDefault="005B1BBE" w:rsidP="005B1BBE">
            <w:pPr>
              <w:tabs>
                <w:tab w:val="left" w:pos="7050"/>
              </w:tabs>
              <w:rPr>
                <w:rFonts w:asciiTheme="majorHAnsi" w:hAnsiTheme="majorHAnsi"/>
                <w:sz w:val="24"/>
                <w:szCs w:val="24"/>
              </w:rPr>
            </w:pPr>
          </w:p>
        </w:tc>
        <w:tc>
          <w:tcPr>
            <w:tcW w:w="4653" w:type="dxa"/>
          </w:tcPr>
          <w:p w14:paraId="2D272625" w14:textId="77777777" w:rsidR="002A7E4B" w:rsidRPr="00104651" w:rsidRDefault="002A7E4B" w:rsidP="002A7E4B">
            <w:pPr>
              <w:tabs>
                <w:tab w:val="left" w:pos="7050"/>
              </w:tabs>
              <w:rPr>
                <w:rFonts w:asciiTheme="majorHAnsi" w:hAnsiTheme="majorHAnsi"/>
                <w:sz w:val="24"/>
                <w:szCs w:val="24"/>
              </w:rPr>
            </w:pPr>
            <w:r w:rsidRPr="00104651">
              <w:rPr>
                <w:rFonts w:asciiTheme="majorHAnsi" w:hAnsiTheme="majorHAnsi"/>
                <w:sz w:val="24"/>
                <w:szCs w:val="24"/>
              </w:rPr>
              <w:t>Sales and use tax</w:t>
            </w:r>
          </w:p>
          <w:p w14:paraId="51EF3694" w14:textId="77777777" w:rsidR="00565D22" w:rsidRPr="00104651" w:rsidRDefault="00565D22" w:rsidP="005B1BBE">
            <w:pPr>
              <w:tabs>
                <w:tab w:val="left" w:pos="7050"/>
              </w:tabs>
              <w:rPr>
                <w:rFonts w:asciiTheme="majorHAnsi" w:hAnsiTheme="majorHAnsi"/>
                <w:sz w:val="24"/>
                <w:szCs w:val="24"/>
              </w:rPr>
            </w:pPr>
          </w:p>
        </w:tc>
      </w:tr>
      <w:tr w:rsidR="005B1BBE" w:rsidRPr="002C2079" w14:paraId="75FACE8B" w14:textId="77777777" w:rsidTr="001E672D">
        <w:tc>
          <w:tcPr>
            <w:tcW w:w="4707" w:type="dxa"/>
          </w:tcPr>
          <w:p w14:paraId="62522B98"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LEGAL REFERENCE</w:t>
            </w:r>
          </w:p>
          <w:p w14:paraId="055F44EF" w14:textId="77777777" w:rsidR="005B1BBE" w:rsidRPr="00104651" w:rsidRDefault="005B1BBE" w:rsidP="005B1BBE">
            <w:pPr>
              <w:tabs>
                <w:tab w:val="left" w:pos="7050"/>
              </w:tabs>
              <w:rPr>
                <w:rFonts w:asciiTheme="majorHAnsi" w:hAnsiTheme="majorHAnsi"/>
                <w:sz w:val="24"/>
                <w:szCs w:val="24"/>
              </w:rPr>
            </w:pPr>
          </w:p>
        </w:tc>
        <w:tc>
          <w:tcPr>
            <w:tcW w:w="4653" w:type="dxa"/>
          </w:tcPr>
          <w:p w14:paraId="32E428B7" w14:textId="5888C86F" w:rsidR="0030014C" w:rsidRPr="00104651" w:rsidRDefault="005A462D" w:rsidP="005B1BBE">
            <w:pPr>
              <w:tabs>
                <w:tab w:val="left" w:pos="7050"/>
              </w:tabs>
              <w:rPr>
                <w:rFonts w:asciiTheme="majorHAnsi" w:hAnsiTheme="majorHAnsi"/>
                <w:sz w:val="24"/>
                <w:szCs w:val="24"/>
              </w:rPr>
            </w:pPr>
            <w:r w:rsidRPr="00104651">
              <w:rPr>
                <w:rFonts w:asciiTheme="majorHAnsi" w:hAnsiTheme="majorHAnsi"/>
                <w:color w:val="000000"/>
                <w:sz w:val="24"/>
                <w:szCs w:val="24"/>
              </w:rPr>
              <w:t>M.G.L. c. 64H, § 6(m)</w:t>
            </w:r>
          </w:p>
        </w:tc>
      </w:tr>
      <w:tr w:rsidR="005B1BBE" w:rsidRPr="002C2079" w14:paraId="0082ADA5" w14:textId="77777777" w:rsidTr="001E672D">
        <w:tc>
          <w:tcPr>
            <w:tcW w:w="4707" w:type="dxa"/>
          </w:tcPr>
          <w:p w14:paraId="31D29113"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YEAR ENACTED</w:t>
            </w:r>
          </w:p>
          <w:p w14:paraId="76145300" w14:textId="77777777" w:rsidR="005B1BBE" w:rsidRPr="00104651" w:rsidRDefault="005B1BBE" w:rsidP="005B1BBE">
            <w:pPr>
              <w:tabs>
                <w:tab w:val="left" w:pos="7050"/>
              </w:tabs>
              <w:rPr>
                <w:rFonts w:asciiTheme="majorHAnsi" w:hAnsiTheme="majorHAnsi"/>
                <w:sz w:val="24"/>
                <w:szCs w:val="24"/>
              </w:rPr>
            </w:pPr>
          </w:p>
        </w:tc>
        <w:tc>
          <w:tcPr>
            <w:tcW w:w="4653" w:type="dxa"/>
          </w:tcPr>
          <w:p w14:paraId="04C123AF" w14:textId="7D06D276" w:rsidR="005B1BBE" w:rsidRPr="00104651" w:rsidRDefault="00DA58BD" w:rsidP="005B1BBE">
            <w:pPr>
              <w:tabs>
                <w:tab w:val="left" w:pos="7050"/>
              </w:tabs>
              <w:rPr>
                <w:rFonts w:asciiTheme="majorHAnsi" w:hAnsiTheme="majorHAnsi"/>
                <w:sz w:val="24"/>
                <w:szCs w:val="24"/>
              </w:rPr>
            </w:pPr>
            <w:r w:rsidRPr="00104651">
              <w:rPr>
                <w:rFonts w:asciiTheme="majorHAnsi" w:hAnsiTheme="majorHAnsi"/>
                <w:sz w:val="24"/>
                <w:szCs w:val="24"/>
              </w:rPr>
              <w:t>196</w:t>
            </w:r>
            <w:r w:rsidR="005A462D" w:rsidRPr="00104651">
              <w:rPr>
                <w:rFonts w:asciiTheme="majorHAnsi" w:hAnsiTheme="majorHAnsi"/>
                <w:sz w:val="24"/>
                <w:szCs w:val="24"/>
              </w:rPr>
              <w:t>7</w:t>
            </w:r>
            <w:r w:rsidRPr="00104651">
              <w:rPr>
                <w:rFonts w:asciiTheme="majorHAnsi" w:hAnsiTheme="majorHAnsi"/>
                <w:sz w:val="24"/>
                <w:szCs w:val="24"/>
              </w:rPr>
              <w:t xml:space="preserve"> </w:t>
            </w:r>
          </w:p>
        </w:tc>
      </w:tr>
      <w:tr w:rsidR="005B1BBE" w:rsidRPr="002C2079" w14:paraId="2D4263BB" w14:textId="77777777" w:rsidTr="001E672D">
        <w:tc>
          <w:tcPr>
            <w:tcW w:w="4707" w:type="dxa"/>
          </w:tcPr>
          <w:p w14:paraId="304C47D8" w14:textId="77777777" w:rsidR="005B1BBE" w:rsidRPr="00104651" w:rsidRDefault="005B1BBE" w:rsidP="005B1BBE">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REPEAL/EXPIRATION DATE</w:t>
            </w:r>
          </w:p>
        </w:tc>
        <w:tc>
          <w:tcPr>
            <w:tcW w:w="4653" w:type="dxa"/>
          </w:tcPr>
          <w:p w14:paraId="796CE615" w14:textId="77777777" w:rsidR="005B1BBE" w:rsidRPr="00104651" w:rsidRDefault="00F639D4" w:rsidP="003419DF">
            <w:pPr>
              <w:tabs>
                <w:tab w:val="left" w:pos="7050"/>
              </w:tabs>
              <w:rPr>
                <w:rFonts w:asciiTheme="majorHAnsi" w:hAnsiTheme="majorHAnsi"/>
                <w:sz w:val="24"/>
                <w:szCs w:val="24"/>
              </w:rPr>
            </w:pPr>
            <w:r w:rsidRPr="00104651">
              <w:rPr>
                <w:rFonts w:asciiTheme="majorHAnsi" w:hAnsiTheme="majorHAnsi"/>
                <w:sz w:val="24"/>
                <w:szCs w:val="24"/>
              </w:rPr>
              <w:t>None</w:t>
            </w:r>
          </w:p>
          <w:p w14:paraId="61C3BD4F" w14:textId="77777777" w:rsidR="003419DF" w:rsidRPr="00104651" w:rsidRDefault="003419DF" w:rsidP="003419DF">
            <w:pPr>
              <w:tabs>
                <w:tab w:val="left" w:pos="7050"/>
              </w:tabs>
              <w:rPr>
                <w:rFonts w:asciiTheme="majorHAnsi" w:hAnsiTheme="majorHAnsi"/>
                <w:sz w:val="24"/>
                <w:szCs w:val="24"/>
              </w:rPr>
            </w:pPr>
          </w:p>
        </w:tc>
      </w:tr>
      <w:tr w:rsidR="001E672D" w:rsidRPr="002C2079" w14:paraId="59A9BD0A" w14:textId="77777777" w:rsidTr="001E672D">
        <w:tc>
          <w:tcPr>
            <w:tcW w:w="4707" w:type="dxa"/>
          </w:tcPr>
          <w:p w14:paraId="66F8C337" w14:textId="77777777" w:rsidR="001E672D" w:rsidRPr="00104651" w:rsidRDefault="001E672D" w:rsidP="001E672D">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ANNUAL REVENUE IMPACT</w:t>
            </w:r>
          </w:p>
          <w:p w14:paraId="7065FD5A" w14:textId="77777777" w:rsidR="001E672D" w:rsidRPr="00104651" w:rsidRDefault="001E672D" w:rsidP="001E672D">
            <w:pPr>
              <w:tabs>
                <w:tab w:val="left" w:pos="7050"/>
              </w:tabs>
              <w:rPr>
                <w:rFonts w:asciiTheme="majorHAnsi" w:hAnsiTheme="majorHAnsi"/>
                <w:sz w:val="24"/>
                <w:szCs w:val="24"/>
              </w:rPr>
            </w:pPr>
          </w:p>
        </w:tc>
        <w:tc>
          <w:tcPr>
            <w:tcW w:w="4653" w:type="dxa"/>
          </w:tcPr>
          <w:p w14:paraId="13B566E0" w14:textId="12C33B0F" w:rsidR="001E672D" w:rsidRPr="00104651" w:rsidRDefault="001E672D" w:rsidP="001E672D">
            <w:pPr>
              <w:tabs>
                <w:tab w:val="left" w:pos="7050"/>
              </w:tabs>
              <w:rPr>
                <w:rFonts w:asciiTheme="majorHAnsi" w:hAnsiTheme="majorHAnsi"/>
                <w:sz w:val="24"/>
                <w:szCs w:val="24"/>
              </w:rPr>
            </w:pPr>
            <w:r w:rsidRPr="00104651">
              <w:rPr>
                <w:rFonts w:asciiTheme="majorHAnsi" w:hAnsiTheme="majorHAnsi"/>
                <w:sz w:val="24"/>
                <w:szCs w:val="24"/>
              </w:rPr>
              <w:t>Tax loss of $</w:t>
            </w:r>
            <w:r w:rsidR="005A462D" w:rsidRPr="00104651">
              <w:rPr>
                <w:rFonts w:asciiTheme="majorHAnsi" w:hAnsiTheme="majorHAnsi"/>
                <w:sz w:val="24"/>
                <w:szCs w:val="24"/>
              </w:rPr>
              <w:t>21.4</w:t>
            </w:r>
            <w:r w:rsidR="00DA7CE5" w:rsidRPr="00104651">
              <w:rPr>
                <w:rFonts w:asciiTheme="majorHAnsi" w:hAnsiTheme="majorHAnsi"/>
                <w:sz w:val="24"/>
                <w:szCs w:val="24"/>
              </w:rPr>
              <w:t xml:space="preserve"> - $</w:t>
            </w:r>
            <w:r w:rsidR="005A462D" w:rsidRPr="00104651">
              <w:rPr>
                <w:rFonts w:asciiTheme="majorHAnsi" w:hAnsiTheme="majorHAnsi"/>
                <w:sz w:val="24"/>
                <w:szCs w:val="24"/>
              </w:rPr>
              <w:t>34.3</w:t>
            </w:r>
            <w:r w:rsidRPr="00104651">
              <w:rPr>
                <w:rFonts w:asciiTheme="majorHAnsi" w:hAnsiTheme="majorHAnsi"/>
                <w:sz w:val="24"/>
                <w:szCs w:val="24"/>
              </w:rPr>
              <w:t xml:space="preserve"> million </w:t>
            </w:r>
            <w:r w:rsidR="002E219A" w:rsidRPr="00104651">
              <w:rPr>
                <w:rFonts w:asciiTheme="majorHAnsi" w:hAnsiTheme="majorHAnsi"/>
                <w:sz w:val="24"/>
                <w:szCs w:val="24"/>
              </w:rPr>
              <w:t xml:space="preserve">per year during </w:t>
            </w:r>
            <w:r w:rsidRPr="00104651">
              <w:rPr>
                <w:rFonts w:asciiTheme="majorHAnsi" w:hAnsiTheme="majorHAnsi"/>
                <w:sz w:val="24"/>
                <w:szCs w:val="24"/>
              </w:rPr>
              <w:t>FY18-FY22</w:t>
            </w:r>
          </w:p>
          <w:p w14:paraId="3138588C" w14:textId="77777777" w:rsidR="002E219A" w:rsidRPr="00104651" w:rsidRDefault="002E219A" w:rsidP="001E672D">
            <w:pPr>
              <w:tabs>
                <w:tab w:val="left" w:pos="7050"/>
              </w:tabs>
              <w:rPr>
                <w:rFonts w:asciiTheme="majorHAnsi" w:hAnsiTheme="majorHAnsi"/>
                <w:sz w:val="24"/>
                <w:szCs w:val="24"/>
              </w:rPr>
            </w:pPr>
          </w:p>
        </w:tc>
      </w:tr>
      <w:tr w:rsidR="005B1BBE" w:rsidRPr="002C2079" w14:paraId="73E09DB6" w14:textId="77777777" w:rsidTr="001E672D">
        <w:tc>
          <w:tcPr>
            <w:tcW w:w="4707" w:type="dxa"/>
          </w:tcPr>
          <w:p w14:paraId="5FC5FBBA" w14:textId="77777777" w:rsidR="005B1BBE" w:rsidRPr="00104651" w:rsidRDefault="005B1BBE" w:rsidP="005B1BBE">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 xml:space="preserve">NUMBER OF TAXPAYERS </w:t>
            </w:r>
          </w:p>
        </w:tc>
        <w:tc>
          <w:tcPr>
            <w:tcW w:w="4653" w:type="dxa"/>
          </w:tcPr>
          <w:p w14:paraId="4956F945" w14:textId="1F1CB9B2" w:rsidR="002A7E4B" w:rsidRPr="00104651" w:rsidRDefault="002A7E4B" w:rsidP="002A7E4B">
            <w:pPr>
              <w:tabs>
                <w:tab w:val="left" w:pos="7050"/>
              </w:tabs>
              <w:rPr>
                <w:rFonts w:asciiTheme="majorHAnsi" w:hAnsiTheme="majorHAnsi"/>
                <w:sz w:val="24"/>
                <w:szCs w:val="24"/>
              </w:rPr>
            </w:pPr>
            <w:r w:rsidRPr="00104651">
              <w:rPr>
                <w:rFonts w:asciiTheme="majorHAnsi" w:hAnsiTheme="majorHAnsi"/>
                <w:sz w:val="24"/>
                <w:szCs w:val="24"/>
              </w:rPr>
              <w:t xml:space="preserve">Buyers and </w:t>
            </w:r>
            <w:r w:rsidR="00482F28" w:rsidRPr="00104651">
              <w:rPr>
                <w:rFonts w:asciiTheme="majorHAnsi" w:hAnsiTheme="majorHAnsi"/>
                <w:sz w:val="24"/>
                <w:szCs w:val="24"/>
              </w:rPr>
              <w:t>S</w:t>
            </w:r>
            <w:r w:rsidRPr="00104651">
              <w:rPr>
                <w:rFonts w:asciiTheme="majorHAnsi" w:hAnsiTheme="majorHAnsi"/>
                <w:sz w:val="24"/>
                <w:szCs w:val="24"/>
              </w:rPr>
              <w:t xml:space="preserve">ellers of </w:t>
            </w:r>
            <w:r w:rsidR="005A462D" w:rsidRPr="00104651">
              <w:rPr>
                <w:rFonts w:asciiTheme="majorHAnsi" w:hAnsiTheme="majorHAnsi"/>
                <w:sz w:val="24"/>
                <w:szCs w:val="24"/>
              </w:rPr>
              <w:t>Newspapers and Magazines</w:t>
            </w:r>
            <w:r w:rsidR="00CC6E5B" w:rsidRPr="00104651">
              <w:rPr>
                <w:rFonts w:asciiTheme="majorHAnsi" w:hAnsiTheme="majorHAnsi"/>
                <w:sz w:val="24"/>
                <w:szCs w:val="24"/>
              </w:rPr>
              <w:t xml:space="preserve"> at the Retail </w:t>
            </w:r>
            <w:r w:rsidR="001175C9" w:rsidRPr="00104651">
              <w:rPr>
                <w:rFonts w:asciiTheme="majorHAnsi" w:hAnsiTheme="majorHAnsi"/>
                <w:sz w:val="24"/>
                <w:szCs w:val="24"/>
              </w:rPr>
              <w:t>Level</w:t>
            </w:r>
          </w:p>
          <w:p w14:paraId="28A598B8" w14:textId="77777777" w:rsidR="005B1BBE" w:rsidRPr="00104651" w:rsidRDefault="005B1BBE" w:rsidP="005B1BBE">
            <w:pPr>
              <w:tabs>
                <w:tab w:val="left" w:pos="7050"/>
              </w:tabs>
              <w:rPr>
                <w:rFonts w:asciiTheme="majorHAnsi" w:hAnsiTheme="majorHAnsi"/>
                <w:sz w:val="24"/>
                <w:szCs w:val="24"/>
              </w:rPr>
            </w:pPr>
          </w:p>
        </w:tc>
      </w:tr>
      <w:tr w:rsidR="005B1BBE" w:rsidRPr="002C2079" w14:paraId="57BFE808" w14:textId="77777777" w:rsidTr="001E672D">
        <w:tc>
          <w:tcPr>
            <w:tcW w:w="4707" w:type="dxa"/>
          </w:tcPr>
          <w:p w14:paraId="0B0F4B47" w14:textId="77777777" w:rsidR="005B1BBE" w:rsidRPr="00104651" w:rsidRDefault="005B1BBE" w:rsidP="00F7586D">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AVERAGE TAXPAYER BENEFIT</w:t>
            </w:r>
          </w:p>
        </w:tc>
        <w:tc>
          <w:tcPr>
            <w:tcW w:w="4653" w:type="dxa"/>
          </w:tcPr>
          <w:p w14:paraId="64C79584" w14:textId="7CFE3280" w:rsidR="005B1BBE" w:rsidRPr="00104651" w:rsidRDefault="002A7E4B" w:rsidP="002A7E4B">
            <w:pPr>
              <w:tabs>
                <w:tab w:val="left" w:pos="7050"/>
              </w:tabs>
              <w:rPr>
                <w:rFonts w:asciiTheme="majorHAnsi" w:hAnsiTheme="majorHAnsi"/>
                <w:sz w:val="24"/>
                <w:szCs w:val="24"/>
              </w:rPr>
            </w:pPr>
            <w:r w:rsidRPr="00104651">
              <w:rPr>
                <w:rFonts w:asciiTheme="majorHAnsi" w:hAnsiTheme="majorHAnsi"/>
                <w:sz w:val="24"/>
                <w:szCs w:val="24"/>
              </w:rPr>
              <w:t>$</w:t>
            </w:r>
            <w:r w:rsidR="004E7DD4" w:rsidRPr="00280A03">
              <w:rPr>
                <w:rFonts w:asciiTheme="majorHAnsi" w:hAnsiTheme="majorHAnsi"/>
                <w:sz w:val="24"/>
                <w:szCs w:val="24"/>
              </w:rPr>
              <w:t>1</w:t>
            </w:r>
            <w:r w:rsidR="005A462D" w:rsidRPr="00280A03">
              <w:rPr>
                <w:rFonts w:asciiTheme="majorHAnsi" w:hAnsiTheme="majorHAnsi"/>
                <w:sz w:val="24"/>
                <w:szCs w:val="24"/>
              </w:rPr>
              <w:t>3</w:t>
            </w:r>
            <w:r w:rsidR="004E7DD4" w:rsidRPr="00104651">
              <w:rPr>
                <w:rFonts w:asciiTheme="majorHAnsi" w:hAnsiTheme="majorHAnsi"/>
                <w:sz w:val="24"/>
                <w:szCs w:val="24"/>
              </w:rPr>
              <w:t xml:space="preserve"> </w:t>
            </w:r>
            <w:r w:rsidRPr="00104651">
              <w:rPr>
                <w:rFonts w:asciiTheme="majorHAnsi" w:hAnsiTheme="majorHAnsi"/>
                <w:sz w:val="24"/>
                <w:szCs w:val="24"/>
              </w:rPr>
              <w:t xml:space="preserve">per </w:t>
            </w:r>
            <w:r w:rsidR="00D62DBC" w:rsidRPr="00104651">
              <w:rPr>
                <w:rFonts w:asciiTheme="majorHAnsi" w:hAnsiTheme="majorHAnsi"/>
                <w:sz w:val="24"/>
                <w:szCs w:val="24"/>
              </w:rPr>
              <w:t xml:space="preserve">Massachusetts </w:t>
            </w:r>
            <w:r w:rsidRPr="00104651">
              <w:rPr>
                <w:rFonts w:asciiTheme="majorHAnsi" w:hAnsiTheme="majorHAnsi"/>
                <w:sz w:val="24"/>
                <w:szCs w:val="24"/>
              </w:rPr>
              <w:t>Household</w:t>
            </w:r>
            <w:r w:rsidR="009A7868" w:rsidRPr="00104651">
              <w:rPr>
                <w:rFonts w:asciiTheme="majorHAnsi" w:hAnsiTheme="majorHAnsi"/>
                <w:sz w:val="24"/>
                <w:szCs w:val="24"/>
              </w:rPr>
              <w:t xml:space="preserve"> in FY18</w:t>
            </w:r>
            <w:r w:rsidRPr="00104651">
              <w:rPr>
                <w:rFonts w:asciiTheme="majorHAnsi" w:hAnsiTheme="majorHAnsi"/>
                <w:sz w:val="24"/>
                <w:szCs w:val="24"/>
              </w:rPr>
              <w:t>.</w:t>
            </w:r>
          </w:p>
        </w:tc>
      </w:tr>
    </w:tbl>
    <w:p w14:paraId="78355724" w14:textId="77777777" w:rsidR="00565D22" w:rsidRDefault="00565D22">
      <w:pPr>
        <w:rPr>
          <w:b/>
          <w:bCs/>
        </w:rPr>
      </w:pPr>
    </w:p>
    <w:tbl>
      <w:tblPr>
        <w:tblStyle w:val="TableGrid"/>
        <w:tblW w:w="0" w:type="auto"/>
        <w:tblLook w:val="04A0" w:firstRow="1" w:lastRow="0" w:firstColumn="1" w:lastColumn="0" w:noHBand="0" w:noVBand="1"/>
      </w:tblPr>
      <w:tblGrid>
        <w:gridCol w:w="4676"/>
        <w:gridCol w:w="4674"/>
      </w:tblGrid>
      <w:tr w:rsidR="00565D22" w:rsidRPr="00221535" w14:paraId="14B93581" w14:textId="77777777" w:rsidTr="002A7E4B">
        <w:tc>
          <w:tcPr>
            <w:tcW w:w="4676" w:type="dxa"/>
          </w:tcPr>
          <w:p w14:paraId="315CF0EC"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Description of the Tax Expenditure:</w:t>
            </w:r>
          </w:p>
          <w:p w14:paraId="474EA216" w14:textId="77777777" w:rsidR="00104651" w:rsidRDefault="00104651" w:rsidP="00104651">
            <w:pPr>
              <w:tabs>
                <w:tab w:val="left" w:pos="7050"/>
              </w:tabs>
              <w:rPr>
                <w:rFonts w:asciiTheme="majorHAnsi" w:eastAsiaTheme="majorEastAsia" w:hAnsiTheme="majorHAnsi" w:cstheme="majorBidi"/>
                <w:bCs/>
                <w:color w:val="000000" w:themeColor="text1"/>
                <w:sz w:val="24"/>
              </w:rPr>
            </w:pPr>
            <w:r>
              <w:rPr>
                <w:rFonts w:asciiTheme="majorHAnsi" w:eastAsiaTheme="majorEastAsia" w:hAnsiTheme="majorHAnsi" w:cstheme="majorBidi"/>
                <w:bCs/>
                <w:color w:val="000000" w:themeColor="text1"/>
                <w:sz w:val="24"/>
              </w:rPr>
              <w:t>Sales of periodicals such as newspapers and magazines are exempt from the sales and use tax.</w:t>
            </w:r>
          </w:p>
          <w:p w14:paraId="1069E190" w14:textId="77777777" w:rsidR="002E62D8" w:rsidRPr="00F73E2C" w:rsidRDefault="002E62D8" w:rsidP="00565D22">
            <w:pPr>
              <w:tabs>
                <w:tab w:val="left" w:pos="7050"/>
              </w:tabs>
              <w:rPr>
                <w:rFonts w:asciiTheme="majorHAnsi" w:eastAsiaTheme="majorEastAsia" w:hAnsiTheme="majorHAnsi" w:cstheme="majorBidi"/>
                <w:b/>
                <w:bCs/>
                <w:color w:val="000000" w:themeColor="text1"/>
              </w:rPr>
            </w:pPr>
          </w:p>
        </w:tc>
        <w:tc>
          <w:tcPr>
            <w:tcW w:w="4674" w:type="dxa"/>
          </w:tcPr>
          <w:p w14:paraId="48FF1738"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Is the purpose defined in the statute?</w:t>
            </w:r>
          </w:p>
          <w:p w14:paraId="7D2AAB3D" w14:textId="77777777" w:rsidR="002E62D8" w:rsidRPr="009373F9" w:rsidRDefault="002E62D8" w:rsidP="002E62D8">
            <w:pPr>
              <w:rPr>
                <w:rFonts w:asciiTheme="majorHAnsi" w:eastAsiaTheme="majorEastAsia" w:hAnsiTheme="majorHAnsi" w:cstheme="majorBidi"/>
                <w:bCs/>
                <w:color w:val="000000" w:themeColor="text1"/>
                <w:sz w:val="24"/>
              </w:rPr>
            </w:pPr>
            <w:r w:rsidRPr="002C2079">
              <w:rPr>
                <w:rFonts w:asciiTheme="majorHAnsi" w:eastAsiaTheme="majorEastAsia" w:hAnsiTheme="majorHAnsi" w:cstheme="majorBidi"/>
                <w:bCs/>
                <w:color w:val="000000" w:themeColor="text1"/>
                <w:sz w:val="24"/>
              </w:rPr>
              <w:t>The statute does not explicitly state the purpose of this tax expenditure.</w:t>
            </w:r>
            <w:r w:rsidRPr="00247C93">
              <w:rPr>
                <w:rFonts w:asciiTheme="majorHAnsi" w:eastAsiaTheme="majorEastAsia" w:hAnsiTheme="majorHAnsi" w:cstheme="majorBidi"/>
                <w:bCs/>
                <w:color w:val="000000" w:themeColor="text1"/>
                <w:sz w:val="24"/>
              </w:rPr>
              <w:t xml:space="preserve">  </w:t>
            </w:r>
          </w:p>
          <w:p w14:paraId="68F83294" w14:textId="77777777" w:rsidR="00565D22" w:rsidRPr="00F73E2C" w:rsidRDefault="00565D22" w:rsidP="00565D22">
            <w:pPr>
              <w:rPr>
                <w:b/>
                <w:bCs/>
              </w:rPr>
            </w:pPr>
          </w:p>
        </w:tc>
      </w:tr>
      <w:tr w:rsidR="002A7E4B" w:rsidRPr="00221535" w14:paraId="1324F3DE" w14:textId="77777777" w:rsidTr="002A7E4B">
        <w:tc>
          <w:tcPr>
            <w:tcW w:w="4676" w:type="dxa"/>
          </w:tcPr>
          <w:p w14:paraId="20465242" w14:textId="77777777" w:rsidR="002A7E4B" w:rsidRDefault="002A7E4B" w:rsidP="002A7E4B">
            <w:pPr>
              <w:rPr>
                <w:rFonts w:asciiTheme="majorHAnsi" w:eastAsiaTheme="majorEastAsia" w:hAnsiTheme="majorHAnsi" w:cstheme="majorBidi"/>
                <w:bCs/>
                <w:color w:val="000000" w:themeColor="text1"/>
              </w:rPr>
            </w:pPr>
            <w:r w:rsidRPr="00F73E2C">
              <w:rPr>
                <w:rFonts w:asciiTheme="majorHAnsi" w:eastAsiaTheme="majorEastAsia" w:hAnsiTheme="majorHAnsi" w:cstheme="majorBidi"/>
                <w:b/>
                <w:bCs/>
                <w:color w:val="000000" w:themeColor="text1"/>
              </w:rPr>
              <w:t xml:space="preserve">What are the </w:t>
            </w:r>
            <w:r>
              <w:rPr>
                <w:rFonts w:asciiTheme="majorHAnsi" w:eastAsiaTheme="majorEastAsia" w:hAnsiTheme="majorHAnsi" w:cstheme="majorBidi"/>
                <w:b/>
                <w:bCs/>
                <w:color w:val="000000" w:themeColor="text1"/>
                <w:sz w:val="24"/>
              </w:rPr>
              <w:t xml:space="preserve">policy </w:t>
            </w:r>
            <w:r w:rsidRPr="00F73E2C">
              <w:rPr>
                <w:rFonts w:asciiTheme="majorHAnsi" w:eastAsiaTheme="majorEastAsia" w:hAnsiTheme="majorHAnsi" w:cstheme="majorBidi"/>
                <w:b/>
                <w:bCs/>
                <w:color w:val="000000" w:themeColor="text1"/>
              </w:rPr>
              <w:t>goals of the expenditure?</w:t>
            </w:r>
            <w:r w:rsidRPr="00F73E2C">
              <w:rPr>
                <w:rFonts w:asciiTheme="majorHAnsi" w:eastAsiaTheme="majorEastAsia" w:hAnsiTheme="majorHAnsi" w:cstheme="majorBidi"/>
                <w:bCs/>
                <w:color w:val="000000" w:themeColor="text1"/>
              </w:rPr>
              <w:t xml:space="preserve"> </w:t>
            </w:r>
          </w:p>
          <w:p w14:paraId="30406C44" w14:textId="77777777" w:rsidR="002A7E4B" w:rsidRDefault="00104651" w:rsidP="002A7E4B">
            <w:pPr>
              <w:rPr>
                <w:rFonts w:asciiTheme="majorHAnsi" w:eastAsiaTheme="majorEastAsia" w:hAnsiTheme="majorHAnsi" w:cstheme="majorBidi"/>
                <w:bCs/>
                <w:color w:val="000000" w:themeColor="text1"/>
                <w:sz w:val="24"/>
              </w:rPr>
            </w:pPr>
            <w:r>
              <w:rPr>
                <w:rFonts w:asciiTheme="majorHAnsi" w:eastAsiaTheme="majorEastAsia" w:hAnsiTheme="majorHAnsi" w:cstheme="majorBidi"/>
                <w:bCs/>
                <w:color w:val="000000" w:themeColor="text1"/>
                <w:sz w:val="24"/>
              </w:rPr>
              <w:t>The statute does not explicitly state the goal of this tax expenditure. We inferred that the goal is t</w:t>
            </w:r>
            <w:r w:rsidRPr="00431536">
              <w:rPr>
                <w:rFonts w:asciiTheme="majorHAnsi" w:eastAsiaTheme="majorEastAsia" w:hAnsiTheme="majorHAnsi" w:cstheme="majorBidi"/>
                <w:bCs/>
                <w:color w:val="000000" w:themeColor="text1"/>
                <w:sz w:val="24"/>
              </w:rPr>
              <w:t xml:space="preserve">o encourage publication and readership of newspapers and magazines </w:t>
            </w:r>
            <w:r>
              <w:rPr>
                <w:rFonts w:asciiTheme="majorHAnsi" w:eastAsiaTheme="majorEastAsia" w:hAnsiTheme="majorHAnsi" w:cstheme="majorBidi"/>
                <w:bCs/>
                <w:color w:val="000000" w:themeColor="text1"/>
                <w:sz w:val="24"/>
              </w:rPr>
              <w:t xml:space="preserve">to enrich citizens’ knowledge about current political, social, cultural, and sports events, and world affairs.    </w:t>
            </w:r>
          </w:p>
          <w:p w14:paraId="3ECD962C" w14:textId="491B1D50" w:rsidR="00104651" w:rsidRPr="00F73E2C" w:rsidRDefault="00104651" w:rsidP="002A7E4B">
            <w:pPr>
              <w:rPr>
                <w:b/>
                <w:bCs/>
              </w:rPr>
            </w:pPr>
          </w:p>
        </w:tc>
        <w:tc>
          <w:tcPr>
            <w:tcW w:w="4674" w:type="dxa"/>
          </w:tcPr>
          <w:p w14:paraId="7006EA6D" w14:textId="77777777" w:rsidR="002A7E4B" w:rsidRPr="002C2079" w:rsidRDefault="002A7E4B" w:rsidP="002A7E4B">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73F4D890" w14:textId="6BAADFA3" w:rsidR="002A7E4B" w:rsidRPr="00F73E2C" w:rsidRDefault="00104651" w:rsidP="002E62D8">
            <w:pPr>
              <w:rPr>
                <w:rFonts w:asciiTheme="majorHAnsi" w:eastAsiaTheme="majorEastAsia" w:hAnsiTheme="majorHAnsi" w:cstheme="majorBidi"/>
                <w:bCs/>
                <w:color w:val="000000" w:themeColor="text1"/>
              </w:rPr>
            </w:pPr>
            <w:r w:rsidRPr="00431536">
              <w:rPr>
                <w:rFonts w:asciiTheme="majorHAnsi" w:hAnsiTheme="majorHAnsi"/>
                <w:bCs/>
                <w:sz w:val="24"/>
                <w:szCs w:val="24"/>
              </w:rPr>
              <w:t>Yes</w:t>
            </w:r>
            <w:r>
              <w:rPr>
                <w:rFonts w:asciiTheme="majorHAnsi" w:hAnsiTheme="majorHAnsi"/>
                <w:bCs/>
                <w:sz w:val="24"/>
                <w:szCs w:val="24"/>
              </w:rPr>
              <w:t>, including many neighboring states.</w:t>
            </w:r>
            <w:r w:rsidR="00934F19">
              <w:rPr>
                <w:rFonts w:asciiTheme="majorHAnsi" w:hAnsiTheme="majorHAnsi"/>
                <w:bCs/>
                <w:sz w:val="24"/>
                <w:szCs w:val="24"/>
              </w:rPr>
              <w:t xml:space="preserve">  However, some of the other states apply the exemption to newspapers but not </w:t>
            </w:r>
            <w:r w:rsidR="005F6D64">
              <w:rPr>
                <w:rFonts w:asciiTheme="majorHAnsi" w:hAnsiTheme="majorHAnsi"/>
                <w:bCs/>
                <w:sz w:val="24"/>
                <w:szCs w:val="24"/>
              </w:rPr>
              <w:t xml:space="preserve">magazines.  </w:t>
            </w:r>
          </w:p>
        </w:tc>
      </w:tr>
    </w:tbl>
    <w:tbl>
      <w:tblPr>
        <w:tblStyle w:val="MediumList1-Accent2"/>
        <w:tblW w:w="0" w:type="auto"/>
        <w:tblLook w:val="04A0" w:firstRow="1" w:lastRow="0" w:firstColumn="1" w:lastColumn="0" w:noHBand="0" w:noVBand="1"/>
      </w:tblPr>
      <w:tblGrid>
        <w:gridCol w:w="9576"/>
      </w:tblGrid>
      <w:tr w:rsidR="00F065BC" w:rsidRPr="00065914" w14:paraId="6A2C7E3A"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BAC4054" w14:textId="77777777" w:rsidR="00F065BC" w:rsidRPr="00065914" w:rsidRDefault="00F065BC" w:rsidP="00F065BC">
            <w:pPr>
              <w:rPr>
                <w:sz w:val="18"/>
                <w:szCs w:val="18"/>
              </w:rPr>
            </w:pPr>
          </w:p>
        </w:tc>
      </w:tr>
      <w:tr w:rsidR="004B14D0" w:rsidRPr="00065914" w14:paraId="5E007A78"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47F35B40" w14:textId="77777777" w:rsidR="004B14D0" w:rsidRPr="00104651" w:rsidRDefault="004B14D0" w:rsidP="00F065BC">
            <w:pPr>
              <w:rPr>
                <w:rFonts w:asciiTheme="majorHAnsi" w:hAnsiTheme="majorHAnsi"/>
                <w:sz w:val="24"/>
                <w:szCs w:val="24"/>
              </w:rPr>
            </w:pPr>
            <w:r w:rsidRPr="00104651">
              <w:rPr>
                <w:sz w:val="24"/>
                <w:szCs w:val="24"/>
                <w:highlight w:val="cyan"/>
              </w:rPr>
              <w:t>Conclusion/Recommendations: [To be</w:t>
            </w:r>
            <w:r w:rsidR="00F065BC" w:rsidRPr="00104651">
              <w:rPr>
                <w:sz w:val="24"/>
                <w:szCs w:val="24"/>
                <w:highlight w:val="cyan"/>
              </w:rPr>
              <w:t xml:space="preserve"> Entered by TERC]</w:t>
            </w:r>
          </w:p>
        </w:tc>
      </w:tr>
    </w:tbl>
    <w:p w14:paraId="53672DBA"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38521422" w14:textId="1BA1196C"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30030C66" w14:textId="77777777" w:rsidR="00297117" w:rsidRPr="00EF3C13" w:rsidRDefault="00297117" w:rsidP="00297117">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S</w:t>
      </w:r>
      <w:r w:rsidRPr="00431536">
        <w:rPr>
          <w:rFonts w:asciiTheme="majorHAnsi" w:eastAsiaTheme="majorEastAsia" w:hAnsiTheme="majorHAnsi" w:cstheme="majorBidi"/>
          <w:bCs/>
          <w:color w:val="000000" w:themeColor="text1"/>
          <w:sz w:val="24"/>
          <w:szCs w:val="24"/>
        </w:rPr>
        <w:t>ales of periodicals such as newspapers and magazines are exempt from the sales and use tax.</w:t>
      </w:r>
    </w:p>
    <w:p w14:paraId="12D0EEE9" w14:textId="77777777" w:rsidR="00C94BB5" w:rsidRDefault="00C94BB5" w:rsidP="00291074">
      <w:pPr>
        <w:tabs>
          <w:tab w:val="left" w:pos="7050"/>
        </w:tabs>
        <w:spacing w:after="0"/>
        <w:rPr>
          <w:rFonts w:asciiTheme="majorHAnsi" w:hAnsiTheme="majorHAnsi"/>
          <w:sz w:val="24"/>
          <w:szCs w:val="24"/>
        </w:rPr>
      </w:pPr>
    </w:p>
    <w:p w14:paraId="746A1F35" w14:textId="77777777" w:rsidR="00C94BB5" w:rsidRDefault="00C94BB5" w:rsidP="00291074">
      <w:pPr>
        <w:tabs>
          <w:tab w:val="left" w:pos="7050"/>
        </w:tabs>
        <w:spacing w:after="0"/>
        <w:rPr>
          <w:rFonts w:asciiTheme="majorHAnsi" w:hAnsiTheme="majorHAnsi"/>
          <w:sz w:val="24"/>
          <w:szCs w:val="24"/>
        </w:rPr>
      </w:pPr>
    </w:p>
    <w:p w14:paraId="263C27CC" w14:textId="77777777" w:rsidR="00291074" w:rsidRPr="00A07439" w:rsidRDefault="007259D5"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A47BE2">
        <w:rPr>
          <w:rFonts w:asciiTheme="majorHAnsi" w:hAnsiTheme="majorHAnsi"/>
          <w:b/>
          <w:color w:val="E36C0A" w:themeColor="accent6" w:themeShade="BF"/>
          <w:sz w:val="28"/>
          <w:szCs w:val="28"/>
        </w:rPr>
        <w:t>S</w:t>
      </w:r>
    </w:p>
    <w:p w14:paraId="7B0B9A3C" w14:textId="77777777" w:rsidR="00297117" w:rsidRDefault="00297117" w:rsidP="00297117">
      <w:pPr>
        <w:spacing w:after="0"/>
        <w:rPr>
          <w:rFonts w:asciiTheme="majorHAnsi" w:eastAsiaTheme="majorEastAsia" w:hAnsiTheme="majorHAnsi" w:cstheme="majorBidi"/>
          <w:bCs/>
          <w:color w:val="000000" w:themeColor="text1"/>
          <w:sz w:val="24"/>
        </w:rPr>
      </w:pPr>
      <w:r>
        <w:rPr>
          <w:rFonts w:asciiTheme="majorHAnsi" w:eastAsiaTheme="majorEastAsia" w:hAnsiTheme="majorHAnsi" w:cstheme="majorBidi"/>
          <w:bCs/>
          <w:color w:val="000000" w:themeColor="text1"/>
          <w:sz w:val="24"/>
        </w:rPr>
        <w:t>T</w:t>
      </w:r>
      <w:r w:rsidRPr="009373F9">
        <w:rPr>
          <w:rFonts w:asciiTheme="majorHAnsi" w:eastAsiaTheme="majorEastAsia" w:hAnsiTheme="majorHAnsi" w:cstheme="majorBidi"/>
          <w:bCs/>
          <w:color w:val="000000" w:themeColor="text1"/>
          <w:sz w:val="24"/>
        </w:rPr>
        <w:t xml:space="preserve">o encourage publication and readership of newspapers and magazines </w:t>
      </w:r>
      <w:r>
        <w:rPr>
          <w:rFonts w:asciiTheme="majorHAnsi" w:eastAsiaTheme="majorEastAsia" w:hAnsiTheme="majorHAnsi" w:cstheme="majorBidi"/>
          <w:bCs/>
          <w:color w:val="000000" w:themeColor="text1"/>
          <w:sz w:val="24"/>
        </w:rPr>
        <w:t>to enrich citizens’ knowledge about current political, social, cultural, and sports events, and world affairs.</w:t>
      </w:r>
    </w:p>
    <w:p w14:paraId="05F08B8E" w14:textId="77777777" w:rsidR="00622D32" w:rsidRPr="009B5445" w:rsidRDefault="00622D32" w:rsidP="00622D32">
      <w:pPr>
        <w:tabs>
          <w:tab w:val="left" w:pos="7050"/>
        </w:tabs>
        <w:spacing w:after="0"/>
        <w:rPr>
          <w:rFonts w:asciiTheme="majorHAnsi" w:hAnsiTheme="majorHAnsi"/>
          <w:sz w:val="24"/>
          <w:szCs w:val="24"/>
        </w:rPr>
      </w:pPr>
    </w:p>
    <w:p w14:paraId="78266813" w14:textId="77777777" w:rsidR="00622D32" w:rsidRPr="009B5445" w:rsidRDefault="00622D32" w:rsidP="00622D32">
      <w:pPr>
        <w:tabs>
          <w:tab w:val="left" w:pos="7050"/>
        </w:tabs>
        <w:spacing w:after="0"/>
        <w:rPr>
          <w:rFonts w:asciiTheme="majorHAnsi" w:hAnsiTheme="majorHAnsi"/>
          <w:sz w:val="24"/>
          <w:szCs w:val="24"/>
        </w:rPr>
      </w:pPr>
    </w:p>
    <w:p w14:paraId="7473A885" w14:textId="77777777" w:rsidR="00D80E3B" w:rsidRPr="00A07439" w:rsidRDefault="00A47BE2" w:rsidP="00D80E3B">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D80E3B" w:rsidRPr="00A07439">
        <w:rPr>
          <w:rFonts w:asciiTheme="majorHAnsi" w:hAnsiTheme="majorHAnsi"/>
          <w:b/>
          <w:color w:val="E36C0A" w:themeColor="accent6" w:themeShade="BF"/>
          <w:sz w:val="28"/>
          <w:szCs w:val="28"/>
        </w:rPr>
        <w:t xml:space="preserve">COSTS </w:t>
      </w:r>
    </w:p>
    <w:p w14:paraId="1414EDD4" w14:textId="72B7F590" w:rsidR="005D2F13" w:rsidRDefault="00476C5D" w:rsidP="00291074">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5A5BED">
        <w:rPr>
          <w:rFonts w:asciiTheme="majorHAnsi" w:eastAsiaTheme="majorEastAsia" w:hAnsiTheme="majorHAnsi" w:cstheme="majorBidi"/>
          <w:bCs/>
          <w:color w:val="000000" w:themeColor="text1"/>
          <w:sz w:val="24"/>
          <w:szCs w:val="24"/>
        </w:rPr>
        <w:t xml:space="preserve"> resulting from this tax expenditure</w:t>
      </w:r>
      <w:r w:rsidR="005A5BED"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sidR="00E83597">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sidR="00A27C21" w:rsidRPr="002C2079">
        <w:rPr>
          <w:rFonts w:asciiTheme="majorHAnsi" w:hAnsiTheme="majorHAnsi"/>
        </w:rPr>
        <w:t>$</w:t>
      </w:r>
      <w:r w:rsidR="00297117">
        <w:rPr>
          <w:rFonts w:asciiTheme="majorHAnsi" w:hAnsiTheme="majorHAnsi"/>
        </w:rPr>
        <w:t>21.4</w:t>
      </w:r>
      <w:r w:rsidR="00A27C21">
        <w:rPr>
          <w:rFonts w:asciiTheme="majorHAnsi" w:hAnsiTheme="majorHAnsi"/>
        </w:rPr>
        <w:t xml:space="preserve"> - $</w:t>
      </w:r>
      <w:r w:rsidR="00297117">
        <w:rPr>
          <w:rFonts w:asciiTheme="majorHAnsi" w:hAnsiTheme="majorHAnsi"/>
        </w:rPr>
        <w:t>34.3</w:t>
      </w:r>
      <w:r w:rsidR="00A27C21">
        <w:rPr>
          <w:rFonts w:asciiTheme="majorHAnsi" w:hAnsiTheme="majorHAnsi"/>
        </w:rPr>
        <w:t xml:space="preserve"> </w:t>
      </w:r>
      <w:r w:rsidRPr="00476C5D">
        <w:rPr>
          <w:rFonts w:asciiTheme="majorHAnsi" w:eastAsiaTheme="majorEastAsia" w:hAnsiTheme="majorHAnsi" w:cstheme="majorBidi"/>
          <w:bCs/>
          <w:color w:val="000000" w:themeColor="text1"/>
          <w:sz w:val="24"/>
          <w:szCs w:val="24"/>
        </w:rPr>
        <w:t xml:space="preserve">million </w:t>
      </w:r>
      <w:r w:rsidR="00E83597">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during FY18-FY22</w:t>
      </w:r>
      <w:r w:rsidR="00683B65">
        <w:rPr>
          <w:rFonts w:asciiTheme="majorHAnsi" w:eastAsiaTheme="majorEastAsia" w:hAnsiTheme="majorHAnsi" w:cstheme="majorBidi"/>
          <w:bCs/>
          <w:color w:val="000000" w:themeColor="text1"/>
          <w:sz w:val="24"/>
          <w:szCs w:val="24"/>
        </w:rPr>
        <w:t xml:space="preserve">. </w:t>
      </w:r>
      <w:r w:rsidR="005A5BED">
        <w:rPr>
          <w:rFonts w:asciiTheme="majorHAnsi" w:eastAsiaTheme="majorEastAsia" w:hAnsiTheme="majorHAnsi" w:cstheme="majorBidi"/>
          <w:bCs/>
          <w:color w:val="000000" w:themeColor="text1"/>
          <w:sz w:val="24"/>
          <w:szCs w:val="24"/>
        </w:rPr>
        <w:t xml:space="preserve">See Table 1. </w:t>
      </w:r>
    </w:p>
    <w:p w14:paraId="01F4AD12" w14:textId="77777777" w:rsidR="00401A6B" w:rsidRDefault="00401A6B" w:rsidP="00291074">
      <w:pPr>
        <w:spacing w:after="0"/>
        <w:rPr>
          <w:rFonts w:asciiTheme="majorHAnsi" w:eastAsiaTheme="majorEastAsia" w:hAnsiTheme="majorHAnsi" w:cstheme="majorBidi"/>
          <w:bCs/>
          <w:color w:val="000000" w:themeColor="text1"/>
          <w:sz w:val="24"/>
          <w:szCs w:val="24"/>
        </w:rPr>
      </w:pPr>
    </w:p>
    <w:p w14:paraId="22A030DB" w14:textId="77777777" w:rsidR="00564CAA" w:rsidRDefault="00716ED1" w:rsidP="00F73E2C">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sidR="002A7E4B">
        <w:rPr>
          <w:rFonts w:asciiTheme="majorHAnsi" w:eastAsiaTheme="majorEastAsia" w:hAnsiTheme="majorHAnsi" w:cstheme="majorBidi"/>
          <w:b/>
          <w:color w:val="000000" w:themeColor="text1"/>
          <w:sz w:val="24"/>
          <w:szCs w:val="24"/>
        </w:rPr>
        <w:t xml:space="preserve">Sales Tax </w:t>
      </w:r>
      <w:r w:rsidR="002A7E4B" w:rsidRPr="002A7E4B">
        <w:rPr>
          <w:rFonts w:asciiTheme="majorHAnsi" w:eastAsiaTheme="majorEastAsia" w:hAnsiTheme="majorHAnsi" w:cstheme="majorBidi"/>
          <w:b/>
          <w:color w:val="000000" w:themeColor="text1"/>
          <w:sz w:val="24"/>
          <w:szCs w:val="24"/>
        </w:rPr>
        <w:t xml:space="preserve">Exemption </w:t>
      </w:r>
    </w:p>
    <w:p w14:paraId="767F0691" w14:textId="02444F28" w:rsidR="00716ED1" w:rsidRPr="00B726D0" w:rsidRDefault="002A7E4B" w:rsidP="00F73E2C">
      <w:pPr>
        <w:spacing w:after="0"/>
        <w:jc w:val="center"/>
        <w:rPr>
          <w:rFonts w:asciiTheme="majorHAnsi" w:eastAsiaTheme="majorEastAsia" w:hAnsiTheme="majorHAnsi" w:cstheme="majorBidi"/>
          <w:b/>
          <w:color w:val="000000" w:themeColor="text1"/>
          <w:sz w:val="24"/>
          <w:szCs w:val="24"/>
        </w:rPr>
      </w:pPr>
      <w:r w:rsidRPr="002A7E4B">
        <w:rPr>
          <w:rFonts w:asciiTheme="majorHAnsi" w:eastAsiaTheme="majorEastAsia" w:hAnsiTheme="majorHAnsi" w:cstheme="majorBidi"/>
          <w:b/>
          <w:color w:val="000000" w:themeColor="text1"/>
          <w:sz w:val="24"/>
          <w:szCs w:val="24"/>
        </w:rPr>
        <w:t xml:space="preserve">for </w:t>
      </w:r>
      <w:r w:rsidR="00297117">
        <w:rPr>
          <w:rFonts w:asciiTheme="majorHAnsi" w:eastAsiaTheme="majorEastAsia" w:hAnsiTheme="majorHAnsi" w:cstheme="majorBidi"/>
          <w:b/>
          <w:color w:val="000000" w:themeColor="text1"/>
          <w:sz w:val="24"/>
          <w:szCs w:val="24"/>
        </w:rPr>
        <w:t>N</w:t>
      </w:r>
      <w:r w:rsidR="00297117" w:rsidRPr="00297117">
        <w:rPr>
          <w:rFonts w:asciiTheme="majorHAnsi" w:eastAsiaTheme="majorEastAsia" w:hAnsiTheme="majorHAnsi" w:cstheme="majorBidi"/>
          <w:b/>
          <w:color w:val="000000" w:themeColor="text1"/>
          <w:sz w:val="24"/>
          <w:szCs w:val="24"/>
        </w:rPr>
        <w:t xml:space="preserve">ewspapers and </w:t>
      </w:r>
      <w:r w:rsidR="00297117">
        <w:rPr>
          <w:rFonts w:asciiTheme="majorHAnsi" w:eastAsiaTheme="majorEastAsia" w:hAnsiTheme="majorHAnsi" w:cstheme="majorBidi"/>
          <w:b/>
          <w:color w:val="000000" w:themeColor="text1"/>
          <w:sz w:val="24"/>
          <w:szCs w:val="24"/>
        </w:rPr>
        <w:t>M</w:t>
      </w:r>
      <w:r w:rsidR="00297117" w:rsidRPr="00297117">
        <w:rPr>
          <w:rFonts w:asciiTheme="majorHAnsi" w:eastAsiaTheme="majorEastAsia" w:hAnsiTheme="majorHAnsi" w:cstheme="majorBidi"/>
          <w:b/>
          <w:color w:val="000000" w:themeColor="text1"/>
          <w:sz w:val="24"/>
          <w:szCs w:val="24"/>
        </w:rPr>
        <w:t>agazines</w:t>
      </w:r>
    </w:p>
    <w:tbl>
      <w:tblPr>
        <w:tblW w:w="7915" w:type="dxa"/>
        <w:jc w:val="center"/>
        <w:tblLook w:val="04A0" w:firstRow="1" w:lastRow="0" w:firstColumn="1" w:lastColumn="0" w:noHBand="0" w:noVBand="1"/>
      </w:tblPr>
      <w:tblGrid>
        <w:gridCol w:w="2604"/>
        <w:gridCol w:w="1063"/>
        <w:gridCol w:w="1062"/>
        <w:gridCol w:w="1062"/>
        <w:gridCol w:w="1062"/>
        <w:gridCol w:w="1062"/>
      </w:tblGrid>
      <w:tr w:rsidR="00716ED1" w:rsidRPr="00716ED1" w14:paraId="2898FEBA" w14:textId="77777777" w:rsidTr="009A7868">
        <w:trPr>
          <w:trHeight w:val="300"/>
          <w:jc w:val="center"/>
        </w:trPr>
        <w:tc>
          <w:tcPr>
            <w:tcW w:w="260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22BE4B0"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Fiscal Year </w:t>
            </w:r>
          </w:p>
        </w:tc>
        <w:tc>
          <w:tcPr>
            <w:tcW w:w="106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8F0D8B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2018</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AB73887"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2019</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200858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2020</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90FA13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2021</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7A8FA5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2022</w:t>
            </w:r>
          </w:p>
        </w:tc>
      </w:tr>
      <w:tr w:rsidR="00297117" w:rsidRPr="00716ED1" w14:paraId="066C9CB6" w14:textId="77777777" w:rsidTr="00297117">
        <w:trPr>
          <w:trHeight w:val="520"/>
          <w:jc w:val="center"/>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1070E9AF" w14:textId="77777777" w:rsidR="00297117" w:rsidRPr="00716ED1" w:rsidRDefault="00297117" w:rsidP="00297117">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 </w:t>
            </w: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r w:rsidRPr="00716ED1" w:rsidDel="005A5BED">
              <w:rPr>
                <w:rFonts w:ascii="Cambria" w:eastAsia="Times New Roman" w:hAnsi="Cambria" w:cs="Arial"/>
                <w:sz w:val="20"/>
                <w:szCs w:val="20"/>
                <w:lang w:eastAsia="ko-KR"/>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14:paraId="56C19652" w14:textId="1DA796CD"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 xml:space="preserve">$34.3 </w:t>
            </w:r>
          </w:p>
        </w:tc>
        <w:tc>
          <w:tcPr>
            <w:tcW w:w="1062" w:type="dxa"/>
            <w:tcBorders>
              <w:top w:val="nil"/>
              <w:left w:val="nil"/>
              <w:bottom w:val="single" w:sz="4" w:space="0" w:color="auto"/>
              <w:right w:val="single" w:sz="4" w:space="0" w:color="auto"/>
            </w:tcBorders>
            <w:shd w:val="clear" w:color="auto" w:fill="auto"/>
            <w:noWrap/>
            <w:vAlign w:val="center"/>
            <w:hideMark/>
          </w:tcPr>
          <w:p w14:paraId="5BB0A706" w14:textId="591D5616"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 xml:space="preserve">$30.6 </w:t>
            </w:r>
          </w:p>
        </w:tc>
        <w:tc>
          <w:tcPr>
            <w:tcW w:w="1062" w:type="dxa"/>
            <w:tcBorders>
              <w:top w:val="nil"/>
              <w:left w:val="nil"/>
              <w:bottom w:val="single" w:sz="4" w:space="0" w:color="auto"/>
              <w:right w:val="single" w:sz="4" w:space="0" w:color="auto"/>
            </w:tcBorders>
            <w:shd w:val="clear" w:color="auto" w:fill="auto"/>
            <w:noWrap/>
            <w:vAlign w:val="center"/>
            <w:hideMark/>
          </w:tcPr>
          <w:p w14:paraId="230465DA" w14:textId="1FDAF662"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 xml:space="preserve">$26.9 </w:t>
            </w:r>
          </w:p>
        </w:tc>
        <w:tc>
          <w:tcPr>
            <w:tcW w:w="1062" w:type="dxa"/>
            <w:tcBorders>
              <w:top w:val="nil"/>
              <w:left w:val="nil"/>
              <w:bottom w:val="single" w:sz="4" w:space="0" w:color="auto"/>
              <w:right w:val="single" w:sz="4" w:space="0" w:color="auto"/>
            </w:tcBorders>
            <w:shd w:val="clear" w:color="auto" w:fill="auto"/>
            <w:noWrap/>
            <w:vAlign w:val="center"/>
            <w:hideMark/>
          </w:tcPr>
          <w:p w14:paraId="7AC41969" w14:textId="38CAF31C"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 xml:space="preserve">$24.0 </w:t>
            </w:r>
          </w:p>
        </w:tc>
        <w:tc>
          <w:tcPr>
            <w:tcW w:w="1062" w:type="dxa"/>
            <w:tcBorders>
              <w:top w:val="nil"/>
              <w:left w:val="nil"/>
              <w:bottom w:val="single" w:sz="4" w:space="0" w:color="auto"/>
              <w:right w:val="single" w:sz="4" w:space="0" w:color="auto"/>
            </w:tcBorders>
            <w:shd w:val="clear" w:color="auto" w:fill="auto"/>
            <w:noWrap/>
            <w:vAlign w:val="center"/>
            <w:hideMark/>
          </w:tcPr>
          <w:p w14:paraId="500FBA58" w14:textId="336A18E2" w:rsidR="00297117" w:rsidRPr="00716ED1" w:rsidRDefault="00297117" w:rsidP="00297117">
            <w:pPr>
              <w:spacing w:after="0" w:line="240" w:lineRule="auto"/>
              <w:jc w:val="center"/>
              <w:rPr>
                <w:rFonts w:ascii="Cambria" w:eastAsia="Times New Roman" w:hAnsi="Cambria" w:cs="Arial"/>
                <w:sz w:val="20"/>
                <w:szCs w:val="20"/>
                <w:lang w:eastAsia="ko-KR"/>
              </w:rPr>
            </w:pPr>
            <w:r w:rsidRPr="00297117">
              <w:rPr>
                <w:rFonts w:ascii="Cambria" w:eastAsia="Times New Roman" w:hAnsi="Cambria" w:cs="Arial"/>
                <w:sz w:val="20"/>
                <w:szCs w:val="20"/>
                <w:lang w:eastAsia="ko-KR"/>
              </w:rPr>
              <w:t xml:space="preserve">$21.4 </w:t>
            </w:r>
          </w:p>
        </w:tc>
      </w:tr>
    </w:tbl>
    <w:p w14:paraId="0FC4A453" w14:textId="77777777" w:rsidR="00716ED1" w:rsidRDefault="00716ED1" w:rsidP="00291074">
      <w:pPr>
        <w:spacing w:after="0"/>
        <w:rPr>
          <w:rFonts w:asciiTheme="majorHAnsi" w:eastAsiaTheme="majorEastAsia" w:hAnsiTheme="majorHAnsi" w:cstheme="majorBidi"/>
          <w:bCs/>
          <w:color w:val="000000" w:themeColor="text1"/>
          <w:sz w:val="24"/>
          <w:szCs w:val="24"/>
        </w:rPr>
      </w:pPr>
    </w:p>
    <w:p w14:paraId="1736C114"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2A99E420"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6CD15A84" w14:textId="77777777" w:rsidR="005529C5" w:rsidRPr="005529C5" w:rsidRDefault="00A47BE2" w:rsidP="00ED4839">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 xml:space="preserve">BENEFITS </w:t>
      </w:r>
    </w:p>
    <w:p w14:paraId="368A7151" w14:textId="24D70581" w:rsidR="003E1F37" w:rsidRDefault="00564CAA" w:rsidP="00564CAA">
      <w:pPr>
        <w:tabs>
          <w:tab w:val="left" w:pos="7050"/>
        </w:tabs>
        <w:spacing w:after="0"/>
        <w:rPr>
          <w:rFonts w:asciiTheme="majorHAnsi" w:hAnsiTheme="majorHAnsi"/>
          <w:bCs/>
          <w:sz w:val="24"/>
          <w:szCs w:val="24"/>
        </w:rPr>
      </w:pPr>
      <w:bookmarkStart w:id="0" w:name="_Hlk51928638"/>
      <w:r w:rsidRPr="0000423E">
        <w:rPr>
          <w:rFonts w:asciiTheme="majorHAnsi" w:hAnsiTheme="majorHAnsi"/>
          <w:bCs/>
          <w:sz w:val="24"/>
          <w:szCs w:val="24"/>
        </w:rPr>
        <w:t xml:space="preserve">The </w:t>
      </w:r>
      <w:r>
        <w:rPr>
          <w:rFonts w:asciiTheme="majorHAnsi" w:hAnsiTheme="majorHAnsi"/>
          <w:bCs/>
          <w:sz w:val="24"/>
          <w:szCs w:val="24"/>
        </w:rPr>
        <w:t>Massachusetts consumers</w:t>
      </w:r>
      <w:r w:rsidR="003C1EC1">
        <w:rPr>
          <w:rFonts w:asciiTheme="majorHAnsi" w:hAnsiTheme="majorHAnsi"/>
          <w:bCs/>
          <w:sz w:val="24"/>
          <w:szCs w:val="24"/>
        </w:rPr>
        <w:t xml:space="preserve"> </w:t>
      </w:r>
      <w:r>
        <w:rPr>
          <w:rFonts w:asciiTheme="majorHAnsi" w:hAnsiTheme="majorHAnsi"/>
          <w:bCs/>
          <w:sz w:val="24"/>
          <w:szCs w:val="24"/>
        </w:rPr>
        <w:t>and business</w:t>
      </w:r>
      <w:r w:rsidR="003C1EC1">
        <w:rPr>
          <w:rFonts w:asciiTheme="majorHAnsi" w:hAnsiTheme="majorHAnsi"/>
          <w:bCs/>
          <w:sz w:val="24"/>
          <w:szCs w:val="24"/>
        </w:rPr>
        <w:t>es</w:t>
      </w:r>
      <w:r>
        <w:rPr>
          <w:rFonts w:asciiTheme="majorHAnsi" w:hAnsiTheme="majorHAnsi"/>
          <w:bCs/>
          <w:sz w:val="24"/>
          <w:szCs w:val="24"/>
        </w:rPr>
        <w:t xml:space="preserve"> </w:t>
      </w:r>
      <w:r w:rsidR="00677DCB">
        <w:rPr>
          <w:rFonts w:asciiTheme="majorHAnsi" w:hAnsiTheme="majorHAnsi"/>
          <w:bCs/>
          <w:sz w:val="24"/>
          <w:szCs w:val="24"/>
        </w:rPr>
        <w:t xml:space="preserve">that </w:t>
      </w:r>
      <w:r w:rsidR="003C1EC1">
        <w:rPr>
          <w:rFonts w:asciiTheme="majorHAnsi" w:hAnsiTheme="majorHAnsi"/>
          <w:bCs/>
          <w:sz w:val="24"/>
          <w:szCs w:val="24"/>
        </w:rPr>
        <w:t>buy and sell</w:t>
      </w:r>
      <w:r>
        <w:rPr>
          <w:rFonts w:asciiTheme="majorHAnsi" w:hAnsiTheme="majorHAnsi"/>
          <w:bCs/>
          <w:sz w:val="24"/>
          <w:szCs w:val="24"/>
        </w:rPr>
        <w:t xml:space="preserve"> </w:t>
      </w:r>
      <w:r w:rsidR="00CF09C8" w:rsidRPr="009373F9">
        <w:rPr>
          <w:rFonts w:asciiTheme="majorHAnsi" w:eastAsiaTheme="majorEastAsia" w:hAnsiTheme="majorHAnsi" w:cstheme="majorBidi"/>
          <w:bCs/>
          <w:color w:val="000000" w:themeColor="text1"/>
          <w:sz w:val="24"/>
        </w:rPr>
        <w:t xml:space="preserve">newspapers and magazines </w:t>
      </w:r>
      <w:r w:rsidR="003C1EC1">
        <w:rPr>
          <w:rFonts w:asciiTheme="majorHAnsi" w:hAnsiTheme="majorHAnsi"/>
          <w:bCs/>
          <w:sz w:val="24"/>
          <w:szCs w:val="24"/>
        </w:rPr>
        <w:t xml:space="preserve">at the retail </w:t>
      </w:r>
      <w:r w:rsidR="001175C9">
        <w:rPr>
          <w:rFonts w:asciiTheme="majorHAnsi" w:hAnsiTheme="majorHAnsi"/>
          <w:bCs/>
          <w:sz w:val="24"/>
          <w:szCs w:val="24"/>
        </w:rPr>
        <w:t>level</w:t>
      </w:r>
      <w:r>
        <w:rPr>
          <w:rFonts w:asciiTheme="majorHAnsi" w:hAnsiTheme="majorHAnsi"/>
          <w:bCs/>
          <w:sz w:val="24"/>
          <w:szCs w:val="24"/>
        </w:rPr>
        <w:t xml:space="preserve"> are the </w:t>
      </w:r>
      <w:r w:rsidR="003C1EC1">
        <w:rPr>
          <w:rFonts w:asciiTheme="majorHAnsi" w:hAnsiTheme="majorHAnsi"/>
          <w:bCs/>
          <w:sz w:val="24"/>
          <w:szCs w:val="24"/>
        </w:rPr>
        <w:t xml:space="preserve">direct </w:t>
      </w:r>
      <w:r>
        <w:rPr>
          <w:rFonts w:asciiTheme="majorHAnsi" w:hAnsiTheme="majorHAnsi"/>
          <w:bCs/>
          <w:sz w:val="24"/>
          <w:szCs w:val="24"/>
        </w:rPr>
        <w:t xml:space="preserve">beneficiaries of the sales tax exemption. </w:t>
      </w:r>
      <w:r w:rsidR="003C1EC1">
        <w:rPr>
          <w:rFonts w:asciiTheme="majorHAnsi" w:hAnsiTheme="majorHAnsi"/>
          <w:bCs/>
          <w:sz w:val="24"/>
          <w:szCs w:val="24"/>
        </w:rPr>
        <w:t xml:space="preserve">Buyers benefit from the sales tax exemption in the form of </w:t>
      </w:r>
      <w:r w:rsidR="005B75B1">
        <w:rPr>
          <w:rFonts w:asciiTheme="majorHAnsi" w:hAnsiTheme="majorHAnsi"/>
          <w:bCs/>
          <w:sz w:val="24"/>
          <w:szCs w:val="24"/>
        </w:rPr>
        <w:t xml:space="preserve">paying </w:t>
      </w:r>
      <w:r w:rsidR="001175C9">
        <w:rPr>
          <w:rFonts w:asciiTheme="majorHAnsi" w:hAnsiTheme="majorHAnsi"/>
          <w:bCs/>
          <w:sz w:val="24"/>
          <w:szCs w:val="24"/>
        </w:rPr>
        <w:t xml:space="preserve">a </w:t>
      </w:r>
      <w:r w:rsidR="003C1EC1">
        <w:rPr>
          <w:rFonts w:asciiTheme="majorHAnsi" w:hAnsiTheme="majorHAnsi"/>
          <w:bCs/>
          <w:sz w:val="24"/>
          <w:szCs w:val="24"/>
        </w:rPr>
        <w:t xml:space="preserve">lower “after tax price” while </w:t>
      </w:r>
      <w:r w:rsidR="003C1EC1" w:rsidRPr="00CB6BAE">
        <w:rPr>
          <w:rFonts w:asciiTheme="majorHAnsi" w:hAnsiTheme="majorHAnsi"/>
          <w:bCs/>
          <w:sz w:val="24"/>
          <w:szCs w:val="24"/>
        </w:rPr>
        <w:t>sellers</w:t>
      </w:r>
      <w:r w:rsidR="00677DCB" w:rsidRPr="00CB6BAE">
        <w:rPr>
          <w:rFonts w:asciiTheme="majorHAnsi" w:hAnsiTheme="majorHAnsi"/>
          <w:bCs/>
          <w:sz w:val="24"/>
          <w:szCs w:val="24"/>
        </w:rPr>
        <w:t xml:space="preserve"> </w:t>
      </w:r>
      <w:r w:rsidR="00673681" w:rsidRPr="00CB6BAE">
        <w:rPr>
          <w:rFonts w:asciiTheme="majorHAnsi" w:hAnsiTheme="majorHAnsi"/>
          <w:bCs/>
          <w:sz w:val="24"/>
          <w:szCs w:val="24"/>
        </w:rPr>
        <w:t xml:space="preserve">benefit in the form of receiving a higher “before tax price.” </w:t>
      </w:r>
      <w:r w:rsidR="00673681" w:rsidRPr="002379D0">
        <w:rPr>
          <w:rFonts w:asciiTheme="majorHAnsi" w:hAnsiTheme="majorHAnsi"/>
          <w:bCs/>
          <w:sz w:val="24"/>
          <w:szCs w:val="24"/>
        </w:rPr>
        <w:t xml:space="preserve">The exact split of the direct benefits depends on the interaction of demand and supply and is often difficult to quantify.  In addition, </w:t>
      </w:r>
      <w:r w:rsidR="00673681" w:rsidRPr="00CB6BAE">
        <w:rPr>
          <w:rFonts w:asciiTheme="majorHAnsi" w:hAnsiTheme="majorHAnsi"/>
          <w:bCs/>
          <w:sz w:val="24"/>
          <w:szCs w:val="24"/>
        </w:rPr>
        <w:t xml:space="preserve">sellers </w:t>
      </w:r>
      <w:r w:rsidR="00677DCB" w:rsidRPr="00CB6BAE">
        <w:rPr>
          <w:rFonts w:asciiTheme="majorHAnsi" w:hAnsiTheme="majorHAnsi"/>
          <w:bCs/>
          <w:sz w:val="24"/>
          <w:szCs w:val="24"/>
        </w:rPr>
        <w:t xml:space="preserve">are spared the administrative expense of collecting, </w:t>
      </w:r>
      <w:proofErr w:type="gramStart"/>
      <w:r w:rsidR="00677DCB" w:rsidRPr="00CB6BAE">
        <w:rPr>
          <w:rFonts w:asciiTheme="majorHAnsi" w:hAnsiTheme="majorHAnsi"/>
          <w:bCs/>
          <w:sz w:val="24"/>
          <w:szCs w:val="24"/>
        </w:rPr>
        <w:t>reporting</w:t>
      </w:r>
      <w:proofErr w:type="gramEnd"/>
      <w:r w:rsidR="00677DCB" w:rsidRPr="00CB6BAE">
        <w:rPr>
          <w:rFonts w:asciiTheme="majorHAnsi" w:hAnsiTheme="majorHAnsi"/>
          <w:bCs/>
          <w:sz w:val="24"/>
          <w:szCs w:val="24"/>
        </w:rPr>
        <w:t xml:space="preserve"> and remitting the sales tax.  </w:t>
      </w:r>
      <w:bookmarkStart w:id="1" w:name="_Hlk62743118"/>
    </w:p>
    <w:bookmarkEnd w:id="1"/>
    <w:p w14:paraId="7829F189" w14:textId="77777777" w:rsidR="003E1F37" w:rsidRDefault="003E1F37" w:rsidP="00564CAA">
      <w:pPr>
        <w:tabs>
          <w:tab w:val="left" w:pos="7050"/>
        </w:tabs>
        <w:spacing w:after="0"/>
        <w:rPr>
          <w:rFonts w:asciiTheme="majorHAnsi" w:hAnsiTheme="majorHAnsi"/>
          <w:bCs/>
          <w:sz w:val="24"/>
          <w:szCs w:val="24"/>
        </w:rPr>
      </w:pPr>
    </w:p>
    <w:p w14:paraId="7C240F0D" w14:textId="094E13BD" w:rsidR="006F1953" w:rsidRDefault="003E1F37" w:rsidP="0096718D">
      <w:pPr>
        <w:tabs>
          <w:tab w:val="left" w:pos="7050"/>
        </w:tabs>
        <w:spacing w:after="0"/>
        <w:rPr>
          <w:rFonts w:asciiTheme="majorHAnsi" w:eastAsiaTheme="majorEastAsia" w:hAnsiTheme="majorHAnsi" w:cstheme="majorBidi"/>
          <w:b/>
          <w:color w:val="000000" w:themeColor="text1"/>
          <w:sz w:val="24"/>
          <w:szCs w:val="24"/>
        </w:rPr>
      </w:pPr>
      <w:r>
        <w:rPr>
          <w:rFonts w:asciiTheme="majorHAnsi" w:hAnsiTheme="majorHAnsi"/>
          <w:bCs/>
          <w:sz w:val="24"/>
          <w:szCs w:val="24"/>
        </w:rPr>
        <w:t>Businesses sell</w:t>
      </w:r>
      <w:r w:rsidR="00A27C21">
        <w:rPr>
          <w:rFonts w:asciiTheme="majorHAnsi" w:hAnsiTheme="majorHAnsi"/>
          <w:bCs/>
          <w:sz w:val="24"/>
          <w:szCs w:val="24"/>
        </w:rPr>
        <w:t>ing</w:t>
      </w:r>
      <w:r>
        <w:rPr>
          <w:rFonts w:asciiTheme="majorHAnsi" w:hAnsiTheme="majorHAnsi"/>
          <w:bCs/>
          <w:sz w:val="24"/>
          <w:szCs w:val="24"/>
        </w:rPr>
        <w:t xml:space="preserve"> </w:t>
      </w:r>
      <w:r w:rsidR="00CF09C8" w:rsidRPr="009373F9">
        <w:rPr>
          <w:rFonts w:asciiTheme="majorHAnsi" w:eastAsiaTheme="majorEastAsia" w:hAnsiTheme="majorHAnsi" w:cstheme="majorBidi"/>
          <w:bCs/>
          <w:color w:val="000000" w:themeColor="text1"/>
          <w:sz w:val="24"/>
        </w:rPr>
        <w:t xml:space="preserve">newspapers and magazines </w:t>
      </w:r>
      <w:r>
        <w:rPr>
          <w:rFonts w:asciiTheme="majorHAnsi" w:hAnsiTheme="majorHAnsi"/>
          <w:bCs/>
          <w:sz w:val="24"/>
          <w:szCs w:val="24"/>
        </w:rPr>
        <w:t xml:space="preserve">at the retail </w:t>
      </w:r>
      <w:r w:rsidR="001175C9">
        <w:rPr>
          <w:rFonts w:asciiTheme="majorHAnsi" w:hAnsiTheme="majorHAnsi"/>
          <w:bCs/>
          <w:sz w:val="24"/>
          <w:szCs w:val="24"/>
        </w:rPr>
        <w:t>level</w:t>
      </w:r>
      <w:r w:rsidR="00A27C21">
        <w:rPr>
          <w:rFonts w:asciiTheme="majorHAnsi" w:hAnsiTheme="majorHAnsi"/>
          <w:bCs/>
          <w:sz w:val="24"/>
          <w:szCs w:val="24"/>
        </w:rPr>
        <w:t xml:space="preserve"> </w:t>
      </w:r>
      <w:r w:rsidR="00CF09C8">
        <w:rPr>
          <w:rFonts w:asciiTheme="majorHAnsi" w:hAnsiTheme="majorHAnsi"/>
          <w:bCs/>
          <w:sz w:val="24"/>
          <w:szCs w:val="24"/>
        </w:rPr>
        <w:t>include</w:t>
      </w:r>
      <w:r w:rsidR="00A27C21">
        <w:rPr>
          <w:rFonts w:asciiTheme="majorHAnsi" w:hAnsiTheme="majorHAnsi"/>
          <w:bCs/>
          <w:sz w:val="24"/>
          <w:szCs w:val="24"/>
        </w:rPr>
        <w:t xml:space="preserve"> </w:t>
      </w:r>
      <w:r w:rsidR="00CF09C8">
        <w:rPr>
          <w:rFonts w:asciiTheme="majorHAnsi" w:hAnsiTheme="majorHAnsi"/>
          <w:bCs/>
          <w:sz w:val="24"/>
          <w:szCs w:val="24"/>
        </w:rPr>
        <w:t>publishers, dealers, and newsstand</w:t>
      </w:r>
      <w:r w:rsidR="00DA292E">
        <w:rPr>
          <w:rFonts w:asciiTheme="majorHAnsi" w:hAnsiTheme="majorHAnsi"/>
          <w:bCs/>
          <w:sz w:val="24"/>
          <w:szCs w:val="24"/>
        </w:rPr>
        <w:t>s</w:t>
      </w:r>
      <w:r w:rsidR="00A27C21">
        <w:rPr>
          <w:rFonts w:asciiTheme="majorHAnsi" w:hAnsiTheme="majorHAnsi"/>
          <w:bCs/>
          <w:sz w:val="24"/>
          <w:szCs w:val="24"/>
        </w:rPr>
        <w:t xml:space="preserve">. </w:t>
      </w:r>
      <w:r w:rsidR="00221323">
        <w:rPr>
          <w:rFonts w:asciiTheme="majorHAnsi" w:hAnsiTheme="majorHAnsi"/>
          <w:bCs/>
          <w:sz w:val="24"/>
          <w:szCs w:val="24"/>
        </w:rPr>
        <w:t xml:space="preserve">According to </w:t>
      </w:r>
      <w:r w:rsidR="00EE3265">
        <w:rPr>
          <w:rFonts w:asciiTheme="majorHAnsi" w:hAnsiTheme="majorHAnsi"/>
          <w:bCs/>
          <w:sz w:val="24"/>
          <w:szCs w:val="24"/>
        </w:rPr>
        <w:t xml:space="preserve">the </w:t>
      </w:r>
      <w:r w:rsidR="00221323">
        <w:rPr>
          <w:rFonts w:asciiTheme="majorHAnsi" w:hAnsiTheme="majorHAnsi"/>
          <w:bCs/>
          <w:sz w:val="24"/>
          <w:szCs w:val="24"/>
        </w:rPr>
        <w:t xml:space="preserve">U.S. Census Bureau, in 2017, Massachusetts had </w:t>
      </w:r>
      <w:r w:rsidR="00CF09C8">
        <w:rPr>
          <w:rFonts w:asciiTheme="majorHAnsi" w:hAnsiTheme="majorHAnsi"/>
          <w:bCs/>
          <w:sz w:val="24"/>
          <w:szCs w:val="24"/>
        </w:rPr>
        <w:t>99 newspaper publisher</w:t>
      </w:r>
      <w:r w:rsidR="00DA292E">
        <w:rPr>
          <w:rFonts w:asciiTheme="majorHAnsi" w:hAnsiTheme="majorHAnsi"/>
          <w:bCs/>
          <w:sz w:val="24"/>
          <w:szCs w:val="24"/>
        </w:rPr>
        <w:t>s</w:t>
      </w:r>
      <w:r w:rsidR="00CF09C8">
        <w:rPr>
          <w:rFonts w:asciiTheme="majorHAnsi" w:hAnsiTheme="majorHAnsi"/>
          <w:bCs/>
          <w:sz w:val="24"/>
          <w:szCs w:val="24"/>
        </w:rPr>
        <w:t>, 123 periodicals publisher</w:t>
      </w:r>
      <w:r w:rsidR="00DA292E">
        <w:rPr>
          <w:rFonts w:asciiTheme="majorHAnsi" w:hAnsiTheme="majorHAnsi"/>
          <w:bCs/>
          <w:sz w:val="24"/>
          <w:szCs w:val="24"/>
        </w:rPr>
        <w:t>s</w:t>
      </w:r>
      <w:r w:rsidR="00CF09C8">
        <w:rPr>
          <w:rFonts w:asciiTheme="majorHAnsi" w:hAnsiTheme="majorHAnsi"/>
          <w:bCs/>
          <w:sz w:val="24"/>
          <w:szCs w:val="24"/>
        </w:rPr>
        <w:t xml:space="preserve">, </w:t>
      </w:r>
      <w:r w:rsidR="00BC17CB">
        <w:rPr>
          <w:rFonts w:asciiTheme="majorHAnsi" w:hAnsiTheme="majorHAnsi"/>
          <w:bCs/>
          <w:sz w:val="24"/>
          <w:szCs w:val="24"/>
        </w:rPr>
        <w:t>201 i</w:t>
      </w:r>
      <w:r w:rsidR="00BC17CB" w:rsidRPr="00BC17CB">
        <w:rPr>
          <w:rFonts w:asciiTheme="majorHAnsi" w:hAnsiTheme="majorHAnsi"/>
          <w:bCs/>
          <w:sz w:val="24"/>
          <w:szCs w:val="24"/>
        </w:rPr>
        <w:t>nternet publishing and broadcasting and web search portals</w:t>
      </w:r>
      <w:r w:rsidR="00BC17CB">
        <w:rPr>
          <w:rFonts w:asciiTheme="majorHAnsi" w:hAnsiTheme="majorHAnsi"/>
          <w:bCs/>
          <w:sz w:val="24"/>
          <w:szCs w:val="24"/>
        </w:rPr>
        <w:t xml:space="preserve">, </w:t>
      </w:r>
      <w:r w:rsidR="00CF09C8">
        <w:rPr>
          <w:rFonts w:asciiTheme="majorHAnsi" w:hAnsiTheme="majorHAnsi"/>
          <w:bCs/>
          <w:sz w:val="24"/>
          <w:szCs w:val="24"/>
        </w:rPr>
        <w:t xml:space="preserve">and </w:t>
      </w:r>
      <w:r w:rsidR="00DA292E">
        <w:rPr>
          <w:rFonts w:asciiTheme="majorHAnsi" w:hAnsiTheme="majorHAnsi"/>
          <w:bCs/>
          <w:sz w:val="24"/>
          <w:szCs w:val="24"/>
        </w:rPr>
        <w:t>21</w:t>
      </w:r>
      <w:r w:rsidR="00CF09C8">
        <w:rPr>
          <w:rFonts w:asciiTheme="majorHAnsi" w:hAnsiTheme="majorHAnsi"/>
          <w:bCs/>
          <w:sz w:val="24"/>
          <w:szCs w:val="24"/>
        </w:rPr>
        <w:t xml:space="preserve"> news dealers and newsstands. Out-of-state businesses selling newspapers and magazines to Massachusetts residents and businesses are also direct beneficiaries.</w:t>
      </w:r>
    </w:p>
    <w:p w14:paraId="0E625059" w14:textId="77777777" w:rsidR="006F1953" w:rsidRDefault="006F1953" w:rsidP="00564CAA">
      <w:pPr>
        <w:tabs>
          <w:tab w:val="left" w:pos="7050"/>
        </w:tabs>
        <w:spacing w:after="0"/>
        <w:rPr>
          <w:rFonts w:asciiTheme="majorHAnsi" w:hAnsiTheme="majorHAnsi"/>
          <w:bCs/>
          <w:sz w:val="24"/>
          <w:szCs w:val="24"/>
        </w:rPr>
      </w:pPr>
    </w:p>
    <w:p w14:paraId="6CB12C16" w14:textId="1357F23C" w:rsidR="00FB7726" w:rsidRDefault="003E1F37" w:rsidP="00564CAA">
      <w:pPr>
        <w:tabs>
          <w:tab w:val="left" w:pos="7050"/>
        </w:tabs>
        <w:spacing w:after="0"/>
        <w:rPr>
          <w:rFonts w:asciiTheme="majorHAnsi" w:hAnsiTheme="majorHAnsi"/>
          <w:bCs/>
          <w:sz w:val="24"/>
          <w:szCs w:val="24"/>
        </w:rPr>
      </w:pPr>
      <w:r>
        <w:rPr>
          <w:rFonts w:asciiTheme="majorHAnsi" w:hAnsiTheme="majorHAnsi"/>
          <w:bCs/>
          <w:sz w:val="24"/>
          <w:szCs w:val="24"/>
        </w:rPr>
        <w:lastRenderedPageBreak/>
        <w:t>For simplicity, we assume that the entire tax saving</w:t>
      </w:r>
      <w:r w:rsidR="00D92B4F">
        <w:rPr>
          <w:rFonts w:asciiTheme="majorHAnsi" w:hAnsiTheme="majorHAnsi"/>
          <w:bCs/>
          <w:sz w:val="24"/>
          <w:szCs w:val="24"/>
        </w:rPr>
        <w:t>s</w:t>
      </w:r>
      <w:r>
        <w:rPr>
          <w:rFonts w:asciiTheme="majorHAnsi" w:hAnsiTheme="majorHAnsi"/>
          <w:bCs/>
          <w:sz w:val="24"/>
          <w:szCs w:val="24"/>
        </w:rPr>
        <w:t xml:space="preserve"> due to </w:t>
      </w:r>
      <w:r w:rsidR="001175C9">
        <w:rPr>
          <w:rFonts w:asciiTheme="majorHAnsi" w:hAnsiTheme="majorHAnsi"/>
          <w:bCs/>
          <w:sz w:val="24"/>
          <w:szCs w:val="24"/>
        </w:rPr>
        <w:t xml:space="preserve">the </w:t>
      </w:r>
      <w:r>
        <w:rPr>
          <w:rFonts w:asciiTheme="majorHAnsi" w:hAnsiTheme="majorHAnsi"/>
          <w:bCs/>
          <w:sz w:val="24"/>
          <w:szCs w:val="24"/>
        </w:rPr>
        <w:t xml:space="preserve">sales tax exemption </w:t>
      </w:r>
      <w:r w:rsidR="002379D0">
        <w:rPr>
          <w:rFonts w:asciiTheme="majorHAnsi" w:hAnsiTheme="majorHAnsi"/>
          <w:bCs/>
          <w:sz w:val="24"/>
          <w:szCs w:val="24"/>
        </w:rPr>
        <w:t xml:space="preserve">are </w:t>
      </w:r>
      <w:r>
        <w:rPr>
          <w:rFonts w:asciiTheme="majorHAnsi" w:hAnsiTheme="majorHAnsi"/>
          <w:bCs/>
          <w:sz w:val="24"/>
          <w:szCs w:val="24"/>
        </w:rPr>
        <w:t xml:space="preserve">passed on to buyers. Based on this assumption, </w:t>
      </w:r>
      <w:r w:rsidR="005B75B1">
        <w:rPr>
          <w:rFonts w:asciiTheme="majorHAnsi" w:hAnsiTheme="majorHAnsi"/>
          <w:bCs/>
          <w:sz w:val="24"/>
          <w:szCs w:val="24"/>
        </w:rPr>
        <w:t xml:space="preserve">Table </w:t>
      </w:r>
      <w:r w:rsidR="003D6384">
        <w:rPr>
          <w:rFonts w:asciiTheme="majorHAnsi" w:hAnsiTheme="majorHAnsi"/>
          <w:bCs/>
          <w:sz w:val="24"/>
          <w:szCs w:val="24"/>
        </w:rPr>
        <w:t xml:space="preserve">2 </w:t>
      </w:r>
      <w:r w:rsidR="005B75B1">
        <w:rPr>
          <w:rFonts w:asciiTheme="majorHAnsi" w:hAnsiTheme="majorHAnsi"/>
          <w:bCs/>
          <w:sz w:val="24"/>
          <w:szCs w:val="24"/>
        </w:rPr>
        <w:t>reports the distribution of estimated tax saving</w:t>
      </w:r>
      <w:r w:rsidR="00D92B4F">
        <w:rPr>
          <w:rFonts w:asciiTheme="majorHAnsi" w:hAnsiTheme="majorHAnsi"/>
          <w:bCs/>
          <w:sz w:val="24"/>
          <w:szCs w:val="24"/>
        </w:rPr>
        <w:t>s</w:t>
      </w:r>
      <w:r w:rsidR="000E0559">
        <w:rPr>
          <w:rFonts w:asciiTheme="majorHAnsi" w:hAnsiTheme="majorHAnsi"/>
          <w:bCs/>
          <w:sz w:val="24"/>
          <w:szCs w:val="24"/>
        </w:rPr>
        <w:t xml:space="preserve"> in FY18</w:t>
      </w:r>
      <w:r w:rsidR="005B75B1">
        <w:rPr>
          <w:rFonts w:asciiTheme="majorHAnsi" w:hAnsiTheme="majorHAnsi"/>
          <w:bCs/>
          <w:sz w:val="24"/>
          <w:szCs w:val="24"/>
        </w:rPr>
        <w:t xml:space="preserve"> among households in different income range</w:t>
      </w:r>
      <w:r w:rsidR="000E0559">
        <w:rPr>
          <w:rFonts w:asciiTheme="majorHAnsi" w:hAnsiTheme="majorHAnsi"/>
          <w:bCs/>
          <w:sz w:val="24"/>
          <w:szCs w:val="24"/>
        </w:rPr>
        <w:t xml:space="preserve">s. The table is based </w:t>
      </w:r>
      <w:r w:rsidR="00C14A91">
        <w:rPr>
          <w:rFonts w:asciiTheme="majorHAnsi" w:hAnsiTheme="majorHAnsi"/>
          <w:bCs/>
          <w:sz w:val="24"/>
          <w:szCs w:val="24"/>
        </w:rPr>
        <w:t xml:space="preserve">primarily </w:t>
      </w:r>
      <w:r w:rsidR="000E0559">
        <w:rPr>
          <w:rFonts w:asciiTheme="majorHAnsi" w:hAnsiTheme="majorHAnsi"/>
          <w:bCs/>
          <w:sz w:val="24"/>
          <w:szCs w:val="24"/>
        </w:rPr>
        <w:t xml:space="preserve">on the 2018 Consumer Expenditure Survey data published by </w:t>
      </w:r>
      <w:r w:rsidR="00F56D33">
        <w:rPr>
          <w:rFonts w:asciiTheme="majorHAnsi" w:hAnsiTheme="majorHAnsi"/>
          <w:bCs/>
          <w:sz w:val="24"/>
          <w:szCs w:val="24"/>
        </w:rPr>
        <w:t xml:space="preserve">the </w:t>
      </w:r>
      <w:r w:rsidR="000E0559">
        <w:rPr>
          <w:rFonts w:asciiTheme="majorHAnsi" w:hAnsiTheme="majorHAnsi"/>
          <w:bCs/>
          <w:sz w:val="24"/>
          <w:szCs w:val="24"/>
        </w:rPr>
        <w:t xml:space="preserve">U.S. Bureau of Labor Statistics and </w:t>
      </w:r>
      <w:r w:rsidR="0068668C">
        <w:rPr>
          <w:rFonts w:asciiTheme="majorHAnsi" w:hAnsiTheme="majorHAnsi"/>
          <w:bCs/>
          <w:sz w:val="24"/>
          <w:szCs w:val="24"/>
        </w:rPr>
        <w:t xml:space="preserve">data from other sources such as Moody’s Analytics and </w:t>
      </w:r>
      <w:r w:rsidR="00C14A91">
        <w:rPr>
          <w:rFonts w:asciiTheme="majorHAnsi" w:hAnsiTheme="majorHAnsi"/>
          <w:bCs/>
          <w:sz w:val="24"/>
          <w:szCs w:val="24"/>
        </w:rPr>
        <w:t xml:space="preserve">the </w:t>
      </w:r>
      <w:r w:rsidR="00E946B5">
        <w:rPr>
          <w:rFonts w:asciiTheme="majorHAnsi" w:hAnsiTheme="majorHAnsi"/>
          <w:bCs/>
          <w:sz w:val="24"/>
          <w:szCs w:val="24"/>
        </w:rPr>
        <w:t>U.S. Census</w:t>
      </w:r>
      <w:r w:rsidR="00E946B5" w:rsidRPr="00E946B5">
        <w:rPr>
          <w:rFonts w:asciiTheme="majorHAnsi" w:hAnsiTheme="majorHAnsi"/>
          <w:bCs/>
          <w:sz w:val="24"/>
          <w:szCs w:val="24"/>
        </w:rPr>
        <w:t xml:space="preserve"> </w:t>
      </w:r>
      <w:r w:rsidR="00E946B5">
        <w:rPr>
          <w:rFonts w:asciiTheme="majorHAnsi" w:hAnsiTheme="majorHAnsi"/>
          <w:bCs/>
          <w:sz w:val="24"/>
          <w:szCs w:val="24"/>
        </w:rPr>
        <w:t>Bureau</w:t>
      </w:r>
      <w:r w:rsidR="000E0559">
        <w:rPr>
          <w:rFonts w:asciiTheme="majorHAnsi" w:hAnsiTheme="majorHAnsi"/>
          <w:bCs/>
          <w:sz w:val="24"/>
          <w:szCs w:val="24"/>
        </w:rPr>
        <w:t xml:space="preserve">. The Consumer Expenditure Survey </w:t>
      </w:r>
      <w:r w:rsidR="00FB7726">
        <w:rPr>
          <w:rFonts w:asciiTheme="majorHAnsi" w:hAnsiTheme="majorHAnsi"/>
          <w:bCs/>
          <w:sz w:val="24"/>
          <w:szCs w:val="24"/>
        </w:rPr>
        <w:t xml:space="preserve">reports </w:t>
      </w:r>
      <w:r w:rsidR="0068668C">
        <w:rPr>
          <w:rFonts w:asciiTheme="majorHAnsi" w:hAnsiTheme="majorHAnsi"/>
          <w:bCs/>
          <w:sz w:val="24"/>
          <w:szCs w:val="24"/>
        </w:rPr>
        <w:t>a</w:t>
      </w:r>
      <w:r w:rsidR="0068668C" w:rsidRPr="0068668C">
        <w:rPr>
          <w:rFonts w:asciiTheme="majorHAnsi" w:hAnsiTheme="majorHAnsi"/>
          <w:bCs/>
          <w:sz w:val="24"/>
          <w:szCs w:val="24"/>
        </w:rPr>
        <w:t>verage annual expenditures</w:t>
      </w:r>
      <w:r w:rsidR="0068668C">
        <w:rPr>
          <w:rFonts w:asciiTheme="majorHAnsi" w:hAnsiTheme="majorHAnsi"/>
          <w:bCs/>
          <w:sz w:val="24"/>
          <w:szCs w:val="24"/>
        </w:rPr>
        <w:t xml:space="preserve"> </w:t>
      </w:r>
      <w:r w:rsidR="000E0559">
        <w:rPr>
          <w:rFonts w:asciiTheme="majorHAnsi" w:hAnsiTheme="majorHAnsi"/>
          <w:bCs/>
          <w:sz w:val="24"/>
          <w:szCs w:val="24"/>
        </w:rPr>
        <w:t>on</w:t>
      </w:r>
      <w:r w:rsidR="0068668C">
        <w:rPr>
          <w:rFonts w:asciiTheme="majorHAnsi" w:hAnsiTheme="majorHAnsi"/>
          <w:bCs/>
          <w:sz w:val="24"/>
          <w:szCs w:val="24"/>
        </w:rPr>
        <w:t xml:space="preserve"> </w:t>
      </w:r>
      <w:r w:rsidR="008B2273">
        <w:rPr>
          <w:rFonts w:asciiTheme="majorHAnsi" w:hAnsiTheme="majorHAnsi"/>
          <w:bCs/>
          <w:sz w:val="24"/>
          <w:szCs w:val="24"/>
        </w:rPr>
        <w:t>“</w:t>
      </w:r>
      <w:r w:rsidR="00E946B5">
        <w:rPr>
          <w:rFonts w:asciiTheme="majorHAnsi" w:hAnsiTheme="majorHAnsi"/>
          <w:bCs/>
          <w:sz w:val="24"/>
          <w:szCs w:val="24"/>
        </w:rPr>
        <w:t>reading</w:t>
      </w:r>
      <w:r w:rsidR="008B2273">
        <w:rPr>
          <w:rFonts w:asciiTheme="majorHAnsi" w:hAnsiTheme="majorHAnsi"/>
          <w:bCs/>
          <w:sz w:val="24"/>
          <w:szCs w:val="24"/>
        </w:rPr>
        <w:t xml:space="preserve">” </w:t>
      </w:r>
      <w:r w:rsidR="00FB7726">
        <w:rPr>
          <w:rFonts w:asciiTheme="majorHAnsi" w:hAnsiTheme="majorHAnsi"/>
          <w:bCs/>
          <w:sz w:val="24"/>
          <w:szCs w:val="24"/>
        </w:rPr>
        <w:t>and number of households</w:t>
      </w:r>
      <w:r w:rsidR="0068668C">
        <w:rPr>
          <w:rFonts w:asciiTheme="majorHAnsi" w:hAnsiTheme="majorHAnsi"/>
          <w:bCs/>
          <w:sz w:val="24"/>
          <w:szCs w:val="24"/>
        </w:rPr>
        <w:t xml:space="preserve"> by different income </w:t>
      </w:r>
      <w:r w:rsidR="00482F28">
        <w:rPr>
          <w:rFonts w:asciiTheme="majorHAnsi" w:hAnsiTheme="majorHAnsi"/>
          <w:bCs/>
          <w:sz w:val="24"/>
          <w:szCs w:val="24"/>
        </w:rPr>
        <w:t>groups</w:t>
      </w:r>
      <w:r w:rsidR="0068668C">
        <w:rPr>
          <w:rFonts w:asciiTheme="majorHAnsi" w:hAnsiTheme="majorHAnsi"/>
          <w:bCs/>
          <w:sz w:val="24"/>
          <w:szCs w:val="24"/>
        </w:rPr>
        <w:t>.</w:t>
      </w:r>
      <w:r w:rsidR="000E0559">
        <w:rPr>
          <w:rFonts w:asciiTheme="majorHAnsi" w:hAnsiTheme="majorHAnsi"/>
          <w:bCs/>
          <w:sz w:val="24"/>
          <w:szCs w:val="24"/>
        </w:rPr>
        <w:t xml:space="preserve">  </w:t>
      </w:r>
      <w:r w:rsidR="00FB7726">
        <w:rPr>
          <w:rFonts w:asciiTheme="majorHAnsi" w:hAnsiTheme="majorHAnsi"/>
          <w:bCs/>
          <w:sz w:val="24"/>
          <w:szCs w:val="24"/>
        </w:rPr>
        <w:t>Please note that, a</w:t>
      </w:r>
      <w:r w:rsidR="00564CAA">
        <w:rPr>
          <w:rFonts w:asciiTheme="majorHAnsi" w:hAnsiTheme="majorHAnsi"/>
          <w:bCs/>
          <w:sz w:val="24"/>
          <w:szCs w:val="24"/>
        </w:rPr>
        <w:t xml:space="preserve">lthough </w:t>
      </w:r>
      <w:r w:rsidR="00E946B5">
        <w:rPr>
          <w:rFonts w:asciiTheme="majorHAnsi" w:hAnsiTheme="majorHAnsi"/>
          <w:bCs/>
          <w:sz w:val="24"/>
          <w:szCs w:val="24"/>
        </w:rPr>
        <w:t>newspapers and magazines</w:t>
      </w:r>
      <w:r w:rsidR="00564CAA">
        <w:rPr>
          <w:rFonts w:asciiTheme="majorHAnsi" w:hAnsiTheme="majorHAnsi"/>
          <w:bCs/>
          <w:sz w:val="24"/>
          <w:szCs w:val="24"/>
        </w:rPr>
        <w:t xml:space="preserve"> are purchased by both consumers</w:t>
      </w:r>
      <w:r w:rsidR="00FB7726">
        <w:rPr>
          <w:rFonts w:asciiTheme="majorHAnsi" w:hAnsiTheme="majorHAnsi"/>
          <w:bCs/>
          <w:sz w:val="24"/>
          <w:szCs w:val="24"/>
        </w:rPr>
        <w:t xml:space="preserve"> (households)</w:t>
      </w:r>
      <w:r w:rsidR="00564CAA">
        <w:rPr>
          <w:rFonts w:asciiTheme="majorHAnsi" w:hAnsiTheme="majorHAnsi"/>
          <w:bCs/>
          <w:sz w:val="24"/>
          <w:szCs w:val="24"/>
        </w:rPr>
        <w:t xml:space="preserve"> and business</w:t>
      </w:r>
      <w:r w:rsidR="00FB7726">
        <w:rPr>
          <w:rFonts w:asciiTheme="majorHAnsi" w:hAnsiTheme="majorHAnsi"/>
          <w:bCs/>
          <w:sz w:val="24"/>
          <w:szCs w:val="24"/>
        </w:rPr>
        <w:t>es</w:t>
      </w:r>
      <w:r w:rsidR="00564CAA">
        <w:rPr>
          <w:rFonts w:asciiTheme="majorHAnsi" w:hAnsiTheme="majorHAnsi"/>
          <w:bCs/>
          <w:sz w:val="24"/>
          <w:szCs w:val="24"/>
        </w:rPr>
        <w:t xml:space="preserve">, the </w:t>
      </w:r>
      <w:r w:rsidR="00FB7726">
        <w:rPr>
          <w:rFonts w:asciiTheme="majorHAnsi" w:hAnsiTheme="majorHAnsi"/>
          <w:bCs/>
          <w:sz w:val="24"/>
          <w:szCs w:val="24"/>
        </w:rPr>
        <w:t xml:space="preserve">distribution of </w:t>
      </w:r>
      <w:r w:rsidR="00564CAA">
        <w:rPr>
          <w:rFonts w:asciiTheme="majorHAnsi" w:hAnsiTheme="majorHAnsi"/>
          <w:bCs/>
          <w:sz w:val="24"/>
          <w:szCs w:val="24"/>
        </w:rPr>
        <w:t>tax savings</w:t>
      </w:r>
      <w:r w:rsidR="00FB7726">
        <w:rPr>
          <w:rFonts w:asciiTheme="majorHAnsi" w:hAnsiTheme="majorHAnsi"/>
          <w:bCs/>
          <w:sz w:val="24"/>
          <w:szCs w:val="24"/>
        </w:rPr>
        <w:t xml:space="preserve"> reported in Table </w:t>
      </w:r>
      <w:r w:rsidR="00A3769A">
        <w:rPr>
          <w:rFonts w:asciiTheme="majorHAnsi" w:hAnsiTheme="majorHAnsi"/>
          <w:bCs/>
          <w:sz w:val="24"/>
          <w:szCs w:val="24"/>
        </w:rPr>
        <w:t xml:space="preserve">2 </w:t>
      </w:r>
      <w:r w:rsidR="00564CAA">
        <w:rPr>
          <w:rFonts w:asciiTheme="majorHAnsi" w:hAnsiTheme="majorHAnsi"/>
          <w:bCs/>
          <w:sz w:val="24"/>
          <w:szCs w:val="24"/>
        </w:rPr>
        <w:t>is for</w:t>
      </w:r>
      <w:r w:rsidR="00FB7726">
        <w:rPr>
          <w:rFonts w:asciiTheme="majorHAnsi" w:hAnsiTheme="majorHAnsi"/>
          <w:bCs/>
          <w:sz w:val="24"/>
          <w:szCs w:val="24"/>
        </w:rPr>
        <w:t xml:space="preserve"> </w:t>
      </w:r>
      <w:r w:rsidR="00564CAA">
        <w:rPr>
          <w:rFonts w:asciiTheme="majorHAnsi" w:hAnsiTheme="majorHAnsi"/>
          <w:bCs/>
          <w:sz w:val="24"/>
          <w:szCs w:val="24"/>
        </w:rPr>
        <w:t>consumer</w:t>
      </w:r>
      <w:r w:rsidR="00FB7726">
        <w:rPr>
          <w:rFonts w:asciiTheme="majorHAnsi" w:hAnsiTheme="majorHAnsi"/>
          <w:bCs/>
          <w:sz w:val="24"/>
          <w:szCs w:val="24"/>
        </w:rPr>
        <w:t>s</w:t>
      </w:r>
      <w:r w:rsidR="004F5F74">
        <w:rPr>
          <w:rFonts w:asciiTheme="majorHAnsi" w:hAnsiTheme="majorHAnsi"/>
          <w:bCs/>
          <w:sz w:val="24"/>
          <w:szCs w:val="24"/>
        </w:rPr>
        <w:t xml:space="preserve"> (households) </w:t>
      </w:r>
      <w:r w:rsidR="00564CAA">
        <w:rPr>
          <w:rFonts w:asciiTheme="majorHAnsi" w:hAnsiTheme="majorHAnsi"/>
          <w:bCs/>
          <w:sz w:val="24"/>
          <w:szCs w:val="24"/>
        </w:rPr>
        <w:t xml:space="preserve">only. </w:t>
      </w:r>
    </w:p>
    <w:p w14:paraId="63F54C50" w14:textId="77777777" w:rsidR="00FB7726" w:rsidRDefault="00FB7726" w:rsidP="00564CAA">
      <w:pPr>
        <w:tabs>
          <w:tab w:val="left" w:pos="7050"/>
        </w:tabs>
        <w:spacing w:after="0"/>
        <w:rPr>
          <w:rFonts w:asciiTheme="majorHAnsi" w:hAnsiTheme="majorHAnsi"/>
          <w:bCs/>
          <w:sz w:val="24"/>
          <w:szCs w:val="24"/>
        </w:rPr>
      </w:pPr>
    </w:p>
    <w:p w14:paraId="547D90DF" w14:textId="2FF4A098" w:rsidR="00136531" w:rsidRPr="00136531" w:rsidRDefault="00FB7726" w:rsidP="00136531">
      <w:pPr>
        <w:tabs>
          <w:tab w:val="left" w:pos="7050"/>
        </w:tabs>
        <w:spacing w:after="0"/>
        <w:rPr>
          <w:rFonts w:asciiTheme="majorHAnsi" w:hAnsiTheme="majorHAnsi"/>
          <w:bCs/>
          <w:sz w:val="24"/>
          <w:szCs w:val="24"/>
        </w:rPr>
      </w:pPr>
      <w:r>
        <w:rPr>
          <w:rFonts w:asciiTheme="majorHAnsi" w:hAnsiTheme="majorHAnsi"/>
          <w:bCs/>
          <w:sz w:val="24"/>
          <w:szCs w:val="24"/>
        </w:rPr>
        <w:t xml:space="preserve">According to Table </w:t>
      </w:r>
      <w:r w:rsidR="00A3769A">
        <w:rPr>
          <w:rFonts w:asciiTheme="majorHAnsi" w:hAnsiTheme="majorHAnsi"/>
          <w:bCs/>
          <w:sz w:val="24"/>
          <w:szCs w:val="24"/>
        </w:rPr>
        <w:t>2</w:t>
      </w:r>
      <w:r>
        <w:rPr>
          <w:rFonts w:asciiTheme="majorHAnsi" w:hAnsiTheme="majorHAnsi"/>
          <w:bCs/>
          <w:sz w:val="24"/>
          <w:szCs w:val="24"/>
        </w:rPr>
        <w:t xml:space="preserve">, </w:t>
      </w:r>
      <w:r w:rsidR="00136531">
        <w:rPr>
          <w:rFonts w:asciiTheme="majorHAnsi" w:hAnsiTheme="majorHAnsi"/>
          <w:bCs/>
          <w:sz w:val="24"/>
          <w:szCs w:val="24"/>
        </w:rPr>
        <w:t>t</w:t>
      </w:r>
      <w:r w:rsidR="00564CAA">
        <w:rPr>
          <w:rFonts w:asciiTheme="majorHAnsi" w:hAnsiTheme="majorHAnsi"/>
          <w:bCs/>
          <w:sz w:val="24"/>
          <w:szCs w:val="24"/>
        </w:rPr>
        <w:t xml:space="preserve">he </w:t>
      </w:r>
      <w:r w:rsidR="0088354E">
        <w:rPr>
          <w:rFonts w:asciiTheme="majorHAnsi" w:hAnsiTheme="majorHAnsi"/>
          <w:bCs/>
          <w:sz w:val="24"/>
          <w:szCs w:val="24"/>
        </w:rPr>
        <w:t xml:space="preserve">average </w:t>
      </w:r>
      <w:r w:rsidR="00136531">
        <w:rPr>
          <w:rFonts w:asciiTheme="majorHAnsi" w:hAnsiTheme="majorHAnsi"/>
          <w:bCs/>
          <w:sz w:val="24"/>
          <w:szCs w:val="24"/>
        </w:rPr>
        <w:t>t</w:t>
      </w:r>
      <w:r w:rsidR="00564CAA">
        <w:rPr>
          <w:rFonts w:asciiTheme="majorHAnsi" w:hAnsiTheme="majorHAnsi"/>
          <w:bCs/>
          <w:sz w:val="24"/>
          <w:szCs w:val="24"/>
        </w:rPr>
        <w:t>ax saving</w:t>
      </w:r>
      <w:r w:rsidR="00C14A91">
        <w:rPr>
          <w:rFonts w:asciiTheme="majorHAnsi" w:hAnsiTheme="majorHAnsi"/>
          <w:bCs/>
          <w:sz w:val="24"/>
          <w:szCs w:val="24"/>
        </w:rPr>
        <w:t xml:space="preserve"> from the exemption</w:t>
      </w:r>
      <w:r w:rsidR="00564CAA">
        <w:rPr>
          <w:rFonts w:asciiTheme="majorHAnsi" w:hAnsiTheme="majorHAnsi"/>
          <w:bCs/>
          <w:sz w:val="24"/>
          <w:szCs w:val="24"/>
        </w:rPr>
        <w:t xml:space="preserve"> is estimated to be $</w:t>
      </w:r>
      <w:r w:rsidR="006D333F">
        <w:rPr>
          <w:rFonts w:asciiTheme="majorHAnsi" w:hAnsiTheme="majorHAnsi"/>
          <w:bCs/>
          <w:sz w:val="24"/>
          <w:szCs w:val="24"/>
        </w:rPr>
        <w:t>12.58</w:t>
      </w:r>
      <w:r w:rsidR="00136531">
        <w:rPr>
          <w:rFonts w:asciiTheme="majorHAnsi" w:hAnsiTheme="majorHAnsi"/>
          <w:bCs/>
          <w:sz w:val="24"/>
          <w:szCs w:val="24"/>
        </w:rPr>
        <w:t xml:space="preserve"> </w:t>
      </w:r>
      <w:r w:rsidR="0088354E">
        <w:rPr>
          <w:rFonts w:asciiTheme="majorHAnsi" w:hAnsiTheme="majorHAnsi"/>
          <w:bCs/>
          <w:sz w:val="24"/>
          <w:szCs w:val="24"/>
        </w:rPr>
        <w:t xml:space="preserve">per </w:t>
      </w:r>
      <w:r w:rsidR="00C14A91">
        <w:rPr>
          <w:rFonts w:asciiTheme="majorHAnsi" w:hAnsiTheme="majorHAnsi"/>
          <w:bCs/>
          <w:sz w:val="24"/>
          <w:szCs w:val="24"/>
        </w:rPr>
        <w:t>Massachusetts</w:t>
      </w:r>
      <w:r w:rsidR="0088354E">
        <w:rPr>
          <w:rFonts w:asciiTheme="majorHAnsi" w:hAnsiTheme="majorHAnsi"/>
          <w:bCs/>
          <w:sz w:val="24"/>
          <w:szCs w:val="24"/>
        </w:rPr>
        <w:t xml:space="preserve"> household </w:t>
      </w:r>
      <w:r w:rsidR="00136531">
        <w:rPr>
          <w:rFonts w:asciiTheme="majorHAnsi" w:hAnsiTheme="majorHAnsi"/>
          <w:bCs/>
          <w:sz w:val="24"/>
          <w:szCs w:val="24"/>
        </w:rPr>
        <w:t>in FY18, varying from $</w:t>
      </w:r>
      <w:r w:rsidR="006D333F">
        <w:rPr>
          <w:rFonts w:asciiTheme="majorHAnsi" w:hAnsiTheme="majorHAnsi"/>
          <w:bCs/>
          <w:sz w:val="24"/>
          <w:szCs w:val="24"/>
        </w:rPr>
        <w:t>7</w:t>
      </w:r>
      <w:r w:rsidR="00136531">
        <w:rPr>
          <w:rFonts w:asciiTheme="majorHAnsi" w:hAnsiTheme="majorHAnsi"/>
          <w:bCs/>
          <w:sz w:val="24"/>
          <w:szCs w:val="24"/>
        </w:rPr>
        <w:t xml:space="preserve"> for households </w:t>
      </w:r>
      <w:r w:rsidR="00743DBA">
        <w:rPr>
          <w:rFonts w:asciiTheme="majorHAnsi" w:hAnsiTheme="majorHAnsi"/>
          <w:bCs/>
          <w:sz w:val="24"/>
          <w:szCs w:val="24"/>
        </w:rPr>
        <w:t>with annual income of less than $15,000</w:t>
      </w:r>
      <w:r w:rsidR="00136531">
        <w:rPr>
          <w:rFonts w:asciiTheme="majorHAnsi" w:hAnsiTheme="majorHAnsi"/>
          <w:bCs/>
          <w:sz w:val="24"/>
          <w:szCs w:val="24"/>
        </w:rPr>
        <w:t>, to $</w:t>
      </w:r>
      <w:r w:rsidR="006D333F">
        <w:rPr>
          <w:rFonts w:asciiTheme="majorHAnsi" w:hAnsiTheme="majorHAnsi"/>
          <w:bCs/>
          <w:sz w:val="24"/>
          <w:szCs w:val="24"/>
        </w:rPr>
        <w:t>26.96</w:t>
      </w:r>
      <w:r w:rsidR="00136531">
        <w:rPr>
          <w:rFonts w:asciiTheme="majorHAnsi" w:hAnsiTheme="majorHAnsi"/>
          <w:bCs/>
          <w:sz w:val="24"/>
          <w:szCs w:val="24"/>
        </w:rPr>
        <w:t xml:space="preserve"> for households with annual income of at least $200,000. </w:t>
      </w:r>
      <w:r w:rsidR="00743DBA">
        <w:rPr>
          <w:rFonts w:asciiTheme="majorHAnsi" w:hAnsiTheme="majorHAnsi"/>
          <w:bCs/>
          <w:sz w:val="24"/>
          <w:szCs w:val="24"/>
        </w:rPr>
        <w:t>1</w:t>
      </w:r>
      <w:r w:rsidR="009E651F">
        <w:rPr>
          <w:rFonts w:asciiTheme="majorHAnsi" w:hAnsiTheme="majorHAnsi"/>
          <w:bCs/>
          <w:sz w:val="24"/>
          <w:szCs w:val="24"/>
        </w:rPr>
        <w:t>5</w:t>
      </w:r>
      <w:r w:rsidR="00743DBA">
        <w:rPr>
          <w:rFonts w:asciiTheme="majorHAnsi" w:hAnsiTheme="majorHAnsi"/>
          <w:bCs/>
          <w:sz w:val="24"/>
          <w:szCs w:val="24"/>
        </w:rPr>
        <w:t>.</w:t>
      </w:r>
      <w:r w:rsidR="00EE3265">
        <w:rPr>
          <w:rFonts w:asciiTheme="majorHAnsi" w:hAnsiTheme="majorHAnsi"/>
          <w:bCs/>
          <w:sz w:val="24"/>
          <w:szCs w:val="24"/>
        </w:rPr>
        <w:t>83</w:t>
      </w:r>
      <w:r w:rsidR="00136531">
        <w:rPr>
          <w:rFonts w:asciiTheme="majorHAnsi" w:hAnsiTheme="majorHAnsi"/>
          <w:bCs/>
          <w:sz w:val="24"/>
          <w:szCs w:val="24"/>
        </w:rPr>
        <w:t xml:space="preserve">% of all tax savings went to the households </w:t>
      </w:r>
      <w:r w:rsidR="008B2273">
        <w:rPr>
          <w:rFonts w:asciiTheme="majorHAnsi" w:hAnsiTheme="majorHAnsi"/>
          <w:bCs/>
          <w:sz w:val="24"/>
          <w:szCs w:val="24"/>
        </w:rPr>
        <w:t>with</w:t>
      </w:r>
      <w:r w:rsidR="00743DBA">
        <w:rPr>
          <w:rFonts w:asciiTheme="majorHAnsi" w:hAnsiTheme="majorHAnsi"/>
          <w:bCs/>
          <w:sz w:val="24"/>
          <w:szCs w:val="24"/>
        </w:rPr>
        <w:t xml:space="preserve"> annual income of </w:t>
      </w:r>
      <w:r w:rsidR="00743DBA" w:rsidRPr="00743DBA">
        <w:rPr>
          <w:rFonts w:asciiTheme="majorHAnsi" w:hAnsiTheme="majorHAnsi"/>
          <w:bCs/>
          <w:sz w:val="24"/>
          <w:szCs w:val="24"/>
        </w:rPr>
        <w:t>$</w:t>
      </w:r>
      <w:r w:rsidR="00EE3265">
        <w:rPr>
          <w:rFonts w:asciiTheme="majorHAnsi" w:hAnsiTheme="majorHAnsi"/>
          <w:bCs/>
          <w:sz w:val="24"/>
          <w:szCs w:val="24"/>
        </w:rPr>
        <w:t>10</w:t>
      </w:r>
      <w:r w:rsidR="00743DBA" w:rsidRPr="00743DBA">
        <w:rPr>
          <w:rFonts w:asciiTheme="majorHAnsi" w:hAnsiTheme="majorHAnsi"/>
          <w:bCs/>
          <w:sz w:val="24"/>
          <w:szCs w:val="24"/>
        </w:rPr>
        <w:t>0,000 to $</w:t>
      </w:r>
      <w:r w:rsidR="00EE3265">
        <w:rPr>
          <w:rFonts w:asciiTheme="majorHAnsi" w:hAnsiTheme="majorHAnsi"/>
          <w:bCs/>
          <w:sz w:val="24"/>
          <w:szCs w:val="24"/>
        </w:rPr>
        <w:t>14</w:t>
      </w:r>
      <w:r w:rsidR="00743DBA" w:rsidRPr="00743DBA">
        <w:rPr>
          <w:rFonts w:asciiTheme="majorHAnsi" w:hAnsiTheme="majorHAnsi"/>
          <w:bCs/>
          <w:sz w:val="24"/>
          <w:szCs w:val="24"/>
        </w:rPr>
        <w:t>9,999</w:t>
      </w:r>
      <w:r w:rsidR="00934F19">
        <w:rPr>
          <w:rFonts w:asciiTheme="majorHAnsi" w:hAnsiTheme="majorHAnsi"/>
          <w:bCs/>
          <w:sz w:val="24"/>
          <w:szCs w:val="24"/>
        </w:rPr>
        <w:t>,</w:t>
      </w:r>
      <w:r w:rsidR="00743DBA">
        <w:rPr>
          <w:rFonts w:asciiTheme="majorHAnsi" w:hAnsiTheme="majorHAnsi"/>
          <w:bCs/>
          <w:sz w:val="24"/>
          <w:szCs w:val="24"/>
        </w:rPr>
        <w:t xml:space="preserve"> </w:t>
      </w:r>
      <w:r w:rsidR="004F5F74">
        <w:rPr>
          <w:rFonts w:asciiTheme="majorHAnsi" w:hAnsiTheme="majorHAnsi"/>
          <w:bCs/>
          <w:sz w:val="24"/>
          <w:szCs w:val="24"/>
        </w:rPr>
        <w:t>while</w:t>
      </w:r>
      <w:r w:rsidR="00136531">
        <w:rPr>
          <w:rFonts w:asciiTheme="majorHAnsi" w:hAnsiTheme="majorHAnsi"/>
          <w:bCs/>
          <w:sz w:val="24"/>
          <w:szCs w:val="24"/>
        </w:rPr>
        <w:t xml:space="preserve"> </w:t>
      </w:r>
      <w:r w:rsidR="00743DBA">
        <w:rPr>
          <w:rFonts w:asciiTheme="majorHAnsi" w:hAnsiTheme="majorHAnsi"/>
          <w:bCs/>
          <w:sz w:val="24"/>
          <w:szCs w:val="24"/>
        </w:rPr>
        <w:t>5.</w:t>
      </w:r>
      <w:r w:rsidR="009E651F">
        <w:rPr>
          <w:rFonts w:asciiTheme="majorHAnsi" w:hAnsiTheme="majorHAnsi"/>
          <w:bCs/>
          <w:sz w:val="24"/>
          <w:szCs w:val="24"/>
        </w:rPr>
        <w:t>28</w:t>
      </w:r>
      <w:r w:rsidR="00136531">
        <w:rPr>
          <w:rFonts w:asciiTheme="majorHAnsi" w:hAnsiTheme="majorHAnsi"/>
          <w:bCs/>
          <w:sz w:val="24"/>
          <w:szCs w:val="24"/>
        </w:rPr>
        <w:t xml:space="preserve">% went to households with annual income of </w:t>
      </w:r>
      <w:r w:rsidR="009E651F" w:rsidRPr="00743DBA">
        <w:rPr>
          <w:rFonts w:asciiTheme="majorHAnsi" w:hAnsiTheme="majorHAnsi"/>
          <w:bCs/>
          <w:sz w:val="24"/>
          <w:szCs w:val="24"/>
        </w:rPr>
        <w:t>$</w:t>
      </w:r>
      <w:r w:rsidR="009E651F">
        <w:rPr>
          <w:rFonts w:asciiTheme="majorHAnsi" w:hAnsiTheme="majorHAnsi"/>
          <w:bCs/>
          <w:sz w:val="24"/>
          <w:szCs w:val="24"/>
        </w:rPr>
        <w:t>4</w:t>
      </w:r>
      <w:r w:rsidR="009E651F" w:rsidRPr="00743DBA">
        <w:rPr>
          <w:rFonts w:asciiTheme="majorHAnsi" w:hAnsiTheme="majorHAnsi"/>
          <w:bCs/>
          <w:sz w:val="24"/>
          <w:szCs w:val="24"/>
        </w:rPr>
        <w:t>0,000 to $</w:t>
      </w:r>
      <w:r w:rsidR="009E651F">
        <w:rPr>
          <w:rFonts w:asciiTheme="majorHAnsi" w:hAnsiTheme="majorHAnsi"/>
          <w:bCs/>
          <w:sz w:val="24"/>
          <w:szCs w:val="24"/>
        </w:rPr>
        <w:t>4</w:t>
      </w:r>
      <w:r w:rsidR="009E651F" w:rsidRPr="00743DBA">
        <w:rPr>
          <w:rFonts w:asciiTheme="majorHAnsi" w:hAnsiTheme="majorHAnsi"/>
          <w:bCs/>
          <w:sz w:val="24"/>
          <w:szCs w:val="24"/>
        </w:rPr>
        <w:t>9,999</w:t>
      </w:r>
      <w:r w:rsidR="00136531">
        <w:rPr>
          <w:rFonts w:asciiTheme="majorHAnsi" w:hAnsiTheme="majorHAnsi"/>
          <w:bCs/>
          <w:sz w:val="24"/>
          <w:szCs w:val="24"/>
        </w:rPr>
        <w:t>.</w:t>
      </w:r>
      <w:r w:rsidR="004F5F74">
        <w:rPr>
          <w:rFonts w:asciiTheme="majorHAnsi" w:hAnsiTheme="majorHAnsi"/>
          <w:bCs/>
          <w:sz w:val="24"/>
          <w:szCs w:val="24"/>
        </w:rPr>
        <w:t xml:space="preserve"> The tax savings reduced the households’ effective tax rate</w:t>
      </w:r>
      <w:r w:rsidR="002330D9">
        <w:rPr>
          <w:rFonts w:asciiTheme="majorHAnsi" w:hAnsiTheme="majorHAnsi"/>
          <w:bCs/>
          <w:sz w:val="24"/>
          <w:szCs w:val="24"/>
        </w:rPr>
        <w:t xml:space="preserve"> (the ratio of tax to income) by 0.</w:t>
      </w:r>
      <w:r w:rsidR="009E651F">
        <w:rPr>
          <w:rFonts w:asciiTheme="majorHAnsi" w:hAnsiTheme="majorHAnsi"/>
          <w:bCs/>
          <w:sz w:val="24"/>
          <w:szCs w:val="24"/>
        </w:rPr>
        <w:t>02</w:t>
      </w:r>
      <w:r w:rsidR="002330D9">
        <w:rPr>
          <w:rFonts w:asciiTheme="majorHAnsi" w:hAnsiTheme="majorHAnsi"/>
          <w:bCs/>
          <w:sz w:val="24"/>
          <w:szCs w:val="24"/>
        </w:rPr>
        <w:t xml:space="preserve"> percentage point</w:t>
      </w:r>
      <w:r w:rsidR="00C14A91">
        <w:rPr>
          <w:rFonts w:asciiTheme="majorHAnsi" w:hAnsiTheme="majorHAnsi"/>
          <w:bCs/>
          <w:sz w:val="24"/>
          <w:szCs w:val="24"/>
        </w:rPr>
        <w:t>s</w:t>
      </w:r>
      <w:r w:rsidR="002330D9">
        <w:rPr>
          <w:rFonts w:asciiTheme="majorHAnsi" w:hAnsiTheme="majorHAnsi"/>
          <w:bCs/>
          <w:sz w:val="24"/>
          <w:szCs w:val="24"/>
        </w:rPr>
        <w:t xml:space="preserve"> on average</w:t>
      </w:r>
      <w:r w:rsidR="004F5F74">
        <w:rPr>
          <w:rFonts w:asciiTheme="majorHAnsi" w:hAnsiTheme="majorHAnsi"/>
          <w:bCs/>
          <w:sz w:val="24"/>
          <w:szCs w:val="24"/>
        </w:rPr>
        <w:t>.</w:t>
      </w:r>
      <w:r w:rsidR="002330D9">
        <w:rPr>
          <w:rFonts w:asciiTheme="majorHAnsi" w:hAnsiTheme="majorHAnsi"/>
          <w:bCs/>
          <w:sz w:val="24"/>
          <w:szCs w:val="24"/>
        </w:rPr>
        <w:t xml:space="preserve"> This reduction var</w:t>
      </w:r>
      <w:r w:rsidR="00743DBA">
        <w:rPr>
          <w:rFonts w:asciiTheme="majorHAnsi" w:hAnsiTheme="majorHAnsi"/>
          <w:bCs/>
          <w:sz w:val="24"/>
          <w:szCs w:val="24"/>
        </w:rPr>
        <w:t>ied</w:t>
      </w:r>
      <w:r w:rsidR="002330D9">
        <w:rPr>
          <w:rFonts w:asciiTheme="majorHAnsi" w:hAnsiTheme="majorHAnsi"/>
          <w:bCs/>
          <w:sz w:val="24"/>
          <w:szCs w:val="24"/>
        </w:rPr>
        <w:t xml:space="preserve"> </w:t>
      </w:r>
      <w:r w:rsidR="00743DBA">
        <w:rPr>
          <w:rFonts w:asciiTheme="majorHAnsi" w:hAnsiTheme="majorHAnsi"/>
          <w:bCs/>
          <w:sz w:val="24"/>
          <w:szCs w:val="24"/>
        </w:rPr>
        <w:t>from 0.0</w:t>
      </w:r>
      <w:r w:rsidR="009E651F">
        <w:rPr>
          <w:rFonts w:asciiTheme="majorHAnsi" w:hAnsiTheme="majorHAnsi"/>
          <w:bCs/>
          <w:sz w:val="24"/>
          <w:szCs w:val="24"/>
        </w:rPr>
        <w:t>1</w:t>
      </w:r>
      <w:r w:rsidR="00743DBA">
        <w:rPr>
          <w:rFonts w:asciiTheme="majorHAnsi" w:hAnsiTheme="majorHAnsi"/>
          <w:bCs/>
          <w:sz w:val="24"/>
          <w:szCs w:val="24"/>
        </w:rPr>
        <w:t xml:space="preserve"> percentage point</w:t>
      </w:r>
      <w:r w:rsidR="002330D9">
        <w:rPr>
          <w:rFonts w:asciiTheme="majorHAnsi" w:hAnsiTheme="majorHAnsi"/>
          <w:bCs/>
          <w:sz w:val="24"/>
          <w:szCs w:val="24"/>
        </w:rPr>
        <w:t xml:space="preserve"> for the</w:t>
      </w:r>
      <w:r w:rsidR="00AF2C3E">
        <w:rPr>
          <w:rFonts w:asciiTheme="majorHAnsi" w:hAnsiTheme="majorHAnsi"/>
          <w:bCs/>
          <w:sz w:val="24"/>
          <w:szCs w:val="24"/>
        </w:rPr>
        <w:t xml:space="preserve"> households with annual income </w:t>
      </w:r>
      <w:r w:rsidR="002330D9">
        <w:rPr>
          <w:rFonts w:asciiTheme="majorHAnsi" w:hAnsiTheme="majorHAnsi"/>
          <w:bCs/>
          <w:sz w:val="24"/>
          <w:szCs w:val="24"/>
        </w:rPr>
        <w:t xml:space="preserve">of </w:t>
      </w:r>
      <w:r w:rsidR="008B2273">
        <w:rPr>
          <w:rFonts w:asciiTheme="majorHAnsi" w:hAnsiTheme="majorHAnsi"/>
          <w:bCs/>
          <w:sz w:val="24"/>
          <w:szCs w:val="24"/>
        </w:rPr>
        <w:t>at least</w:t>
      </w:r>
      <w:r w:rsidR="00743DBA">
        <w:rPr>
          <w:rFonts w:asciiTheme="majorHAnsi" w:hAnsiTheme="majorHAnsi"/>
          <w:bCs/>
          <w:sz w:val="24"/>
          <w:szCs w:val="24"/>
        </w:rPr>
        <w:t xml:space="preserve"> </w:t>
      </w:r>
      <w:r w:rsidR="002330D9">
        <w:rPr>
          <w:rFonts w:asciiTheme="majorHAnsi" w:hAnsiTheme="majorHAnsi"/>
          <w:bCs/>
          <w:sz w:val="24"/>
          <w:szCs w:val="24"/>
        </w:rPr>
        <w:t>$</w:t>
      </w:r>
      <w:r w:rsidR="00743DBA">
        <w:rPr>
          <w:rFonts w:asciiTheme="majorHAnsi" w:hAnsiTheme="majorHAnsi"/>
          <w:bCs/>
          <w:sz w:val="24"/>
          <w:szCs w:val="24"/>
        </w:rPr>
        <w:t>200</w:t>
      </w:r>
      <w:r w:rsidR="002330D9">
        <w:rPr>
          <w:rFonts w:asciiTheme="majorHAnsi" w:hAnsiTheme="majorHAnsi"/>
          <w:bCs/>
          <w:sz w:val="24"/>
          <w:szCs w:val="24"/>
        </w:rPr>
        <w:t>,000</w:t>
      </w:r>
      <w:r w:rsidR="00AF2C3E">
        <w:rPr>
          <w:rFonts w:asciiTheme="majorHAnsi" w:hAnsiTheme="majorHAnsi"/>
          <w:bCs/>
          <w:sz w:val="24"/>
          <w:szCs w:val="24"/>
        </w:rPr>
        <w:t xml:space="preserve"> </w:t>
      </w:r>
      <w:r w:rsidR="00743DBA">
        <w:rPr>
          <w:rFonts w:asciiTheme="majorHAnsi" w:hAnsiTheme="majorHAnsi"/>
          <w:bCs/>
          <w:sz w:val="24"/>
          <w:szCs w:val="24"/>
        </w:rPr>
        <w:t xml:space="preserve">to </w:t>
      </w:r>
      <w:r w:rsidR="009E651F">
        <w:rPr>
          <w:rFonts w:asciiTheme="majorHAnsi" w:hAnsiTheme="majorHAnsi"/>
          <w:bCs/>
          <w:sz w:val="24"/>
          <w:szCs w:val="24"/>
        </w:rPr>
        <w:t>0.09</w:t>
      </w:r>
      <w:r w:rsidR="00743DBA">
        <w:rPr>
          <w:rFonts w:asciiTheme="majorHAnsi" w:hAnsiTheme="majorHAnsi"/>
          <w:bCs/>
          <w:sz w:val="24"/>
          <w:szCs w:val="24"/>
        </w:rPr>
        <w:t xml:space="preserve"> percentage point</w:t>
      </w:r>
      <w:r w:rsidR="00C14A91">
        <w:rPr>
          <w:rFonts w:asciiTheme="majorHAnsi" w:hAnsiTheme="majorHAnsi"/>
          <w:bCs/>
          <w:sz w:val="24"/>
          <w:szCs w:val="24"/>
        </w:rPr>
        <w:t>s</w:t>
      </w:r>
      <w:r w:rsidR="00743DBA">
        <w:rPr>
          <w:rFonts w:asciiTheme="majorHAnsi" w:hAnsiTheme="majorHAnsi"/>
          <w:bCs/>
          <w:sz w:val="24"/>
          <w:szCs w:val="24"/>
        </w:rPr>
        <w:t xml:space="preserve"> </w:t>
      </w:r>
      <w:r w:rsidR="00AF2C3E">
        <w:rPr>
          <w:rFonts w:asciiTheme="majorHAnsi" w:hAnsiTheme="majorHAnsi"/>
          <w:bCs/>
          <w:sz w:val="24"/>
          <w:szCs w:val="24"/>
        </w:rPr>
        <w:t xml:space="preserve">for households with annual income of less than $15,000. </w:t>
      </w:r>
      <w:r w:rsidR="00743DBA">
        <w:rPr>
          <w:rFonts w:asciiTheme="majorHAnsi" w:hAnsiTheme="majorHAnsi"/>
          <w:bCs/>
          <w:sz w:val="24"/>
          <w:szCs w:val="24"/>
        </w:rPr>
        <w:t xml:space="preserve">On average, </w:t>
      </w:r>
      <w:r w:rsidR="00AF2C3E">
        <w:rPr>
          <w:rFonts w:asciiTheme="majorHAnsi" w:hAnsiTheme="majorHAnsi"/>
          <w:bCs/>
          <w:sz w:val="24"/>
          <w:szCs w:val="24"/>
        </w:rPr>
        <w:t xml:space="preserve">households </w:t>
      </w:r>
      <w:r w:rsidR="00743DBA">
        <w:rPr>
          <w:rFonts w:asciiTheme="majorHAnsi" w:hAnsiTheme="majorHAnsi"/>
          <w:bCs/>
          <w:sz w:val="24"/>
          <w:szCs w:val="24"/>
        </w:rPr>
        <w:t xml:space="preserve">with annual income of less than $15,000 </w:t>
      </w:r>
      <w:r w:rsidR="00AF2C3E">
        <w:rPr>
          <w:rFonts w:asciiTheme="majorHAnsi" w:hAnsiTheme="majorHAnsi"/>
          <w:bCs/>
          <w:sz w:val="24"/>
          <w:szCs w:val="24"/>
        </w:rPr>
        <w:t xml:space="preserve">spent a much higher percentage of their income on </w:t>
      </w:r>
      <w:r w:rsidR="009E651F">
        <w:rPr>
          <w:rFonts w:asciiTheme="majorHAnsi" w:hAnsiTheme="majorHAnsi"/>
          <w:bCs/>
          <w:sz w:val="24"/>
          <w:szCs w:val="24"/>
        </w:rPr>
        <w:t>newspapers and magazines</w:t>
      </w:r>
      <w:r w:rsidR="00743DBA">
        <w:rPr>
          <w:rFonts w:asciiTheme="majorHAnsi" w:hAnsiTheme="majorHAnsi"/>
          <w:bCs/>
          <w:sz w:val="24"/>
          <w:szCs w:val="24"/>
        </w:rPr>
        <w:t xml:space="preserve"> than other income groups</w:t>
      </w:r>
      <w:r w:rsidR="00AF2C3E">
        <w:rPr>
          <w:rFonts w:asciiTheme="majorHAnsi" w:hAnsiTheme="majorHAnsi"/>
          <w:bCs/>
          <w:sz w:val="24"/>
          <w:szCs w:val="24"/>
        </w:rPr>
        <w:t>.</w:t>
      </w:r>
    </w:p>
    <w:p w14:paraId="67AD71C1" w14:textId="77777777" w:rsidR="008D758E" w:rsidRDefault="008D758E" w:rsidP="00564CAA">
      <w:pPr>
        <w:tabs>
          <w:tab w:val="left" w:pos="7050"/>
        </w:tabs>
        <w:spacing w:after="0"/>
        <w:rPr>
          <w:rFonts w:asciiTheme="majorHAnsi" w:hAnsiTheme="majorHAnsi"/>
          <w:bCs/>
          <w:sz w:val="24"/>
          <w:szCs w:val="24"/>
        </w:rPr>
      </w:pPr>
    </w:p>
    <w:p w14:paraId="03F1ED55" w14:textId="77777777" w:rsidR="0088354E" w:rsidRDefault="00564CAA" w:rsidP="00136531">
      <w:pPr>
        <w:tabs>
          <w:tab w:val="left" w:pos="7050"/>
        </w:tabs>
        <w:spacing w:after="0"/>
        <w:jc w:val="center"/>
        <w:rPr>
          <w:rFonts w:asciiTheme="majorHAnsi" w:hAnsiTheme="majorHAnsi"/>
          <w:b/>
          <w:sz w:val="24"/>
          <w:szCs w:val="24"/>
        </w:rPr>
      </w:pPr>
      <w:bookmarkStart w:id="2" w:name="_Hlk51929338"/>
      <w:bookmarkEnd w:id="0"/>
      <w:r w:rsidRPr="0088354E">
        <w:rPr>
          <w:rFonts w:asciiTheme="majorHAnsi" w:hAnsiTheme="majorHAnsi"/>
          <w:b/>
          <w:sz w:val="24"/>
          <w:szCs w:val="24"/>
        </w:rPr>
        <w:t xml:space="preserve">Table </w:t>
      </w:r>
      <w:r w:rsidR="00A3769A">
        <w:rPr>
          <w:rFonts w:asciiTheme="majorHAnsi" w:hAnsiTheme="majorHAnsi"/>
          <w:b/>
          <w:sz w:val="24"/>
          <w:szCs w:val="24"/>
        </w:rPr>
        <w:t>2</w:t>
      </w:r>
      <w:r w:rsidRPr="0088354E">
        <w:rPr>
          <w:rFonts w:asciiTheme="majorHAnsi" w:hAnsiTheme="majorHAnsi"/>
          <w:b/>
          <w:sz w:val="24"/>
          <w:szCs w:val="24"/>
        </w:rPr>
        <w:t xml:space="preserve">. </w:t>
      </w:r>
      <w:r w:rsidR="00136531" w:rsidRPr="0088354E">
        <w:rPr>
          <w:rFonts w:asciiTheme="majorHAnsi" w:hAnsiTheme="majorHAnsi"/>
          <w:b/>
          <w:sz w:val="24"/>
          <w:szCs w:val="24"/>
        </w:rPr>
        <w:t xml:space="preserve">Estimated Distribution of </w:t>
      </w:r>
      <w:r w:rsidRPr="0088354E">
        <w:rPr>
          <w:rFonts w:asciiTheme="majorHAnsi" w:hAnsiTheme="majorHAnsi"/>
          <w:b/>
          <w:sz w:val="24"/>
          <w:szCs w:val="24"/>
        </w:rPr>
        <w:t xml:space="preserve">Tax Savings </w:t>
      </w:r>
      <w:r w:rsidR="00136531" w:rsidRPr="0088354E">
        <w:rPr>
          <w:rFonts w:asciiTheme="majorHAnsi" w:hAnsiTheme="majorHAnsi"/>
          <w:b/>
          <w:sz w:val="24"/>
          <w:szCs w:val="24"/>
        </w:rPr>
        <w:t>to</w:t>
      </w:r>
      <w:r w:rsidRPr="0088354E">
        <w:rPr>
          <w:rFonts w:asciiTheme="majorHAnsi" w:hAnsiTheme="majorHAnsi"/>
          <w:b/>
          <w:sz w:val="24"/>
          <w:szCs w:val="24"/>
        </w:rPr>
        <w:t xml:space="preserve"> MA Households </w:t>
      </w:r>
    </w:p>
    <w:p w14:paraId="732A7EC9" w14:textId="77777777" w:rsidR="00564CAA" w:rsidRPr="0088354E" w:rsidRDefault="00564CAA" w:rsidP="00136531">
      <w:pPr>
        <w:tabs>
          <w:tab w:val="left" w:pos="7050"/>
        </w:tabs>
        <w:spacing w:after="0"/>
        <w:jc w:val="center"/>
        <w:rPr>
          <w:rFonts w:asciiTheme="majorHAnsi" w:hAnsiTheme="majorHAnsi"/>
          <w:b/>
          <w:sz w:val="24"/>
          <w:szCs w:val="24"/>
        </w:rPr>
      </w:pPr>
      <w:r w:rsidRPr="0088354E">
        <w:rPr>
          <w:rFonts w:asciiTheme="majorHAnsi" w:hAnsiTheme="majorHAnsi"/>
          <w:b/>
          <w:sz w:val="24"/>
          <w:szCs w:val="24"/>
        </w:rPr>
        <w:t xml:space="preserve">by Income </w:t>
      </w:r>
      <w:r w:rsidR="00136531" w:rsidRPr="0088354E">
        <w:rPr>
          <w:rFonts w:asciiTheme="majorHAnsi" w:hAnsiTheme="majorHAnsi"/>
          <w:b/>
          <w:sz w:val="24"/>
          <w:szCs w:val="24"/>
        </w:rPr>
        <w:t>Level</w:t>
      </w:r>
      <w:r w:rsidR="004F5F74" w:rsidRPr="0088354E">
        <w:rPr>
          <w:rFonts w:asciiTheme="majorHAnsi" w:hAnsiTheme="majorHAnsi"/>
          <w:b/>
          <w:sz w:val="24"/>
          <w:szCs w:val="24"/>
        </w:rPr>
        <w:t xml:space="preserve"> in FY18</w:t>
      </w:r>
    </w:p>
    <w:tbl>
      <w:tblPr>
        <w:tblStyle w:val="TableGrid"/>
        <w:tblW w:w="9247" w:type="dxa"/>
        <w:tblInd w:w="108" w:type="dxa"/>
        <w:tblLook w:val="04A0" w:firstRow="1" w:lastRow="0" w:firstColumn="1" w:lastColumn="0" w:noHBand="0" w:noVBand="1"/>
      </w:tblPr>
      <w:tblGrid>
        <w:gridCol w:w="2137"/>
        <w:gridCol w:w="1530"/>
        <w:gridCol w:w="1260"/>
        <w:gridCol w:w="1440"/>
        <w:gridCol w:w="1350"/>
        <w:gridCol w:w="1530"/>
      </w:tblGrid>
      <w:tr w:rsidR="002330D9" w:rsidRPr="00AF2C3E" w14:paraId="6E87A392" w14:textId="77777777" w:rsidTr="00B04E02">
        <w:trPr>
          <w:trHeight w:val="989"/>
        </w:trPr>
        <w:tc>
          <w:tcPr>
            <w:tcW w:w="2137" w:type="dxa"/>
            <w:shd w:val="clear" w:color="auto" w:fill="B6DDE8" w:themeFill="accent5" w:themeFillTint="66"/>
          </w:tcPr>
          <w:bookmarkEnd w:id="2"/>
          <w:p w14:paraId="404EEBF7" w14:textId="77777777" w:rsidR="00564CAA" w:rsidRPr="00AF2C3E" w:rsidRDefault="00AF2C3E" w:rsidP="0088354E">
            <w:pPr>
              <w:tabs>
                <w:tab w:val="left" w:pos="7050"/>
              </w:tabs>
              <w:rPr>
                <w:rFonts w:asciiTheme="majorHAnsi" w:hAnsiTheme="majorHAnsi"/>
                <w:bCs/>
                <w:sz w:val="20"/>
                <w:szCs w:val="20"/>
              </w:rPr>
            </w:pPr>
            <w:r w:rsidRPr="00AF2C3E">
              <w:rPr>
                <w:rFonts w:asciiTheme="majorHAnsi" w:hAnsiTheme="majorHAnsi"/>
                <w:bCs/>
                <w:sz w:val="20"/>
                <w:szCs w:val="20"/>
              </w:rPr>
              <w:t xml:space="preserve">Annual </w:t>
            </w:r>
            <w:r w:rsidR="00564CAA" w:rsidRPr="00AF2C3E">
              <w:rPr>
                <w:rFonts w:asciiTheme="majorHAnsi" w:hAnsiTheme="majorHAnsi"/>
                <w:bCs/>
                <w:sz w:val="20"/>
                <w:szCs w:val="20"/>
              </w:rPr>
              <w:t xml:space="preserve">Income </w:t>
            </w:r>
            <w:r w:rsidR="00136531" w:rsidRPr="00AF2C3E">
              <w:rPr>
                <w:rFonts w:asciiTheme="majorHAnsi" w:hAnsiTheme="majorHAnsi"/>
                <w:bCs/>
                <w:sz w:val="20"/>
                <w:szCs w:val="20"/>
              </w:rPr>
              <w:t>Range</w:t>
            </w:r>
          </w:p>
        </w:tc>
        <w:tc>
          <w:tcPr>
            <w:tcW w:w="1530" w:type="dxa"/>
            <w:shd w:val="clear" w:color="auto" w:fill="B6DDE8" w:themeFill="accent5" w:themeFillTint="66"/>
          </w:tcPr>
          <w:p w14:paraId="2EBF41D1"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Number</w:t>
            </w:r>
            <w:r w:rsidR="0088354E" w:rsidRPr="00AF2C3E">
              <w:rPr>
                <w:rFonts w:asciiTheme="majorHAnsi" w:hAnsiTheme="majorHAnsi"/>
                <w:bCs/>
                <w:sz w:val="20"/>
                <w:szCs w:val="20"/>
              </w:rPr>
              <w:t xml:space="preserve"> </w:t>
            </w:r>
            <w:r w:rsidRPr="00AF2C3E">
              <w:rPr>
                <w:rFonts w:asciiTheme="majorHAnsi" w:hAnsiTheme="majorHAnsi"/>
                <w:bCs/>
                <w:sz w:val="20"/>
                <w:szCs w:val="20"/>
              </w:rPr>
              <w:t>of MA Households (Millions)</w:t>
            </w:r>
          </w:p>
        </w:tc>
        <w:tc>
          <w:tcPr>
            <w:tcW w:w="1260" w:type="dxa"/>
            <w:shd w:val="clear" w:color="auto" w:fill="B6DDE8" w:themeFill="accent5" w:themeFillTint="66"/>
          </w:tcPr>
          <w:p w14:paraId="7A4CB5A8"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Tax Savings</w:t>
            </w:r>
          </w:p>
          <w:p w14:paraId="6BE1D9DA"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(Millions)</w:t>
            </w:r>
          </w:p>
        </w:tc>
        <w:tc>
          <w:tcPr>
            <w:tcW w:w="1440" w:type="dxa"/>
            <w:shd w:val="clear" w:color="auto" w:fill="B6DDE8" w:themeFill="accent5" w:themeFillTint="66"/>
          </w:tcPr>
          <w:p w14:paraId="526F68B8"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 xml:space="preserve">Average Tax Savings </w:t>
            </w:r>
          </w:p>
          <w:p w14:paraId="171143AC"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w:t>
            </w:r>
          </w:p>
        </w:tc>
        <w:tc>
          <w:tcPr>
            <w:tcW w:w="1350" w:type="dxa"/>
            <w:shd w:val="clear" w:color="auto" w:fill="B6DDE8" w:themeFill="accent5" w:themeFillTint="66"/>
          </w:tcPr>
          <w:p w14:paraId="0C5DD562"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Tax Savings Distribution</w:t>
            </w:r>
          </w:p>
        </w:tc>
        <w:tc>
          <w:tcPr>
            <w:tcW w:w="1530" w:type="dxa"/>
            <w:shd w:val="clear" w:color="auto" w:fill="B6DDE8" w:themeFill="accent5" w:themeFillTint="66"/>
          </w:tcPr>
          <w:p w14:paraId="06CFD76A" w14:textId="77777777" w:rsidR="00564CAA" w:rsidRPr="00AF2C3E" w:rsidRDefault="0088354E"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Change in Households’ Effective Tax Rate</w:t>
            </w:r>
          </w:p>
        </w:tc>
      </w:tr>
      <w:tr w:rsidR="00E946B5" w:rsidRPr="00AF2C3E" w14:paraId="711FCFC0" w14:textId="77777777" w:rsidTr="00B04E02">
        <w:trPr>
          <w:trHeight w:val="288"/>
        </w:trPr>
        <w:tc>
          <w:tcPr>
            <w:tcW w:w="2137" w:type="dxa"/>
            <w:vAlign w:val="center"/>
          </w:tcPr>
          <w:p w14:paraId="649AFC5E"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Less than $15,000</w:t>
            </w:r>
          </w:p>
        </w:tc>
        <w:tc>
          <w:tcPr>
            <w:tcW w:w="1530" w:type="dxa"/>
            <w:vAlign w:val="center"/>
          </w:tcPr>
          <w:p w14:paraId="28D08462"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0.349 </w:t>
            </w:r>
          </w:p>
        </w:tc>
        <w:tc>
          <w:tcPr>
            <w:tcW w:w="1260" w:type="dxa"/>
            <w:vAlign w:val="center"/>
          </w:tcPr>
          <w:p w14:paraId="62735C19" w14:textId="39B80080"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$2.45 </w:t>
            </w:r>
          </w:p>
        </w:tc>
        <w:tc>
          <w:tcPr>
            <w:tcW w:w="1440" w:type="dxa"/>
            <w:vAlign w:val="center"/>
          </w:tcPr>
          <w:p w14:paraId="7EA10345" w14:textId="0A0C73FB"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$7.00 </w:t>
            </w:r>
          </w:p>
        </w:tc>
        <w:tc>
          <w:tcPr>
            <w:tcW w:w="1350" w:type="dxa"/>
            <w:vAlign w:val="center"/>
          </w:tcPr>
          <w:p w14:paraId="02076641" w14:textId="0A62B02B"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7.27%</w:t>
            </w:r>
          </w:p>
        </w:tc>
        <w:tc>
          <w:tcPr>
            <w:tcW w:w="1530" w:type="dxa"/>
            <w:vAlign w:val="center"/>
          </w:tcPr>
          <w:p w14:paraId="70EA8C93" w14:textId="19349E0B"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-0.09%</w:t>
            </w:r>
          </w:p>
        </w:tc>
      </w:tr>
      <w:tr w:rsidR="00E946B5" w:rsidRPr="00AF2C3E" w14:paraId="4A0EF759" w14:textId="77777777" w:rsidTr="00B04E02">
        <w:trPr>
          <w:trHeight w:val="288"/>
        </w:trPr>
        <w:tc>
          <w:tcPr>
            <w:tcW w:w="2137" w:type="dxa"/>
            <w:vAlign w:val="center"/>
          </w:tcPr>
          <w:p w14:paraId="6C71DC54"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$15,000 to $29,999</w:t>
            </w:r>
          </w:p>
        </w:tc>
        <w:tc>
          <w:tcPr>
            <w:tcW w:w="1530" w:type="dxa"/>
            <w:vAlign w:val="center"/>
          </w:tcPr>
          <w:p w14:paraId="671E6BCA"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0.419 </w:t>
            </w:r>
          </w:p>
        </w:tc>
        <w:tc>
          <w:tcPr>
            <w:tcW w:w="1260" w:type="dxa"/>
            <w:vAlign w:val="center"/>
          </w:tcPr>
          <w:p w14:paraId="151A062B" w14:textId="5E4E1B55"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$4.20 </w:t>
            </w:r>
          </w:p>
        </w:tc>
        <w:tc>
          <w:tcPr>
            <w:tcW w:w="1440" w:type="dxa"/>
            <w:vAlign w:val="center"/>
          </w:tcPr>
          <w:p w14:paraId="226B54AC" w14:textId="56D4F63D"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$10.04 </w:t>
            </w:r>
          </w:p>
        </w:tc>
        <w:tc>
          <w:tcPr>
            <w:tcW w:w="1350" w:type="dxa"/>
            <w:vAlign w:val="center"/>
          </w:tcPr>
          <w:p w14:paraId="0A9C150B" w14:textId="1F112DAD"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12.49%</w:t>
            </w:r>
          </w:p>
        </w:tc>
        <w:tc>
          <w:tcPr>
            <w:tcW w:w="1530" w:type="dxa"/>
            <w:vAlign w:val="center"/>
          </w:tcPr>
          <w:p w14:paraId="20DFF035" w14:textId="15E0325D"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-0.04%</w:t>
            </w:r>
          </w:p>
        </w:tc>
      </w:tr>
      <w:tr w:rsidR="00E946B5" w:rsidRPr="00AF2C3E" w14:paraId="35DDDD9D" w14:textId="77777777" w:rsidTr="00B04E02">
        <w:trPr>
          <w:trHeight w:val="288"/>
        </w:trPr>
        <w:tc>
          <w:tcPr>
            <w:tcW w:w="2137" w:type="dxa"/>
            <w:vAlign w:val="center"/>
          </w:tcPr>
          <w:p w14:paraId="3B33DFDC"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$30,000 to $39,999</w:t>
            </w:r>
          </w:p>
        </w:tc>
        <w:tc>
          <w:tcPr>
            <w:tcW w:w="1530" w:type="dxa"/>
            <w:vAlign w:val="center"/>
          </w:tcPr>
          <w:p w14:paraId="501FBC2F"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0.265 </w:t>
            </w:r>
          </w:p>
        </w:tc>
        <w:tc>
          <w:tcPr>
            <w:tcW w:w="1260" w:type="dxa"/>
            <w:vAlign w:val="center"/>
          </w:tcPr>
          <w:p w14:paraId="6C8338EE" w14:textId="19CC1796"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$3.37 </w:t>
            </w:r>
          </w:p>
        </w:tc>
        <w:tc>
          <w:tcPr>
            <w:tcW w:w="1440" w:type="dxa"/>
            <w:vAlign w:val="center"/>
          </w:tcPr>
          <w:p w14:paraId="012BE4D9" w14:textId="258E8950"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$12.72 </w:t>
            </w:r>
          </w:p>
        </w:tc>
        <w:tc>
          <w:tcPr>
            <w:tcW w:w="1350" w:type="dxa"/>
            <w:vAlign w:val="center"/>
          </w:tcPr>
          <w:p w14:paraId="0BF6F8FB" w14:textId="59B095A9"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10.02%</w:t>
            </w:r>
          </w:p>
        </w:tc>
        <w:tc>
          <w:tcPr>
            <w:tcW w:w="1530" w:type="dxa"/>
            <w:vAlign w:val="center"/>
          </w:tcPr>
          <w:p w14:paraId="1CBA65BE" w14:textId="6A73D7A7"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-0.04%</w:t>
            </w:r>
          </w:p>
        </w:tc>
      </w:tr>
      <w:tr w:rsidR="00E946B5" w:rsidRPr="00AF2C3E" w14:paraId="08E23AD7" w14:textId="77777777" w:rsidTr="00B04E02">
        <w:trPr>
          <w:trHeight w:val="288"/>
        </w:trPr>
        <w:tc>
          <w:tcPr>
            <w:tcW w:w="2137" w:type="dxa"/>
            <w:vAlign w:val="center"/>
          </w:tcPr>
          <w:p w14:paraId="1B8B98FB"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$40,000 to $49,999</w:t>
            </w:r>
          </w:p>
        </w:tc>
        <w:tc>
          <w:tcPr>
            <w:tcW w:w="1530" w:type="dxa"/>
            <w:vAlign w:val="center"/>
          </w:tcPr>
          <w:p w14:paraId="5578952C"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0.217 </w:t>
            </w:r>
          </w:p>
        </w:tc>
        <w:tc>
          <w:tcPr>
            <w:tcW w:w="1260" w:type="dxa"/>
            <w:vAlign w:val="center"/>
          </w:tcPr>
          <w:p w14:paraId="0DFF9779" w14:textId="4AF6B4B1"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$1.78 </w:t>
            </w:r>
          </w:p>
        </w:tc>
        <w:tc>
          <w:tcPr>
            <w:tcW w:w="1440" w:type="dxa"/>
            <w:vAlign w:val="center"/>
          </w:tcPr>
          <w:p w14:paraId="2162B24F" w14:textId="100DD55B"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$8.17 </w:t>
            </w:r>
          </w:p>
        </w:tc>
        <w:tc>
          <w:tcPr>
            <w:tcW w:w="1350" w:type="dxa"/>
            <w:vAlign w:val="center"/>
          </w:tcPr>
          <w:p w14:paraId="625F40C3" w14:textId="176AA3EB"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5.28%</w:t>
            </w:r>
          </w:p>
        </w:tc>
        <w:tc>
          <w:tcPr>
            <w:tcW w:w="1530" w:type="dxa"/>
            <w:vAlign w:val="center"/>
          </w:tcPr>
          <w:p w14:paraId="7B445E4A" w14:textId="1E49B3F0"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-0.02%</w:t>
            </w:r>
          </w:p>
        </w:tc>
      </w:tr>
      <w:tr w:rsidR="00E946B5" w:rsidRPr="00AF2C3E" w14:paraId="28E3C6E0" w14:textId="77777777" w:rsidTr="00B04E02">
        <w:trPr>
          <w:trHeight w:val="288"/>
        </w:trPr>
        <w:tc>
          <w:tcPr>
            <w:tcW w:w="2137" w:type="dxa"/>
            <w:vAlign w:val="center"/>
          </w:tcPr>
          <w:p w14:paraId="69F80A9E"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$50,000 to $69,999</w:t>
            </w:r>
          </w:p>
        </w:tc>
        <w:tc>
          <w:tcPr>
            <w:tcW w:w="1530" w:type="dxa"/>
            <w:vAlign w:val="center"/>
          </w:tcPr>
          <w:p w14:paraId="6BBC384C"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0.346 </w:t>
            </w:r>
          </w:p>
        </w:tc>
        <w:tc>
          <w:tcPr>
            <w:tcW w:w="1260" w:type="dxa"/>
            <w:vAlign w:val="center"/>
          </w:tcPr>
          <w:p w14:paraId="2EC8A0D7" w14:textId="1A90B241"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$3.76 </w:t>
            </w:r>
          </w:p>
        </w:tc>
        <w:tc>
          <w:tcPr>
            <w:tcW w:w="1440" w:type="dxa"/>
            <w:vAlign w:val="center"/>
          </w:tcPr>
          <w:p w14:paraId="61CF1ADD" w14:textId="17F89B6E"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$10.85 </w:t>
            </w:r>
          </w:p>
        </w:tc>
        <w:tc>
          <w:tcPr>
            <w:tcW w:w="1350" w:type="dxa"/>
            <w:vAlign w:val="center"/>
          </w:tcPr>
          <w:p w14:paraId="61468A6B" w14:textId="56676534"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11.17%</w:t>
            </w:r>
          </w:p>
        </w:tc>
        <w:tc>
          <w:tcPr>
            <w:tcW w:w="1530" w:type="dxa"/>
            <w:vAlign w:val="center"/>
          </w:tcPr>
          <w:p w14:paraId="6A39078E" w14:textId="77A963A9"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-0.02%</w:t>
            </w:r>
          </w:p>
        </w:tc>
      </w:tr>
      <w:tr w:rsidR="00E946B5" w:rsidRPr="00AF2C3E" w14:paraId="22F06734" w14:textId="77777777" w:rsidTr="00B04E02">
        <w:trPr>
          <w:trHeight w:val="288"/>
        </w:trPr>
        <w:tc>
          <w:tcPr>
            <w:tcW w:w="2137" w:type="dxa"/>
            <w:vAlign w:val="center"/>
          </w:tcPr>
          <w:p w14:paraId="4551559E"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$70,000 to $99,999</w:t>
            </w:r>
          </w:p>
        </w:tc>
        <w:tc>
          <w:tcPr>
            <w:tcW w:w="1530" w:type="dxa"/>
            <w:vAlign w:val="center"/>
          </w:tcPr>
          <w:p w14:paraId="5C4E6ADC"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0.388 </w:t>
            </w:r>
          </w:p>
        </w:tc>
        <w:tc>
          <w:tcPr>
            <w:tcW w:w="1260" w:type="dxa"/>
            <w:vAlign w:val="center"/>
          </w:tcPr>
          <w:p w14:paraId="4766594E" w14:textId="4545048B"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$5.21 </w:t>
            </w:r>
          </w:p>
        </w:tc>
        <w:tc>
          <w:tcPr>
            <w:tcW w:w="1440" w:type="dxa"/>
            <w:vAlign w:val="center"/>
          </w:tcPr>
          <w:p w14:paraId="3C7CE7F1" w14:textId="4A1BEE54"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$13.42 </w:t>
            </w:r>
          </w:p>
        </w:tc>
        <w:tc>
          <w:tcPr>
            <w:tcW w:w="1350" w:type="dxa"/>
            <w:vAlign w:val="center"/>
          </w:tcPr>
          <w:p w14:paraId="1EDAE3E4" w14:textId="0CCD956F"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15.49%</w:t>
            </w:r>
          </w:p>
        </w:tc>
        <w:tc>
          <w:tcPr>
            <w:tcW w:w="1530" w:type="dxa"/>
            <w:vAlign w:val="center"/>
          </w:tcPr>
          <w:p w14:paraId="4E65656A" w14:textId="086356BA"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-0.02%</w:t>
            </w:r>
          </w:p>
        </w:tc>
      </w:tr>
      <w:tr w:rsidR="00E946B5" w:rsidRPr="00AF2C3E" w14:paraId="5285F053" w14:textId="77777777" w:rsidTr="00B04E02">
        <w:trPr>
          <w:trHeight w:val="288"/>
        </w:trPr>
        <w:tc>
          <w:tcPr>
            <w:tcW w:w="2137" w:type="dxa"/>
            <w:vAlign w:val="center"/>
          </w:tcPr>
          <w:p w14:paraId="7BB40B9B"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$100,000 to $149,999</w:t>
            </w:r>
          </w:p>
        </w:tc>
        <w:tc>
          <w:tcPr>
            <w:tcW w:w="1530" w:type="dxa"/>
            <w:vAlign w:val="center"/>
          </w:tcPr>
          <w:p w14:paraId="452E31B8"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0.351 </w:t>
            </w:r>
          </w:p>
        </w:tc>
        <w:tc>
          <w:tcPr>
            <w:tcW w:w="1260" w:type="dxa"/>
            <w:vAlign w:val="center"/>
          </w:tcPr>
          <w:p w14:paraId="183635CA" w14:textId="490ED1C2"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$5.33 </w:t>
            </w:r>
          </w:p>
        </w:tc>
        <w:tc>
          <w:tcPr>
            <w:tcW w:w="1440" w:type="dxa"/>
            <w:vAlign w:val="center"/>
          </w:tcPr>
          <w:p w14:paraId="72BA46F8" w14:textId="18405DE4"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$15.17 </w:t>
            </w:r>
          </w:p>
        </w:tc>
        <w:tc>
          <w:tcPr>
            <w:tcW w:w="1350" w:type="dxa"/>
            <w:vAlign w:val="center"/>
          </w:tcPr>
          <w:p w14:paraId="6F4187F6" w14:textId="4D893768"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15.83%</w:t>
            </w:r>
          </w:p>
        </w:tc>
        <w:tc>
          <w:tcPr>
            <w:tcW w:w="1530" w:type="dxa"/>
            <w:vAlign w:val="center"/>
          </w:tcPr>
          <w:p w14:paraId="4009C98D" w14:textId="172E531C"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-0.01%</w:t>
            </w:r>
          </w:p>
        </w:tc>
      </w:tr>
      <w:tr w:rsidR="00E946B5" w:rsidRPr="00AF2C3E" w14:paraId="08046C71" w14:textId="77777777" w:rsidTr="00B04E02">
        <w:trPr>
          <w:trHeight w:val="288"/>
        </w:trPr>
        <w:tc>
          <w:tcPr>
            <w:tcW w:w="2137" w:type="dxa"/>
            <w:vAlign w:val="center"/>
          </w:tcPr>
          <w:p w14:paraId="776192A4"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$150,000 to $199,999</w:t>
            </w:r>
          </w:p>
        </w:tc>
        <w:tc>
          <w:tcPr>
            <w:tcW w:w="1530" w:type="dxa"/>
            <w:vAlign w:val="center"/>
          </w:tcPr>
          <w:p w14:paraId="75438C65"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0.165 </w:t>
            </w:r>
          </w:p>
        </w:tc>
        <w:tc>
          <w:tcPr>
            <w:tcW w:w="1260" w:type="dxa"/>
            <w:vAlign w:val="center"/>
          </w:tcPr>
          <w:p w14:paraId="3B6DF168" w14:textId="705032D1"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$2.85 </w:t>
            </w:r>
          </w:p>
        </w:tc>
        <w:tc>
          <w:tcPr>
            <w:tcW w:w="1440" w:type="dxa"/>
            <w:vAlign w:val="center"/>
          </w:tcPr>
          <w:p w14:paraId="03D30039" w14:textId="656A08CB"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$17.27 </w:t>
            </w:r>
          </w:p>
        </w:tc>
        <w:tc>
          <w:tcPr>
            <w:tcW w:w="1350" w:type="dxa"/>
            <w:vAlign w:val="center"/>
          </w:tcPr>
          <w:p w14:paraId="50BC2B3A" w14:textId="625BBDAD"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8.48%</w:t>
            </w:r>
          </w:p>
        </w:tc>
        <w:tc>
          <w:tcPr>
            <w:tcW w:w="1530" w:type="dxa"/>
            <w:vAlign w:val="center"/>
          </w:tcPr>
          <w:p w14:paraId="5DD32377" w14:textId="4696A659"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-0.01%</w:t>
            </w:r>
          </w:p>
        </w:tc>
      </w:tr>
      <w:tr w:rsidR="00E946B5" w:rsidRPr="00AF2C3E" w14:paraId="26933F71" w14:textId="77777777" w:rsidTr="00B04E02">
        <w:trPr>
          <w:trHeight w:val="288"/>
        </w:trPr>
        <w:tc>
          <w:tcPr>
            <w:tcW w:w="2137" w:type="dxa"/>
            <w:vAlign w:val="center"/>
          </w:tcPr>
          <w:p w14:paraId="2CC0E738"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$200,000 to more</w:t>
            </w:r>
          </w:p>
        </w:tc>
        <w:tc>
          <w:tcPr>
            <w:tcW w:w="1530" w:type="dxa"/>
            <w:vAlign w:val="center"/>
          </w:tcPr>
          <w:p w14:paraId="7F7323B6"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0.174 </w:t>
            </w:r>
          </w:p>
        </w:tc>
        <w:tc>
          <w:tcPr>
            <w:tcW w:w="1260" w:type="dxa"/>
            <w:vAlign w:val="center"/>
          </w:tcPr>
          <w:p w14:paraId="7F2DEB2F" w14:textId="3E3926C1"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$4.70 </w:t>
            </w:r>
          </w:p>
        </w:tc>
        <w:tc>
          <w:tcPr>
            <w:tcW w:w="1440" w:type="dxa"/>
            <w:vAlign w:val="center"/>
          </w:tcPr>
          <w:p w14:paraId="1FA463D6" w14:textId="4B82E8A4"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$26.96 </w:t>
            </w:r>
          </w:p>
        </w:tc>
        <w:tc>
          <w:tcPr>
            <w:tcW w:w="1350" w:type="dxa"/>
            <w:vAlign w:val="center"/>
          </w:tcPr>
          <w:p w14:paraId="0096C2AA" w14:textId="33DDA5D5"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13.97%</w:t>
            </w:r>
          </w:p>
        </w:tc>
        <w:tc>
          <w:tcPr>
            <w:tcW w:w="1530" w:type="dxa"/>
            <w:vAlign w:val="center"/>
          </w:tcPr>
          <w:p w14:paraId="32B6B6E5" w14:textId="538AA6CE"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-0.01%</w:t>
            </w:r>
          </w:p>
        </w:tc>
      </w:tr>
      <w:tr w:rsidR="00E946B5" w:rsidRPr="00AF2C3E" w14:paraId="129AA7AC" w14:textId="77777777" w:rsidTr="00B04E02">
        <w:trPr>
          <w:trHeight w:val="288"/>
        </w:trPr>
        <w:tc>
          <w:tcPr>
            <w:tcW w:w="2137" w:type="dxa"/>
            <w:vAlign w:val="center"/>
          </w:tcPr>
          <w:p w14:paraId="79F5A5A1" w14:textId="77777777" w:rsidR="00E946B5" w:rsidRPr="00AF2C3E" w:rsidRDefault="00E946B5" w:rsidP="00E946B5">
            <w:pPr>
              <w:rPr>
                <w:rFonts w:asciiTheme="majorHAnsi" w:hAnsiTheme="majorHAnsi"/>
                <w:bCs/>
                <w:sz w:val="20"/>
                <w:szCs w:val="20"/>
              </w:rPr>
            </w:pPr>
            <w:r w:rsidRPr="00AF2C3E">
              <w:rPr>
                <w:rFonts w:asciiTheme="majorHAnsi" w:hAnsiTheme="majorHAnsi"/>
                <w:bCs/>
                <w:sz w:val="20"/>
                <w:szCs w:val="20"/>
              </w:rPr>
              <w:t>Total</w:t>
            </w:r>
          </w:p>
        </w:tc>
        <w:tc>
          <w:tcPr>
            <w:tcW w:w="1530" w:type="dxa"/>
            <w:vAlign w:val="center"/>
          </w:tcPr>
          <w:p w14:paraId="5FE0164C" w14:textId="77777777" w:rsidR="00E946B5" w:rsidRPr="007167C6" w:rsidRDefault="00E946B5" w:rsidP="00EE3265">
            <w:pPr>
              <w:tabs>
                <w:tab w:val="left" w:pos="7050"/>
              </w:tabs>
              <w:rPr>
                <w:rFonts w:asciiTheme="majorHAnsi" w:hAnsiTheme="majorHAnsi" w:cs="Arial"/>
                <w:sz w:val="20"/>
                <w:szCs w:val="20"/>
              </w:rPr>
            </w:pPr>
            <w:r w:rsidRPr="00144788">
              <w:rPr>
                <w:rFonts w:asciiTheme="majorHAnsi" w:hAnsiTheme="majorHAnsi" w:cs="Arial"/>
                <w:sz w:val="20"/>
                <w:szCs w:val="20"/>
              </w:rPr>
              <w:t xml:space="preserve">         2.676 </w:t>
            </w:r>
          </w:p>
        </w:tc>
        <w:tc>
          <w:tcPr>
            <w:tcW w:w="1260" w:type="dxa"/>
            <w:vAlign w:val="center"/>
          </w:tcPr>
          <w:p w14:paraId="32C44D22" w14:textId="1435160C"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$33.65 </w:t>
            </w:r>
          </w:p>
        </w:tc>
        <w:tc>
          <w:tcPr>
            <w:tcW w:w="1440" w:type="dxa"/>
            <w:vAlign w:val="center"/>
          </w:tcPr>
          <w:p w14:paraId="2FCFDDEE" w14:textId="0B4FEE6E"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 xml:space="preserve">$12.58 </w:t>
            </w:r>
          </w:p>
        </w:tc>
        <w:tc>
          <w:tcPr>
            <w:tcW w:w="1350" w:type="dxa"/>
            <w:vAlign w:val="center"/>
          </w:tcPr>
          <w:p w14:paraId="5481BF5D" w14:textId="131B7A4D"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100.00%</w:t>
            </w:r>
          </w:p>
        </w:tc>
        <w:tc>
          <w:tcPr>
            <w:tcW w:w="1530" w:type="dxa"/>
            <w:vAlign w:val="center"/>
          </w:tcPr>
          <w:p w14:paraId="10972CB4" w14:textId="4701FE2A" w:rsidR="00E946B5" w:rsidRPr="00EE3265" w:rsidRDefault="00E946B5" w:rsidP="00E946B5">
            <w:pPr>
              <w:tabs>
                <w:tab w:val="left" w:pos="7050"/>
              </w:tabs>
              <w:jc w:val="center"/>
              <w:rPr>
                <w:rFonts w:asciiTheme="majorHAnsi" w:hAnsiTheme="majorHAnsi" w:cs="Arial"/>
                <w:sz w:val="20"/>
                <w:szCs w:val="20"/>
              </w:rPr>
            </w:pPr>
            <w:r w:rsidRPr="00EE3265">
              <w:rPr>
                <w:rFonts w:asciiTheme="majorHAnsi" w:hAnsiTheme="majorHAnsi" w:cs="Arial"/>
                <w:sz w:val="20"/>
                <w:szCs w:val="20"/>
              </w:rPr>
              <w:t>-0.02%</w:t>
            </w:r>
          </w:p>
        </w:tc>
      </w:tr>
    </w:tbl>
    <w:p w14:paraId="521F2064" w14:textId="179BD7A4" w:rsidR="00564CAA" w:rsidRPr="0088354E" w:rsidRDefault="00D87CC8" w:rsidP="00564CAA">
      <w:pPr>
        <w:spacing w:after="0"/>
        <w:rPr>
          <w:rFonts w:asciiTheme="majorHAnsi" w:hAnsiTheme="majorHAnsi"/>
          <w:sz w:val="20"/>
          <w:szCs w:val="20"/>
        </w:rPr>
      </w:pPr>
      <w:r>
        <w:rPr>
          <w:rFonts w:asciiTheme="majorHAnsi" w:hAnsiTheme="majorHAnsi"/>
          <w:sz w:val="20"/>
          <w:szCs w:val="20"/>
        </w:rPr>
        <w:t>Note</w:t>
      </w:r>
      <w:r w:rsidR="009A7868" w:rsidRPr="0088354E">
        <w:rPr>
          <w:rFonts w:asciiTheme="majorHAnsi" w:hAnsiTheme="majorHAnsi"/>
          <w:sz w:val="20"/>
          <w:szCs w:val="20"/>
        </w:rPr>
        <w:t xml:space="preserve">: </w:t>
      </w:r>
      <w:r>
        <w:rPr>
          <w:rFonts w:asciiTheme="majorHAnsi" w:hAnsiTheme="majorHAnsi"/>
          <w:sz w:val="20"/>
          <w:szCs w:val="20"/>
        </w:rPr>
        <w:t>Numbers in the table are e</w:t>
      </w:r>
      <w:r w:rsidRPr="0088354E">
        <w:rPr>
          <w:rFonts w:asciiTheme="majorHAnsi" w:hAnsiTheme="majorHAnsi"/>
          <w:sz w:val="20"/>
          <w:szCs w:val="20"/>
        </w:rPr>
        <w:t xml:space="preserve">stimated </w:t>
      </w:r>
      <w:r w:rsidR="009A7868" w:rsidRPr="0088354E">
        <w:rPr>
          <w:rFonts w:asciiTheme="majorHAnsi" w:hAnsiTheme="majorHAnsi"/>
          <w:sz w:val="20"/>
          <w:szCs w:val="20"/>
        </w:rPr>
        <w:t>by Massachusetts Department of Revenue</w:t>
      </w:r>
      <w:r w:rsidR="0088354E" w:rsidRPr="0088354E">
        <w:rPr>
          <w:rFonts w:asciiTheme="majorHAnsi" w:hAnsiTheme="majorHAnsi"/>
          <w:sz w:val="20"/>
          <w:szCs w:val="20"/>
        </w:rPr>
        <w:t>.</w:t>
      </w:r>
    </w:p>
    <w:p w14:paraId="0F2A6AEE" w14:textId="77777777" w:rsidR="00E40A0A" w:rsidRDefault="00E40A0A" w:rsidP="00E17C2F">
      <w:pPr>
        <w:spacing w:after="0"/>
        <w:rPr>
          <w:rFonts w:asciiTheme="majorHAnsi" w:eastAsiaTheme="majorEastAsia" w:hAnsiTheme="majorHAnsi" w:cstheme="majorBidi"/>
          <w:bCs/>
          <w:color w:val="000000" w:themeColor="text1"/>
          <w:sz w:val="24"/>
          <w:szCs w:val="24"/>
        </w:rPr>
      </w:pPr>
    </w:p>
    <w:p w14:paraId="182BE39B"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EVALUATION:  COMPARING COSTS AND BENEFITS</w:t>
      </w:r>
    </w:p>
    <w:p w14:paraId="66C77A96" w14:textId="67A6D31A" w:rsidR="00A47BE2" w:rsidRDefault="00A47BE2" w:rsidP="00A47BE2">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 the direct costs (to the Commonwealth, or to the residents and businesses who ultimately bear the costs when the Commonwealth cuts government spending or increase</w:t>
      </w:r>
      <w:r w:rsidR="00B00293">
        <w:rPr>
          <w:rFonts w:asciiTheme="majorHAnsi" w:hAnsiTheme="majorHAnsi"/>
          <w:bCs/>
          <w:sz w:val="24"/>
          <w:szCs w:val="24"/>
        </w:rPr>
        <w:t>s</w:t>
      </w:r>
      <w:r>
        <w:rPr>
          <w:rFonts w:asciiTheme="majorHAnsi" w:hAnsiTheme="majorHAnsi"/>
          <w:bCs/>
          <w:sz w:val="24"/>
          <w:szCs w:val="24"/>
        </w:rPr>
        <w:t xml:space="preserve"> tax</w:t>
      </w:r>
      <w:r w:rsidR="00B00293">
        <w:rPr>
          <w:rFonts w:asciiTheme="majorHAnsi" w:hAnsiTheme="majorHAnsi"/>
          <w:bCs/>
          <w:sz w:val="24"/>
          <w:szCs w:val="24"/>
        </w:rPr>
        <w:t>es</w:t>
      </w:r>
      <w:r>
        <w:rPr>
          <w:rFonts w:asciiTheme="majorHAnsi" w:hAnsiTheme="majorHAnsi"/>
          <w:bCs/>
          <w:sz w:val="24"/>
          <w:szCs w:val="24"/>
        </w:rPr>
        <w:t xml:space="preserve"> to finance </w:t>
      </w:r>
      <w:r w:rsidR="00B00293">
        <w:rPr>
          <w:rFonts w:asciiTheme="majorHAnsi" w:hAnsiTheme="majorHAnsi"/>
          <w:bCs/>
          <w:sz w:val="24"/>
          <w:szCs w:val="24"/>
        </w:rPr>
        <w:t xml:space="preserve">the </w:t>
      </w:r>
      <w:r w:rsidR="00CA0A64">
        <w:rPr>
          <w:rFonts w:asciiTheme="majorHAnsi" w:hAnsiTheme="majorHAnsi"/>
          <w:bCs/>
          <w:sz w:val="24"/>
          <w:szCs w:val="24"/>
        </w:rPr>
        <w:t xml:space="preserve">sales tax exemption for </w:t>
      </w:r>
      <w:r w:rsidR="00FA5781">
        <w:rPr>
          <w:rFonts w:asciiTheme="majorHAnsi" w:hAnsiTheme="majorHAnsi"/>
          <w:bCs/>
          <w:sz w:val="24"/>
          <w:szCs w:val="24"/>
        </w:rPr>
        <w:t>newspapers and magazines</w:t>
      </w:r>
      <w:r>
        <w:rPr>
          <w:rFonts w:asciiTheme="majorHAnsi" w:hAnsiTheme="majorHAnsi"/>
          <w:bCs/>
          <w:sz w:val="24"/>
          <w:szCs w:val="24"/>
        </w:rPr>
        <w:t xml:space="preserve">) and direct benefits (to </w:t>
      </w:r>
      <w:r w:rsidR="00CA0A64">
        <w:rPr>
          <w:rFonts w:asciiTheme="majorHAnsi" w:hAnsiTheme="majorHAnsi"/>
          <w:bCs/>
          <w:sz w:val="24"/>
          <w:szCs w:val="24"/>
        </w:rPr>
        <w:t>buyers and sellers</w:t>
      </w:r>
      <w:r w:rsidR="00EE3265">
        <w:rPr>
          <w:rFonts w:asciiTheme="majorHAnsi" w:hAnsiTheme="majorHAnsi"/>
          <w:bCs/>
          <w:sz w:val="24"/>
          <w:szCs w:val="24"/>
        </w:rPr>
        <w:t xml:space="preserve"> of</w:t>
      </w:r>
      <w:r w:rsidR="00CA0A64">
        <w:rPr>
          <w:rFonts w:asciiTheme="majorHAnsi" w:hAnsiTheme="majorHAnsi"/>
          <w:bCs/>
          <w:sz w:val="24"/>
          <w:szCs w:val="24"/>
        </w:rPr>
        <w:t xml:space="preserve"> </w:t>
      </w:r>
      <w:r w:rsidR="00E20DBD">
        <w:rPr>
          <w:rFonts w:asciiTheme="majorHAnsi" w:hAnsiTheme="majorHAnsi"/>
          <w:bCs/>
          <w:sz w:val="24"/>
          <w:szCs w:val="24"/>
        </w:rPr>
        <w:t>newspapers and magazines</w:t>
      </w:r>
      <w:r w:rsidR="00CA0A64">
        <w:rPr>
          <w:rFonts w:asciiTheme="majorHAnsi" w:hAnsiTheme="majorHAnsi"/>
          <w:bCs/>
          <w:sz w:val="24"/>
          <w:szCs w:val="24"/>
        </w:rPr>
        <w:t xml:space="preserve"> at </w:t>
      </w:r>
      <w:r w:rsidR="00B00293">
        <w:rPr>
          <w:rFonts w:asciiTheme="majorHAnsi" w:hAnsiTheme="majorHAnsi"/>
          <w:bCs/>
          <w:sz w:val="24"/>
          <w:szCs w:val="24"/>
        </w:rPr>
        <w:t xml:space="preserve">the </w:t>
      </w:r>
      <w:r w:rsidR="00CA0A64">
        <w:rPr>
          <w:rFonts w:asciiTheme="majorHAnsi" w:hAnsiTheme="majorHAnsi"/>
          <w:bCs/>
          <w:sz w:val="24"/>
          <w:szCs w:val="24"/>
        </w:rPr>
        <w:t xml:space="preserve">retail </w:t>
      </w:r>
      <w:r w:rsidR="00B00293">
        <w:rPr>
          <w:rFonts w:asciiTheme="majorHAnsi" w:hAnsiTheme="majorHAnsi"/>
          <w:bCs/>
          <w:sz w:val="24"/>
          <w:szCs w:val="24"/>
        </w:rPr>
        <w:t>level</w:t>
      </w:r>
      <w:r>
        <w:rPr>
          <w:rFonts w:asciiTheme="majorHAnsi" w:hAnsiTheme="majorHAnsi"/>
          <w:bCs/>
          <w:sz w:val="24"/>
          <w:szCs w:val="24"/>
        </w:rPr>
        <w:t>) of this tax expenditure. Since the direct costs to the Commonwealth are the direct benefits to taxpayers, they are equal.</w:t>
      </w:r>
    </w:p>
    <w:p w14:paraId="0DB6BF10" w14:textId="77777777" w:rsidR="00A47BE2" w:rsidRDefault="00A47BE2" w:rsidP="00A47BE2">
      <w:pPr>
        <w:tabs>
          <w:tab w:val="left" w:pos="7050"/>
        </w:tabs>
        <w:spacing w:after="0"/>
        <w:rPr>
          <w:rFonts w:asciiTheme="majorHAnsi" w:hAnsiTheme="majorHAnsi"/>
          <w:bCs/>
          <w:sz w:val="24"/>
          <w:szCs w:val="24"/>
        </w:rPr>
      </w:pPr>
    </w:p>
    <w:p w14:paraId="25BDF101" w14:textId="6D2D2FAC" w:rsidR="00781AD9" w:rsidRDefault="00781AD9" w:rsidP="00781AD9">
      <w:pPr>
        <w:tabs>
          <w:tab w:val="left" w:pos="7050"/>
        </w:tabs>
        <w:spacing w:after="0"/>
        <w:rPr>
          <w:rFonts w:asciiTheme="majorHAnsi" w:hAnsiTheme="majorHAnsi"/>
          <w:bCs/>
          <w:sz w:val="24"/>
          <w:szCs w:val="24"/>
        </w:rPr>
      </w:pPr>
      <w:r w:rsidRPr="00CB6BAE">
        <w:rPr>
          <w:rFonts w:asciiTheme="majorHAnsi" w:hAnsiTheme="majorHAnsi"/>
          <w:bCs/>
          <w:sz w:val="24"/>
          <w:szCs w:val="24"/>
        </w:rPr>
        <w:t xml:space="preserve">Besides the direct costs and benefits, there are indirect and induced costs and benefits associated with this tax expenditure. </w:t>
      </w:r>
      <w:r w:rsidRPr="00CB6BAE">
        <w:rPr>
          <w:rFonts w:asciiTheme="majorHAnsi" w:eastAsiaTheme="majorEastAsia" w:hAnsiTheme="majorHAnsi" w:cstheme="majorBidi"/>
          <w:bCs/>
          <w:color w:val="000000" w:themeColor="text1"/>
          <w:sz w:val="24"/>
          <w:szCs w:val="24"/>
        </w:rPr>
        <w:t>The indirect impact (cost or benefit) is felt by the chain of businesses that provide intermediate products and services to the directly impacted businesses</w:t>
      </w:r>
      <w:r w:rsidRPr="00223AA9">
        <w:rPr>
          <w:rFonts w:asciiTheme="majorHAnsi" w:eastAsiaTheme="majorEastAsia" w:hAnsiTheme="majorHAnsi" w:cstheme="majorBidi"/>
          <w:bCs/>
          <w:color w:val="000000" w:themeColor="text1"/>
          <w:sz w:val="24"/>
          <w:szCs w:val="24"/>
        </w:rPr>
        <w:t>.  The induced impact (cost or benefit) results from any overall change in the economy</w:t>
      </w:r>
      <w:r w:rsidR="00DE6705">
        <w:rPr>
          <w:rFonts w:asciiTheme="majorHAnsi" w:eastAsiaTheme="majorEastAsia" w:hAnsiTheme="majorHAnsi" w:cstheme="majorBidi"/>
          <w:bCs/>
          <w:color w:val="000000" w:themeColor="text1"/>
          <w:sz w:val="24"/>
          <w:szCs w:val="24"/>
        </w:rPr>
        <w:t xml:space="preserve"> </w:t>
      </w:r>
      <w:r w:rsidR="00DE6705" w:rsidRPr="00967CDE">
        <w:rPr>
          <w:rFonts w:asciiTheme="majorHAnsi" w:eastAsiaTheme="majorEastAsia" w:hAnsiTheme="majorHAnsi" w:cstheme="majorBidi"/>
          <w:bCs/>
          <w:color w:val="000000" w:themeColor="text1"/>
          <w:sz w:val="24"/>
          <w:szCs w:val="24"/>
        </w:rPr>
        <w:t xml:space="preserve">derived from the </w:t>
      </w:r>
      <w:r w:rsidR="00DE6705">
        <w:rPr>
          <w:rFonts w:asciiTheme="majorHAnsi" w:eastAsiaTheme="majorEastAsia" w:hAnsiTheme="majorHAnsi" w:cstheme="majorBidi"/>
          <w:bCs/>
          <w:color w:val="000000" w:themeColor="text1"/>
          <w:sz w:val="24"/>
          <w:szCs w:val="24"/>
        </w:rPr>
        <w:t xml:space="preserve">tax </w:t>
      </w:r>
      <w:r w:rsidR="00DE6705" w:rsidRPr="00967CDE">
        <w:rPr>
          <w:rFonts w:asciiTheme="majorHAnsi" w:eastAsiaTheme="majorEastAsia" w:hAnsiTheme="majorHAnsi" w:cstheme="majorBidi"/>
          <w:bCs/>
          <w:color w:val="000000" w:themeColor="text1"/>
          <w:sz w:val="24"/>
          <w:szCs w:val="24"/>
        </w:rPr>
        <w:t>expenditure</w:t>
      </w:r>
      <w:r w:rsidRPr="00223AA9">
        <w:rPr>
          <w:rFonts w:asciiTheme="majorHAnsi" w:eastAsiaTheme="majorEastAsia" w:hAnsiTheme="majorHAnsi" w:cstheme="majorBidi"/>
          <w:bCs/>
          <w:color w:val="000000" w:themeColor="text1"/>
          <w:sz w:val="24"/>
          <w:szCs w:val="24"/>
        </w:rPr>
        <w:t xml:space="preserve">, </w:t>
      </w:r>
      <w:r w:rsidR="00DE6705" w:rsidRPr="00967CDE">
        <w:rPr>
          <w:rFonts w:asciiTheme="majorHAnsi" w:eastAsiaTheme="majorEastAsia" w:hAnsiTheme="majorHAnsi" w:cstheme="majorBidi"/>
          <w:bCs/>
          <w:color w:val="000000" w:themeColor="text1"/>
          <w:sz w:val="24"/>
          <w:szCs w:val="24"/>
        </w:rPr>
        <w:t xml:space="preserve">such as </w:t>
      </w:r>
      <w:r w:rsidRPr="00223AA9">
        <w:rPr>
          <w:rFonts w:asciiTheme="majorHAnsi" w:eastAsiaTheme="majorEastAsia" w:hAnsiTheme="majorHAnsi" w:cstheme="majorBidi"/>
          <w:bCs/>
          <w:color w:val="000000" w:themeColor="text1"/>
          <w:sz w:val="24"/>
          <w:szCs w:val="24"/>
        </w:rPr>
        <w:t xml:space="preserve">where a chain of businesses benefits when the employees working for the directly impacted businesses spend their </w:t>
      </w:r>
      <w:r w:rsidR="00B04E02">
        <w:rPr>
          <w:rFonts w:asciiTheme="majorHAnsi" w:eastAsiaTheme="majorEastAsia" w:hAnsiTheme="majorHAnsi" w:cstheme="majorBidi"/>
          <w:bCs/>
          <w:color w:val="000000" w:themeColor="text1"/>
          <w:sz w:val="24"/>
          <w:szCs w:val="24"/>
        </w:rPr>
        <w:t xml:space="preserve">additional </w:t>
      </w:r>
      <w:r w:rsidR="00B04E02" w:rsidRPr="00223AA9">
        <w:rPr>
          <w:rFonts w:asciiTheme="majorHAnsi" w:eastAsiaTheme="majorEastAsia" w:hAnsiTheme="majorHAnsi" w:cstheme="majorBidi"/>
          <w:bCs/>
          <w:color w:val="000000" w:themeColor="text1"/>
          <w:sz w:val="24"/>
          <w:szCs w:val="24"/>
        </w:rPr>
        <w:t>wages and salaries</w:t>
      </w:r>
      <w:r w:rsidR="00B04E02" w:rsidRPr="00967CDE">
        <w:rPr>
          <w:rFonts w:asciiTheme="majorHAnsi" w:eastAsiaTheme="majorEastAsia" w:hAnsiTheme="majorHAnsi" w:cstheme="majorBidi"/>
          <w:bCs/>
          <w:color w:val="000000" w:themeColor="text1"/>
          <w:sz w:val="24"/>
          <w:szCs w:val="24"/>
        </w:rPr>
        <w:t xml:space="preserve"> attributable to the </w:t>
      </w:r>
      <w:r w:rsidR="00B04E02">
        <w:rPr>
          <w:rFonts w:asciiTheme="majorHAnsi" w:eastAsiaTheme="majorEastAsia" w:hAnsiTheme="majorHAnsi" w:cstheme="majorBidi"/>
          <w:bCs/>
          <w:color w:val="000000" w:themeColor="text1"/>
          <w:sz w:val="24"/>
          <w:szCs w:val="24"/>
        </w:rPr>
        <w:t xml:space="preserve">tax </w:t>
      </w:r>
      <w:r w:rsidR="00B04E02" w:rsidRPr="00967CDE">
        <w:rPr>
          <w:rFonts w:asciiTheme="majorHAnsi" w:eastAsiaTheme="majorEastAsia" w:hAnsiTheme="majorHAnsi" w:cstheme="majorBidi"/>
          <w:bCs/>
          <w:color w:val="000000" w:themeColor="text1"/>
          <w:sz w:val="24"/>
          <w:szCs w:val="24"/>
        </w:rPr>
        <w:t>expenditure</w:t>
      </w:r>
      <w:r w:rsidR="00B04E02" w:rsidRPr="00223AA9">
        <w:rPr>
          <w:rFonts w:asciiTheme="majorHAnsi" w:eastAsiaTheme="majorEastAsia" w:hAnsiTheme="majorHAnsi" w:cstheme="majorBidi"/>
          <w:bCs/>
          <w:color w:val="000000" w:themeColor="text1"/>
          <w:sz w:val="24"/>
          <w:szCs w:val="24"/>
        </w:rPr>
        <w:t xml:space="preserve"> </w:t>
      </w:r>
      <w:r w:rsidRPr="00223AA9">
        <w:rPr>
          <w:rFonts w:asciiTheme="majorHAnsi" w:eastAsiaTheme="majorEastAsia" w:hAnsiTheme="majorHAnsi" w:cstheme="majorBidi"/>
          <w:bCs/>
          <w:color w:val="000000" w:themeColor="text1"/>
          <w:sz w:val="24"/>
          <w:szCs w:val="24"/>
        </w:rPr>
        <w:t xml:space="preserve">to buy goods and services.  The total benefits or costs to the whole economy are larger than the initial </w:t>
      </w:r>
      <w:r w:rsidR="00B04E02">
        <w:rPr>
          <w:rFonts w:asciiTheme="majorHAnsi" w:eastAsiaTheme="majorEastAsia" w:hAnsiTheme="majorHAnsi" w:cstheme="majorBidi"/>
          <w:bCs/>
          <w:color w:val="000000" w:themeColor="text1"/>
          <w:sz w:val="24"/>
          <w:szCs w:val="24"/>
        </w:rPr>
        <w:t xml:space="preserve">direct </w:t>
      </w:r>
      <w:r w:rsidRPr="00223AA9">
        <w:rPr>
          <w:rFonts w:asciiTheme="majorHAnsi" w:eastAsiaTheme="majorEastAsia" w:hAnsiTheme="majorHAnsi" w:cstheme="majorBidi"/>
          <w:bCs/>
          <w:color w:val="000000" w:themeColor="text1"/>
          <w:sz w:val="24"/>
          <w:szCs w:val="24"/>
        </w:rPr>
        <w:t>impacts.  This phenomenon is called the “Multiplier Effect”.</w:t>
      </w:r>
      <w:r w:rsidRPr="00223AA9">
        <w:rPr>
          <w:rStyle w:val="FootnoteReference"/>
          <w:rFonts w:asciiTheme="majorHAnsi" w:eastAsiaTheme="majorEastAsia" w:hAnsiTheme="majorHAnsi"/>
          <w:bCs/>
          <w:color w:val="000000" w:themeColor="text1"/>
          <w:sz w:val="24"/>
          <w:szCs w:val="24"/>
        </w:rPr>
        <w:footnoteReference w:id="1"/>
      </w:r>
    </w:p>
    <w:p w14:paraId="02D36D23" w14:textId="77777777" w:rsidR="00781AD9" w:rsidRDefault="00781AD9" w:rsidP="00781AD9">
      <w:pPr>
        <w:tabs>
          <w:tab w:val="left" w:pos="7050"/>
        </w:tabs>
        <w:spacing w:after="0"/>
        <w:rPr>
          <w:rFonts w:asciiTheme="majorHAnsi" w:hAnsiTheme="majorHAnsi"/>
          <w:bCs/>
          <w:sz w:val="24"/>
          <w:szCs w:val="24"/>
        </w:rPr>
      </w:pPr>
    </w:p>
    <w:p w14:paraId="040E8CEB" w14:textId="3F3B696F" w:rsidR="00781AD9" w:rsidRPr="00433A2F" w:rsidRDefault="00781AD9" w:rsidP="00781AD9">
      <w:pPr>
        <w:tabs>
          <w:tab w:val="left" w:pos="7050"/>
        </w:tabs>
        <w:spacing w:after="0"/>
        <w:rPr>
          <w:rFonts w:asciiTheme="majorHAnsi" w:hAnsiTheme="majorHAnsi"/>
          <w:bCs/>
          <w:sz w:val="24"/>
          <w:szCs w:val="24"/>
        </w:rPr>
      </w:pPr>
      <w:r w:rsidRPr="00433A2F">
        <w:rPr>
          <w:rFonts w:asciiTheme="majorHAnsi" w:hAnsiTheme="majorHAnsi"/>
          <w:bCs/>
          <w:sz w:val="24"/>
          <w:szCs w:val="24"/>
        </w:rPr>
        <w:t xml:space="preserve">To measure these indirect and induced costs and benefits, economists often need to utilize complicated models, </w:t>
      </w:r>
      <w:r w:rsidRPr="00433A2F">
        <w:rPr>
          <w:rFonts w:asciiTheme="majorHAnsi" w:hAnsiTheme="majorHAnsi"/>
          <w:bCs/>
          <w:color w:val="000000" w:themeColor="text1"/>
          <w:sz w:val="24"/>
          <w:szCs w:val="24"/>
        </w:rPr>
        <w:t xml:space="preserve">such as REMI </w:t>
      </w:r>
      <w:r w:rsidR="00802834" w:rsidRPr="00433A2F">
        <w:rPr>
          <w:rFonts w:asciiTheme="majorHAnsi" w:hAnsiTheme="majorHAnsi"/>
          <w:bCs/>
          <w:color w:val="000000" w:themeColor="text1"/>
          <w:sz w:val="24"/>
          <w:szCs w:val="24"/>
        </w:rPr>
        <w:t>(</w:t>
      </w:r>
      <w:r w:rsidR="00802834" w:rsidRPr="00433A2F">
        <w:rPr>
          <w:rFonts w:asciiTheme="majorHAnsi" w:hAnsiTheme="majorHAnsi" w:cs="Helvetica"/>
          <w:color w:val="000000" w:themeColor="text1"/>
          <w:sz w:val="24"/>
          <w:szCs w:val="24"/>
        </w:rPr>
        <w:t>Regional Economic Models</w:t>
      </w:r>
      <w:r w:rsidR="00ED540A">
        <w:rPr>
          <w:rFonts w:asciiTheme="majorHAnsi" w:hAnsiTheme="majorHAnsi" w:cs="Helvetica"/>
          <w:color w:val="000000" w:themeColor="text1"/>
          <w:sz w:val="24"/>
          <w:szCs w:val="24"/>
        </w:rPr>
        <w:t>,</w:t>
      </w:r>
      <w:r w:rsidR="00802834" w:rsidRPr="00433A2F">
        <w:rPr>
          <w:rFonts w:asciiTheme="majorHAnsi" w:hAnsiTheme="majorHAnsi" w:cs="Helvetica"/>
          <w:color w:val="000000" w:themeColor="text1"/>
          <w:sz w:val="24"/>
          <w:szCs w:val="24"/>
        </w:rPr>
        <w:t xml:space="preserve"> Inc</w:t>
      </w:r>
      <w:r w:rsidR="00ED540A">
        <w:rPr>
          <w:rFonts w:asciiTheme="majorHAnsi" w:hAnsiTheme="majorHAnsi" w:cs="Helvetica"/>
          <w:color w:val="000000" w:themeColor="text1"/>
          <w:sz w:val="24"/>
          <w:szCs w:val="24"/>
        </w:rPr>
        <w:t>.</w:t>
      </w:r>
      <w:r w:rsidR="00802834" w:rsidRPr="00433A2F">
        <w:rPr>
          <w:rFonts w:asciiTheme="majorHAnsi" w:hAnsiTheme="majorHAnsi" w:cs="Helvetica"/>
          <w:color w:val="000000" w:themeColor="text1"/>
          <w:sz w:val="24"/>
          <w:szCs w:val="24"/>
        </w:rPr>
        <w:t>) </w:t>
      </w:r>
      <w:r w:rsidRPr="00433A2F">
        <w:rPr>
          <w:rFonts w:asciiTheme="majorHAnsi" w:hAnsiTheme="majorHAnsi"/>
          <w:bCs/>
          <w:color w:val="000000" w:themeColor="text1"/>
          <w:sz w:val="24"/>
          <w:szCs w:val="24"/>
        </w:rPr>
        <w:t>or IMPLAN</w:t>
      </w:r>
      <w:r w:rsidR="00802834" w:rsidRPr="00433A2F">
        <w:rPr>
          <w:rFonts w:asciiTheme="majorHAnsi" w:hAnsiTheme="majorHAnsi"/>
          <w:bCs/>
          <w:color w:val="000000" w:themeColor="text1"/>
          <w:sz w:val="24"/>
          <w:szCs w:val="24"/>
        </w:rPr>
        <w:t xml:space="preserve"> (</w:t>
      </w:r>
      <w:r w:rsidR="00802834" w:rsidRPr="00433A2F">
        <w:rPr>
          <w:rFonts w:asciiTheme="majorHAnsi" w:hAnsiTheme="majorHAnsi" w:cs="Arial"/>
          <w:color w:val="000000" w:themeColor="text1"/>
          <w:sz w:val="24"/>
          <w:szCs w:val="24"/>
          <w:shd w:val="clear" w:color="auto" w:fill="FFFFFF"/>
        </w:rPr>
        <w:t>Impact Analysis for Planning) models</w:t>
      </w:r>
      <w:r w:rsidRPr="00433A2F">
        <w:rPr>
          <w:rFonts w:asciiTheme="majorHAnsi" w:hAnsiTheme="majorHAnsi"/>
          <w:bCs/>
          <w:color w:val="000000" w:themeColor="text1"/>
          <w:sz w:val="24"/>
          <w:szCs w:val="24"/>
        </w:rPr>
        <w:t xml:space="preserve">. </w:t>
      </w:r>
      <w:r w:rsidRPr="00433A2F">
        <w:rPr>
          <w:rFonts w:asciiTheme="majorHAnsi" w:hAnsiTheme="majorHAnsi"/>
          <w:bCs/>
          <w:sz w:val="24"/>
          <w:szCs w:val="24"/>
        </w:rPr>
        <w:t>The Appendix shows one such attempt by DOR.</w:t>
      </w:r>
    </w:p>
    <w:p w14:paraId="5F11C306" w14:textId="77777777" w:rsidR="000D7397" w:rsidRDefault="000D7397" w:rsidP="009A3998">
      <w:pPr>
        <w:rPr>
          <w:rFonts w:asciiTheme="majorHAnsi" w:eastAsiaTheme="majorEastAsia" w:hAnsiTheme="majorHAnsi" w:cstheme="majorBidi"/>
          <w:b/>
          <w:bCs/>
          <w:color w:val="E36C0A" w:themeColor="accent6" w:themeShade="BF"/>
          <w:sz w:val="28"/>
          <w:szCs w:val="28"/>
        </w:rPr>
      </w:pPr>
    </w:p>
    <w:p w14:paraId="4773B67D" w14:textId="77777777" w:rsidR="009A3998" w:rsidRPr="004C3153" w:rsidRDefault="009A3998" w:rsidP="00BB0275">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3583A011" w14:textId="77777777" w:rsidR="005C366C" w:rsidRDefault="00D54C68" w:rsidP="00D54C68">
      <w:pPr>
        <w:rPr>
          <w:rFonts w:asciiTheme="majorHAnsi" w:hAnsiTheme="majorHAnsi"/>
          <w:sz w:val="24"/>
          <w:szCs w:val="24"/>
        </w:rPr>
      </w:pPr>
      <w:r w:rsidRPr="00FB2B1E">
        <w:rPr>
          <w:rFonts w:asciiTheme="majorHAnsi" w:hAnsiTheme="majorHAnsi"/>
          <w:sz w:val="24"/>
          <w:szCs w:val="24"/>
        </w:rPr>
        <w:t xml:space="preserve">The sale, storage, use or other consumption of newspapers is exempt from the </w:t>
      </w:r>
      <w:r w:rsidR="00934F19">
        <w:rPr>
          <w:rFonts w:asciiTheme="majorHAnsi" w:hAnsiTheme="majorHAnsi"/>
          <w:sz w:val="24"/>
          <w:szCs w:val="24"/>
        </w:rPr>
        <w:t xml:space="preserve">sales </w:t>
      </w:r>
      <w:r w:rsidRPr="00FB2B1E">
        <w:rPr>
          <w:rFonts w:asciiTheme="majorHAnsi" w:hAnsiTheme="majorHAnsi"/>
          <w:sz w:val="24"/>
          <w:szCs w:val="24"/>
        </w:rPr>
        <w:t xml:space="preserve">tax imposed by Rhode Island General Laws Chapter 44-18. In this context, newspapers are defined as “unbound publications printed on newsprint, which contains news, editorial comment, opinions, features, advertising, and other matters of public interest.” Newspapers do not include “a magazine, handbill, circular, flyer, sales catalog, or similar item unless the item is printed for and distributed as a part of a newspaper.” </w:t>
      </w:r>
    </w:p>
    <w:p w14:paraId="33F49CCE" w14:textId="0F47218D" w:rsidR="00D54C68" w:rsidRDefault="00D54C68" w:rsidP="00D54C68">
      <w:pPr>
        <w:rPr>
          <w:rFonts w:asciiTheme="majorHAnsi" w:hAnsiTheme="majorHAnsi"/>
          <w:sz w:val="24"/>
          <w:szCs w:val="24"/>
        </w:rPr>
      </w:pPr>
      <w:r w:rsidRPr="00FB2B1E">
        <w:rPr>
          <w:rFonts w:asciiTheme="majorHAnsi" w:hAnsiTheme="majorHAnsi"/>
          <w:sz w:val="24"/>
          <w:szCs w:val="24"/>
        </w:rPr>
        <w:t>Sales of newspapers are exempt from the sales tax in Connecticut, but periodicals are exempt if sold by subscription</w:t>
      </w:r>
      <w:r w:rsidR="005C366C">
        <w:rPr>
          <w:rFonts w:asciiTheme="majorHAnsi" w:hAnsiTheme="majorHAnsi"/>
          <w:sz w:val="24"/>
          <w:szCs w:val="24"/>
        </w:rPr>
        <w:t>.</w:t>
      </w:r>
      <w:r w:rsidRPr="00FB2B1E">
        <w:rPr>
          <w:rFonts w:asciiTheme="majorHAnsi" w:hAnsiTheme="majorHAnsi"/>
          <w:sz w:val="24"/>
          <w:szCs w:val="24"/>
        </w:rPr>
        <w:t xml:space="preserve"> </w:t>
      </w:r>
    </w:p>
    <w:p w14:paraId="36DEDB71" w14:textId="5D99B662" w:rsidR="001F71BF" w:rsidRPr="00FB2B1E" w:rsidRDefault="001F71BF" w:rsidP="00D54C68">
      <w:pPr>
        <w:rPr>
          <w:rFonts w:asciiTheme="majorHAnsi" w:hAnsiTheme="majorHAnsi"/>
          <w:sz w:val="24"/>
          <w:szCs w:val="24"/>
        </w:rPr>
      </w:pPr>
      <w:r>
        <w:rPr>
          <w:rFonts w:asciiTheme="majorHAnsi" w:hAnsiTheme="majorHAnsi"/>
          <w:sz w:val="24"/>
          <w:szCs w:val="24"/>
        </w:rPr>
        <w:t>In Maine, newspapers and magazines are subject to sales tax.</w:t>
      </w:r>
    </w:p>
    <w:p w14:paraId="573DCF85" w14:textId="02D566C2" w:rsidR="0098628E" w:rsidRPr="00FB2B1E" w:rsidRDefault="00D54C68" w:rsidP="00D54C68">
      <w:pPr>
        <w:tabs>
          <w:tab w:val="left" w:pos="7050"/>
        </w:tabs>
        <w:spacing w:after="0"/>
        <w:rPr>
          <w:rFonts w:asciiTheme="majorHAnsi" w:hAnsiTheme="majorHAnsi"/>
          <w:sz w:val="24"/>
          <w:szCs w:val="24"/>
        </w:rPr>
      </w:pPr>
      <w:r w:rsidRPr="00FB2B1E">
        <w:rPr>
          <w:rFonts w:asciiTheme="majorHAnsi" w:hAnsiTheme="majorHAnsi"/>
          <w:sz w:val="24"/>
          <w:szCs w:val="24"/>
        </w:rPr>
        <w:t>In Vermont, the sale of newspapers is exempt (including newspapers that are given away and not sold)</w:t>
      </w:r>
      <w:r w:rsidR="005F6D64">
        <w:rPr>
          <w:rFonts w:asciiTheme="majorHAnsi" w:hAnsiTheme="majorHAnsi"/>
          <w:sz w:val="24"/>
          <w:szCs w:val="24"/>
        </w:rPr>
        <w:t xml:space="preserve">. </w:t>
      </w:r>
      <w:r w:rsidRPr="00FB2B1E">
        <w:rPr>
          <w:rFonts w:asciiTheme="majorHAnsi" w:hAnsiTheme="majorHAnsi"/>
          <w:sz w:val="24"/>
          <w:szCs w:val="24"/>
        </w:rPr>
        <w:t xml:space="preserve"> </w:t>
      </w:r>
      <w:r w:rsidRPr="00FB2B1E">
        <w:rPr>
          <w:rFonts w:asciiTheme="majorHAnsi" w:hAnsiTheme="majorHAnsi"/>
          <w:sz w:val="24"/>
          <w:szCs w:val="24"/>
        </w:rPr>
        <w:br/>
      </w:r>
      <w:r w:rsidRPr="00FB2B1E">
        <w:rPr>
          <w:rFonts w:asciiTheme="majorHAnsi" w:hAnsiTheme="majorHAnsi"/>
          <w:sz w:val="24"/>
          <w:szCs w:val="24"/>
        </w:rPr>
        <w:lastRenderedPageBreak/>
        <w:t>The state</w:t>
      </w:r>
      <w:r w:rsidR="005C366C">
        <w:rPr>
          <w:rFonts w:asciiTheme="majorHAnsi" w:hAnsiTheme="majorHAnsi"/>
          <w:sz w:val="24"/>
          <w:szCs w:val="24"/>
        </w:rPr>
        <w:t>s</w:t>
      </w:r>
      <w:r w:rsidRPr="00FB2B1E">
        <w:rPr>
          <w:rFonts w:asciiTheme="majorHAnsi" w:hAnsiTheme="majorHAnsi"/>
          <w:sz w:val="24"/>
          <w:szCs w:val="24"/>
        </w:rPr>
        <w:t xml:space="preserve"> of New York, New Jersey, Pennsylvania, and Maryland also have some form of sales tax exemption for newspapers and/or magazines.</w:t>
      </w:r>
    </w:p>
    <w:p w14:paraId="334B6DE4" w14:textId="77777777" w:rsidR="00FB2B1E" w:rsidRDefault="00FB2B1E" w:rsidP="00D54C68">
      <w:pPr>
        <w:tabs>
          <w:tab w:val="left" w:pos="7050"/>
        </w:tabs>
        <w:spacing w:after="0"/>
        <w:rPr>
          <w:rFonts w:asciiTheme="majorHAnsi" w:hAnsiTheme="majorHAnsi"/>
          <w:sz w:val="24"/>
          <w:szCs w:val="24"/>
        </w:rPr>
      </w:pPr>
    </w:p>
    <w:p w14:paraId="4AFF7682" w14:textId="77777777" w:rsidR="00184E87" w:rsidRDefault="00184E87" w:rsidP="00D54C68">
      <w:pPr>
        <w:tabs>
          <w:tab w:val="left" w:pos="7050"/>
        </w:tabs>
        <w:spacing w:after="0"/>
        <w:rPr>
          <w:rFonts w:asciiTheme="majorHAnsi" w:hAnsiTheme="majorHAnsi"/>
          <w:bCs/>
          <w:sz w:val="24"/>
          <w:szCs w:val="23"/>
        </w:rPr>
      </w:pPr>
    </w:p>
    <w:p w14:paraId="5993CC46" w14:textId="77777777" w:rsidR="009A3998" w:rsidRPr="00A07439" w:rsidRDefault="009A3998"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161076DE" w14:textId="77777777" w:rsidR="007D40BF" w:rsidRDefault="007D40BF" w:rsidP="007D40BF">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10ACE989" w14:textId="77777777" w:rsidR="00CC0DC2" w:rsidRDefault="00CC0DC2"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5487D9CD" w14:textId="77777777" w:rsidR="009C33C9" w:rsidRDefault="009C33C9"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7ABB6DAD" w14:textId="77777777" w:rsidR="00847C6B" w:rsidRDefault="00ED540A" w:rsidP="00847C6B">
      <w:pPr>
        <w:pStyle w:val="Bibliography"/>
        <w:ind w:left="720" w:hanging="720"/>
      </w:pPr>
      <w:sdt>
        <w:sdtPr>
          <w:rPr>
            <w:rFonts w:asciiTheme="majorHAnsi" w:hAnsiTheme="majorHAnsi"/>
          </w:rPr>
          <w:id w:val="-619375087"/>
          <w:showingPlcHdr/>
          <w:bibliography/>
        </w:sdtPr>
        <w:sdtEndPr>
          <w:rPr>
            <w:rFonts w:asciiTheme="minorHAnsi" w:hAnsiTheme="minorHAnsi"/>
          </w:rPr>
        </w:sdtEndPr>
        <w:sdtContent>
          <w:r w:rsidR="00847C6B">
            <w:rPr>
              <w:rFonts w:asciiTheme="majorHAnsi" w:hAnsiTheme="majorHAnsi"/>
            </w:rPr>
            <w:t xml:space="preserve">     </w:t>
          </w:r>
        </w:sdtContent>
      </w:sdt>
    </w:p>
    <w:p w14:paraId="036B8EBF" w14:textId="77777777" w:rsidR="00D330CB" w:rsidRDefault="00D330CB">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br w:type="page"/>
      </w:r>
    </w:p>
    <w:p w14:paraId="504FE378" w14:textId="77777777" w:rsidR="00D330CB" w:rsidRPr="008C67C1" w:rsidRDefault="00D330CB" w:rsidP="00D330CB">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23D64145" w14:textId="09937E86" w:rsidR="00D330CB" w:rsidRDefault="00D330CB" w:rsidP="00D330CB">
      <w:pPr>
        <w:rPr>
          <w:rFonts w:asciiTheme="majorHAnsi" w:hAnsiTheme="majorHAnsi"/>
          <w:bCs/>
          <w:sz w:val="24"/>
          <w:szCs w:val="24"/>
        </w:rPr>
      </w:pPr>
      <w:r>
        <w:rPr>
          <w:rFonts w:asciiTheme="majorHAnsi" w:hAnsiTheme="majorHAnsi"/>
          <w:bCs/>
          <w:sz w:val="24"/>
          <w:szCs w:val="24"/>
        </w:rPr>
        <w:t xml:space="preserve">The text of the report </w:t>
      </w:r>
      <w:r w:rsidR="00557EAD">
        <w:rPr>
          <w:rFonts w:asciiTheme="majorHAnsi" w:hAnsiTheme="majorHAnsi"/>
          <w:bCs/>
          <w:sz w:val="24"/>
          <w:szCs w:val="24"/>
        </w:rPr>
        <w:t xml:space="preserve">discusses </w:t>
      </w:r>
      <w:r>
        <w:rPr>
          <w:rFonts w:asciiTheme="majorHAnsi" w:hAnsiTheme="majorHAnsi"/>
          <w:bCs/>
          <w:sz w:val="24"/>
          <w:szCs w:val="24"/>
        </w:rPr>
        <w:t>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2"/>
      </w:r>
      <w:r>
        <w:rPr>
          <w:rFonts w:asciiTheme="majorHAnsi" w:hAnsiTheme="majorHAnsi"/>
          <w:bCs/>
          <w:sz w:val="24"/>
          <w:szCs w:val="24"/>
        </w:rPr>
        <w:t xml:space="preserve">) and direct benefits (to </w:t>
      </w:r>
      <w:r w:rsidR="008B0F8A">
        <w:rPr>
          <w:rFonts w:asciiTheme="majorHAnsi" w:hAnsiTheme="majorHAnsi"/>
          <w:bCs/>
          <w:sz w:val="24"/>
          <w:szCs w:val="24"/>
        </w:rPr>
        <w:t xml:space="preserve">buyers and sellers of </w:t>
      </w:r>
      <w:r w:rsidR="005906BA">
        <w:rPr>
          <w:rFonts w:asciiTheme="majorHAnsi" w:hAnsiTheme="majorHAnsi"/>
          <w:bCs/>
          <w:sz w:val="24"/>
          <w:szCs w:val="24"/>
        </w:rPr>
        <w:t>newspapers and magazines</w:t>
      </w:r>
      <w:r w:rsidR="008B0F8A">
        <w:rPr>
          <w:rFonts w:asciiTheme="majorHAnsi" w:hAnsiTheme="majorHAnsi"/>
          <w:bCs/>
          <w:sz w:val="24"/>
          <w:szCs w:val="24"/>
        </w:rPr>
        <w:t xml:space="preserve"> at the retail </w:t>
      </w:r>
      <w:r w:rsidR="00C14A91">
        <w:rPr>
          <w:rFonts w:asciiTheme="majorHAnsi" w:hAnsiTheme="majorHAnsi"/>
          <w:bCs/>
          <w:sz w:val="24"/>
          <w:szCs w:val="24"/>
        </w:rPr>
        <w:t>level</w:t>
      </w:r>
      <w:r>
        <w:rPr>
          <w:rFonts w:asciiTheme="majorHAnsi" w:hAnsiTheme="majorHAnsi"/>
          <w:bCs/>
          <w:sz w:val="24"/>
          <w:szCs w:val="24"/>
        </w:rPr>
        <w:t xml:space="preserve">) of this tax expenditure. It also </w:t>
      </w:r>
      <w:r w:rsidR="00557EAD">
        <w:rPr>
          <w:rFonts w:asciiTheme="majorHAnsi" w:hAnsiTheme="majorHAnsi"/>
          <w:bCs/>
          <w:sz w:val="24"/>
          <w:szCs w:val="24"/>
        </w:rPr>
        <w:t xml:space="preserve">summarizes </w:t>
      </w:r>
      <w:r>
        <w:rPr>
          <w:rFonts w:asciiTheme="majorHAnsi" w:hAnsiTheme="majorHAnsi"/>
          <w:bCs/>
          <w:sz w:val="24"/>
          <w:szCs w:val="24"/>
        </w:rPr>
        <w:t>indirect and induced costs and benefits associated with this tax expenditure.  This appendix will discuss the indirect and induced costs and benefits in more detail.</w:t>
      </w:r>
    </w:p>
    <w:p w14:paraId="6D92C343"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3259E152" w14:textId="77777777" w:rsidR="00D330CB" w:rsidRPr="00EB68D5" w:rsidRDefault="00D330CB" w:rsidP="00D330CB">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3D25C38E" w14:textId="3D0AEDE4"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w:t>
      </w:r>
      <w:r w:rsidR="00027220">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assuming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00115475" w:rsidRPr="003B4056">
        <w:rPr>
          <w:rFonts w:asciiTheme="majorHAnsi" w:eastAsiaTheme="majorEastAsia" w:hAnsiTheme="majorHAnsi" w:cstheme="majorBidi"/>
          <w:b/>
          <w:color w:val="000000" w:themeColor="text1"/>
          <w:sz w:val="24"/>
          <w:szCs w:val="24"/>
        </w:rPr>
        <w:t>“</w:t>
      </w:r>
      <w:r w:rsidRPr="00027220">
        <w:rPr>
          <w:rFonts w:asciiTheme="majorHAnsi" w:eastAsiaTheme="majorEastAsia" w:hAnsiTheme="majorHAnsi" w:cstheme="majorBidi"/>
          <w:b/>
          <w:color w:val="000000" w:themeColor="text1"/>
          <w:sz w:val="24"/>
          <w:szCs w:val="24"/>
        </w:rPr>
        <w:t>opportunity cost</w:t>
      </w:r>
      <w:r w:rsidR="00115475">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w:t>
      </w:r>
      <w:r w:rsidR="00E37E4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not only the impact on</w:t>
      </w:r>
      <w:r w:rsidR="00E37E4F">
        <w:rPr>
          <w:rFonts w:asciiTheme="majorHAnsi" w:eastAsiaTheme="majorEastAsia" w:hAnsiTheme="majorHAnsi" w:cstheme="majorBidi"/>
          <w:bCs/>
          <w:color w:val="000000" w:themeColor="text1"/>
          <w:sz w:val="24"/>
          <w:szCs w:val="24"/>
        </w:rPr>
        <w:t xml:space="preserve"> the individuals and</w:t>
      </w:r>
      <w:r>
        <w:rPr>
          <w:rFonts w:asciiTheme="majorHAnsi" w:eastAsiaTheme="majorEastAsia" w:hAnsiTheme="majorHAnsi" w:cstheme="majorBidi"/>
          <w:bCs/>
          <w:color w:val="000000" w:themeColor="text1"/>
          <w:sz w:val="24"/>
          <w:szCs w:val="24"/>
        </w:rPr>
        <w:t xml:space="preserve"> the businesses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 </w:t>
      </w:r>
    </w:p>
    <w:p w14:paraId="6CCC045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69CF4AB4" w14:textId="751D6501"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tool for evaluating the total fiscal and economic effects of tax policy changes. Tax-PI is built on over 30 years of experience in modeling the economic effects of tax policy changes, according to MODELS: TAX-PI</w:t>
      </w:r>
      <w:r w:rsidR="00D62DBC">
        <w:rPr>
          <w:rStyle w:val="FootnoteReference"/>
          <w:rFonts w:asciiTheme="majorHAnsi" w:eastAsiaTheme="majorEastAsia" w:hAnsiTheme="majorHAnsi"/>
          <w:bCs/>
          <w:color w:val="000000" w:themeColor="text1"/>
          <w:sz w:val="24"/>
          <w:szCs w:val="24"/>
        </w:rPr>
        <w:footnoteReference w:id="3"/>
      </w:r>
      <w:r w:rsidRPr="00DF1213">
        <w:rPr>
          <w:rFonts w:asciiTheme="majorHAnsi" w:eastAsiaTheme="majorEastAsia" w:hAnsiTheme="majorHAnsi" w:cstheme="majorBidi"/>
          <w:bCs/>
          <w:color w:val="000000" w:themeColor="text1"/>
          <w:sz w:val="24"/>
          <w:szCs w:val="24"/>
        </w:rPr>
        <w:t xml:space="preserve">. The popularity of the model has grown substantially since it was introduced.  Note that while the tax incentive </w:t>
      </w:r>
      <w:r w:rsidR="00C14A91">
        <w:rPr>
          <w:rFonts w:asciiTheme="majorHAnsi" w:eastAsiaTheme="majorEastAsia" w:hAnsiTheme="majorHAnsi" w:cstheme="majorBidi"/>
          <w:bCs/>
          <w:color w:val="000000" w:themeColor="text1"/>
          <w:sz w:val="24"/>
          <w:szCs w:val="24"/>
        </w:rPr>
        <w:t xml:space="preserve">has </w:t>
      </w:r>
      <w:r>
        <w:rPr>
          <w:rFonts w:asciiTheme="majorHAnsi" w:eastAsiaTheme="majorEastAsia" w:hAnsiTheme="majorHAnsi" w:cstheme="majorBidi"/>
          <w:bCs/>
          <w:color w:val="000000" w:themeColor="text1"/>
          <w:sz w:val="24"/>
          <w:szCs w:val="24"/>
        </w:rPr>
        <w:t>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xml:space="preserve">, the reduced spending is assumed to be </w:t>
      </w:r>
      <w:r w:rsidR="008F4766">
        <w:rPr>
          <w:rFonts w:asciiTheme="majorHAnsi" w:hAnsiTheme="majorHAnsi"/>
          <w:sz w:val="24"/>
          <w:szCs w:val="24"/>
        </w:rPr>
        <w:t>proportionally</w:t>
      </w:r>
      <w:r w:rsidR="00D62DBC" w:rsidRPr="00097F9B">
        <w:rPr>
          <w:rFonts w:asciiTheme="majorHAnsi" w:hAnsiTheme="majorHAnsi"/>
          <w:sz w:val="24"/>
          <w:szCs w:val="24"/>
        </w:rPr>
        <w:t xml:space="preserve"> distributed across the Commonwealth’s current expenditures</w:t>
      </w:r>
      <w:r w:rsidRPr="00DF1213">
        <w:rPr>
          <w:rFonts w:asciiTheme="majorHAnsi" w:eastAsiaTheme="majorEastAsia" w:hAnsiTheme="majorHAnsi" w:cstheme="majorBidi"/>
          <w:bCs/>
          <w:color w:val="000000" w:themeColor="text1"/>
          <w:sz w:val="24"/>
          <w:szCs w:val="24"/>
        </w:rPr>
        <w:t>.</w:t>
      </w:r>
    </w:p>
    <w:p w14:paraId="5071D825"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A7DEDD7" w14:textId="77777777" w:rsidR="00D330CB" w:rsidRPr="00E0511F" w:rsidRDefault="00D330CB" w:rsidP="00D330CB">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 xml:space="preserve">(direct,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0C1A2840" w14:textId="2E77C297" w:rsidR="00D330CB" w:rsidRDefault="00D330CB" w:rsidP="00D330CB">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6286DC3D" w14:textId="77777777" w:rsidR="00D330CB" w:rsidRDefault="00D330CB" w:rsidP="00D330CB">
      <w:pPr>
        <w:spacing w:after="0"/>
        <w:rPr>
          <w:rFonts w:asciiTheme="majorHAnsi" w:hAnsiTheme="majorHAnsi"/>
          <w:bCs/>
          <w:sz w:val="24"/>
          <w:szCs w:val="24"/>
        </w:rPr>
      </w:pPr>
    </w:p>
    <w:p w14:paraId="6ABC0AD1" w14:textId="7DA23FA0" w:rsidR="00D330CB" w:rsidRDefault="00D330CB" w:rsidP="00D330CB">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with real state GDP declining </w:t>
      </w:r>
      <w:r>
        <w:rPr>
          <w:rFonts w:asciiTheme="majorHAnsi" w:eastAsiaTheme="majorEastAsia" w:hAnsiTheme="majorHAnsi" w:cstheme="majorBidi"/>
          <w:bCs/>
          <w:color w:val="000000" w:themeColor="text1"/>
          <w:sz w:val="24"/>
          <w:szCs w:val="24"/>
        </w:rPr>
        <w:t xml:space="preserve">by </w:t>
      </w:r>
      <w:r w:rsidRPr="00857C1A">
        <w:rPr>
          <w:rFonts w:asciiTheme="majorHAnsi" w:eastAsiaTheme="majorEastAsia" w:hAnsiTheme="majorHAnsi" w:cstheme="majorBidi"/>
          <w:bCs/>
          <w:color w:val="000000" w:themeColor="text1"/>
          <w:sz w:val="24"/>
          <w:szCs w:val="24"/>
        </w:rPr>
        <w:t>$</w:t>
      </w:r>
      <w:r w:rsidR="008E24D1">
        <w:rPr>
          <w:rFonts w:asciiTheme="majorHAnsi" w:eastAsiaTheme="majorEastAsia" w:hAnsiTheme="majorHAnsi" w:cstheme="majorBidi"/>
          <w:bCs/>
          <w:color w:val="000000" w:themeColor="text1"/>
          <w:sz w:val="24"/>
          <w:szCs w:val="24"/>
        </w:rPr>
        <w:t>47</w:t>
      </w:r>
      <w:r w:rsidR="00C622CD">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million-$</w:t>
      </w:r>
      <w:r w:rsidR="008E24D1">
        <w:rPr>
          <w:rFonts w:asciiTheme="majorHAnsi" w:eastAsiaTheme="majorEastAsia" w:hAnsiTheme="majorHAnsi" w:cstheme="majorBidi"/>
          <w:bCs/>
          <w:color w:val="000000" w:themeColor="text1"/>
          <w:sz w:val="24"/>
          <w:szCs w:val="24"/>
        </w:rPr>
        <w:t>78</w:t>
      </w:r>
      <w:r w:rsidR="008B0F8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008E24D1">
        <w:rPr>
          <w:rFonts w:asciiTheme="majorHAnsi" w:eastAsiaTheme="majorEastAsia" w:hAnsiTheme="majorHAnsi" w:cstheme="majorBidi"/>
          <w:bCs/>
          <w:color w:val="000000" w:themeColor="text1"/>
          <w:sz w:val="24"/>
          <w:szCs w:val="24"/>
        </w:rPr>
        <w:t>516</w:t>
      </w:r>
      <w:r>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w:t>
      </w:r>
      <w:r w:rsidR="008E24D1">
        <w:rPr>
          <w:rFonts w:asciiTheme="majorHAnsi" w:eastAsiaTheme="majorEastAsia" w:hAnsiTheme="majorHAnsi" w:cstheme="majorBidi"/>
          <w:bCs/>
          <w:color w:val="000000" w:themeColor="text1"/>
          <w:sz w:val="24"/>
          <w:szCs w:val="24"/>
        </w:rPr>
        <w:t>906</w:t>
      </w:r>
      <w:r w:rsidRPr="00857C1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 xml:space="preserve">annually. Lost economic activities result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revenues</w:t>
      </w:r>
      <w:r w:rsidR="00781AD9">
        <w:rPr>
          <w:rStyle w:val="FootnoteReference"/>
          <w:rFonts w:asciiTheme="majorHAnsi" w:eastAsiaTheme="majorEastAsia" w:hAnsiTheme="majorHAnsi"/>
          <w:bCs/>
          <w:color w:val="000000" w:themeColor="text1"/>
          <w:sz w:val="24"/>
          <w:szCs w:val="24"/>
        </w:rPr>
        <w:footnoteReference w:id="4"/>
      </w:r>
      <w:r w:rsidRPr="00D86973">
        <w:rPr>
          <w:rFonts w:asciiTheme="majorHAnsi" w:eastAsiaTheme="majorEastAsia" w:hAnsiTheme="majorHAnsi" w:cstheme="majorBidi"/>
          <w:bCs/>
          <w:color w:val="000000" w:themeColor="text1"/>
          <w:sz w:val="24"/>
          <w:szCs w:val="24"/>
        </w:rPr>
        <w:t xml:space="preserve">, ranging from </w:t>
      </w:r>
      <w:r w:rsidRPr="00857C1A">
        <w:rPr>
          <w:rFonts w:asciiTheme="majorHAnsi" w:eastAsiaTheme="majorEastAsia" w:hAnsiTheme="majorHAnsi" w:cstheme="majorBidi"/>
          <w:bCs/>
          <w:color w:val="000000" w:themeColor="text1"/>
          <w:sz w:val="24"/>
          <w:szCs w:val="24"/>
        </w:rPr>
        <w:t>$</w:t>
      </w:r>
      <w:r w:rsidR="008777CE">
        <w:rPr>
          <w:rFonts w:asciiTheme="majorHAnsi" w:eastAsiaTheme="majorEastAsia" w:hAnsiTheme="majorHAnsi" w:cstheme="majorBidi"/>
          <w:bCs/>
          <w:color w:val="000000" w:themeColor="text1"/>
          <w:sz w:val="24"/>
          <w:szCs w:val="24"/>
        </w:rPr>
        <w:t>1.6</w:t>
      </w:r>
      <w:r w:rsidR="008B0F8A">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million to $</w:t>
      </w:r>
      <w:r w:rsidR="008777CE">
        <w:rPr>
          <w:rFonts w:asciiTheme="majorHAnsi" w:eastAsiaTheme="majorEastAsia" w:hAnsiTheme="majorHAnsi" w:cstheme="majorBidi"/>
          <w:bCs/>
          <w:color w:val="000000" w:themeColor="text1"/>
          <w:sz w:val="24"/>
          <w:szCs w:val="24"/>
        </w:rPr>
        <w:t>3.4</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Note that the revenue impact reported in Table A</w:t>
      </w:r>
      <w:r w:rsidR="00BA27DF">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 xml:space="preserve"> does not include the estimated direct impact of the tax expenditure from Table </w:t>
      </w:r>
      <w:r w:rsidR="008576F7">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4AF7DB07" w14:textId="77777777" w:rsidR="00D330CB" w:rsidRDefault="00D330CB" w:rsidP="00D330CB">
      <w:pPr>
        <w:spacing w:after="0"/>
        <w:rPr>
          <w:rFonts w:asciiTheme="majorHAnsi" w:hAnsiTheme="majorHAnsi"/>
          <w:bCs/>
          <w:sz w:val="24"/>
          <w:szCs w:val="24"/>
        </w:rPr>
      </w:pPr>
    </w:p>
    <w:p w14:paraId="219A72FD" w14:textId="77777777"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CA16D7">
        <w:rPr>
          <w:rFonts w:asciiTheme="majorHAnsi" w:eastAsiaTheme="majorEastAsia" w:hAnsiTheme="majorHAnsi" w:cstheme="majorBidi"/>
          <w:b/>
          <w:color w:val="000000" w:themeColor="text1"/>
          <w:sz w:val="24"/>
          <w:szCs w:val="24"/>
        </w:rPr>
        <w:t>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D330CB" w:rsidRPr="008B33E0" w14:paraId="46E52EA6" w14:textId="77777777" w:rsidTr="00A47BE2">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D3A066A"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614D451"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8221007"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DCDA5E5"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05623BBB"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249A1A06"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6058B7" w:rsidRPr="008B33E0" w14:paraId="02EB6D48" w14:textId="77777777" w:rsidTr="006058B7">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613B614E" w14:textId="77777777" w:rsidR="006058B7" w:rsidRPr="008B33E0" w:rsidRDefault="006058B7" w:rsidP="006058B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E6B8" w14:textId="65470F07"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-$1,646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9700493" w14:textId="307C58F9"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-$3,421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496C4C2D" w14:textId="758E0A9F"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-$3,416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5AB32CD8" w14:textId="0F7E8E76"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-$3,267</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6CC33C9" w14:textId="05D157E4"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-$3,009</w:t>
            </w:r>
          </w:p>
        </w:tc>
      </w:tr>
    </w:tbl>
    <w:p w14:paraId="1CCC0CAB" w14:textId="5F9DB1FB" w:rsidR="00D330CB" w:rsidRDefault="00D330CB" w:rsidP="00D330CB">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w:t>
      </w:r>
      <w:r w:rsidR="001323B1">
        <w:rPr>
          <w:rFonts w:asciiTheme="majorHAnsi" w:eastAsiaTheme="majorEastAsia" w:hAnsiTheme="majorHAnsi" w:cstheme="majorBidi"/>
          <w:bCs/>
          <w:color w:val="000000" w:themeColor="text1"/>
          <w:sz w:val="20"/>
          <w:szCs w:val="20"/>
        </w:rPr>
        <w:t xml:space="preserve">the </w:t>
      </w:r>
      <w:r w:rsidR="008B0F8A">
        <w:rPr>
          <w:rFonts w:asciiTheme="majorHAnsi" w:eastAsiaTheme="majorEastAsia" w:hAnsiTheme="majorHAnsi" w:cstheme="majorBidi"/>
          <w:bCs/>
          <w:color w:val="000000" w:themeColor="text1"/>
          <w:sz w:val="20"/>
          <w:szCs w:val="20"/>
        </w:rPr>
        <w:t xml:space="preserve">sales tax exemption for </w:t>
      </w:r>
      <w:r w:rsidR="005906BA" w:rsidRPr="005906BA">
        <w:rPr>
          <w:rFonts w:asciiTheme="majorHAnsi" w:hAnsiTheme="majorHAnsi"/>
          <w:bCs/>
          <w:sz w:val="20"/>
          <w:szCs w:val="20"/>
        </w:rPr>
        <w:t>newspapers and magazines</w:t>
      </w:r>
      <w:r w:rsidR="008B0F8A" w:rsidRPr="005906BA">
        <w:rPr>
          <w:rFonts w:asciiTheme="majorHAnsi" w:eastAsiaTheme="majorEastAsia" w:hAnsiTheme="majorHAnsi" w:cstheme="majorBidi"/>
          <w:bCs/>
          <w:color w:val="000000" w:themeColor="text1"/>
          <w:sz w:val="20"/>
          <w:szCs w:val="20"/>
        </w:rPr>
        <w:t>.</w:t>
      </w:r>
    </w:p>
    <w:p w14:paraId="5B0EC7BA" w14:textId="77777777" w:rsidR="008B0F8A" w:rsidRDefault="008B0F8A" w:rsidP="00D330CB">
      <w:pPr>
        <w:spacing w:after="0"/>
        <w:rPr>
          <w:rFonts w:asciiTheme="majorHAnsi" w:eastAsiaTheme="majorEastAsia" w:hAnsiTheme="majorHAnsi" w:cstheme="majorBidi"/>
          <w:bCs/>
          <w:color w:val="000000" w:themeColor="text1"/>
          <w:sz w:val="24"/>
          <w:szCs w:val="24"/>
        </w:rPr>
      </w:pPr>
    </w:p>
    <w:p w14:paraId="2BE4E668" w14:textId="77777777" w:rsidR="005906BA"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CA16D7">
        <w:rPr>
          <w:rFonts w:asciiTheme="majorHAnsi" w:eastAsiaTheme="majorEastAsia" w:hAnsiTheme="majorHAnsi" w:cstheme="majorBidi"/>
          <w:b/>
          <w:color w:val="000000" w:themeColor="text1"/>
          <w:sz w:val="24"/>
          <w:szCs w:val="24"/>
        </w:rPr>
        <w:t>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due to Decreased Government Spending </w:t>
      </w:r>
    </w:p>
    <w:p w14:paraId="6110FF9D" w14:textId="3CFC08A8" w:rsidR="00D330CB" w:rsidRDefault="00D330CB" w:rsidP="00D330CB">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265" w:type="dxa"/>
        <w:jc w:val="center"/>
        <w:tblLook w:val="04A0" w:firstRow="1" w:lastRow="0" w:firstColumn="1" w:lastColumn="0" w:noHBand="0" w:noVBand="1"/>
      </w:tblPr>
      <w:tblGrid>
        <w:gridCol w:w="2735"/>
        <w:gridCol w:w="1323"/>
        <w:gridCol w:w="1323"/>
        <w:gridCol w:w="1323"/>
        <w:gridCol w:w="1323"/>
        <w:gridCol w:w="1238"/>
      </w:tblGrid>
      <w:tr w:rsidR="00D330CB" w:rsidRPr="00DC336F" w14:paraId="5246B5F1" w14:textId="77777777" w:rsidTr="00A47BE2">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2B0A17"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22F0F50"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426B4CAD"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29694FC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48276C33"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38" w:type="dxa"/>
            <w:tcBorders>
              <w:top w:val="single" w:sz="4" w:space="0" w:color="auto"/>
              <w:left w:val="nil"/>
              <w:bottom w:val="single" w:sz="4" w:space="0" w:color="auto"/>
              <w:right w:val="single" w:sz="4" w:space="0" w:color="auto"/>
            </w:tcBorders>
            <w:shd w:val="clear" w:color="000000" w:fill="B7DEE8"/>
            <w:noWrap/>
            <w:vAlign w:val="center"/>
            <w:hideMark/>
          </w:tcPr>
          <w:p w14:paraId="2B6EBC9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6058B7" w:rsidRPr="00DC336F" w14:paraId="40BFE637" w14:textId="77777777" w:rsidTr="006058B7">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7DBEAF65" w14:textId="77777777" w:rsidR="006058B7" w:rsidRPr="00DC336F" w:rsidRDefault="006058B7" w:rsidP="006058B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B586" w14:textId="49082125"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-906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44F84A9" w14:textId="220D5B22"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-819</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9A11CF6" w14:textId="14B28EB2"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-726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4E0F3D7" w14:textId="57F1FA5E"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-620</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5D38" w14:textId="2C7213AB"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-516</w:t>
            </w:r>
          </w:p>
        </w:tc>
      </w:tr>
      <w:tr w:rsidR="006058B7" w:rsidRPr="00DC336F" w14:paraId="07770F1A" w14:textId="77777777" w:rsidTr="006058B7">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1CEFA0A7" w14:textId="77777777" w:rsidR="006058B7" w:rsidRPr="00DC336F" w:rsidRDefault="006058B7" w:rsidP="006058B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FF2E3E3" w14:textId="4D37BD89"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-500</w:t>
            </w:r>
          </w:p>
        </w:tc>
        <w:tc>
          <w:tcPr>
            <w:tcW w:w="1323" w:type="dxa"/>
            <w:tcBorders>
              <w:top w:val="nil"/>
              <w:left w:val="nil"/>
              <w:bottom w:val="single" w:sz="4" w:space="0" w:color="auto"/>
              <w:right w:val="single" w:sz="4" w:space="0" w:color="auto"/>
            </w:tcBorders>
            <w:shd w:val="clear" w:color="auto" w:fill="auto"/>
            <w:noWrap/>
            <w:vAlign w:val="center"/>
            <w:hideMark/>
          </w:tcPr>
          <w:p w14:paraId="141D3E4E" w14:textId="32CC0D4E"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-452</w:t>
            </w:r>
          </w:p>
        </w:tc>
        <w:tc>
          <w:tcPr>
            <w:tcW w:w="1323" w:type="dxa"/>
            <w:tcBorders>
              <w:top w:val="nil"/>
              <w:left w:val="nil"/>
              <w:bottom w:val="single" w:sz="4" w:space="0" w:color="auto"/>
              <w:right w:val="single" w:sz="4" w:space="0" w:color="auto"/>
            </w:tcBorders>
            <w:shd w:val="clear" w:color="auto" w:fill="auto"/>
            <w:noWrap/>
            <w:vAlign w:val="center"/>
            <w:hideMark/>
          </w:tcPr>
          <w:p w14:paraId="40EBEAB6" w14:textId="50B0B962"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-403</w:t>
            </w:r>
          </w:p>
        </w:tc>
        <w:tc>
          <w:tcPr>
            <w:tcW w:w="1323" w:type="dxa"/>
            <w:tcBorders>
              <w:top w:val="nil"/>
              <w:left w:val="nil"/>
              <w:bottom w:val="single" w:sz="4" w:space="0" w:color="auto"/>
              <w:right w:val="single" w:sz="4" w:space="0" w:color="auto"/>
            </w:tcBorders>
            <w:shd w:val="clear" w:color="auto" w:fill="auto"/>
            <w:noWrap/>
            <w:vAlign w:val="center"/>
            <w:hideMark/>
          </w:tcPr>
          <w:p w14:paraId="359820AF" w14:textId="662F36AF"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-337</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282AA7E0" w14:textId="28E714F4"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-270</w:t>
            </w:r>
          </w:p>
        </w:tc>
      </w:tr>
      <w:tr w:rsidR="006058B7" w:rsidRPr="00DC336F" w14:paraId="53807BF6" w14:textId="77777777" w:rsidTr="006058B7">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7D8AF9EF" w14:textId="77777777" w:rsidR="006058B7" w:rsidRPr="00DC336F" w:rsidRDefault="006058B7" w:rsidP="006058B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7A34D71" w14:textId="16E7F952"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-$78,331</w:t>
            </w:r>
          </w:p>
        </w:tc>
        <w:tc>
          <w:tcPr>
            <w:tcW w:w="1323" w:type="dxa"/>
            <w:tcBorders>
              <w:top w:val="nil"/>
              <w:left w:val="nil"/>
              <w:bottom w:val="single" w:sz="4" w:space="0" w:color="auto"/>
              <w:right w:val="single" w:sz="4" w:space="0" w:color="auto"/>
            </w:tcBorders>
            <w:shd w:val="clear" w:color="auto" w:fill="auto"/>
            <w:noWrap/>
            <w:vAlign w:val="center"/>
            <w:hideMark/>
          </w:tcPr>
          <w:p w14:paraId="2EDEDF90" w14:textId="2F73E395"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-$71,350</w:t>
            </w:r>
          </w:p>
        </w:tc>
        <w:tc>
          <w:tcPr>
            <w:tcW w:w="1323" w:type="dxa"/>
            <w:tcBorders>
              <w:top w:val="nil"/>
              <w:left w:val="nil"/>
              <w:bottom w:val="single" w:sz="4" w:space="0" w:color="auto"/>
              <w:right w:val="single" w:sz="4" w:space="0" w:color="auto"/>
            </w:tcBorders>
            <w:shd w:val="clear" w:color="auto" w:fill="auto"/>
            <w:noWrap/>
            <w:vAlign w:val="center"/>
            <w:hideMark/>
          </w:tcPr>
          <w:p w14:paraId="3733664A" w14:textId="5B69E4B7"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-$63,913</w:t>
            </w:r>
          </w:p>
        </w:tc>
        <w:tc>
          <w:tcPr>
            <w:tcW w:w="1323" w:type="dxa"/>
            <w:tcBorders>
              <w:top w:val="nil"/>
              <w:left w:val="nil"/>
              <w:bottom w:val="single" w:sz="4" w:space="0" w:color="auto"/>
              <w:right w:val="single" w:sz="4" w:space="0" w:color="auto"/>
            </w:tcBorders>
            <w:shd w:val="clear" w:color="auto" w:fill="auto"/>
            <w:noWrap/>
            <w:vAlign w:val="center"/>
            <w:hideMark/>
          </w:tcPr>
          <w:p w14:paraId="49E7E997" w14:textId="04D5739A"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-$55,339</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0F93559" w14:textId="724A77C1"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-$46,712</w:t>
            </w:r>
          </w:p>
        </w:tc>
      </w:tr>
      <w:tr w:rsidR="006058B7" w:rsidRPr="00DC336F" w14:paraId="58C40F7F" w14:textId="77777777" w:rsidTr="006058B7">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0320640A" w14:textId="77777777" w:rsidR="006058B7" w:rsidRPr="00DC336F" w:rsidRDefault="006058B7" w:rsidP="006058B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CAA74AE" w14:textId="2D80D049"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-$65,309</w:t>
            </w:r>
          </w:p>
        </w:tc>
        <w:tc>
          <w:tcPr>
            <w:tcW w:w="1323" w:type="dxa"/>
            <w:tcBorders>
              <w:top w:val="nil"/>
              <w:left w:val="nil"/>
              <w:bottom w:val="single" w:sz="4" w:space="0" w:color="auto"/>
              <w:right w:val="single" w:sz="4" w:space="0" w:color="auto"/>
            </w:tcBorders>
            <w:shd w:val="clear" w:color="auto" w:fill="auto"/>
            <w:noWrap/>
            <w:vAlign w:val="center"/>
            <w:hideMark/>
          </w:tcPr>
          <w:p w14:paraId="024AEEAA" w14:textId="796F26A4"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-$66,156</w:t>
            </w:r>
          </w:p>
        </w:tc>
        <w:tc>
          <w:tcPr>
            <w:tcW w:w="1323" w:type="dxa"/>
            <w:tcBorders>
              <w:top w:val="nil"/>
              <w:left w:val="nil"/>
              <w:bottom w:val="single" w:sz="4" w:space="0" w:color="auto"/>
              <w:right w:val="single" w:sz="4" w:space="0" w:color="auto"/>
            </w:tcBorders>
            <w:shd w:val="clear" w:color="auto" w:fill="auto"/>
            <w:noWrap/>
            <w:vAlign w:val="center"/>
            <w:hideMark/>
          </w:tcPr>
          <w:p w14:paraId="0FB2A3C1" w14:textId="4BC2752A"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-$64,727</w:t>
            </w:r>
          </w:p>
        </w:tc>
        <w:tc>
          <w:tcPr>
            <w:tcW w:w="1323" w:type="dxa"/>
            <w:tcBorders>
              <w:top w:val="nil"/>
              <w:left w:val="nil"/>
              <w:bottom w:val="single" w:sz="4" w:space="0" w:color="auto"/>
              <w:right w:val="single" w:sz="4" w:space="0" w:color="auto"/>
            </w:tcBorders>
            <w:shd w:val="clear" w:color="auto" w:fill="auto"/>
            <w:noWrap/>
            <w:vAlign w:val="center"/>
            <w:hideMark/>
          </w:tcPr>
          <w:p w14:paraId="5340C995" w14:textId="2257DED0"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-$60,579</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778231F9" w14:textId="779C440A" w:rsidR="006058B7" w:rsidRPr="001C52C6" w:rsidRDefault="006058B7" w:rsidP="006058B7">
            <w:pPr>
              <w:spacing w:after="0" w:line="240" w:lineRule="auto"/>
              <w:jc w:val="center"/>
              <w:rPr>
                <w:rFonts w:ascii="Cambria" w:hAnsi="Cambria" w:cs="Arial"/>
                <w:sz w:val="19"/>
                <w:szCs w:val="19"/>
              </w:rPr>
            </w:pPr>
            <w:r w:rsidRPr="006058B7">
              <w:rPr>
                <w:rFonts w:ascii="Cambria" w:hAnsi="Cambria" w:cs="Arial"/>
                <w:sz w:val="19"/>
                <w:szCs w:val="19"/>
              </w:rPr>
              <w:t>-$55,072</w:t>
            </w:r>
          </w:p>
        </w:tc>
      </w:tr>
    </w:tbl>
    <w:p w14:paraId="749366A8" w14:textId="0AF98448" w:rsidR="008B0F8A" w:rsidRDefault="00D330CB" w:rsidP="008B0F8A">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w:t>
      </w:r>
      <w:r w:rsidR="001323B1" w:rsidRPr="00304366">
        <w:rPr>
          <w:rFonts w:asciiTheme="majorHAnsi" w:eastAsiaTheme="majorEastAsia" w:hAnsiTheme="majorHAnsi" w:cstheme="majorBidi"/>
          <w:bCs/>
          <w:color w:val="000000" w:themeColor="text1"/>
          <w:sz w:val="20"/>
          <w:szCs w:val="20"/>
        </w:rPr>
        <w:t xml:space="preserve">finance </w:t>
      </w:r>
      <w:r w:rsidR="008B0F8A">
        <w:rPr>
          <w:rFonts w:asciiTheme="majorHAnsi" w:eastAsiaTheme="majorEastAsia" w:hAnsiTheme="majorHAnsi" w:cstheme="majorBidi"/>
          <w:bCs/>
          <w:color w:val="000000" w:themeColor="text1"/>
          <w:sz w:val="20"/>
          <w:szCs w:val="20"/>
        </w:rPr>
        <w:t xml:space="preserve">the sales tax exemption for </w:t>
      </w:r>
      <w:r w:rsidR="005906BA" w:rsidRPr="005906BA">
        <w:rPr>
          <w:rFonts w:asciiTheme="majorHAnsi" w:hAnsiTheme="majorHAnsi"/>
          <w:bCs/>
          <w:sz w:val="20"/>
          <w:szCs w:val="20"/>
        </w:rPr>
        <w:t>newspapers and magazines</w:t>
      </w:r>
      <w:r w:rsidR="008B0F8A">
        <w:rPr>
          <w:rFonts w:asciiTheme="majorHAnsi" w:eastAsiaTheme="majorEastAsia" w:hAnsiTheme="majorHAnsi" w:cstheme="majorBidi"/>
          <w:bCs/>
          <w:color w:val="000000" w:themeColor="text1"/>
          <w:sz w:val="20"/>
          <w:szCs w:val="20"/>
        </w:rPr>
        <w:t>.</w:t>
      </w:r>
    </w:p>
    <w:p w14:paraId="55D62DF8" w14:textId="77777777" w:rsidR="008B0F8A" w:rsidRDefault="008B0F8A" w:rsidP="008B0F8A">
      <w:pPr>
        <w:spacing w:after="0"/>
        <w:rPr>
          <w:rFonts w:asciiTheme="majorHAnsi" w:eastAsiaTheme="majorEastAsia" w:hAnsiTheme="majorHAnsi" w:cstheme="majorBidi"/>
          <w:bCs/>
          <w:color w:val="000000" w:themeColor="text1"/>
          <w:sz w:val="24"/>
          <w:szCs w:val="24"/>
        </w:rPr>
      </w:pPr>
    </w:p>
    <w:p w14:paraId="14AE7583" w14:textId="77777777" w:rsidR="00D330CB" w:rsidRDefault="00D330CB" w:rsidP="008B0F8A">
      <w:pPr>
        <w:spacing w:after="0"/>
        <w:rPr>
          <w:rFonts w:asciiTheme="majorHAnsi" w:hAnsiTheme="majorHAnsi"/>
          <w:bCs/>
          <w:sz w:val="24"/>
          <w:szCs w:val="24"/>
        </w:rPr>
      </w:pPr>
    </w:p>
    <w:p w14:paraId="03DEE415" w14:textId="77777777" w:rsidR="00D330CB" w:rsidRPr="00782E31" w:rsidRDefault="00D330CB" w:rsidP="00D330CB">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18E0A3AB" w14:textId="67551A12" w:rsidR="00D330CB" w:rsidRDefault="00D330CB" w:rsidP="00D330C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 xml:space="preserve">The </w:t>
      </w:r>
      <w:r w:rsidR="006941B4">
        <w:rPr>
          <w:rFonts w:asciiTheme="majorHAnsi" w:eastAsiaTheme="majorEastAsia" w:hAnsiTheme="majorHAnsi" w:cstheme="majorBidi"/>
          <w:bCs/>
          <w:color w:val="000000" w:themeColor="text1"/>
          <w:sz w:val="24"/>
          <w:szCs w:val="24"/>
        </w:rPr>
        <w:t>tax</w:t>
      </w:r>
      <w:r>
        <w:rPr>
          <w:rFonts w:asciiTheme="majorHAnsi" w:eastAsiaTheme="majorEastAsia" w:hAnsiTheme="majorHAnsi" w:cstheme="majorBidi"/>
          <w:bCs/>
          <w:color w:val="000000" w:themeColor="text1"/>
          <w:sz w:val="24"/>
          <w:szCs w:val="24"/>
        </w:rPr>
        <w:t xml:space="preserve"> savings </w:t>
      </w:r>
      <w:r w:rsidR="006941B4">
        <w:rPr>
          <w:rFonts w:asciiTheme="majorHAnsi" w:eastAsiaTheme="majorEastAsia" w:hAnsiTheme="majorHAnsi" w:cstheme="majorBidi"/>
          <w:bCs/>
          <w:color w:val="000000" w:themeColor="text1"/>
          <w:sz w:val="24"/>
          <w:szCs w:val="24"/>
        </w:rPr>
        <w:t xml:space="preserve">to buyers and sellers </w:t>
      </w:r>
      <w:r w:rsidR="006941B4" w:rsidRPr="008777CE">
        <w:rPr>
          <w:rFonts w:asciiTheme="majorHAnsi" w:eastAsiaTheme="majorEastAsia" w:hAnsiTheme="majorHAnsi" w:cstheme="majorBidi"/>
          <w:bCs/>
          <w:color w:val="000000" w:themeColor="text1"/>
          <w:sz w:val="24"/>
          <w:szCs w:val="24"/>
        </w:rPr>
        <w:t xml:space="preserve">of </w:t>
      </w:r>
      <w:r w:rsidR="008777CE" w:rsidRPr="008777CE">
        <w:rPr>
          <w:rFonts w:asciiTheme="majorHAnsi" w:hAnsiTheme="majorHAnsi"/>
          <w:bCs/>
          <w:sz w:val="24"/>
          <w:szCs w:val="24"/>
        </w:rPr>
        <w:t>newspapers and magazines</w:t>
      </w:r>
      <w:r w:rsidR="008777CE">
        <w:rPr>
          <w:rFonts w:asciiTheme="majorHAnsi" w:eastAsiaTheme="majorEastAsia" w:hAnsiTheme="majorHAnsi" w:cstheme="majorBidi"/>
          <w:bCs/>
          <w:color w:val="000000" w:themeColor="text1"/>
          <w:sz w:val="24"/>
          <w:szCs w:val="24"/>
        </w:rPr>
        <w:t xml:space="preserve"> </w:t>
      </w:r>
      <w:r w:rsidR="006941B4">
        <w:rPr>
          <w:rFonts w:asciiTheme="majorHAnsi" w:eastAsiaTheme="majorEastAsia" w:hAnsiTheme="majorHAnsi" w:cstheme="majorBidi"/>
          <w:bCs/>
          <w:color w:val="000000" w:themeColor="text1"/>
          <w:sz w:val="24"/>
          <w:szCs w:val="24"/>
        </w:rPr>
        <w:t xml:space="preserve">at the retail </w:t>
      </w:r>
      <w:r w:rsidR="00B00293">
        <w:rPr>
          <w:rFonts w:asciiTheme="majorHAnsi" w:eastAsiaTheme="majorEastAsia" w:hAnsiTheme="majorHAnsi" w:cstheme="majorBidi"/>
          <w:bCs/>
          <w:color w:val="000000" w:themeColor="text1"/>
          <w:sz w:val="24"/>
          <w:szCs w:val="24"/>
        </w:rPr>
        <w:t>level</w:t>
      </w:r>
      <w:r w:rsidR="006941B4">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encourage directly affected </w:t>
      </w:r>
      <w:r w:rsidR="006941B4">
        <w:rPr>
          <w:rFonts w:asciiTheme="majorHAnsi" w:eastAsiaTheme="majorEastAsia" w:hAnsiTheme="majorHAnsi" w:cstheme="majorBidi"/>
          <w:bCs/>
          <w:color w:val="000000" w:themeColor="text1"/>
          <w:sz w:val="24"/>
          <w:szCs w:val="24"/>
        </w:rPr>
        <w:t xml:space="preserve">consumers to buy more </w:t>
      </w:r>
      <w:r w:rsidR="00B00293">
        <w:rPr>
          <w:rFonts w:asciiTheme="majorHAnsi" w:eastAsiaTheme="majorEastAsia" w:hAnsiTheme="majorHAnsi" w:cstheme="majorBidi"/>
          <w:bCs/>
          <w:color w:val="000000" w:themeColor="text1"/>
          <w:sz w:val="24"/>
          <w:szCs w:val="24"/>
        </w:rPr>
        <w:t xml:space="preserve">of </w:t>
      </w:r>
      <w:r w:rsidR="006941B4">
        <w:rPr>
          <w:rFonts w:asciiTheme="majorHAnsi" w:eastAsiaTheme="majorEastAsia" w:hAnsiTheme="majorHAnsi" w:cstheme="majorBidi"/>
          <w:bCs/>
          <w:color w:val="000000" w:themeColor="text1"/>
          <w:sz w:val="24"/>
          <w:szCs w:val="24"/>
        </w:rPr>
        <w:t xml:space="preserve">other products and services and directly affected </w:t>
      </w:r>
      <w:r>
        <w:rPr>
          <w:rFonts w:asciiTheme="majorHAnsi" w:eastAsiaTheme="majorEastAsia" w:hAnsiTheme="majorHAnsi" w:cstheme="majorBidi"/>
          <w:bCs/>
          <w:color w:val="000000" w:themeColor="text1"/>
          <w:sz w:val="24"/>
          <w:szCs w:val="24"/>
        </w:rPr>
        <w:t>businesses to</w:t>
      </w:r>
      <w:r w:rsidR="006941B4">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invest, expand, hire additional workers, etc. Such decisions would increase demand for goods and services provided by other individuals and businesses</w:t>
      </w:r>
      <w:r w:rsidR="006941B4">
        <w:rPr>
          <w:rFonts w:asciiTheme="majorHAnsi" w:eastAsiaTheme="majorEastAsia" w:hAnsiTheme="majorHAnsi" w:cstheme="majorBidi"/>
          <w:bCs/>
          <w:color w:val="000000" w:themeColor="text1"/>
          <w:sz w:val="24"/>
          <w:szCs w:val="24"/>
        </w:rPr>
        <w:t xml:space="preserve"> in the economy (including wholesalers, </w:t>
      </w:r>
      <w:r w:rsidR="00FB2B1E">
        <w:rPr>
          <w:rFonts w:asciiTheme="majorHAnsi" w:eastAsiaTheme="majorEastAsia" w:hAnsiTheme="majorHAnsi" w:cstheme="majorBidi"/>
          <w:bCs/>
          <w:color w:val="000000" w:themeColor="text1"/>
          <w:sz w:val="24"/>
          <w:szCs w:val="24"/>
        </w:rPr>
        <w:t>n</w:t>
      </w:r>
      <w:r w:rsidR="00FB2B1E" w:rsidRPr="00DA292E">
        <w:rPr>
          <w:rFonts w:asciiTheme="majorHAnsi" w:eastAsiaTheme="majorEastAsia" w:hAnsiTheme="majorHAnsi" w:cstheme="majorBidi"/>
          <w:bCs/>
          <w:color w:val="000000" w:themeColor="text1"/>
          <w:sz w:val="24"/>
          <w:szCs w:val="24"/>
        </w:rPr>
        <w:t xml:space="preserve">ews </w:t>
      </w:r>
      <w:r w:rsidR="00FB2B1E">
        <w:rPr>
          <w:rFonts w:asciiTheme="majorHAnsi" w:eastAsiaTheme="majorEastAsia" w:hAnsiTheme="majorHAnsi" w:cstheme="majorBidi"/>
          <w:bCs/>
          <w:color w:val="000000" w:themeColor="text1"/>
          <w:sz w:val="24"/>
          <w:szCs w:val="24"/>
        </w:rPr>
        <w:t>s</w:t>
      </w:r>
      <w:r w:rsidR="00FB2B1E" w:rsidRPr="00DA292E">
        <w:rPr>
          <w:rFonts w:asciiTheme="majorHAnsi" w:eastAsiaTheme="majorEastAsia" w:hAnsiTheme="majorHAnsi" w:cstheme="majorBidi"/>
          <w:bCs/>
          <w:color w:val="000000" w:themeColor="text1"/>
          <w:sz w:val="24"/>
          <w:szCs w:val="24"/>
        </w:rPr>
        <w:t>yndicates</w:t>
      </w:r>
      <w:r w:rsidR="006941B4">
        <w:rPr>
          <w:rFonts w:asciiTheme="majorHAnsi" w:eastAsiaTheme="majorEastAsia" w:hAnsiTheme="majorHAnsi" w:cstheme="majorBidi"/>
          <w:bCs/>
          <w:color w:val="000000" w:themeColor="text1"/>
          <w:sz w:val="24"/>
          <w:szCs w:val="24"/>
        </w:rPr>
        <w:t>, and pr</w:t>
      </w:r>
      <w:r w:rsidR="008777CE">
        <w:rPr>
          <w:rFonts w:asciiTheme="majorHAnsi" w:eastAsiaTheme="majorEastAsia" w:hAnsiTheme="majorHAnsi" w:cstheme="majorBidi"/>
          <w:bCs/>
          <w:color w:val="000000" w:themeColor="text1"/>
          <w:sz w:val="24"/>
          <w:szCs w:val="24"/>
        </w:rPr>
        <w:t>inters</w:t>
      </w:r>
      <w:r w:rsidR="006941B4">
        <w:rPr>
          <w:rFonts w:asciiTheme="majorHAnsi" w:eastAsiaTheme="majorEastAsia" w:hAnsiTheme="majorHAnsi" w:cstheme="majorBidi"/>
          <w:bCs/>
          <w:color w:val="000000" w:themeColor="text1"/>
          <w:sz w:val="24"/>
          <w:szCs w:val="24"/>
        </w:rPr>
        <w:t xml:space="preserve"> of </w:t>
      </w:r>
      <w:r w:rsidR="008777CE">
        <w:rPr>
          <w:rFonts w:asciiTheme="majorHAnsi" w:eastAsiaTheme="majorEastAsia" w:hAnsiTheme="majorHAnsi" w:cstheme="majorBidi"/>
          <w:bCs/>
          <w:color w:val="000000" w:themeColor="text1"/>
          <w:sz w:val="24"/>
          <w:szCs w:val="24"/>
        </w:rPr>
        <w:t>newspapers and magazines</w:t>
      </w:r>
      <w:r w:rsidR="006941B4">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or put another way, generate a “Multiplier Effect” (see discussion in the previous section) from the initial or direct benefits as reported in the text. As a result, the total benefits of the </w:t>
      </w:r>
      <w:r w:rsidR="006941B4">
        <w:rPr>
          <w:rFonts w:asciiTheme="majorHAnsi" w:eastAsiaTheme="majorEastAsia" w:hAnsiTheme="majorHAnsi" w:cstheme="majorBidi"/>
          <w:bCs/>
          <w:color w:val="000000" w:themeColor="text1"/>
          <w:sz w:val="24"/>
          <w:szCs w:val="24"/>
        </w:rPr>
        <w:t xml:space="preserve">sales tax exemption for </w:t>
      </w:r>
      <w:r w:rsidR="008777CE">
        <w:rPr>
          <w:rFonts w:asciiTheme="majorHAnsi" w:eastAsiaTheme="majorEastAsia" w:hAnsiTheme="majorHAnsi" w:cstheme="majorBidi"/>
          <w:bCs/>
          <w:color w:val="000000" w:themeColor="text1"/>
          <w:sz w:val="24"/>
          <w:szCs w:val="24"/>
        </w:rPr>
        <w:t xml:space="preserve">newspapers and magazines </w:t>
      </w:r>
      <w:r>
        <w:rPr>
          <w:rFonts w:asciiTheme="majorHAnsi" w:eastAsiaTheme="majorEastAsia" w:hAnsiTheme="majorHAnsi" w:cstheme="majorBidi"/>
          <w:bCs/>
          <w:color w:val="000000" w:themeColor="text1"/>
          <w:sz w:val="24"/>
          <w:szCs w:val="24"/>
        </w:rPr>
        <w:t>would be larger than the initial or direct benefits.</w:t>
      </w:r>
    </w:p>
    <w:p w14:paraId="7CF386C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58647DA"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 xml:space="preserve">benefits (direct,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2B7F3BA8" w14:textId="70D25958" w:rsidR="00D330CB" w:rsidRDefault="00D330CB" w:rsidP="00D330CB">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6941B4">
        <w:rPr>
          <w:rFonts w:asciiTheme="majorHAnsi" w:eastAsiaTheme="majorEastAsia" w:hAnsiTheme="majorHAnsi" w:cstheme="majorBidi"/>
          <w:bCs/>
          <w:color w:val="000000" w:themeColor="text1"/>
          <w:sz w:val="24"/>
          <w:szCs w:val="24"/>
        </w:rPr>
        <w:t xml:space="preserve">sales tax exemption for </w:t>
      </w:r>
      <w:r w:rsidR="008777CE">
        <w:rPr>
          <w:rFonts w:asciiTheme="majorHAnsi" w:eastAsiaTheme="majorEastAsia" w:hAnsiTheme="majorHAnsi" w:cstheme="majorBidi"/>
          <w:bCs/>
          <w:color w:val="000000" w:themeColor="text1"/>
          <w:sz w:val="24"/>
          <w:szCs w:val="24"/>
        </w:rPr>
        <w:t>newspapers and magazines</w:t>
      </w:r>
      <w:r w:rsidR="008777CE">
        <w:rPr>
          <w:rFonts w:asciiTheme="majorHAnsi" w:eastAsiaTheme="majorEastAsia" w:hAnsiTheme="majorHAnsi" w:cstheme="majorBidi"/>
          <w:noProof/>
          <w:color w:val="000000" w:themeColor="text1"/>
          <w:sz w:val="24"/>
          <w:szCs w:val="24"/>
        </w:rPr>
        <w:t xml:space="preserve"> </w:t>
      </w:r>
      <w:r>
        <w:rPr>
          <w:rFonts w:asciiTheme="majorHAnsi" w:eastAsiaTheme="majorEastAsia" w:hAnsiTheme="majorHAnsi" w:cstheme="majorBidi"/>
          <w:noProof/>
          <w:color w:val="000000" w:themeColor="text1"/>
          <w:sz w:val="24"/>
          <w:szCs w:val="24"/>
        </w:rPr>
        <w:t>is reported in Table A</w:t>
      </w:r>
      <w:r w:rsidR="00D328A3">
        <w:rPr>
          <w:rFonts w:asciiTheme="majorHAnsi" w:eastAsiaTheme="majorEastAsia" w:hAnsiTheme="majorHAnsi" w:cstheme="majorBidi"/>
          <w:noProof/>
          <w:color w:val="000000" w:themeColor="text1"/>
          <w:sz w:val="24"/>
          <w:szCs w:val="24"/>
        </w:rPr>
        <w:t>3</w:t>
      </w:r>
      <w:r>
        <w:rPr>
          <w:rFonts w:asciiTheme="majorHAnsi" w:eastAsiaTheme="majorEastAsia" w:hAnsiTheme="majorHAnsi" w:cstheme="majorBidi"/>
          <w:noProof/>
          <w:color w:val="000000" w:themeColor="text1"/>
          <w:sz w:val="24"/>
          <w:szCs w:val="24"/>
        </w:rPr>
        <w:t xml:space="preserve">, and the economic benefit from the </w:t>
      </w:r>
      <w:r w:rsidR="006941B4">
        <w:rPr>
          <w:rFonts w:asciiTheme="majorHAnsi" w:eastAsiaTheme="majorEastAsia" w:hAnsiTheme="majorHAnsi" w:cstheme="majorBidi"/>
          <w:bCs/>
          <w:color w:val="000000" w:themeColor="text1"/>
          <w:sz w:val="24"/>
          <w:szCs w:val="24"/>
        </w:rPr>
        <w:t xml:space="preserve">sales tax exemption for </w:t>
      </w:r>
      <w:r w:rsidR="008777CE">
        <w:rPr>
          <w:rFonts w:asciiTheme="majorHAnsi" w:eastAsiaTheme="majorEastAsia" w:hAnsiTheme="majorHAnsi" w:cstheme="majorBidi"/>
          <w:bCs/>
          <w:color w:val="000000" w:themeColor="text1"/>
          <w:sz w:val="24"/>
          <w:szCs w:val="24"/>
        </w:rPr>
        <w:t>newspapers and magazines</w:t>
      </w:r>
      <w:r w:rsidR="008777CE">
        <w:rPr>
          <w:rFonts w:asciiTheme="majorHAnsi" w:eastAsiaTheme="majorEastAsia" w:hAnsiTheme="majorHAnsi" w:cstheme="majorBidi"/>
          <w:noProof/>
          <w:color w:val="000000" w:themeColor="text1"/>
          <w:sz w:val="24"/>
          <w:szCs w:val="24"/>
        </w:rPr>
        <w:t xml:space="preserve"> </w:t>
      </w:r>
      <w:r>
        <w:rPr>
          <w:rFonts w:asciiTheme="majorHAnsi" w:eastAsiaTheme="majorEastAsia" w:hAnsiTheme="majorHAnsi" w:cstheme="majorBidi"/>
          <w:noProof/>
          <w:color w:val="000000" w:themeColor="text1"/>
          <w:sz w:val="24"/>
          <w:szCs w:val="24"/>
        </w:rPr>
        <w:t>is reflected in Table A</w:t>
      </w:r>
      <w:r w:rsidR="00D328A3">
        <w:rPr>
          <w:rFonts w:asciiTheme="majorHAnsi" w:eastAsiaTheme="majorEastAsia" w:hAnsiTheme="majorHAnsi" w:cstheme="majorBidi"/>
          <w:noProof/>
          <w:color w:val="000000" w:themeColor="text1"/>
          <w:sz w:val="24"/>
          <w:szCs w:val="24"/>
        </w:rPr>
        <w:t>4</w:t>
      </w:r>
      <w:r>
        <w:rPr>
          <w:rFonts w:asciiTheme="majorHAnsi" w:eastAsiaTheme="majorEastAsia" w:hAnsiTheme="majorHAnsi" w:cstheme="majorBidi"/>
          <w:noProof/>
          <w:color w:val="000000" w:themeColor="text1"/>
          <w:sz w:val="24"/>
          <w:szCs w:val="24"/>
        </w:rPr>
        <w:t xml:space="preserve"> below. The figures for 2018 and 2019 are estimates of benefits that the Massachusetts economy experienced and those for 2020, 2021 and 2022 are projections of the benefits that the Massachusetts economy will experience going forward.  </w:t>
      </w:r>
    </w:p>
    <w:p w14:paraId="4B205E1E"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3C786AE" w14:textId="597C7DFF" w:rsidR="00D330CB" w:rsidRDefault="00D330CB" w:rsidP="00D330CB">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D328A3">
        <w:rPr>
          <w:rFonts w:asciiTheme="majorHAnsi" w:eastAsiaTheme="majorEastAsia" w:hAnsiTheme="majorHAnsi" w:cstheme="majorBidi"/>
          <w:bCs/>
          <w:color w:val="000000" w:themeColor="text1"/>
          <w:sz w:val="24"/>
          <w:szCs w:val="24"/>
        </w:rPr>
        <w:t xml:space="preserve">3 </w:t>
      </w:r>
      <w:r w:rsidRPr="009E0158">
        <w:rPr>
          <w:rFonts w:asciiTheme="majorHAnsi" w:eastAsiaTheme="majorEastAsia" w:hAnsiTheme="majorHAnsi" w:cstheme="majorBidi"/>
          <w:bCs/>
          <w:color w:val="000000" w:themeColor="text1"/>
          <w:sz w:val="24"/>
          <w:szCs w:val="24"/>
        </w:rPr>
        <w:t xml:space="preserve">and </w:t>
      </w:r>
      <w:r>
        <w:rPr>
          <w:rFonts w:asciiTheme="majorHAnsi" w:eastAsiaTheme="majorEastAsia" w:hAnsiTheme="majorHAnsi" w:cstheme="majorBidi"/>
          <w:bCs/>
          <w:color w:val="000000" w:themeColor="text1"/>
          <w:sz w:val="24"/>
          <w:szCs w:val="24"/>
        </w:rPr>
        <w:t>A</w:t>
      </w:r>
      <w:r w:rsidR="00D328A3">
        <w:rPr>
          <w:rFonts w:asciiTheme="majorHAnsi" w:eastAsiaTheme="majorEastAsia" w:hAnsiTheme="majorHAnsi" w:cstheme="majorBidi"/>
          <w:bCs/>
          <w:color w:val="000000" w:themeColor="text1"/>
          <w:sz w:val="24"/>
          <w:szCs w:val="24"/>
        </w:rPr>
        <w:t>4</w:t>
      </w:r>
      <w:r w:rsidRPr="009E0158">
        <w:rPr>
          <w:rFonts w:asciiTheme="majorHAnsi" w:eastAsiaTheme="majorEastAsia" w:hAnsiTheme="majorHAnsi" w:cstheme="majorBidi"/>
          <w:bCs/>
          <w:color w:val="000000" w:themeColor="text1"/>
          <w:sz w:val="24"/>
          <w:szCs w:val="24"/>
        </w:rPr>
        <w:t xml:space="preserve"> show that, the </w:t>
      </w:r>
      <w:r w:rsidR="006941B4">
        <w:rPr>
          <w:rFonts w:asciiTheme="majorHAnsi" w:eastAsiaTheme="majorEastAsia" w:hAnsiTheme="majorHAnsi" w:cstheme="majorBidi"/>
          <w:bCs/>
          <w:color w:val="000000" w:themeColor="text1"/>
          <w:sz w:val="24"/>
          <w:szCs w:val="24"/>
        </w:rPr>
        <w:t xml:space="preserve">sales tax exemption for </w:t>
      </w:r>
      <w:r w:rsidR="008777CE">
        <w:rPr>
          <w:rFonts w:asciiTheme="majorHAnsi" w:eastAsiaTheme="majorEastAsia" w:hAnsiTheme="majorHAnsi" w:cstheme="majorBidi"/>
          <w:bCs/>
          <w:color w:val="000000" w:themeColor="text1"/>
          <w:sz w:val="24"/>
          <w:szCs w:val="24"/>
        </w:rPr>
        <w:t>newspapers and magazines</w:t>
      </w:r>
      <w:r w:rsidR="008777CE" w:rsidRPr="009E0158">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 xml:space="preserve">results in more economic activities,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sidR="0056167E">
        <w:rPr>
          <w:rFonts w:asciiTheme="majorHAnsi" w:eastAsiaTheme="majorEastAsia" w:hAnsiTheme="majorHAnsi" w:cstheme="majorBidi"/>
          <w:bCs/>
          <w:color w:val="000000" w:themeColor="text1"/>
          <w:sz w:val="24"/>
          <w:szCs w:val="24"/>
        </w:rPr>
        <w:t>19</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sidR="0056167E">
        <w:rPr>
          <w:rFonts w:asciiTheme="majorHAnsi" w:eastAsiaTheme="majorEastAsia" w:hAnsiTheme="majorHAnsi" w:cstheme="majorBidi"/>
          <w:bCs/>
          <w:color w:val="000000" w:themeColor="text1"/>
          <w:sz w:val="24"/>
          <w:szCs w:val="24"/>
        </w:rPr>
        <w:t>31</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 xml:space="preserve">by </w:t>
      </w:r>
      <w:r w:rsidR="0056167E">
        <w:rPr>
          <w:rFonts w:asciiTheme="majorHAnsi" w:eastAsiaTheme="majorEastAsia" w:hAnsiTheme="majorHAnsi" w:cstheme="majorBidi"/>
          <w:bCs/>
          <w:color w:val="000000" w:themeColor="text1"/>
          <w:sz w:val="24"/>
          <w:szCs w:val="24"/>
        </w:rPr>
        <w:t>191</w:t>
      </w:r>
      <w:r w:rsidRPr="009E0158">
        <w:rPr>
          <w:rFonts w:asciiTheme="majorHAnsi" w:eastAsiaTheme="majorEastAsia" w:hAnsiTheme="majorHAnsi" w:cstheme="majorBidi"/>
          <w:bCs/>
          <w:color w:val="000000" w:themeColor="text1"/>
          <w:sz w:val="24"/>
          <w:szCs w:val="24"/>
        </w:rPr>
        <w:t>-</w:t>
      </w:r>
      <w:r w:rsidR="0056167E">
        <w:rPr>
          <w:rFonts w:asciiTheme="majorHAnsi" w:eastAsiaTheme="majorEastAsia" w:hAnsiTheme="majorHAnsi" w:cstheme="majorBidi"/>
          <w:bCs/>
          <w:color w:val="000000" w:themeColor="text1"/>
          <w:sz w:val="24"/>
          <w:szCs w:val="24"/>
        </w:rPr>
        <w:t>323</w:t>
      </w:r>
      <w:r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 xml:space="preserve">annually. More economic activities result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sidR="0056167E">
        <w:rPr>
          <w:rFonts w:asciiTheme="majorHAnsi" w:eastAsiaTheme="majorEastAsia" w:hAnsiTheme="majorHAnsi" w:cstheme="majorBidi"/>
          <w:bCs/>
          <w:color w:val="000000" w:themeColor="text1"/>
          <w:sz w:val="24"/>
          <w:szCs w:val="24"/>
        </w:rPr>
        <w:t>0.8</w:t>
      </w:r>
      <w:r w:rsidRPr="009E0158">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1</w:t>
      </w:r>
      <w:r w:rsidRPr="009E0158">
        <w:rPr>
          <w:rFonts w:asciiTheme="majorHAnsi" w:eastAsiaTheme="majorEastAsia" w:hAnsiTheme="majorHAnsi" w:cstheme="majorBidi"/>
          <w:bCs/>
          <w:color w:val="000000" w:themeColor="text1"/>
          <w:sz w:val="24"/>
          <w:szCs w:val="24"/>
        </w:rPr>
        <w:t>.</w:t>
      </w:r>
      <w:r w:rsidR="0056167E">
        <w:rPr>
          <w:rFonts w:asciiTheme="majorHAnsi" w:eastAsiaTheme="majorEastAsia" w:hAnsiTheme="majorHAnsi" w:cstheme="majorBidi"/>
          <w:bCs/>
          <w:color w:val="000000" w:themeColor="text1"/>
          <w:sz w:val="24"/>
          <w:szCs w:val="24"/>
        </w:rPr>
        <w:t>8</w:t>
      </w:r>
      <w:r w:rsidR="00DA1587">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08869CA1"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F3370AE" w14:textId="77777777" w:rsidR="006941B4"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328A3">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w:t>
      </w:r>
    </w:p>
    <w:p w14:paraId="637692C8" w14:textId="26118E10" w:rsidR="00D330CB" w:rsidRDefault="006941B4" w:rsidP="00D330CB">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 xml:space="preserve">for </w:t>
      </w:r>
      <w:r w:rsidR="008777CE" w:rsidRPr="008777CE">
        <w:rPr>
          <w:rFonts w:asciiTheme="majorHAnsi" w:eastAsiaTheme="majorEastAsia" w:hAnsiTheme="majorHAnsi" w:cstheme="majorBidi"/>
          <w:b/>
          <w:color w:val="000000" w:themeColor="text1"/>
          <w:sz w:val="24"/>
          <w:szCs w:val="24"/>
        </w:rPr>
        <w:t>Newspapers and Magazines</w:t>
      </w:r>
    </w:p>
    <w:tbl>
      <w:tblPr>
        <w:tblW w:w="9265" w:type="dxa"/>
        <w:tblLook w:val="04A0" w:firstRow="1" w:lastRow="0" w:firstColumn="1" w:lastColumn="0" w:noHBand="0" w:noVBand="1"/>
      </w:tblPr>
      <w:tblGrid>
        <w:gridCol w:w="3505"/>
        <w:gridCol w:w="1152"/>
        <w:gridCol w:w="1152"/>
        <w:gridCol w:w="1152"/>
        <w:gridCol w:w="1152"/>
        <w:gridCol w:w="1152"/>
      </w:tblGrid>
      <w:tr w:rsidR="00D330CB" w:rsidRPr="006809CE" w14:paraId="0D3E8803" w14:textId="77777777" w:rsidTr="00A47BE2">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6E9FF1C"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9ECCA0F"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C108913"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1677FC2"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A9D17DB"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7A9195A"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690093" w:rsidRPr="006809CE" w14:paraId="5408B52A" w14:textId="77777777" w:rsidTr="00690093">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2F4874C" w14:textId="77777777" w:rsidR="00690093" w:rsidRPr="006809CE" w:rsidRDefault="00690093" w:rsidP="00690093">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4EE4" w14:textId="0DEC02B0"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$782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9A6A54" w14:textId="6E72527B"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$1,703</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1EDE8C3" w14:textId="68BC365B"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$1,797</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076F49" w14:textId="5E2240F9"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$1,724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B451377" w14:textId="61BD0B41"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$1,543</w:t>
            </w:r>
          </w:p>
        </w:tc>
      </w:tr>
    </w:tbl>
    <w:p w14:paraId="6D1AECB0" w14:textId="77777777" w:rsidR="00D330CB" w:rsidRDefault="00D330CB" w:rsidP="00D330CB">
      <w:pPr>
        <w:tabs>
          <w:tab w:val="left" w:pos="7050"/>
        </w:tabs>
        <w:spacing w:after="0"/>
        <w:rPr>
          <w:rFonts w:asciiTheme="majorHAnsi" w:hAnsiTheme="majorHAnsi"/>
          <w:sz w:val="24"/>
          <w:szCs w:val="24"/>
        </w:rPr>
      </w:pPr>
    </w:p>
    <w:p w14:paraId="3CF71360" w14:textId="77777777" w:rsidR="006941B4" w:rsidRDefault="00D330CB" w:rsidP="006941B4">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328A3">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w:t>
      </w:r>
    </w:p>
    <w:p w14:paraId="6DAF1207" w14:textId="47E3D080" w:rsidR="00D330CB" w:rsidRDefault="006941B4" w:rsidP="00D330CB">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 xml:space="preserve">for </w:t>
      </w:r>
      <w:r w:rsidR="008777CE" w:rsidRPr="008777CE">
        <w:rPr>
          <w:rFonts w:asciiTheme="majorHAnsi" w:eastAsiaTheme="majorEastAsia" w:hAnsiTheme="majorHAnsi" w:cstheme="majorBidi"/>
          <w:b/>
          <w:color w:val="000000" w:themeColor="text1"/>
          <w:sz w:val="24"/>
          <w:szCs w:val="24"/>
        </w:rPr>
        <w:t>Newspapers and Magazines</w:t>
      </w:r>
      <w:r w:rsidR="008777CE">
        <w:rPr>
          <w:rFonts w:asciiTheme="majorHAnsi" w:eastAsiaTheme="majorEastAsia" w:hAnsiTheme="majorHAnsi" w:cstheme="majorBidi"/>
          <w:b/>
          <w:color w:val="000000" w:themeColor="text1"/>
          <w:sz w:val="24"/>
          <w:szCs w:val="24"/>
        </w:rPr>
        <w:t xml:space="preserve"> </w:t>
      </w:r>
      <w:r w:rsidR="00D330CB">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234"/>
        <w:gridCol w:w="1224"/>
        <w:gridCol w:w="1223"/>
        <w:gridCol w:w="1223"/>
        <w:gridCol w:w="1223"/>
        <w:gridCol w:w="1223"/>
      </w:tblGrid>
      <w:tr w:rsidR="00D330CB" w:rsidRPr="00A94F48" w14:paraId="74CD87BF" w14:textId="77777777" w:rsidTr="00D330CB">
        <w:trPr>
          <w:trHeight w:val="380"/>
        </w:trPr>
        <w:tc>
          <w:tcPr>
            <w:tcW w:w="32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05393A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224" w:type="dxa"/>
            <w:tcBorders>
              <w:top w:val="single" w:sz="4" w:space="0" w:color="auto"/>
              <w:left w:val="nil"/>
              <w:bottom w:val="single" w:sz="4" w:space="0" w:color="auto"/>
              <w:right w:val="single" w:sz="4" w:space="0" w:color="auto"/>
            </w:tcBorders>
            <w:shd w:val="clear" w:color="000000" w:fill="B7DEE8"/>
            <w:noWrap/>
            <w:vAlign w:val="center"/>
            <w:hideMark/>
          </w:tcPr>
          <w:p w14:paraId="5155148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4800B62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5E5840A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7AB5C5C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2A720F9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690093" w:rsidRPr="00A94F48" w14:paraId="5C11549C" w14:textId="77777777" w:rsidTr="00690093">
        <w:trPr>
          <w:trHeight w:val="41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0BDD8D72" w14:textId="77777777" w:rsidR="00690093" w:rsidRPr="00A94F48" w:rsidRDefault="00690093" w:rsidP="0069009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06FC" w14:textId="136D3E98"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310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680D0B4" w14:textId="63314FAA"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323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6D37D74" w14:textId="649F53E7"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297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3A80B2EB" w14:textId="1AD50C13"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247</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AACC" w14:textId="101E46B8"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191</w:t>
            </w:r>
          </w:p>
        </w:tc>
      </w:tr>
      <w:tr w:rsidR="00690093" w:rsidRPr="00A94F48" w14:paraId="5FB43BD0" w14:textId="77777777" w:rsidTr="00690093">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1FE7D24B" w14:textId="77777777" w:rsidR="00690093" w:rsidRPr="00A94F48" w:rsidRDefault="00690093" w:rsidP="0069009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1B7B571F" w14:textId="31D8D9B3"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296</w:t>
            </w:r>
          </w:p>
        </w:tc>
        <w:tc>
          <w:tcPr>
            <w:tcW w:w="1223" w:type="dxa"/>
            <w:tcBorders>
              <w:top w:val="nil"/>
              <w:left w:val="nil"/>
              <w:bottom w:val="single" w:sz="4" w:space="0" w:color="auto"/>
              <w:right w:val="single" w:sz="4" w:space="0" w:color="auto"/>
            </w:tcBorders>
            <w:shd w:val="clear" w:color="auto" w:fill="auto"/>
            <w:noWrap/>
            <w:vAlign w:val="center"/>
            <w:hideMark/>
          </w:tcPr>
          <w:p w14:paraId="65CA0BDD" w14:textId="7C6F0C26"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303</w:t>
            </w:r>
          </w:p>
        </w:tc>
        <w:tc>
          <w:tcPr>
            <w:tcW w:w="1223" w:type="dxa"/>
            <w:tcBorders>
              <w:top w:val="nil"/>
              <w:left w:val="nil"/>
              <w:bottom w:val="single" w:sz="4" w:space="0" w:color="auto"/>
              <w:right w:val="single" w:sz="4" w:space="0" w:color="auto"/>
            </w:tcBorders>
            <w:shd w:val="clear" w:color="auto" w:fill="auto"/>
            <w:noWrap/>
            <w:vAlign w:val="center"/>
            <w:hideMark/>
          </w:tcPr>
          <w:p w14:paraId="133601B1" w14:textId="58170E14"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274</w:t>
            </w:r>
          </w:p>
        </w:tc>
        <w:tc>
          <w:tcPr>
            <w:tcW w:w="1223" w:type="dxa"/>
            <w:tcBorders>
              <w:top w:val="nil"/>
              <w:left w:val="nil"/>
              <w:bottom w:val="single" w:sz="4" w:space="0" w:color="auto"/>
              <w:right w:val="single" w:sz="4" w:space="0" w:color="auto"/>
            </w:tcBorders>
            <w:shd w:val="clear" w:color="auto" w:fill="auto"/>
            <w:noWrap/>
            <w:vAlign w:val="center"/>
            <w:hideMark/>
          </w:tcPr>
          <w:p w14:paraId="19EBA611" w14:textId="6DFF7361"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224</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004E8796" w14:textId="4BE17CE6" w:rsidR="00690093" w:rsidRPr="00690093" w:rsidRDefault="00690093" w:rsidP="00690093">
            <w:pPr>
              <w:spacing w:after="0" w:line="240" w:lineRule="auto"/>
              <w:jc w:val="center"/>
              <w:rPr>
                <w:rFonts w:ascii="Cambria" w:eastAsia="Times New Roman" w:hAnsi="Cambria" w:cs="Helvetica"/>
                <w:sz w:val="20"/>
                <w:szCs w:val="20"/>
                <w:lang w:eastAsia="ko-KR"/>
              </w:rPr>
            </w:pPr>
            <w:r w:rsidRPr="00690093">
              <w:rPr>
                <w:rFonts w:ascii="Cambria" w:eastAsia="Times New Roman" w:hAnsi="Cambria" w:cs="Helvetica"/>
                <w:sz w:val="20"/>
                <w:szCs w:val="20"/>
                <w:lang w:eastAsia="ko-KR"/>
              </w:rPr>
              <w:t>170</w:t>
            </w:r>
          </w:p>
        </w:tc>
      </w:tr>
      <w:tr w:rsidR="00690093" w:rsidRPr="00A94F48" w14:paraId="76533ADC" w14:textId="77777777" w:rsidTr="00690093">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20678EDB" w14:textId="77777777" w:rsidR="00690093" w:rsidRPr="00A94F48" w:rsidRDefault="00690093" w:rsidP="0069009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FE025D3" w14:textId="6C7CA593"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$29,067</w:t>
            </w:r>
          </w:p>
        </w:tc>
        <w:tc>
          <w:tcPr>
            <w:tcW w:w="1223" w:type="dxa"/>
            <w:tcBorders>
              <w:top w:val="nil"/>
              <w:left w:val="nil"/>
              <w:bottom w:val="single" w:sz="4" w:space="0" w:color="auto"/>
              <w:right w:val="single" w:sz="4" w:space="0" w:color="auto"/>
            </w:tcBorders>
            <w:shd w:val="clear" w:color="auto" w:fill="auto"/>
            <w:noWrap/>
            <w:vAlign w:val="center"/>
            <w:hideMark/>
          </w:tcPr>
          <w:p w14:paraId="1517E752" w14:textId="78EF401E"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$30,611</w:t>
            </w:r>
          </w:p>
        </w:tc>
        <w:tc>
          <w:tcPr>
            <w:tcW w:w="1223" w:type="dxa"/>
            <w:tcBorders>
              <w:top w:val="nil"/>
              <w:left w:val="nil"/>
              <w:bottom w:val="single" w:sz="4" w:space="0" w:color="auto"/>
              <w:right w:val="single" w:sz="4" w:space="0" w:color="auto"/>
            </w:tcBorders>
            <w:shd w:val="clear" w:color="auto" w:fill="auto"/>
            <w:noWrap/>
            <w:vAlign w:val="center"/>
            <w:hideMark/>
          </w:tcPr>
          <w:p w14:paraId="5111FC32" w14:textId="5F7EB8D8"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$28,506</w:t>
            </w:r>
          </w:p>
        </w:tc>
        <w:tc>
          <w:tcPr>
            <w:tcW w:w="1223" w:type="dxa"/>
            <w:tcBorders>
              <w:top w:val="nil"/>
              <w:left w:val="nil"/>
              <w:bottom w:val="single" w:sz="4" w:space="0" w:color="auto"/>
              <w:right w:val="single" w:sz="4" w:space="0" w:color="auto"/>
            </w:tcBorders>
            <w:shd w:val="clear" w:color="auto" w:fill="auto"/>
            <w:noWrap/>
            <w:vAlign w:val="center"/>
            <w:hideMark/>
          </w:tcPr>
          <w:p w14:paraId="3A04E7FA" w14:textId="02268D20"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$24,276</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6944252E" w14:textId="609586C9"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$19,334</w:t>
            </w:r>
          </w:p>
        </w:tc>
      </w:tr>
      <w:tr w:rsidR="00690093" w:rsidRPr="00A94F48" w14:paraId="2E8200D7" w14:textId="77777777" w:rsidTr="00690093">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7206125D" w14:textId="77777777" w:rsidR="00690093" w:rsidRPr="00A94F48" w:rsidRDefault="00690093" w:rsidP="0069009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lastRenderedPageBreak/>
              <w:t>Impact on personal income ($000)</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6DFB7125" w14:textId="0F58474D"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$25,784</w:t>
            </w:r>
          </w:p>
        </w:tc>
        <w:tc>
          <w:tcPr>
            <w:tcW w:w="1223" w:type="dxa"/>
            <w:tcBorders>
              <w:top w:val="nil"/>
              <w:left w:val="nil"/>
              <w:bottom w:val="single" w:sz="4" w:space="0" w:color="auto"/>
              <w:right w:val="single" w:sz="4" w:space="0" w:color="auto"/>
            </w:tcBorders>
            <w:shd w:val="clear" w:color="auto" w:fill="auto"/>
            <w:noWrap/>
            <w:vAlign w:val="center"/>
            <w:hideMark/>
          </w:tcPr>
          <w:p w14:paraId="62307FEA" w14:textId="404FD772"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$29,375</w:t>
            </w:r>
          </w:p>
        </w:tc>
        <w:tc>
          <w:tcPr>
            <w:tcW w:w="1223" w:type="dxa"/>
            <w:tcBorders>
              <w:top w:val="nil"/>
              <w:left w:val="nil"/>
              <w:bottom w:val="single" w:sz="4" w:space="0" w:color="auto"/>
              <w:right w:val="single" w:sz="4" w:space="0" w:color="auto"/>
            </w:tcBorders>
            <w:shd w:val="clear" w:color="auto" w:fill="auto"/>
            <w:noWrap/>
            <w:vAlign w:val="center"/>
            <w:hideMark/>
          </w:tcPr>
          <w:p w14:paraId="79A82E5D" w14:textId="403CECE3"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$29,667</w:t>
            </w:r>
          </w:p>
        </w:tc>
        <w:tc>
          <w:tcPr>
            <w:tcW w:w="1223" w:type="dxa"/>
            <w:tcBorders>
              <w:top w:val="nil"/>
              <w:left w:val="nil"/>
              <w:bottom w:val="single" w:sz="4" w:space="0" w:color="auto"/>
              <w:right w:val="single" w:sz="4" w:space="0" w:color="auto"/>
            </w:tcBorders>
            <w:shd w:val="clear" w:color="auto" w:fill="auto"/>
            <w:noWrap/>
            <w:vAlign w:val="center"/>
            <w:hideMark/>
          </w:tcPr>
          <w:p w14:paraId="44079760" w14:textId="7012DDC3"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$27,397</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724725CC" w14:textId="0A0AD1D2" w:rsidR="00690093" w:rsidRPr="001C52C6" w:rsidRDefault="00690093" w:rsidP="00690093">
            <w:pPr>
              <w:spacing w:after="0" w:line="240" w:lineRule="auto"/>
              <w:jc w:val="center"/>
              <w:rPr>
                <w:rFonts w:ascii="Cambria" w:hAnsi="Cambria" w:cs="Arial"/>
                <w:sz w:val="20"/>
                <w:szCs w:val="20"/>
              </w:rPr>
            </w:pPr>
            <w:r w:rsidRPr="00690093">
              <w:rPr>
                <w:rFonts w:ascii="Cambria" w:hAnsi="Cambria" w:cs="Arial"/>
                <w:sz w:val="20"/>
                <w:szCs w:val="20"/>
              </w:rPr>
              <w:t>$23,662</w:t>
            </w:r>
          </w:p>
        </w:tc>
      </w:tr>
    </w:tbl>
    <w:p w14:paraId="4C670A27" w14:textId="77777777" w:rsidR="009F1361" w:rsidRDefault="009F1361" w:rsidP="00D330CB">
      <w:pPr>
        <w:rPr>
          <w:rFonts w:asciiTheme="majorHAnsi" w:hAnsiTheme="majorHAnsi"/>
          <w:b/>
          <w:sz w:val="24"/>
          <w:szCs w:val="24"/>
        </w:rPr>
      </w:pPr>
    </w:p>
    <w:p w14:paraId="27FD500A" w14:textId="77777777" w:rsidR="00D328A3" w:rsidRDefault="00D328A3" w:rsidP="00D330CB">
      <w:pPr>
        <w:rPr>
          <w:rFonts w:asciiTheme="majorHAnsi" w:hAnsiTheme="majorHAnsi"/>
          <w:b/>
          <w:sz w:val="24"/>
          <w:szCs w:val="24"/>
        </w:rPr>
      </w:pPr>
    </w:p>
    <w:p w14:paraId="25AB103E"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t>Comparison of costs and benefits</w:t>
      </w:r>
    </w:p>
    <w:p w14:paraId="2E9AD4E5" w14:textId="113D1107" w:rsidR="00D330CB" w:rsidRDefault="00D62DBC" w:rsidP="00D330CB">
      <w:pPr>
        <w:tabs>
          <w:tab w:val="left" w:pos="7050"/>
        </w:tabs>
        <w:spacing w:after="0"/>
        <w:rPr>
          <w:rFonts w:asciiTheme="majorHAnsi" w:hAnsiTheme="majorHAnsi"/>
          <w:bCs/>
          <w:sz w:val="24"/>
          <w:szCs w:val="23"/>
        </w:rPr>
      </w:pPr>
      <w:r>
        <w:rPr>
          <w:rFonts w:asciiTheme="majorHAnsi" w:hAnsiTheme="majorHAnsi"/>
          <w:bCs/>
          <w:sz w:val="24"/>
          <w:szCs w:val="23"/>
        </w:rPr>
        <w:t>Ignoring the opportunity cost of the tax incentive</w:t>
      </w:r>
      <w:r w:rsidR="00D330CB">
        <w:rPr>
          <w:rFonts w:asciiTheme="majorHAnsi" w:hAnsiTheme="majorHAnsi"/>
          <w:bCs/>
          <w:sz w:val="24"/>
          <w:szCs w:val="23"/>
        </w:rPr>
        <w:t xml:space="preserve">, total benefits are greater than costs. Considering the opportunity cost means asking what benefits would </w:t>
      </w:r>
      <w:r>
        <w:rPr>
          <w:rFonts w:asciiTheme="majorHAnsi" w:hAnsiTheme="majorHAnsi"/>
          <w:bCs/>
          <w:sz w:val="24"/>
          <w:szCs w:val="23"/>
        </w:rPr>
        <w:t>be reaped</w:t>
      </w:r>
      <w:r w:rsidR="00D330CB">
        <w:rPr>
          <w:rFonts w:asciiTheme="majorHAnsi" w:hAnsiTheme="majorHAnsi"/>
          <w:bCs/>
          <w:sz w:val="24"/>
          <w:szCs w:val="23"/>
        </w:rPr>
        <w:t xml:space="preserve"> if the Commonwealth </w:t>
      </w:r>
      <w:r>
        <w:rPr>
          <w:rFonts w:asciiTheme="majorHAnsi" w:hAnsiTheme="majorHAnsi"/>
          <w:bCs/>
          <w:sz w:val="24"/>
          <w:szCs w:val="23"/>
        </w:rPr>
        <w:t>used the dollars spent on the tax incentive for other purposes</w:t>
      </w:r>
      <w:r w:rsidR="00D330CB">
        <w:rPr>
          <w:rFonts w:asciiTheme="majorHAnsi" w:hAnsiTheme="majorHAnsi"/>
          <w:bCs/>
          <w:sz w:val="24"/>
          <w:szCs w:val="23"/>
        </w:rPr>
        <w:t xml:space="preserve">. </w:t>
      </w:r>
      <w:r w:rsidR="004E260A">
        <w:rPr>
          <w:rFonts w:asciiTheme="majorHAnsi" w:hAnsiTheme="majorHAnsi"/>
          <w:bCs/>
          <w:sz w:val="24"/>
          <w:szCs w:val="23"/>
        </w:rPr>
        <w:t xml:space="preserve">Those dollars could be spent in many other </w:t>
      </w:r>
      <w:proofErr w:type="gramStart"/>
      <w:r w:rsidR="004E260A">
        <w:rPr>
          <w:rFonts w:asciiTheme="majorHAnsi" w:hAnsiTheme="majorHAnsi"/>
          <w:bCs/>
          <w:sz w:val="24"/>
          <w:szCs w:val="23"/>
        </w:rPr>
        <w:t xml:space="preserve">ways, </w:t>
      </w:r>
      <w:r w:rsidR="00D330CB">
        <w:rPr>
          <w:rFonts w:asciiTheme="majorHAnsi" w:hAnsiTheme="majorHAnsi"/>
          <w:bCs/>
          <w:sz w:val="24"/>
          <w:szCs w:val="23"/>
        </w:rPr>
        <w:t>and</w:t>
      </w:r>
      <w:proofErr w:type="gramEnd"/>
      <w:r w:rsidR="00D330CB">
        <w:rPr>
          <w:rFonts w:asciiTheme="majorHAnsi" w:hAnsiTheme="majorHAnsi"/>
          <w:bCs/>
          <w:sz w:val="24"/>
          <w:szCs w:val="23"/>
        </w:rPr>
        <w:t xml:space="preserve"> examining them is beyond the scope of the current evaluation report.  Nonetheless, we reported net impacts of the tax incentive in Tables A</w:t>
      </w:r>
      <w:r w:rsidR="00D328A3">
        <w:rPr>
          <w:rFonts w:asciiTheme="majorHAnsi" w:hAnsiTheme="majorHAnsi"/>
          <w:bCs/>
          <w:sz w:val="24"/>
          <w:szCs w:val="23"/>
        </w:rPr>
        <w:t>5</w:t>
      </w:r>
      <w:r w:rsidR="00D330CB">
        <w:rPr>
          <w:rFonts w:asciiTheme="majorHAnsi" w:hAnsiTheme="majorHAnsi"/>
          <w:bCs/>
          <w:sz w:val="24"/>
          <w:szCs w:val="23"/>
        </w:rPr>
        <w:t xml:space="preserve"> and A</w:t>
      </w:r>
      <w:r w:rsidR="00D328A3">
        <w:rPr>
          <w:rFonts w:asciiTheme="majorHAnsi" w:hAnsiTheme="majorHAnsi"/>
          <w:bCs/>
          <w:sz w:val="24"/>
          <w:szCs w:val="23"/>
        </w:rPr>
        <w:t>6</w:t>
      </w:r>
      <w:r w:rsidR="00D330CB">
        <w:rPr>
          <w:rFonts w:asciiTheme="majorHAnsi" w:hAnsiTheme="majorHAnsi"/>
          <w:bCs/>
          <w:sz w:val="24"/>
          <w:szCs w:val="23"/>
        </w:rPr>
        <w:t xml:space="preserve"> below under the balanced budget requirement, which are the combined effects in Tables A</w:t>
      </w:r>
      <w:r w:rsidR="00D328A3">
        <w:rPr>
          <w:rFonts w:asciiTheme="majorHAnsi" w:hAnsiTheme="majorHAnsi"/>
          <w:bCs/>
          <w:sz w:val="24"/>
          <w:szCs w:val="23"/>
        </w:rPr>
        <w:t>1</w:t>
      </w:r>
      <w:r w:rsidR="00D330CB">
        <w:rPr>
          <w:rFonts w:asciiTheme="majorHAnsi" w:hAnsiTheme="majorHAnsi"/>
          <w:bCs/>
          <w:sz w:val="24"/>
          <w:szCs w:val="23"/>
        </w:rPr>
        <w:t>-A</w:t>
      </w:r>
      <w:r w:rsidR="00D328A3">
        <w:rPr>
          <w:rFonts w:asciiTheme="majorHAnsi" w:hAnsiTheme="majorHAnsi"/>
          <w:bCs/>
          <w:sz w:val="24"/>
          <w:szCs w:val="23"/>
        </w:rPr>
        <w:t>4</w:t>
      </w:r>
      <w:r w:rsidR="00D330CB">
        <w:rPr>
          <w:rFonts w:asciiTheme="majorHAnsi" w:hAnsiTheme="majorHAnsi"/>
          <w:bCs/>
          <w:sz w:val="24"/>
          <w:szCs w:val="23"/>
        </w:rPr>
        <w:t xml:space="preserve">. </w:t>
      </w:r>
    </w:p>
    <w:p w14:paraId="04E61BC7" w14:textId="77777777" w:rsidR="00D330CB" w:rsidRDefault="00D330CB" w:rsidP="00D330CB">
      <w:pPr>
        <w:tabs>
          <w:tab w:val="left" w:pos="7050"/>
        </w:tabs>
        <w:spacing w:after="0"/>
        <w:rPr>
          <w:rFonts w:asciiTheme="majorHAnsi" w:hAnsiTheme="majorHAnsi"/>
          <w:bCs/>
          <w:sz w:val="24"/>
          <w:szCs w:val="23"/>
        </w:rPr>
      </w:pPr>
    </w:p>
    <w:p w14:paraId="1E668FAC" w14:textId="48ABAA84" w:rsidR="00F54984" w:rsidRDefault="00D330CB" w:rsidP="00F54984">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w:t>
      </w:r>
      <w:r w:rsidR="00D328A3">
        <w:rPr>
          <w:rFonts w:asciiTheme="majorHAnsi" w:hAnsiTheme="majorHAnsi"/>
          <w:bCs/>
          <w:sz w:val="24"/>
          <w:szCs w:val="23"/>
        </w:rPr>
        <w:t>5</w:t>
      </w:r>
      <w:r w:rsidRPr="00A76DAE">
        <w:rPr>
          <w:rFonts w:asciiTheme="majorHAnsi" w:hAnsiTheme="majorHAnsi"/>
          <w:bCs/>
          <w:sz w:val="24"/>
          <w:szCs w:val="23"/>
        </w:rPr>
        <w:t xml:space="preserve"> and </w:t>
      </w:r>
      <w:r>
        <w:rPr>
          <w:rFonts w:asciiTheme="majorHAnsi" w:hAnsiTheme="majorHAnsi"/>
          <w:bCs/>
          <w:sz w:val="24"/>
          <w:szCs w:val="23"/>
        </w:rPr>
        <w:t>A</w:t>
      </w:r>
      <w:r w:rsidR="00D328A3">
        <w:rPr>
          <w:rFonts w:asciiTheme="majorHAnsi" w:hAnsiTheme="majorHAnsi"/>
          <w:bCs/>
          <w:sz w:val="24"/>
          <w:szCs w:val="23"/>
        </w:rPr>
        <w:t>6</w:t>
      </w:r>
      <w:r w:rsidRPr="00A76DAE">
        <w:rPr>
          <w:rFonts w:asciiTheme="majorHAnsi" w:hAnsiTheme="majorHAnsi"/>
          <w:bCs/>
          <w:sz w:val="24"/>
          <w:szCs w:val="23"/>
        </w:rPr>
        <w:t xml:space="preserve"> show that the </w:t>
      </w:r>
      <w:r w:rsidR="006941B4">
        <w:rPr>
          <w:rFonts w:asciiTheme="majorHAnsi" w:eastAsiaTheme="majorEastAsia" w:hAnsiTheme="majorHAnsi" w:cstheme="majorBidi"/>
          <w:bCs/>
          <w:color w:val="000000" w:themeColor="text1"/>
          <w:sz w:val="24"/>
          <w:szCs w:val="24"/>
        </w:rPr>
        <w:t xml:space="preserve">sales tax exemption </w:t>
      </w:r>
      <w:r w:rsidR="00F54984">
        <w:rPr>
          <w:rFonts w:asciiTheme="majorHAnsi" w:eastAsiaTheme="majorEastAsia" w:hAnsiTheme="majorHAnsi" w:cstheme="majorBidi"/>
          <w:bCs/>
          <w:color w:val="000000" w:themeColor="text1"/>
          <w:sz w:val="24"/>
          <w:szCs w:val="24"/>
        </w:rPr>
        <w:t>for newspapers and magazines</w:t>
      </w:r>
      <w:r w:rsidR="00F54984" w:rsidRPr="009E0158">
        <w:rPr>
          <w:rFonts w:asciiTheme="majorHAnsi" w:eastAsiaTheme="majorEastAsia" w:hAnsiTheme="majorHAnsi" w:cstheme="majorBidi"/>
          <w:bCs/>
          <w:color w:val="000000" w:themeColor="text1"/>
          <w:sz w:val="24"/>
          <w:szCs w:val="24"/>
        </w:rPr>
        <w:t xml:space="preserve"> </w:t>
      </w:r>
      <w:r w:rsidRPr="00A76DAE">
        <w:rPr>
          <w:rFonts w:asciiTheme="majorHAnsi" w:hAnsiTheme="majorHAnsi"/>
          <w:bCs/>
          <w:sz w:val="24"/>
          <w:szCs w:val="23"/>
        </w:rPr>
        <w:t xml:space="preserve">combined with a cut in state government spending results in less economic </w:t>
      </w:r>
      <w:r w:rsidR="004E260A" w:rsidRPr="00A76DAE">
        <w:rPr>
          <w:rFonts w:asciiTheme="majorHAnsi" w:hAnsiTheme="majorHAnsi"/>
          <w:bCs/>
          <w:sz w:val="24"/>
          <w:szCs w:val="23"/>
        </w:rPr>
        <w:t>activit</w:t>
      </w:r>
      <w:r w:rsidR="004E260A">
        <w:rPr>
          <w:rFonts w:asciiTheme="majorHAnsi" w:hAnsiTheme="majorHAnsi"/>
          <w:bCs/>
          <w:sz w:val="24"/>
          <w:szCs w:val="23"/>
        </w:rPr>
        <w:t>y</w:t>
      </w:r>
      <w:r w:rsidRPr="00A76DAE">
        <w:rPr>
          <w:rFonts w:asciiTheme="majorHAnsi" w:hAnsiTheme="majorHAnsi"/>
          <w:bCs/>
          <w:sz w:val="24"/>
          <w:szCs w:val="23"/>
        </w:rPr>
        <w:t xml:space="preserve">, with </w:t>
      </w:r>
      <w:r w:rsidR="00EE3B0B" w:rsidRPr="00A76DAE">
        <w:rPr>
          <w:rFonts w:asciiTheme="majorHAnsi" w:hAnsiTheme="majorHAnsi"/>
          <w:bCs/>
          <w:sz w:val="24"/>
          <w:szCs w:val="23"/>
        </w:rPr>
        <w:t>real state GDP decreasing</w:t>
      </w:r>
      <w:r w:rsidR="00EE3B0B">
        <w:rPr>
          <w:rFonts w:asciiTheme="majorHAnsi" w:hAnsiTheme="majorHAnsi"/>
          <w:bCs/>
          <w:sz w:val="24"/>
          <w:szCs w:val="23"/>
        </w:rPr>
        <w:t xml:space="preserve"> by </w:t>
      </w:r>
      <w:r w:rsidR="00F54984">
        <w:rPr>
          <w:rFonts w:asciiTheme="majorHAnsi" w:hAnsiTheme="majorHAnsi"/>
          <w:bCs/>
          <w:sz w:val="24"/>
          <w:szCs w:val="23"/>
        </w:rPr>
        <w:t>$27 million-</w:t>
      </w:r>
      <w:r w:rsidR="00F54984" w:rsidRPr="00A76DAE">
        <w:rPr>
          <w:rFonts w:asciiTheme="majorHAnsi" w:hAnsiTheme="majorHAnsi"/>
          <w:bCs/>
          <w:sz w:val="24"/>
          <w:szCs w:val="23"/>
        </w:rPr>
        <w:t>$</w:t>
      </w:r>
      <w:r w:rsidR="00F54984">
        <w:rPr>
          <w:rFonts w:asciiTheme="majorHAnsi" w:hAnsiTheme="majorHAnsi"/>
          <w:bCs/>
          <w:sz w:val="24"/>
          <w:szCs w:val="23"/>
        </w:rPr>
        <w:t>49</w:t>
      </w:r>
      <w:r w:rsidR="00F54984" w:rsidRPr="00A76DAE">
        <w:rPr>
          <w:rFonts w:asciiTheme="majorHAnsi" w:hAnsiTheme="majorHAnsi"/>
          <w:bCs/>
          <w:sz w:val="24"/>
          <w:szCs w:val="23"/>
        </w:rPr>
        <w:t xml:space="preserve"> million. The net impact on total employment is negative</w:t>
      </w:r>
      <w:r w:rsidR="00F54984">
        <w:rPr>
          <w:rFonts w:asciiTheme="majorHAnsi" w:hAnsiTheme="majorHAnsi"/>
          <w:bCs/>
          <w:sz w:val="24"/>
          <w:szCs w:val="23"/>
        </w:rPr>
        <w:t>,</w:t>
      </w:r>
      <w:r w:rsidR="00F54984" w:rsidRPr="00A76DAE">
        <w:rPr>
          <w:rFonts w:asciiTheme="majorHAnsi" w:hAnsiTheme="majorHAnsi"/>
          <w:bCs/>
          <w:sz w:val="24"/>
          <w:szCs w:val="23"/>
        </w:rPr>
        <w:t xml:space="preserve"> decreasing </w:t>
      </w:r>
      <w:r w:rsidR="00F54984">
        <w:rPr>
          <w:rFonts w:asciiTheme="majorHAnsi" w:hAnsiTheme="majorHAnsi"/>
          <w:bCs/>
          <w:sz w:val="24"/>
          <w:szCs w:val="23"/>
        </w:rPr>
        <w:t>by 326 – 596</w:t>
      </w:r>
      <w:r w:rsidR="00F54984" w:rsidRPr="000C715E">
        <w:rPr>
          <w:rFonts w:asciiTheme="majorHAnsi" w:hAnsiTheme="majorHAnsi"/>
          <w:bCs/>
          <w:sz w:val="24"/>
          <w:szCs w:val="23"/>
        </w:rPr>
        <w:t xml:space="preserve"> </w:t>
      </w:r>
      <w:r w:rsidR="00F54984">
        <w:rPr>
          <w:rFonts w:asciiTheme="majorHAnsi" w:hAnsiTheme="majorHAnsi"/>
          <w:bCs/>
          <w:sz w:val="24"/>
          <w:szCs w:val="23"/>
        </w:rPr>
        <w:t xml:space="preserve">jobs </w:t>
      </w:r>
      <w:r w:rsidR="00F54984" w:rsidRPr="00A76DAE">
        <w:rPr>
          <w:rFonts w:asciiTheme="majorHAnsi" w:hAnsiTheme="majorHAnsi"/>
          <w:bCs/>
          <w:sz w:val="24"/>
          <w:szCs w:val="23"/>
        </w:rPr>
        <w:t xml:space="preserve">annually. The </w:t>
      </w:r>
      <w:r w:rsidR="00F54984">
        <w:rPr>
          <w:rFonts w:asciiTheme="majorHAnsi" w:hAnsiTheme="majorHAnsi"/>
          <w:bCs/>
          <w:sz w:val="24"/>
          <w:szCs w:val="23"/>
        </w:rPr>
        <w:t xml:space="preserve">net additional </w:t>
      </w:r>
      <w:r w:rsidR="00F54984" w:rsidRPr="00A76DAE">
        <w:rPr>
          <w:rFonts w:asciiTheme="majorHAnsi" w:hAnsiTheme="majorHAnsi"/>
          <w:bCs/>
          <w:sz w:val="24"/>
          <w:szCs w:val="23"/>
        </w:rPr>
        <w:t xml:space="preserve">impact on </w:t>
      </w:r>
      <w:r w:rsidR="00F54984">
        <w:rPr>
          <w:rFonts w:asciiTheme="majorHAnsi" w:hAnsiTheme="majorHAnsi"/>
          <w:bCs/>
          <w:sz w:val="24"/>
          <w:szCs w:val="23"/>
        </w:rPr>
        <w:t xml:space="preserve">state </w:t>
      </w:r>
      <w:r w:rsidR="00F54984" w:rsidRPr="00A76DAE">
        <w:rPr>
          <w:rFonts w:asciiTheme="majorHAnsi" w:hAnsiTheme="majorHAnsi"/>
          <w:bCs/>
          <w:sz w:val="24"/>
          <w:szCs w:val="23"/>
        </w:rPr>
        <w:t xml:space="preserve">revenues is also negative, decreasing </w:t>
      </w:r>
      <w:r w:rsidR="00F54984">
        <w:rPr>
          <w:rFonts w:asciiTheme="majorHAnsi" w:hAnsiTheme="majorHAnsi"/>
          <w:bCs/>
          <w:sz w:val="24"/>
          <w:szCs w:val="23"/>
        </w:rPr>
        <w:t>by</w:t>
      </w:r>
      <w:r w:rsidR="00F54984" w:rsidRPr="00A76DAE">
        <w:rPr>
          <w:rFonts w:asciiTheme="majorHAnsi" w:hAnsiTheme="majorHAnsi"/>
          <w:bCs/>
          <w:sz w:val="24"/>
          <w:szCs w:val="23"/>
        </w:rPr>
        <w:t xml:space="preserve"> </w:t>
      </w:r>
      <w:r w:rsidR="00F54984" w:rsidRPr="000C715E">
        <w:rPr>
          <w:rFonts w:asciiTheme="majorHAnsi" w:hAnsiTheme="majorHAnsi"/>
          <w:bCs/>
          <w:sz w:val="24"/>
          <w:szCs w:val="23"/>
        </w:rPr>
        <w:t>$</w:t>
      </w:r>
      <w:r w:rsidR="00F54984">
        <w:rPr>
          <w:rFonts w:asciiTheme="majorHAnsi" w:hAnsiTheme="majorHAnsi"/>
          <w:bCs/>
          <w:sz w:val="24"/>
          <w:szCs w:val="23"/>
        </w:rPr>
        <w:t>0.9</w:t>
      </w:r>
      <w:r w:rsidR="00F54984" w:rsidRPr="000C715E">
        <w:rPr>
          <w:rFonts w:asciiTheme="majorHAnsi" w:hAnsiTheme="majorHAnsi"/>
          <w:bCs/>
          <w:sz w:val="24"/>
          <w:szCs w:val="23"/>
        </w:rPr>
        <w:t xml:space="preserve"> million to $</w:t>
      </w:r>
      <w:r w:rsidR="00F54984">
        <w:rPr>
          <w:rFonts w:asciiTheme="majorHAnsi" w:hAnsiTheme="majorHAnsi"/>
          <w:bCs/>
          <w:sz w:val="24"/>
          <w:szCs w:val="23"/>
        </w:rPr>
        <w:t>1.7</w:t>
      </w:r>
      <w:r w:rsidR="00F54984" w:rsidRPr="000C715E">
        <w:rPr>
          <w:rFonts w:asciiTheme="majorHAnsi" w:hAnsiTheme="majorHAnsi"/>
          <w:bCs/>
          <w:sz w:val="24"/>
          <w:szCs w:val="23"/>
        </w:rPr>
        <w:t xml:space="preserve"> </w:t>
      </w:r>
      <w:r w:rsidR="00F54984" w:rsidRPr="00A76DAE">
        <w:rPr>
          <w:rFonts w:asciiTheme="majorHAnsi" w:hAnsiTheme="majorHAnsi"/>
          <w:bCs/>
          <w:sz w:val="24"/>
          <w:szCs w:val="23"/>
        </w:rPr>
        <w:t>million annually.</w:t>
      </w:r>
    </w:p>
    <w:p w14:paraId="5FA285D6" w14:textId="77777777" w:rsidR="00F54984" w:rsidRDefault="00F54984" w:rsidP="00F54984">
      <w:pPr>
        <w:tabs>
          <w:tab w:val="left" w:pos="7050"/>
        </w:tabs>
        <w:spacing w:after="0"/>
        <w:rPr>
          <w:rFonts w:asciiTheme="majorHAnsi" w:hAnsiTheme="majorHAnsi"/>
          <w:bCs/>
          <w:sz w:val="24"/>
          <w:szCs w:val="23"/>
        </w:rPr>
      </w:pPr>
    </w:p>
    <w:p w14:paraId="78F5401A" w14:textId="77777777" w:rsidR="00F54984" w:rsidRDefault="00F54984" w:rsidP="00F54984">
      <w:pPr>
        <w:tabs>
          <w:tab w:val="left" w:pos="7050"/>
        </w:tabs>
        <w:spacing w:after="0"/>
        <w:rPr>
          <w:rFonts w:asciiTheme="majorHAnsi" w:hAnsiTheme="majorHAnsi"/>
          <w:bCs/>
          <w:sz w:val="24"/>
          <w:szCs w:val="23"/>
        </w:rPr>
      </w:pPr>
      <w:r>
        <w:rPr>
          <w:rFonts w:asciiTheme="majorHAnsi" w:hAnsiTheme="majorHAnsi"/>
          <w:bCs/>
          <w:sz w:val="24"/>
          <w:szCs w:val="23"/>
        </w:rPr>
        <w:t xml:space="preserve">Note that because the tax expenditure has a specific purpose </w:t>
      </w:r>
      <w:r w:rsidRPr="00387AE1">
        <w:rPr>
          <w:rFonts w:asciiTheme="majorHAnsi" w:hAnsiTheme="majorHAnsi"/>
          <w:bCs/>
          <w:sz w:val="24"/>
          <w:szCs w:val="24"/>
        </w:rPr>
        <w:t>(</w:t>
      </w:r>
      <w:r>
        <w:rPr>
          <w:rFonts w:asciiTheme="majorHAnsi" w:eastAsiaTheme="majorEastAsia" w:hAnsiTheme="majorHAnsi" w:cstheme="majorBidi"/>
          <w:bCs/>
          <w:color w:val="000000" w:themeColor="text1"/>
          <w:sz w:val="24"/>
          <w:szCs w:val="24"/>
        </w:rPr>
        <w:t>in this case, w</w:t>
      </w:r>
      <w:r>
        <w:rPr>
          <w:rFonts w:asciiTheme="majorHAnsi" w:eastAsiaTheme="majorEastAsia" w:hAnsiTheme="majorHAnsi" w:cstheme="majorBidi"/>
          <w:bCs/>
          <w:color w:val="000000" w:themeColor="text1"/>
          <w:sz w:val="24"/>
        </w:rPr>
        <w:t>e infer that the goal is t</w:t>
      </w:r>
      <w:r w:rsidRPr="00431536">
        <w:rPr>
          <w:rFonts w:asciiTheme="majorHAnsi" w:eastAsiaTheme="majorEastAsia" w:hAnsiTheme="majorHAnsi" w:cstheme="majorBidi"/>
          <w:bCs/>
          <w:color w:val="000000" w:themeColor="text1"/>
          <w:sz w:val="24"/>
        </w:rPr>
        <w:t xml:space="preserve">o encourage publication and readership of newspapers and magazines </w:t>
      </w:r>
      <w:r>
        <w:rPr>
          <w:rFonts w:asciiTheme="majorHAnsi" w:eastAsiaTheme="majorEastAsia" w:hAnsiTheme="majorHAnsi" w:cstheme="majorBidi"/>
          <w:bCs/>
          <w:color w:val="000000" w:themeColor="text1"/>
          <w:sz w:val="24"/>
        </w:rPr>
        <w:t>to enrich citizens’ knowledge about current political, social, cultural, and sports events, and world affairs</w:t>
      </w:r>
      <w:r w:rsidRPr="00387AE1">
        <w:rPr>
          <w:rFonts w:asciiTheme="majorHAnsi" w:eastAsiaTheme="majorEastAsia" w:hAnsiTheme="majorHAnsi" w:cstheme="majorBidi"/>
          <w:bCs/>
          <w:color w:val="000000" w:themeColor="text1"/>
          <w:sz w:val="24"/>
          <w:szCs w:val="24"/>
        </w:rPr>
        <w:t>)</w:t>
      </w:r>
      <w:r>
        <w:rPr>
          <w:rFonts w:asciiTheme="majorHAnsi" w:hAnsiTheme="majorHAnsi"/>
          <w:bCs/>
          <w:sz w:val="24"/>
          <w:szCs w:val="23"/>
        </w:rPr>
        <w:t xml:space="preserve">, the net negative impacts on economic activity do not necessarily imply that the tax expenditure is not desirable. </w:t>
      </w:r>
    </w:p>
    <w:p w14:paraId="3AB4B666" w14:textId="73A90BB8" w:rsidR="00EE3B0B" w:rsidRDefault="00EE3B0B" w:rsidP="00F54984">
      <w:pPr>
        <w:tabs>
          <w:tab w:val="left" w:pos="7050"/>
        </w:tabs>
        <w:spacing w:after="0"/>
        <w:rPr>
          <w:rFonts w:asciiTheme="majorHAnsi" w:hAnsiTheme="majorHAnsi"/>
          <w:bCs/>
          <w:sz w:val="24"/>
          <w:szCs w:val="23"/>
        </w:rPr>
      </w:pPr>
    </w:p>
    <w:p w14:paraId="60E8E4B6" w14:textId="77777777" w:rsidR="00F54984" w:rsidRDefault="00D330CB" w:rsidP="00F54984">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14CB1">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w:t>
      </w:r>
      <w:r w:rsidR="00F54984">
        <w:rPr>
          <w:rFonts w:asciiTheme="majorHAnsi" w:eastAsiaTheme="majorEastAsia" w:hAnsiTheme="majorHAnsi" w:cstheme="majorBidi"/>
          <w:b/>
          <w:color w:val="000000" w:themeColor="text1"/>
          <w:sz w:val="24"/>
          <w:szCs w:val="24"/>
        </w:rPr>
        <w:t>Net Additional Revenue Impact of S</w:t>
      </w:r>
      <w:r w:rsidR="00F54984" w:rsidRPr="006941B4">
        <w:rPr>
          <w:rFonts w:asciiTheme="majorHAnsi" w:eastAsiaTheme="majorEastAsia" w:hAnsiTheme="majorHAnsi" w:cstheme="majorBidi"/>
          <w:b/>
          <w:color w:val="000000" w:themeColor="text1"/>
          <w:sz w:val="24"/>
          <w:szCs w:val="24"/>
        </w:rPr>
        <w:t xml:space="preserve">ales </w:t>
      </w:r>
      <w:r w:rsidR="00F54984">
        <w:rPr>
          <w:rFonts w:asciiTheme="majorHAnsi" w:eastAsiaTheme="majorEastAsia" w:hAnsiTheme="majorHAnsi" w:cstheme="majorBidi"/>
          <w:b/>
          <w:color w:val="000000" w:themeColor="text1"/>
          <w:sz w:val="24"/>
          <w:szCs w:val="24"/>
        </w:rPr>
        <w:t>T</w:t>
      </w:r>
      <w:r w:rsidR="00F54984" w:rsidRPr="006941B4">
        <w:rPr>
          <w:rFonts w:asciiTheme="majorHAnsi" w:eastAsiaTheme="majorEastAsia" w:hAnsiTheme="majorHAnsi" w:cstheme="majorBidi"/>
          <w:b/>
          <w:color w:val="000000" w:themeColor="text1"/>
          <w:sz w:val="24"/>
          <w:szCs w:val="24"/>
        </w:rPr>
        <w:t xml:space="preserve">ax </w:t>
      </w:r>
      <w:r w:rsidR="00F54984">
        <w:rPr>
          <w:rFonts w:asciiTheme="majorHAnsi" w:eastAsiaTheme="majorEastAsia" w:hAnsiTheme="majorHAnsi" w:cstheme="majorBidi"/>
          <w:b/>
          <w:color w:val="000000" w:themeColor="text1"/>
          <w:sz w:val="24"/>
          <w:szCs w:val="24"/>
        </w:rPr>
        <w:t>E</w:t>
      </w:r>
      <w:r w:rsidR="00F54984" w:rsidRPr="006941B4">
        <w:rPr>
          <w:rFonts w:asciiTheme="majorHAnsi" w:eastAsiaTheme="majorEastAsia" w:hAnsiTheme="majorHAnsi" w:cstheme="majorBidi"/>
          <w:b/>
          <w:color w:val="000000" w:themeColor="text1"/>
          <w:sz w:val="24"/>
          <w:szCs w:val="24"/>
        </w:rPr>
        <w:t xml:space="preserve">xemption </w:t>
      </w:r>
    </w:p>
    <w:p w14:paraId="619B026A" w14:textId="77777777" w:rsidR="00F54984" w:rsidRDefault="00F54984" w:rsidP="00F54984">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Newspapers and Magazines*</w:t>
      </w:r>
    </w:p>
    <w:tbl>
      <w:tblPr>
        <w:tblW w:w="9350" w:type="dxa"/>
        <w:tblLook w:val="04A0" w:firstRow="1" w:lastRow="0" w:firstColumn="1" w:lastColumn="0" w:noHBand="0" w:noVBand="1"/>
      </w:tblPr>
      <w:tblGrid>
        <w:gridCol w:w="3835"/>
        <w:gridCol w:w="1103"/>
        <w:gridCol w:w="1103"/>
        <w:gridCol w:w="1103"/>
        <w:gridCol w:w="1103"/>
        <w:gridCol w:w="1103"/>
      </w:tblGrid>
      <w:tr w:rsidR="00F54984" w:rsidRPr="00E072E2" w14:paraId="7B4029A9" w14:textId="77777777" w:rsidTr="00CF71F2">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2B896B8" w14:textId="77777777" w:rsidR="00F54984" w:rsidRPr="00E072E2" w:rsidRDefault="00F54984" w:rsidP="00CF71F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E7ACE22" w14:textId="77777777" w:rsidR="00F54984" w:rsidRPr="00E072E2" w:rsidRDefault="00F54984" w:rsidP="00CF71F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842DE85" w14:textId="77777777" w:rsidR="00F54984" w:rsidRPr="00E072E2" w:rsidRDefault="00F54984" w:rsidP="00CF71F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85F6AF0" w14:textId="77777777" w:rsidR="00F54984" w:rsidRPr="00E072E2" w:rsidRDefault="00F54984" w:rsidP="00CF71F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F962BC4" w14:textId="77777777" w:rsidR="00F54984" w:rsidRPr="00E072E2" w:rsidRDefault="00F54984" w:rsidP="00CF71F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F19C8FB" w14:textId="77777777" w:rsidR="00F54984" w:rsidRPr="00E072E2" w:rsidRDefault="00F54984" w:rsidP="00CF71F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F54984" w:rsidRPr="00E072E2" w14:paraId="5B777DFA" w14:textId="77777777" w:rsidTr="00CF71F2">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678B287C" w14:textId="77777777" w:rsidR="00F54984" w:rsidRPr="00E072E2" w:rsidRDefault="00F54984" w:rsidP="00CF71F2">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130F"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-$863</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4F10384"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-$1,718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2D2082FF"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-$1,619</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34E3246"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-$1,543</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79EB85C3"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-$1,466</w:t>
            </w:r>
          </w:p>
        </w:tc>
      </w:tr>
    </w:tbl>
    <w:p w14:paraId="1228CEA4" w14:textId="77777777" w:rsidR="00F54984" w:rsidRDefault="00F54984" w:rsidP="00F54984">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sales tax exemption for newspapers and magazines to balance budget</w:t>
      </w:r>
      <w:r w:rsidRPr="00304366">
        <w:rPr>
          <w:rFonts w:asciiTheme="majorHAnsi" w:hAnsiTheme="majorHAnsi"/>
          <w:bCs/>
          <w:sz w:val="20"/>
          <w:szCs w:val="20"/>
        </w:rPr>
        <w:t>.</w:t>
      </w:r>
    </w:p>
    <w:p w14:paraId="0943A843" w14:textId="428C35DB" w:rsidR="00D330CB" w:rsidRDefault="00D330CB" w:rsidP="00F54984">
      <w:pPr>
        <w:spacing w:after="0"/>
        <w:jc w:val="center"/>
        <w:rPr>
          <w:rFonts w:asciiTheme="majorHAnsi" w:hAnsiTheme="majorHAnsi"/>
          <w:sz w:val="24"/>
          <w:szCs w:val="24"/>
        </w:rPr>
      </w:pPr>
    </w:p>
    <w:p w14:paraId="3F2798E4" w14:textId="77777777" w:rsidR="00F54984" w:rsidRDefault="00D330CB" w:rsidP="00F54984">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14CB1">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sidR="00F54984">
        <w:rPr>
          <w:rFonts w:asciiTheme="majorHAnsi" w:eastAsiaTheme="majorEastAsia" w:hAnsiTheme="majorHAnsi" w:cstheme="majorBidi"/>
          <w:b/>
          <w:color w:val="000000" w:themeColor="text1"/>
          <w:sz w:val="24"/>
          <w:szCs w:val="24"/>
        </w:rPr>
        <w:t>Net Economic Impacts of S</w:t>
      </w:r>
      <w:r w:rsidR="00F54984" w:rsidRPr="006941B4">
        <w:rPr>
          <w:rFonts w:asciiTheme="majorHAnsi" w:eastAsiaTheme="majorEastAsia" w:hAnsiTheme="majorHAnsi" w:cstheme="majorBidi"/>
          <w:b/>
          <w:color w:val="000000" w:themeColor="text1"/>
          <w:sz w:val="24"/>
          <w:szCs w:val="24"/>
        </w:rPr>
        <w:t xml:space="preserve">ales </w:t>
      </w:r>
      <w:r w:rsidR="00F54984">
        <w:rPr>
          <w:rFonts w:asciiTheme="majorHAnsi" w:eastAsiaTheme="majorEastAsia" w:hAnsiTheme="majorHAnsi" w:cstheme="majorBidi"/>
          <w:b/>
          <w:color w:val="000000" w:themeColor="text1"/>
          <w:sz w:val="24"/>
          <w:szCs w:val="24"/>
        </w:rPr>
        <w:t>T</w:t>
      </w:r>
      <w:r w:rsidR="00F54984" w:rsidRPr="006941B4">
        <w:rPr>
          <w:rFonts w:asciiTheme="majorHAnsi" w:eastAsiaTheme="majorEastAsia" w:hAnsiTheme="majorHAnsi" w:cstheme="majorBidi"/>
          <w:b/>
          <w:color w:val="000000" w:themeColor="text1"/>
          <w:sz w:val="24"/>
          <w:szCs w:val="24"/>
        </w:rPr>
        <w:t xml:space="preserve">ax </w:t>
      </w:r>
      <w:r w:rsidR="00F54984">
        <w:rPr>
          <w:rFonts w:asciiTheme="majorHAnsi" w:eastAsiaTheme="majorEastAsia" w:hAnsiTheme="majorHAnsi" w:cstheme="majorBidi"/>
          <w:b/>
          <w:color w:val="000000" w:themeColor="text1"/>
          <w:sz w:val="24"/>
          <w:szCs w:val="24"/>
        </w:rPr>
        <w:t>E</w:t>
      </w:r>
      <w:r w:rsidR="00F54984" w:rsidRPr="006941B4">
        <w:rPr>
          <w:rFonts w:asciiTheme="majorHAnsi" w:eastAsiaTheme="majorEastAsia" w:hAnsiTheme="majorHAnsi" w:cstheme="majorBidi"/>
          <w:b/>
          <w:color w:val="000000" w:themeColor="text1"/>
          <w:sz w:val="24"/>
          <w:szCs w:val="24"/>
        </w:rPr>
        <w:t xml:space="preserve">xemption </w:t>
      </w:r>
    </w:p>
    <w:p w14:paraId="6D214402" w14:textId="77777777" w:rsidR="00F54984" w:rsidRDefault="00F54984" w:rsidP="00F54984">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Newspapers and Magazines 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F54984" w:rsidRPr="00A94F48" w14:paraId="03E31EE7" w14:textId="77777777" w:rsidTr="00CF71F2">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03AF11F" w14:textId="77777777" w:rsidR="00F54984" w:rsidRPr="00A94F48" w:rsidRDefault="00F54984" w:rsidP="00CF71F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040F76B" w14:textId="77777777" w:rsidR="00F54984" w:rsidRPr="00A94F48" w:rsidRDefault="00F54984" w:rsidP="00CF71F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3760B6D0" w14:textId="77777777" w:rsidR="00F54984" w:rsidRPr="00A94F48" w:rsidRDefault="00F54984" w:rsidP="00CF71F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14521578" w14:textId="77777777" w:rsidR="00F54984" w:rsidRPr="00A94F48" w:rsidRDefault="00F54984" w:rsidP="00CF71F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C0E5025" w14:textId="77777777" w:rsidR="00F54984" w:rsidRPr="00A94F48" w:rsidRDefault="00F54984" w:rsidP="00CF71F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3C257415" w14:textId="77777777" w:rsidR="00F54984" w:rsidRPr="00A94F48" w:rsidRDefault="00F54984" w:rsidP="00CF71F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F54984" w:rsidRPr="00A94F48" w14:paraId="3154BDB9" w14:textId="77777777" w:rsidTr="00CF71F2">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3B252C28" w14:textId="77777777" w:rsidR="00F54984" w:rsidRPr="00A94F48" w:rsidRDefault="00F54984" w:rsidP="00CF71F2">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C2C4"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-596</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700B9093"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-495</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06B63A29"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-429</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17E1F9F5"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-373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F548"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-326</w:t>
            </w:r>
          </w:p>
        </w:tc>
      </w:tr>
      <w:tr w:rsidR="00F54984" w:rsidRPr="00A94F48" w14:paraId="1D814FF3" w14:textId="77777777" w:rsidTr="00CF71F2">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1AFF31A2" w14:textId="77777777" w:rsidR="00F54984" w:rsidRPr="00A94F48" w:rsidRDefault="00F54984" w:rsidP="00CF71F2">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lastRenderedPageBreak/>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4B1FDC02"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-204</w:t>
            </w:r>
          </w:p>
        </w:tc>
        <w:tc>
          <w:tcPr>
            <w:tcW w:w="1197" w:type="dxa"/>
            <w:tcBorders>
              <w:top w:val="nil"/>
              <w:left w:val="nil"/>
              <w:bottom w:val="single" w:sz="4" w:space="0" w:color="auto"/>
              <w:right w:val="single" w:sz="4" w:space="0" w:color="auto"/>
            </w:tcBorders>
            <w:shd w:val="clear" w:color="auto" w:fill="auto"/>
            <w:noWrap/>
            <w:vAlign w:val="center"/>
            <w:hideMark/>
          </w:tcPr>
          <w:p w14:paraId="20480F7F"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-149</w:t>
            </w:r>
          </w:p>
        </w:tc>
        <w:tc>
          <w:tcPr>
            <w:tcW w:w="1197" w:type="dxa"/>
            <w:tcBorders>
              <w:top w:val="nil"/>
              <w:left w:val="nil"/>
              <w:bottom w:val="single" w:sz="4" w:space="0" w:color="auto"/>
              <w:right w:val="single" w:sz="4" w:space="0" w:color="auto"/>
            </w:tcBorders>
            <w:shd w:val="clear" w:color="auto" w:fill="auto"/>
            <w:noWrap/>
            <w:vAlign w:val="center"/>
            <w:hideMark/>
          </w:tcPr>
          <w:p w14:paraId="07873BA7"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-129</w:t>
            </w:r>
          </w:p>
        </w:tc>
        <w:tc>
          <w:tcPr>
            <w:tcW w:w="1197" w:type="dxa"/>
            <w:tcBorders>
              <w:top w:val="nil"/>
              <w:left w:val="nil"/>
              <w:bottom w:val="single" w:sz="4" w:space="0" w:color="auto"/>
              <w:right w:val="single" w:sz="4" w:space="0" w:color="auto"/>
            </w:tcBorders>
            <w:shd w:val="clear" w:color="auto" w:fill="auto"/>
            <w:noWrap/>
            <w:vAlign w:val="center"/>
            <w:hideMark/>
          </w:tcPr>
          <w:p w14:paraId="6A083834"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-113</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861081E" w14:textId="77777777" w:rsidR="00F54984" w:rsidRPr="007B1A7A" w:rsidRDefault="00F54984" w:rsidP="00CF71F2">
            <w:pPr>
              <w:spacing w:after="0" w:line="240" w:lineRule="auto"/>
              <w:jc w:val="center"/>
              <w:rPr>
                <w:rFonts w:asciiTheme="majorHAnsi" w:hAnsiTheme="majorHAnsi" w:cs="Calibri"/>
                <w:color w:val="000000"/>
                <w:sz w:val="20"/>
                <w:szCs w:val="20"/>
              </w:rPr>
            </w:pPr>
            <w:r w:rsidRPr="001414A2">
              <w:rPr>
                <w:rFonts w:asciiTheme="majorHAnsi" w:hAnsiTheme="majorHAnsi" w:cs="Calibri"/>
                <w:color w:val="000000"/>
                <w:sz w:val="20"/>
                <w:szCs w:val="20"/>
              </w:rPr>
              <w:t>-100</w:t>
            </w:r>
          </w:p>
        </w:tc>
      </w:tr>
      <w:tr w:rsidR="00F54984" w:rsidRPr="00A94F48" w14:paraId="5172EF4D" w14:textId="77777777" w:rsidTr="00CF71F2">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04E4EA15" w14:textId="77777777" w:rsidR="00F54984" w:rsidRPr="00A94F48" w:rsidRDefault="00F54984" w:rsidP="00CF71F2">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CF4E212"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-$49,267</w:t>
            </w:r>
          </w:p>
        </w:tc>
        <w:tc>
          <w:tcPr>
            <w:tcW w:w="1197" w:type="dxa"/>
            <w:tcBorders>
              <w:top w:val="nil"/>
              <w:left w:val="nil"/>
              <w:bottom w:val="single" w:sz="4" w:space="0" w:color="auto"/>
              <w:right w:val="single" w:sz="4" w:space="0" w:color="auto"/>
            </w:tcBorders>
            <w:shd w:val="clear" w:color="auto" w:fill="auto"/>
            <w:noWrap/>
            <w:vAlign w:val="center"/>
            <w:hideMark/>
          </w:tcPr>
          <w:p w14:paraId="3991C074"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-$40,742</w:t>
            </w:r>
          </w:p>
        </w:tc>
        <w:tc>
          <w:tcPr>
            <w:tcW w:w="1197" w:type="dxa"/>
            <w:tcBorders>
              <w:top w:val="nil"/>
              <w:left w:val="nil"/>
              <w:bottom w:val="single" w:sz="4" w:space="0" w:color="auto"/>
              <w:right w:val="single" w:sz="4" w:space="0" w:color="auto"/>
            </w:tcBorders>
            <w:shd w:val="clear" w:color="auto" w:fill="auto"/>
            <w:noWrap/>
            <w:vAlign w:val="center"/>
            <w:hideMark/>
          </w:tcPr>
          <w:p w14:paraId="2790FBE8"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-$35,409</w:t>
            </w:r>
          </w:p>
        </w:tc>
        <w:tc>
          <w:tcPr>
            <w:tcW w:w="1197" w:type="dxa"/>
            <w:tcBorders>
              <w:top w:val="nil"/>
              <w:left w:val="nil"/>
              <w:bottom w:val="single" w:sz="4" w:space="0" w:color="auto"/>
              <w:right w:val="single" w:sz="4" w:space="0" w:color="auto"/>
            </w:tcBorders>
            <w:shd w:val="clear" w:color="auto" w:fill="auto"/>
            <w:noWrap/>
            <w:vAlign w:val="center"/>
            <w:hideMark/>
          </w:tcPr>
          <w:p w14:paraId="001CBDFD"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-$31,065</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69B14A0E"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-$27,379</w:t>
            </w:r>
          </w:p>
        </w:tc>
      </w:tr>
      <w:tr w:rsidR="00F54984" w:rsidRPr="00A94F48" w14:paraId="56F51453" w14:textId="77777777" w:rsidTr="00CF71F2">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41533AA2" w14:textId="77777777" w:rsidR="00F54984" w:rsidRPr="00A94F48" w:rsidRDefault="00F54984" w:rsidP="00CF71F2">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0FD34A4"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-$39,528</w:t>
            </w:r>
          </w:p>
        </w:tc>
        <w:tc>
          <w:tcPr>
            <w:tcW w:w="1197" w:type="dxa"/>
            <w:tcBorders>
              <w:top w:val="nil"/>
              <w:left w:val="nil"/>
              <w:bottom w:val="single" w:sz="4" w:space="0" w:color="auto"/>
              <w:right w:val="single" w:sz="4" w:space="0" w:color="auto"/>
            </w:tcBorders>
            <w:shd w:val="clear" w:color="auto" w:fill="auto"/>
            <w:noWrap/>
            <w:vAlign w:val="center"/>
            <w:hideMark/>
          </w:tcPr>
          <w:p w14:paraId="7CD93E9B"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-$36,784</w:t>
            </w:r>
          </w:p>
        </w:tc>
        <w:tc>
          <w:tcPr>
            <w:tcW w:w="1197" w:type="dxa"/>
            <w:tcBorders>
              <w:top w:val="nil"/>
              <w:left w:val="nil"/>
              <w:bottom w:val="single" w:sz="4" w:space="0" w:color="auto"/>
              <w:right w:val="single" w:sz="4" w:space="0" w:color="auto"/>
            </w:tcBorders>
            <w:shd w:val="clear" w:color="auto" w:fill="auto"/>
            <w:noWrap/>
            <w:vAlign w:val="center"/>
            <w:hideMark/>
          </w:tcPr>
          <w:p w14:paraId="3543C801"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-$35,063</w:t>
            </w:r>
          </w:p>
        </w:tc>
        <w:tc>
          <w:tcPr>
            <w:tcW w:w="1197" w:type="dxa"/>
            <w:tcBorders>
              <w:top w:val="nil"/>
              <w:left w:val="nil"/>
              <w:bottom w:val="single" w:sz="4" w:space="0" w:color="auto"/>
              <w:right w:val="single" w:sz="4" w:space="0" w:color="auto"/>
            </w:tcBorders>
            <w:shd w:val="clear" w:color="auto" w:fill="auto"/>
            <w:noWrap/>
            <w:vAlign w:val="center"/>
            <w:hideMark/>
          </w:tcPr>
          <w:p w14:paraId="045CA668"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-$33,184</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7168A7AA" w14:textId="77777777" w:rsidR="00F54984" w:rsidRPr="007B1A7A" w:rsidRDefault="00F54984" w:rsidP="00CF71F2">
            <w:pPr>
              <w:spacing w:after="0" w:line="240" w:lineRule="auto"/>
              <w:jc w:val="center"/>
              <w:rPr>
                <w:rFonts w:ascii="Cambria" w:eastAsia="Times New Roman" w:hAnsi="Cambria" w:cs="Arial"/>
                <w:sz w:val="20"/>
                <w:szCs w:val="20"/>
                <w:lang w:eastAsia="ko-KR"/>
              </w:rPr>
            </w:pPr>
            <w:r w:rsidRPr="001414A2">
              <w:rPr>
                <w:rFonts w:ascii="Cambria" w:eastAsia="Times New Roman" w:hAnsi="Cambria" w:cs="Arial"/>
                <w:sz w:val="20"/>
                <w:szCs w:val="20"/>
                <w:lang w:eastAsia="ko-KR"/>
              </w:rPr>
              <w:t>-$31,412</w:t>
            </w:r>
          </w:p>
        </w:tc>
      </w:tr>
    </w:tbl>
    <w:p w14:paraId="13199FD4" w14:textId="77777777" w:rsidR="00F54984" w:rsidRDefault="00F54984" w:rsidP="00F54984">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sales tax exemption for newspapers and magazines to balance budget</w:t>
      </w:r>
      <w:r w:rsidRPr="00304366">
        <w:rPr>
          <w:rFonts w:asciiTheme="majorHAnsi" w:hAnsiTheme="majorHAnsi"/>
          <w:bCs/>
          <w:sz w:val="20"/>
          <w:szCs w:val="20"/>
        </w:rPr>
        <w:t>.</w:t>
      </w:r>
    </w:p>
    <w:p w14:paraId="5173B47E" w14:textId="59153C2A" w:rsidR="00F54984" w:rsidRDefault="00F54984" w:rsidP="00F54984">
      <w:pPr>
        <w:spacing w:after="0"/>
        <w:jc w:val="center"/>
        <w:rPr>
          <w:rFonts w:asciiTheme="majorHAnsi" w:hAnsiTheme="majorHAnsi"/>
          <w:bCs/>
          <w:sz w:val="20"/>
          <w:szCs w:val="20"/>
        </w:rPr>
      </w:pPr>
    </w:p>
    <w:p w14:paraId="57157C9C" w14:textId="6E5A62E8" w:rsidR="00F54984" w:rsidRDefault="00F54984" w:rsidP="006F5610">
      <w:pPr>
        <w:tabs>
          <w:tab w:val="left" w:pos="7050"/>
        </w:tabs>
        <w:spacing w:after="0"/>
        <w:rPr>
          <w:rFonts w:asciiTheme="majorHAnsi" w:hAnsiTheme="majorHAnsi"/>
          <w:bCs/>
          <w:sz w:val="20"/>
          <w:szCs w:val="20"/>
        </w:rPr>
      </w:pPr>
    </w:p>
    <w:p w14:paraId="1C915040" w14:textId="0DC0655E" w:rsidR="00F54984" w:rsidRDefault="00F54984" w:rsidP="006F5610">
      <w:pPr>
        <w:tabs>
          <w:tab w:val="left" w:pos="7050"/>
        </w:tabs>
        <w:spacing w:after="0"/>
        <w:rPr>
          <w:rFonts w:asciiTheme="majorHAnsi" w:hAnsiTheme="majorHAnsi"/>
          <w:bCs/>
          <w:sz w:val="20"/>
          <w:szCs w:val="20"/>
        </w:rPr>
      </w:pPr>
    </w:p>
    <w:sectPr w:rsidR="00F54984" w:rsidSect="00ED458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CB79" w14:textId="77777777" w:rsidR="00840645" w:rsidRDefault="00840645" w:rsidP="00110E98">
      <w:pPr>
        <w:spacing w:after="0" w:line="240" w:lineRule="auto"/>
      </w:pPr>
      <w:r>
        <w:separator/>
      </w:r>
    </w:p>
  </w:endnote>
  <w:endnote w:type="continuationSeparator" w:id="0">
    <w:p w14:paraId="6E1B17FA" w14:textId="77777777" w:rsidR="00840645" w:rsidRDefault="00840645"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5507" w14:textId="77777777" w:rsidR="001414A2" w:rsidRDefault="00141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63B67945" w14:textId="77777777" w:rsidR="001414A2" w:rsidRDefault="001414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573D48" w14:textId="77777777" w:rsidR="001414A2" w:rsidRDefault="00141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D20" w14:textId="77777777" w:rsidR="001414A2" w:rsidRDefault="001414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6126A5EA" w14:textId="77777777" w:rsidR="001414A2" w:rsidRPr="00B204AF" w:rsidRDefault="001414A2">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13</w:t>
        </w:r>
        <w:r w:rsidRPr="00B204AF">
          <w:rPr>
            <w:rFonts w:asciiTheme="majorHAnsi" w:hAnsiTheme="majorHAnsi"/>
            <w:noProof/>
            <w:sz w:val="24"/>
          </w:rPr>
          <w:fldChar w:fldCharType="end"/>
        </w:r>
      </w:p>
    </w:sdtContent>
  </w:sdt>
  <w:p w14:paraId="22B7F866" w14:textId="77777777" w:rsidR="001414A2" w:rsidRDefault="0014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E7DA8" w14:textId="77777777" w:rsidR="00840645" w:rsidRDefault="00840645" w:rsidP="00110E98">
      <w:pPr>
        <w:spacing w:after="0" w:line="240" w:lineRule="auto"/>
      </w:pPr>
      <w:r>
        <w:separator/>
      </w:r>
    </w:p>
  </w:footnote>
  <w:footnote w:type="continuationSeparator" w:id="0">
    <w:p w14:paraId="6E97F31E" w14:textId="77777777" w:rsidR="00840645" w:rsidRDefault="00840645" w:rsidP="00110E98">
      <w:pPr>
        <w:spacing w:after="0" w:line="240" w:lineRule="auto"/>
      </w:pPr>
      <w:r>
        <w:continuationSeparator/>
      </w:r>
    </w:p>
  </w:footnote>
  <w:footnote w:id="1">
    <w:p w14:paraId="3D40C580" w14:textId="77777777" w:rsidR="00781AD9" w:rsidRDefault="00781AD9" w:rsidP="00781AD9">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1" w:history="1">
        <w:r w:rsidRPr="000B3C06">
          <w:rPr>
            <w:rStyle w:val="Hyperlink"/>
            <w:rFonts w:asciiTheme="majorHAnsi" w:hAnsiTheme="majorHAnsi"/>
          </w:rPr>
          <w:t>https://www.ilw.com/seminars/JohnNeillCitation.pdf</w:t>
        </w:r>
      </w:hyperlink>
    </w:p>
  </w:footnote>
  <w:footnote w:id="2">
    <w:p w14:paraId="53B188E8" w14:textId="77777777" w:rsidR="001414A2" w:rsidRDefault="001414A2" w:rsidP="00D330CB">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3">
    <w:p w14:paraId="1EB093A5" w14:textId="51D18F5A" w:rsidR="001414A2" w:rsidRDefault="001414A2">
      <w:pPr>
        <w:pStyle w:val="FootnoteText"/>
      </w:pPr>
      <w:r>
        <w:rPr>
          <w:rStyle w:val="FootnoteReference"/>
        </w:rPr>
        <w:footnoteRef/>
      </w:r>
      <w:r>
        <w:t xml:space="preserve"> </w:t>
      </w:r>
      <w:hyperlink r:id="rId2" w:history="1">
        <w:r w:rsidRPr="005906BA">
          <w:rPr>
            <w:rStyle w:val="Hyperlink"/>
            <w:rFonts w:asciiTheme="majorHAnsi" w:hAnsiTheme="majorHAnsi"/>
            <w:noProof/>
          </w:rPr>
          <w:t>https://www.remi.com/model/tax-pi/</w:t>
        </w:r>
      </w:hyperlink>
    </w:p>
  </w:footnote>
  <w:footnote w:id="4">
    <w:p w14:paraId="546FD78F" w14:textId="4E6CA545" w:rsidR="00781AD9" w:rsidRDefault="00781AD9">
      <w:pPr>
        <w:pStyle w:val="FootnoteText"/>
      </w:pPr>
      <w:r>
        <w:rPr>
          <w:rStyle w:val="FootnoteReference"/>
        </w:rPr>
        <w:footnoteRef/>
      </w:r>
      <w:r>
        <w:t xml:space="preserve"> Including both tax and non-tax revenues </w:t>
      </w:r>
      <w:bookmarkStart w:id="4" w:name="_Hlk54708176"/>
      <w:r>
        <w:t xml:space="preserve">but excluding the revenue loss reported in Table </w:t>
      </w:r>
      <w:bookmarkEnd w:id="4"/>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ABB5" w14:textId="77777777" w:rsidR="001414A2" w:rsidRDefault="00141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724617"/>
      <w:docPartObj>
        <w:docPartGallery w:val="Watermarks"/>
        <w:docPartUnique/>
      </w:docPartObj>
    </w:sdtPr>
    <w:sdtEndPr/>
    <w:sdtContent>
      <w:p w14:paraId="79DB7718" w14:textId="16EC6188" w:rsidR="001414A2" w:rsidRDefault="00ED540A">
        <w:pPr>
          <w:pStyle w:val="Header"/>
        </w:pPr>
        <w:r>
          <w:rPr>
            <w:noProof/>
          </w:rPr>
          <w:pict w14:anchorId="2FA49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2FD3" w14:textId="77777777" w:rsidR="001414A2" w:rsidRDefault="00141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26B1"/>
    <w:rsid w:val="00003921"/>
    <w:rsid w:val="00007047"/>
    <w:rsid w:val="0000728B"/>
    <w:rsid w:val="000130A3"/>
    <w:rsid w:val="00014865"/>
    <w:rsid w:val="00014DC6"/>
    <w:rsid w:val="000217C3"/>
    <w:rsid w:val="00027220"/>
    <w:rsid w:val="000306B8"/>
    <w:rsid w:val="00033177"/>
    <w:rsid w:val="000409F8"/>
    <w:rsid w:val="00046191"/>
    <w:rsid w:val="00046C6A"/>
    <w:rsid w:val="000479C3"/>
    <w:rsid w:val="00052CCB"/>
    <w:rsid w:val="000550C2"/>
    <w:rsid w:val="00055D59"/>
    <w:rsid w:val="000632B1"/>
    <w:rsid w:val="00065914"/>
    <w:rsid w:val="00066F7A"/>
    <w:rsid w:val="0007199B"/>
    <w:rsid w:val="00072A2B"/>
    <w:rsid w:val="0007491D"/>
    <w:rsid w:val="000751E5"/>
    <w:rsid w:val="000918D6"/>
    <w:rsid w:val="00095801"/>
    <w:rsid w:val="000A1BE0"/>
    <w:rsid w:val="000A4BDD"/>
    <w:rsid w:val="000A6B15"/>
    <w:rsid w:val="000A747D"/>
    <w:rsid w:val="000C56D9"/>
    <w:rsid w:val="000C60E9"/>
    <w:rsid w:val="000C66BA"/>
    <w:rsid w:val="000C715E"/>
    <w:rsid w:val="000D3ABD"/>
    <w:rsid w:val="000D7397"/>
    <w:rsid w:val="000E0559"/>
    <w:rsid w:val="000F11C3"/>
    <w:rsid w:val="000F3809"/>
    <w:rsid w:val="000F60D6"/>
    <w:rsid w:val="0010066B"/>
    <w:rsid w:val="00104148"/>
    <w:rsid w:val="00104651"/>
    <w:rsid w:val="00104ECE"/>
    <w:rsid w:val="00107835"/>
    <w:rsid w:val="00110E98"/>
    <w:rsid w:val="00113E0C"/>
    <w:rsid w:val="00115475"/>
    <w:rsid w:val="001175C9"/>
    <w:rsid w:val="00122D60"/>
    <w:rsid w:val="001323B1"/>
    <w:rsid w:val="001346B4"/>
    <w:rsid w:val="00136531"/>
    <w:rsid w:val="00136F81"/>
    <w:rsid w:val="001414A2"/>
    <w:rsid w:val="00141566"/>
    <w:rsid w:val="00144788"/>
    <w:rsid w:val="00156DCA"/>
    <w:rsid w:val="001573B3"/>
    <w:rsid w:val="00160C9C"/>
    <w:rsid w:val="001636F4"/>
    <w:rsid w:val="00174832"/>
    <w:rsid w:val="001821A7"/>
    <w:rsid w:val="00183ABF"/>
    <w:rsid w:val="00184E87"/>
    <w:rsid w:val="001851EC"/>
    <w:rsid w:val="00193CC7"/>
    <w:rsid w:val="001B105B"/>
    <w:rsid w:val="001B6F26"/>
    <w:rsid w:val="001B780C"/>
    <w:rsid w:val="001C40BA"/>
    <w:rsid w:val="001C52C6"/>
    <w:rsid w:val="001C6E56"/>
    <w:rsid w:val="001D2142"/>
    <w:rsid w:val="001E672D"/>
    <w:rsid w:val="001F71BF"/>
    <w:rsid w:val="002116BE"/>
    <w:rsid w:val="00221323"/>
    <w:rsid w:val="00221535"/>
    <w:rsid w:val="00223AA9"/>
    <w:rsid w:val="002330D9"/>
    <w:rsid w:val="00233579"/>
    <w:rsid w:val="00235025"/>
    <w:rsid w:val="0023666C"/>
    <w:rsid w:val="002379D0"/>
    <w:rsid w:val="00245843"/>
    <w:rsid w:val="00245D07"/>
    <w:rsid w:val="00246B14"/>
    <w:rsid w:val="00255E10"/>
    <w:rsid w:val="00257FD0"/>
    <w:rsid w:val="002621E9"/>
    <w:rsid w:val="00271B13"/>
    <w:rsid w:val="002747A7"/>
    <w:rsid w:val="002768F2"/>
    <w:rsid w:val="00280A03"/>
    <w:rsid w:val="00282EBF"/>
    <w:rsid w:val="002855DC"/>
    <w:rsid w:val="0028650F"/>
    <w:rsid w:val="0028699E"/>
    <w:rsid w:val="00287F02"/>
    <w:rsid w:val="0029089D"/>
    <w:rsid w:val="00291074"/>
    <w:rsid w:val="002970B4"/>
    <w:rsid w:val="00297117"/>
    <w:rsid w:val="002A54D6"/>
    <w:rsid w:val="002A71E8"/>
    <w:rsid w:val="002A7E4B"/>
    <w:rsid w:val="002A7F5F"/>
    <w:rsid w:val="002B31E5"/>
    <w:rsid w:val="002B65F8"/>
    <w:rsid w:val="002C19BF"/>
    <w:rsid w:val="002C4537"/>
    <w:rsid w:val="002D74AE"/>
    <w:rsid w:val="002E219A"/>
    <w:rsid w:val="002E34DD"/>
    <w:rsid w:val="002E3D4B"/>
    <w:rsid w:val="002E62D8"/>
    <w:rsid w:val="002E744D"/>
    <w:rsid w:val="002F10DB"/>
    <w:rsid w:val="002F15AE"/>
    <w:rsid w:val="002F3711"/>
    <w:rsid w:val="002F5704"/>
    <w:rsid w:val="002F6135"/>
    <w:rsid w:val="002F7EB2"/>
    <w:rsid w:val="0030014C"/>
    <w:rsid w:val="0030143D"/>
    <w:rsid w:val="00301ADF"/>
    <w:rsid w:val="003104C0"/>
    <w:rsid w:val="00320853"/>
    <w:rsid w:val="003229C4"/>
    <w:rsid w:val="003255F0"/>
    <w:rsid w:val="00325D02"/>
    <w:rsid w:val="003419DF"/>
    <w:rsid w:val="00344841"/>
    <w:rsid w:val="003520B6"/>
    <w:rsid w:val="00352D6A"/>
    <w:rsid w:val="00355122"/>
    <w:rsid w:val="00355A51"/>
    <w:rsid w:val="00357A9F"/>
    <w:rsid w:val="00357B8D"/>
    <w:rsid w:val="00360041"/>
    <w:rsid w:val="00380D5D"/>
    <w:rsid w:val="003875B5"/>
    <w:rsid w:val="0039073F"/>
    <w:rsid w:val="00395FC0"/>
    <w:rsid w:val="003B33B2"/>
    <w:rsid w:val="003B4056"/>
    <w:rsid w:val="003C1EC1"/>
    <w:rsid w:val="003C7716"/>
    <w:rsid w:val="003D6384"/>
    <w:rsid w:val="003E1F37"/>
    <w:rsid w:val="003E7080"/>
    <w:rsid w:val="003E71AD"/>
    <w:rsid w:val="003F525B"/>
    <w:rsid w:val="00401A6B"/>
    <w:rsid w:val="00407550"/>
    <w:rsid w:val="00415283"/>
    <w:rsid w:val="004157FD"/>
    <w:rsid w:val="00422531"/>
    <w:rsid w:val="00423ECE"/>
    <w:rsid w:val="00430452"/>
    <w:rsid w:val="004335D4"/>
    <w:rsid w:val="00433A2F"/>
    <w:rsid w:val="004351B8"/>
    <w:rsid w:val="0044620E"/>
    <w:rsid w:val="004526F7"/>
    <w:rsid w:val="004534D4"/>
    <w:rsid w:val="00454C37"/>
    <w:rsid w:val="0046135A"/>
    <w:rsid w:val="0047015B"/>
    <w:rsid w:val="00473834"/>
    <w:rsid w:val="00476C5D"/>
    <w:rsid w:val="00481E5A"/>
    <w:rsid w:val="00482F28"/>
    <w:rsid w:val="00485FBB"/>
    <w:rsid w:val="00486F3F"/>
    <w:rsid w:val="00491460"/>
    <w:rsid w:val="00492B57"/>
    <w:rsid w:val="0049706F"/>
    <w:rsid w:val="004A1129"/>
    <w:rsid w:val="004A2134"/>
    <w:rsid w:val="004A3B69"/>
    <w:rsid w:val="004A77A9"/>
    <w:rsid w:val="004B14D0"/>
    <w:rsid w:val="004C009C"/>
    <w:rsid w:val="004C0367"/>
    <w:rsid w:val="004C45A3"/>
    <w:rsid w:val="004C5E9C"/>
    <w:rsid w:val="004D54CC"/>
    <w:rsid w:val="004E260A"/>
    <w:rsid w:val="004E4BC6"/>
    <w:rsid w:val="004E6B05"/>
    <w:rsid w:val="004E7DD4"/>
    <w:rsid w:val="004F5F74"/>
    <w:rsid w:val="00503CF2"/>
    <w:rsid w:val="00503DFA"/>
    <w:rsid w:val="005071B9"/>
    <w:rsid w:val="005129F4"/>
    <w:rsid w:val="00515DC2"/>
    <w:rsid w:val="00515EE7"/>
    <w:rsid w:val="005176F5"/>
    <w:rsid w:val="005300DB"/>
    <w:rsid w:val="0053068B"/>
    <w:rsid w:val="005313F2"/>
    <w:rsid w:val="00531A3C"/>
    <w:rsid w:val="00535690"/>
    <w:rsid w:val="005529C5"/>
    <w:rsid w:val="00552AE5"/>
    <w:rsid w:val="00557EAD"/>
    <w:rsid w:val="0056167E"/>
    <w:rsid w:val="005636B1"/>
    <w:rsid w:val="00563B91"/>
    <w:rsid w:val="00563EE0"/>
    <w:rsid w:val="00564CAA"/>
    <w:rsid w:val="005656FA"/>
    <w:rsid w:val="00565D22"/>
    <w:rsid w:val="00567D60"/>
    <w:rsid w:val="00575A6B"/>
    <w:rsid w:val="00576773"/>
    <w:rsid w:val="005773D3"/>
    <w:rsid w:val="005852BF"/>
    <w:rsid w:val="005906BA"/>
    <w:rsid w:val="00592341"/>
    <w:rsid w:val="00593A22"/>
    <w:rsid w:val="00594EE1"/>
    <w:rsid w:val="005A061C"/>
    <w:rsid w:val="005A0637"/>
    <w:rsid w:val="005A462D"/>
    <w:rsid w:val="005A53F3"/>
    <w:rsid w:val="005A5BED"/>
    <w:rsid w:val="005B1BBE"/>
    <w:rsid w:val="005B399D"/>
    <w:rsid w:val="005B6BAE"/>
    <w:rsid w:val="005B75B1"/>
    <w:rsid w:val="005C0E39"/>
    <w:rsid w:val="005C366C"/>
    <w:rsid w:val="005D21A7"/>
    <w:rsid w:val="005D2F13"/>
    <w:rsid w:val="005D5DC4"/>
    <w:rsid w:val="005F6D64"/>
    <w:rsid w:val="00600512"/>
    <w:rsid w:val="006016F3"/>
    <w:rsid w:val="006031A3"/>
    <w:rsid w:val="006058B7"/>
    <w:rsid w:val="00613018"/>
    <w:rsid w:val="00613F5D"/>
    <w:rsid w:val="00617863"/>
    <w:rsid w:val="0062189A"/>
    <w:rsid w:val="00622D32"/>
    <w:rsid w:val="006306FD"/>
    <w:rsid w:val="00637FA5"/>
    <w:rsid w:val="0064014B"/>
    <w:rsid w:val="00643F18"/>
    <w:rsid w:val="00647470"/>
    <w:rsid w:val="00647CC1"/>
    <w:rsid w:val="00654D83"/>
    <w:rsid w:val="00664139"/>
    <w:rsid w:val="00670DFA"/>
    <w:rsid w:val="00671F87"/>
    <w:rsid w:val="00673681"/>
    <w:rsid w:val="006752A4"/>
    <w:rsid w:val="00677DCB"/>
    <w:rsid w:val="006820B4"/>
    <w:rsid w:val="00683B65"/>
    <w:rsid w:val="0068668C"/>
    <w:rsid w:val="00690093"/>
    <w:rsid w:val="006941B4"/>
    <w:rsid w:val="006973F7"/>
    <w:rsid w:val="006A209C"/>
    <w:rsid w:val="006B3182"/>
    <w:rsid w:val="006B6A3C"/>
    <w:rsid w:val="006C05B2"/>
    <w:rsid w:val="006C3E10"/>
    <w:rsid w:val="006C6E39"/>
    <w:rsid w:val="006D2897"/>
    <w:rsid w:val="006D333F"/>
    <w:rsid w:val="006D37B1"/>
    <w:rsid w:val="006E6F12"/>
    <w:rsid w:val="006F1953"/>
    <w:rsid w:val="006F4DB1"/>
    <w:rsid w:val="006F5610"/>
    <w:rsid w:val="00704497"/>
    <w:rsid w:val="007167C6"/>
    <w:rsid w:val="00716ED1"/>
    <w:rsid w:val="00721D68"/>
    <w:rsid w:val="00725059"/>
    <w:rsid w:val="007259D5"/>
    <w:rsid w:val="00730E5F"/>
    <w:rsid w:val="007361C4"/>
    <w:rsid w:val="00737BCE"/>
    <w:rsid w:val="0074239C"/>
    <w:rsid w:val="00743DBA"/>
    <w:rsid w:val="0075330A"/>
    <w:rsid w:val="0076022B"/>
    <w:rsid w:val="00760918"/>
    <w:rsid w:val="00775051"/>
    <w:rsid w:val="00776669"/>
    <w:rsid w:val="007813DF"/>
    <w:rsid w:val="00781AD9"/>
    <w:rsid w:val="0078316A"/>
    <w:rsid w:val="007913A6"/>
    <w:rsid w:val="00795279"/>
    <w:rsid w:val="007A3349"/>
    <w:rsid w:val="007B1A7A"/>
    <w:rsid w:val="007B5A97"/>
    <w:rsid w:val="007B676A"/>
    <w:rsid w:val="007B6F9A"/>
    <w:rsid w:val="007C3ABD"/>
    <w:rsid w:val="007D40BF"/>
    <w:rsid w:val="007E6452"/>
    <w:rsid w:val="007F1706"/>
    <w:rsid w:val="00802834"/>
    <w:rsid w:val="008036A3"/>
    <w:rsid w:val="00804C3C"/>
    <w:rsid w:val="00812F3E"/>
    <w:rsid w:val="00814CB1"/>
    <w:rsid w:val="00820F8A"/>
    <w:rsid w:val="008213A2"/>
    <w:rsid w:val="00822E5B"/>
    <w:rsid w:val="008337C2"/>
    <w:rsid w:val="00833DD8"/>
    <w:rsid w:val="00836271"/>
    <w:rsid w:val="00840645"/>
    <w:rsid w:val="00841710"/>
    <w:rsid w:val="00847C6B"/>
    <w:rsid w:val="00852A09"/>
    <w:rsid w:val="008560FE"/>
    <w:rsid w:val="008576F7"/>
    <w:rsid w:val="00857C1A"/>
    <w:rsid w:val="008777CE"/>
    <w:rsid w:val="00880A5F"/>
    <w:rsid w:val="00881147"/>
    <w:rsid w:val="0088354E"/>
    <w:rsid w:val="00885E91"/>
    <w:rsid w:val="00891016"/>
    <w:rsid w:val="008932C1"/>
    <w:rsid w:val="00895F1C"/>
    <w:rsid w:val="008A7346"/>
    <w:rsid w:val="008B0F8A"/>
    <w:rsid w:val="008B2273"/>
    <w:rsid w:val="008B3395"/>
    <w:rsid w:val="008B3AC9"/>
    <w:rsid w:val="008B4547"/>
    <w:rsid w:val="008C01D4"/>
    <w:rsid w:val="008C2341"/>
    <w:rsid w:val="008D2730"/>
    <w:rsid w:val="008D3EEE"/>
    <w:rsid w:val="008D55DD"/>
    <w:rsid w:val="008D6D0D"/>
    <w:rsid w:val="008D758E"/>
    <w:rsid w:val="008D7A19"/>
    <w:rsid w:val="008E05DF"/>
    <w:rsid w:val="008E24D1"/>
    <w:rsid w:val="008E6ADB"/>
    <w:rsid w:val="008F4766"/>
    <w:rsid w:val="0090212D"/>
    <w:rsid w:val="009029B1"/>
    <w:rsid w:val="00907C7E"/>
    <w:rsid w:val="00915819"/>
    <w:rsid w:val="00921525"/>
    <w:rsid w:val="009223DE"/>
    <w:rsid w:val="009273E1"/>
    <w:rsid w:val="00927985"/>
    <w:rsid w:val="00934F19"/>
    <w:rsid w:val="0094615E"/>
    <w:rsid w:val="00955F66"/>
    <w:rsid w:val="00964DD0"/>
    <w:rsid w:val="0096718D"/>
    <w:rsid w:val="00974995"/>
    <w:rsid w:val="00982FF2"/>
    <w:rsid w:val="00983161"/>
    <w:rsid w:val="00984EA1"/>
    <w:rsid w:val="0098628E"/>
    <w:rsid w:val="009A3998"/>
    <w:rsid w:val="009A6F23"/>
    <w:rsid w:val="009A7868"/>
    <w:rsid w:val="009B09E3"/>
    <w:rsid w:val="009B5445"/>
    <w:rsid w:val="009B6D3D"/>
    <w:rsid w:val="009C0789"/>
    <w:rsid w:val="009C33C9"/>
    <w:rsid w:val="009E0158"/>
    <w:rsid w:val="009E16E8"/>
    <w:rsid w:val="009E2793"/>
    <w:rsid w:val="009E651F"/>
    <w:rsid w:val="009F1361"/>
    <w:rsid w:val="009F4919"/>
    <w:rsid w:val="00A00934"/>
    <w:rsid w:val="00A01310"/>
    <w:rsid w:val="00A07796"/>
    <w:rsid w:val="00A1328E"/>
    <w:rsid w:val="00A27C21"/>
    <w:rsid w:val="00A3769A"/>
    <w:rsid w:val="00A418EE"/>
    <w:rsid w:val="00A47BE2"/>
    <w:rsid w:val="00A57955"/>
    <w:rsid w:val="00A6097D"/>
    <w:rsid w:val="00A738F3"/>
    <w:rsid w:val="00A81728"/>
    <w:rsid w:val="00A846CA"/>
    <w:rsid w:val="00A856B8"/>
    <w:rsid w:val="00A94CCD"/>
    <w:rsid w:val="00AB3A9C"/>
    <w:rsid w:val="00AB4CBF"/>
    <w:rsid w:val="00AB75ED"/>
    <w:rsid w:val="00AC0867"/>
    <w:rsid w:val="00AC2BB0"/>
    <w:rsid w:val="00AC53F7"/>
    <w:rsid w:val="00AD2A39"/>
    <w:rsid w:val="00AD5858"/>
    <w:rsid w:val="00AE1B5B"/>
    <w:rsid w:val="00AF2C3E"/>
    <w:rsid w:val="00B00293"/>
    <w:rsid w:val="00B04E02"/>
    <w:rsid w:val="00B10AC9"/>
    <w:rsid w:val="00B204AF"/>
    <w:rsid w:val="00B22F9D"/>
    <w:rsid w:val="00B33952"/>
    <w:rsid w:val="00B35B35"/>
    <w:rsid w:val="00B37DB1"/>
    <w:rsid w:val="00B52A92"/>
    <w:rsid w:val="00B56583"/>
    <w:rsid w:val="00B6721A"/>
    <w:rsid w:val="00B720B9"/>
    <w:rsid w:val="00B726D0"/>
    <w:rsid w:val="00B752B6"/>
    <w:rsid w:val="00B77D67"/>
    <w:rsid w:val="00B80C28"/>
    <w:rsid w:val="00B9554F"/>
    <w:rsid w:val="00BA27DF"/>
    <w:rsid w:val="00BB0275"/>
    <w:rsid w:val="00BB6C50"/>
    <w:rsid w:val="00BC0B03"/>
    <w:rsid w:val="00BC17CB"/>
    <w:rsid w:val="00BC6806"/>
    <w:rsid w:val="00BD3224"/>
    <w:rsid w:val="00BD7A0B"/>
    <w:rsid w:val="00BE01E6"/>
    <w:rsid w:val="00BE041E"/>
    <w:rsid w:val="00BE2EB9"/>
    <w:rsid w:val="00BE35D7"/>
    <w:rsid w:val="00C02D57"/>
    <w:rsid w:val="00C066E3"/>
    <w:rsid w:val="00C07688"/>
    <w:rsid w:val="00C14A91"/>
    <w:rsid w:val="00C16062"/>
    <w:rsid w:val="00C24414"/>
    <w:rsid w:val="00C2637B"/>
    <w:rsid w:val="00C3055D"/>
    <w:rsid w:val="00C30742"/>
    <w:rsid w:val="00C3169E"/>
    <w:rsid w:val="00C337BF"/>
    <w:rsid w:val="00C44BC9"/>
    <w:rsid w:val="00C5104D"/>
    <w:rsid w:val="00C55640"/>
    <w:rsid w:val="00C622CD"/>
    <w:rsid w:val="00C662A3"/>
    <w:rsid w:val="00C8516F"/>
    <w:rsid w:val="00C94BB5"/>
    <w:rsid w:val="00CA0A64"/>
    <w:rsid w:val="00CA16D7"/>
    <w:rsid w:val="00CA1B0A"/>
    <w:rsid w:val="00CA3574"/>
    <w:rsid w:val="00CA56DD"/>
    <w:rsid w:val="00CB641C"/>
    <w:rsid w:val="00CB6BAE"/>
    <w:rsid w:val="00CC05CE"/>
    <w:rsid w:val="00CC0DC2"/>
    <w:rsid w:val="00CC208F"/>
    <w:rsid w:val="00CC54BC"/>
    <w:rsid w:val="00CC6E5B"/>
    <w:rsid w:val="00CD00A0"/>
    <w:rsid w:val="00CD4D88"/>
    <w:rsid w:val="00CE5660"/>
    <w:rsid w:val="00CE6333"/>
    <w:rsid w:val="00CF09C8"/>
    <w:rsid w:val="00CF131B"/>
    <w:rsid w:val="00CF41DD"/>
    <w:rsid w:val="00CF6486"/>
    <w:rsid w:val="00D04D00"/>
    <w:rsid w:val="00D05642"/>
    <w:rsid w:val="00D16057"/>
    <w:rsid w:val="00D2202B"/>
    <w:rsid w:val="00D27042"/>
    <w:rsid w:val="00D328A3"/>
    <w:rsid w:val="00D330CB"/>
    <w:rsid w:val="00D35C31"/>
    <w:rsid w:val="00D363DB"/>
    <w:rsid w:val="00D370AF"/>
    <w:rsid w:val="00D416A6"/>
    <w:rsid w:val="00D4431A"/>
    <w:rsid w:val="00D46254"/>
    <w:rsid w:val="00D54C68"/>
    <w:rsid w:val="00D62DBC"/>
    <w:rsid w:val="00D73F36"/>
    <w:rsid w:val="00D76B0E"/>
    <w:rsid w:val="00D80D2E"/>
    <w:rsid w:val="00D80E3B"/>
    <w:rsid w:val="00D87CC8"/>
    <w:rsid w:val="00D92B4F"/>
    <w:rsid w:val="00DA1587"/>
    <w:rsid w:val="00DA292E"/>
    <w:rsid w:val="00DA2C13"/>
    <w:rsid w:val="00DA58BD"/>
    <w:rsid w:val="00DA7CE5"/>
    <w:rsid w:val="00DC0610"/>
    <w:rsid w:val="00DC59CB"/>
    <w:rsid w:val="00DC76E8"/>
    <w:rsid w:val="00DD03C4"/>
    <w:rsid w:val="00DD1C4C"/>
    <w:rsid w:val="00DD2096"/>
    <w:rsid w:val="00DD509C"/>
    <w:rsid w:val="00DD5311"/>
    <w:rsid w:val="00DE0DA2"/>
    <w:rsid w:val="00DE1BF0"/>
    <w:rsid w:val="00DE5E24"/>
    <w:rsid w:val="00DE6705"/>
    <w:rsid w:val="00DF04CD"/>
    <w:rsid w:val="00DF1400"/>
    <w:rsid w:val="00E042FA"/>
    <w:rsid w:val="00E05FD3"/>
    <w:rsid w:val="00E072E7"/>
    <w:rsid w:val="00E073ED"/>
    <w:rsid w:val="00E147B2"/>
    <w:rsid w:val="00E17C2F"/>
    <w:rsid w:val="00E20DBD"/>
    <w:rsid w:val="00E257EA"/>
    <w:rsid w:val="00E25EE6"/>
    <w:rsid w:val="00E276C6"/>
    <w:rsid w:val="00E34AA8"/>
    <w:rsid w:val="00E368D4"/>
    <w:rsid w:val="00E37E4F"/>
    <w:rsid w:val="00E40A0A"/>
    <w:rsid w:val="00E41B81"/>
    <w:rsid w:val="00E64BFA"/>
    <w:rsid w:val="00E671DE"/>
    <w:rsid w:val="00E7029B"/>
    <w:rsid w:val="00E75E7E"/>
    <w:rsid w:val="00E7766E"/>
    <w:rsid w:val="00E83597"/>
    <w:rsid w:val="00E86D49"/>
    <w:rsid w:val="00E92C1D"/>
    <w:rsid w:val="00E946B5"/>
    <w:rsid w:val="00E96408"/>
    <w:rsid w:val="00EA396C"/>
    <w:rsid w:val="00EB40E2"/>
    <w:rsid w:val="00EB798B"/>
    <w:rsid w:val="00EC38C4"/>
    <w:rsid w:val="00ED1BD9"/>
    <w:rsid w:val="00ED3285"/>
    <w:rsid w:val="00ED4589"/>
    <w:rsid w:val="00ED4839"/>
    <w:rsid w:val="00ED540A"/>
    <w:rsid w:val="00EE0D76"/>
    <w:rsid w:val="00EE3265"/>
    <w:rsid w:val="00EE3B0B"/>
    <w:rsid w:val="00EF4AAA"/>
    <w:rsid w:val="00F03BA3"/>
    <w:rsid w:val="00F05A22"/>
    <w:rsid w:val="00F05A54"/>
    <w:rsid w:val="00F065BC"/>
    <w:rsid w:val="00F076B1"/>
    <w:rsid w:val="00F11BA7"/>
    <w:rsid w:val="00F1666D"/>
    <w:rsid w:val="00F22DAA"/>
    <w:rsid w:val="00F24AE3"/>
    <w:rsid w:val="00F25F6A"/>
    <w:rsid w:val="00F27706"/>
    <w:rsid w:val="00F31910"/>
    <w:rsid w:val="00F51224"/>
    <w:rsid w:val="00F53260"/>
    <w:rsid w:val="00F54984"/>
    <w:rsid w:val="00F56D33"/>
    <w:rsid w:val="00F57DF5"/>
    <w:rsid w:val="00F639D4"/>
    <w:rsid w:val="00F72FEE"/>
    <w:rsid w:val="00F7303B"/>
    <w:rsid w:val="00F73E01"/>
    <w:rsid w:val="00F73E2C"/>
    <w:rsid w:val="00F7586D"/>
    <w:rsid w:val="00F82F4E"/>
    <w:rsid w:val="00F92225"/>
    <w:rsid w:val="00FA5781"/>
    <w:rsid w:val="00FB2B1E"/>
    <w:rsid w:val="00FB7726"/>
    <w:rsid w:val="00FC0437"/>
    <w:rsid w:val="00FC7795"/>
    <w:rsid w:val="00FD078C"/>
    <w:rsid w:val="00FD16DC"/>
    <w:rsid w:val="00FE27FB"/>
    <w:rsid w:val="00FE5208"/>
    <w:rsid w:val="00FE6788"/>
    <w:rsid w:val="00FF3A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446A98"/>
  <w15:docId w15:val="{515D6534-DF3C-4E94-B8AB-0DDF149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1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4A213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A2134"/>
  </w:style>
  <w:style w:type="paragraph" w:styleId="Revision">
    <w:name w:val="Revision"/>
    <w:hidden/>
    <w:uiPriority w:val="99"/>
    <w:semiHidden/>
    <w:rsid w:val="008D3EEE"/>
    <w:pPr>
      <w:spacing w:after="0" w:line="240" w:lineRule="auto"/>
    </w:pPr>
  </w:style>
  <w:style w:type="character" w:customStyle="1" w:styleId="UnresolvedMention1">
    <w:name w:val="Unresolved Mention1"/>
    <w:basedOn w:val="DefaultParagraphFont"/>
    <w:uiPriority w:val="99"/>
    <w:semiHidden/>
    <w:unhideWhenUsed/>
    <w:rsid w:val="008D55DD"/>
    <w:rPr>
      <w:color w:val="605E5C"/>
      <w:shd w:val="clear" w:color="auto" w:fill="E1DFDD"/>
    </w:rPr>
  </w:style>
  <w:style w:type="character" w:styleId="FollowedHyperlink">
    <w:name w:val="FollowedHyperlink"/>
    <w:basedOn w:val="DefaultParagraphFont"/>
    <w:uiPriority w:val="99"/>
    <w:semiHidden/>
    <w:unhideWhenUsed/>
    <w:rsid w:val="001851EC"/>
    <w:rPr>
      <w:color w:val="800080" w:themeColor="followedHyperlink"/>
      <w:u w:val="single"/>
    </w:rPr>
  </w:style>
  <w:style w:type="character" w:styleId="UnresolvedMention">
    <w:name w:val="Unresolved Mention"/>
    <w:basedOn w:val="DefaultParagraphFont"/>
    <w:uiPriority w:val="99"/>
    <w:semiHidden/>
    <w:unhideWhenUsed/>
    <w:rsid w:val="0055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4204">
      <w:bodyDiv w:val="1"/>
      <w:marLeft w:val="0"/>
      <w:marRight w:val="0"/>
      <w:marTop w:val="0"/>
      <w:marBottom w:val="0"/>
      <w:divBdr>
        <w:top w:val="none" w:sz="0" w:space="0" w:color="auto"/>
        <w:left w:val="none" w:sz="0" w:space="0" w:color="auto"/>
        <w:bottom w:val="none" w:sz="0" w:space="0" w:color="auto"/>
        <w:right w:val="none" w:sz="0" w:space="0" w:color="auto"/>
      </w:divBdr>
    </w:div>
    <w:div w:id="37437895">
      <w:bodyDiv w:val="1"/>
      <w:marLeft w:val="0"/>
      <w:marRight w:val="0"/>
      <w:marTop w:val="0"/>
      <w:marBottom w:val="0"/>
      <w:divBdr>
        <w:top w:val="none" w:sz="0" w:space="0" w:color="auto"/>
        <w:left w:val="none" w:sz="0" w:space="0" w:color="auto"/>
        <w:bottom w:val="none" w:sz="0" w:space="0" w:color="auto"/>
        <w:right w:val="none" w:sz="0" w:space="0" w:color="auto"/>
      </w:divBdr>
    </w:div>
    <w:div w:id="438991635">
      <w:bodyDiv w:val="1"/>
      <w:marLeft w:val="0"/>
      <w:marRight w:val="0"/>
      <w:marTop w:val="0"/>
      <w:marBottom w:val="0"/>
      <w:divBdr>
        <w:top w:val="none" w:sz="0" w:space="0" w:color="auto"/>
        <w:left w:val="none" w:sz="0" w:space="0" w:color="auto"/>
        <w:bottom w:val="none" w:sz="0" w:space="0" w:color="auto"/>
        <w:right w:val="none" w:sz="0" w:space="0" w:color="auto"/>
      </w:divBdr>
    </w:div>
    <w:div w:id="478108594">
      <w:bodyDiv w:val="1"/>
      <w:marLeft w:val="0"/>
      <w:marRight w:val="0"/>
      <w:marTop w:val="0"/>
      <w:marBottom w:val="0"/>
      <w:divBdr>
        <w:top w:val="none" w:sz="0" w:space="0" w:color="auto"/>
        <w:left w:val="none" w:sz="0" w:space="0" w:color="auto"/>
        <w:bottom w:val="none" w:sz="0" w:space="0" w:color="auto"/>
        <w:right w:val="none" w:sz="0" w:space="0" w:color="auto"/>
      </w:divBdr>
    </w:div>
    <w:div w:id="547953179">
      <w:bodyDiv w:val="1"/>
      <w:marLeft w:val="0"/>
      <w:marRight w:val="0"/>
      <w:marTop w:val="0"/>
      <w:marBottom w:val="0"/>
      <w:divBdr>
        <w:top w:val="none" w:sz="0" w:space="0" w:color="auto"/>
        <w:left w:val="none" w:sz="0" w:space="0" w:color="auto"/>
        <w:bottom w:val="none" w:sz="0" w:space="0" w:color="auto"/>
        <w:right w:val="none" w:sz="0" w:space="0" w:color="auto"/>
      </w:divBdr>
    </w:div>
    <w:div w:id="548226215">
      <w:bodyDiv w:val="1"/>
      <w:marLeft w:val="0"/>
      <w:marRight w:val="0"/>
      <w:marTop w:val="0"/>
      <w:marBottom w:val="0"/>
      <w:divBdr>
        <w:top w:val="none" w:sz="0" w:space="0" w:color="auto"/>
        <w:left w:val="none" w:sz="0" w:space="0" w:color="auto"/>
        <w:bottom w:val="none" w:sz="0" w:space="0" w:color="auto"/>
        <w:right w:val="none" w:sz="0" w:space="0" w:color="auto"/>
      </w:divBdr>
    </w:div>
    <w:div w:id="661201780">
      <w:bodyDiv w:val="1"/>
      <w:marLeft w:val="0"/>
      <w:marRight w:val="0"/>
      <w:marTop w:val="0"/>
      <w:marBottom w:val="0"/>
      <w:divBdr>
        <w:top w:val="none" w:sz="0" w:space="0" w:color="auto"/>
        <w:left w:val="none" w:sz="0" w:space="0" w:color="auto"/>
        <w:bottom w:val="none" w:sz="0" w:space="0" w:color="auto"/>
        <w:right w:val="none" w:sz="0" w:space="0" w:color="auto"/>
      </w:divBdr>
    </w:div>
    <w:div w:id="827330555">
      <w:bodyDiv w:val="1"/>
      <w:marLeft w:val="0"/>
      <w:marRight w:val="0"/>
      <w:marTop w:val="0"/>
      <w:marBottom w:val="0"/>
      <w:divBdr>
        <w:top w:val="none" w:sz="0" w:space="0" w:color="auto"/>
        <w:left w:val="none" w:sz="0" w:space="0" w:color="auto"/>
        <w:bottom w:val="none" w:sz="0" w:space="0" w:color="auto"/>
        <w:right w:val="none" w:sz="0" w:space="0" w:color="auto"/>
      </w:divBdr>
    </w:div>
    <w:div w:id="891580254">
      <w:bodyDiv w:val="1"/>
      <w:marLeft w:val="0"/>
      <w:marRight w:val="0"/>
      <w:marTop w:val="0"/>
      <w:marBottom w:val="0"/>
      <w:divBdr>
        <w:top w:val="none" w:sz="0" w:space="0" w:color="auto"/>
        <w:left w:val="none" w:sz="0" w:space="0" w:color="auto"/>
        <w:bottom w:val="none" w:sz="0" w:space="0" w:color="auto"/>
        <w:right w:val="none" w:sz="0" w:space="0" w:color="auto"/>
      </w:divBdr>
    </w:div>
    <w:div w:id="901450006">
      <w:bodyDiv w:val="1"/>
      <w:marLeft w:val="0"/>
      <w:marRight w:val="0"/>
      <w:marTop w:val="0"/>
      <w:marBottom w:val="0"/>
      <w:divBdr>
        <w:top w:val="none" w:sz="0" w:space="0" w:color="auto"/>
        <w:left w:val="none" w:sz="0" w:space="0" w:color="auto"/>
        <w:bottom w:val="none" w:sz="0" w:space="0" w:color="auto"/>
        <w:right w:val="none" w:sz="0" w:space="0" w:color="auto"/>
      </w:divBdr>
    </w:div>
    <w:div w:id="1043094487">
      <w:bodyDiv w:val="1"/>
      <w:marLeft w:val="0"/>
      <w:marRight w:val="0"/>
      <w:marTop w:val="0"/>
      <w:marBottom w:val="0"/>
      <w:divBdr>
        <w:top w:val="none" w:sz="0" w:space="0" w:color="auto"/>
        <w:left w:val="none" w:sz="0" w:space="0" w:color="auto"/>
        <w:bottom w:val="none" w:sz="0" w:space="0" w:color="auto"/>
        <w:right w:val="none" w:sz="0" w:space="0" w:color="auto"/>
      </w:divBdr>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 w:id="1129320486">
      <w:bodyDiv w:val="1"/>
      <w:marLeft w:val="0"/>
      <w:marRight w:val="0"/>
      <w:marTop w:val="0"/>
      <w:marBottom w:val="0"/>
      <w:divBdr>
        <w:top w:val="none" w:sz="0" w:space="0" w:color="auto"/>
        <w:left w:val="none" w:sz="0" w:space="0" w:color="auto"/>
        <w:bottom w:val="none" w:sz="0" w:space="0" w:color="auto"/>
        <w:right w:val="none" w:sz="0" w:space="0" w:color="auto"/>
      </w:divBdr>
    </w:div>
    <w:div w:id="1147436328">
      <w:bodyDiv w:val="1"/>
      <w:marLeft w:val="0"/>
      <w:marRight w:val="0"/>
      <w:marTop w:val="0"/>
      <w:marBottom w:val="0"/>
      <w:divBdr>
        <w:top w:val="none" w:sz="0" w:space="0" w:color="auto"/>
        <w:left w:val="none" w:sz="0" w:space="0" w:color="auto"/>
        <w:bottom w:val="none" w:sz="0" w:space="0" w:color="auto"/>
        <w:right w:val="none" w:sz="0" w:space="0" w:color="auto"/>
      </w:divBdr>
    </w:div>
    <w:div w:id="1203833015">
      <w:bodyDiv w:val="1"/>
      <w:marLeft w:val="0"/>
      <w:marRight w:val="0"/>
      <w:marTop w:val="0"/>
      <w:marBottom w:val="0"/>
      <w:divBdr>
        <w:top w:val="none" w:sz="0" w:space="0" w:color="auto"/>
        <w:left w:val="none" w:sz="0" w:space="0" w:color="auto"/>
        <w:bottom w:val="none" w:sz="0" w:space="0" w:color="auto"/>
        <w:right w:val="none" w:sz="0" w:space="0" w:color="auto"/>
      </w:divBdr>
    </w:div>
    <w:div w:id="1220089083">
      <w:bodyDiv w:val="1"/>
      <w:marLeft w:val="0"/>
      <w:marRight w:val="0"/>
      <w:marTop w:val="0"/>
      <w:marBottom w:val="0"/>
      <w:divBdr>
        <w:top w:val="none" w:sz="0" w:space="0" w:color="auto"/>
        <w:left w:val="none" w:sz="0" w:space="0" w:color="auto"/>
        <w:bottom w:val="none" w:sz="0" w:space="0" w:color="auto"/>
        <w:right w:val="none" w:sz="0" w:space="0" w:color="auto"/>
      </w:divBdr>
    </w:div>
    <w:div w:id="1258977960">
      <w:bodyDiv w:val="1"/>
      <w:marLeft w:val="0"/>
      <w:marRight w:val="0"/>
      <w:marTop w:val="0"/>
      <w:marBottom w:val="0"/>
      <w:divBdr>
        <w:top w:val="none" w:sz="0" w:space="0" w:color="auto"/>
        <w:left w:val="none" w:sz="0" w:space="0" w:color="auto"/>
        <w:bottom w:val="none" w:sz="0" w:space="0" w:color="auto"/>
        <w:right w:val="none" w:sz="0" w:space="0" w:color="auto"/>
      </w:divBdr>
    </w:div>
    <w:div w:id="1476988446">
      <w:bodyDiv w:val="1"/>
      <w:marLeft w:val="0"/>
      <w:marRight w:val="0"/>
      <w:marTop w:val="0"/>
      <w:marBottom w:val="0"/>
      <w:divBdr>
        <w:top w:val="none" w:sz="0" w:space="0" w:color="auto"/>
        <w:left w:val="none" w:sz="0" w:space="0" w:color="auto"/>
        <w:bottom w:val="none" w:sz="0" w:space="0" w:color="auto"/>
        <w:right w:val="none" w:sz="0" w:space="0" w:color="auto"/>
      </w:divBdr>
    </w:div>
    <w:div w:id="1625966993">
      <w:bodyDiv w:val="1"/>
      <w:marLeft w:val="0"/>
      <w:marRight w:val="0"/>
      <w:marTop w:val="0"/>
      <w:marBottom w:val="0"/>
      <w:divBdr>
        <w:top w:val="none" w:sz="0" w:space="0" w:color="auto"/>
        <w:left w:val="none" w:sz="0" w:space="0" w:color="auto"/>
        <w:bottom w:val="none" w:sz="0" w:space="0" w:color="auto"/>
        <w:right w:val="none" w:sz="0" w:space="0" w:color="auto"/>
      </w:divBdr>
    </w:div>
    <w:div w:id="1671906481">
      <w:bodyDiv w:val="1"/>
      <w:marLeft w:val="0"/>
      <w:marRight w:val="0"/>
      <w:marTop w:val="0"/>
      <w:marBottom w:val="0"/>
      <w:divBdr>
        <w:top w:val="none" w:sz="0" w:space="0" w:color="auto"/>
        <w:left w:val="none" w:sz="0" w:space="0" w:color="auto"/>
        <w:bottom w:val="none" w:sz="0" w:space="0" w:color="auto"/>
        <w:right w:val="none" w:sz="0" w:space="0" w:color="auto"/>
      </w:divBdr>
    </w:div>
    <w:div w:id="1754274775">
      <w:bodyDiv w:val="1"/>
      <w:marLeft w:val="0"/>
      <w:marRight w:val="0"/>
      <w:marTop w:val="0"/>
      <w:marBottom w:val="0"/>
      <w:divBdr>
        <w:top w:val="none" w:sz="0" w:space="0" w:color="auto"/>
        <w:left w:val="none" w:sz="0" w:space="0" w:color="auto"/>
        <w:bottom w:val="none" w:sz="0" w:space="0" w:color="auto"/>
        <w:right w:val="none" w:sz="0" w:space="0" w:color="auto"/>
      </w:divBdr>
    </w:div>
    <w:div w:id="1770467711">
      <w:bodyDiv w:val="1"/>
      <w:marLeft w:val="0"/>
      <w:marRight w:val="0"/>
      <w:marTop w:val="0"/>
      <w:marBottom w:val="0"/>
      <w:divBdr>
        <w:top w:val="none" w:sz="0" w:space="0" w:color="auto"/>
        <w:left w:val="none" w:sz="0" w:space="0" w:color="auto"/>
        <w:bottom w:val="none" w:sz="0" w:space="0" w:color="auto"/>
        <w:right w:val="none" w:sz="0" w:space="0" w:color="auto"/>
      </w:divBdr>
    </w:div>
    <w:div w:id="1891188690">
      <w:bodyDiv w:val="1"/>
      <w:marLeft w:val="0"/>
      <w:marRight w:val="0"/>
      <w:marTop w:val="0"/>
      <w:marBottom w:val="0"/>
      <w:divBdr>
        <w:top w:val="none" w:sz="0" w:space="0" w:color="auto"/>
        <w:left w:val="none" w:sz="0" w:space="0" w:color="auto"/>
        <w:bottom w:val="none" w:sz="0" w:space="0" w:color="auto"/>
        <w:right w:val="none" w:sz="0" w:space="0" w:color="auto"/>
      </w:divBdr>
    </w:div>
    <w:div w:id="1910965669">
      <w:bodyDiv w:val="1"/>
      <w:marLeft w:val="0"/>
      <w:marRight w:val="0"/>
      <w:marTop w:val="0"/>
      <w:marBottom w:val="0"/>
      <w:divBdr>
        <w:top w:val="none" w:sz="0" w:space="0" w:color="auto"/>
        <w:left w:val="none" w:sz="0" w:space="0" w:color="auto"/>
        <w:bottom w:val="none" w:sz="0" w:space="0" w:color="auto"/>
        <w:right w:val="none" w:sz="0" w:space="0" w:color="auto"/>
      </w:divBdr>
    </w:div>
    <w:div w:id="1915819043">
      <w:bodyDiv w:val="1"/>
      <w:marLeft w:val="0"/>
      <w:marRight w:val="0"/>
      <w:marTop w:val="0"/>
      <w:marBottom w:val="0"/>
      <w:divBdr>
        <w:top w:val="none" w:sz="0" w:space="0" w:color="auto"/>
        <w:left w:val="none" w:sz="0" w:space="0" w:color="auto"/>
        <w:bottom w:val="none" w:sz="0" w:space="0" w:color="auto"/>
        <w:right w:val="none" w:sz="0" w:space="0" w:color="auto"/>
      </w:divBdr>
    </w:div>
    <w:div w:id="1956865099">
      <w:bodyDiv w:val="1"/>
      <w:marLeft w:val="0"/>
      <w:marRight w:val="0"/>
      <w:marTop w:val="0"/>
      <w:marBottom w:val="0"/>
      <w:divBdr>
        <w:top w:val="none" w:sz="0" w:space="0" w:color="auto"/>
        <w:left w:val="none" w:sz="0" w:space="0" w:color="auto"/>
        <w:bottom w:val="none" w:sz="0" w:space="0" w:color="auto"/>
        <w:right w:val="none" w:sz="0" w:space="0" w:color="auto"/>
      </w:divBdr>
    </w:div>
    <w:div w:id="1981956660">
      <w:bodyDiv w:val="1"/>
      <w:marLeft w:val="0"/>
      <w:marRight w:val="0"/>
      <w:marTop w:val="0"/>
      <w:marBottom w:val="0"/>
      <w:divBdr>
        <w:top w:val="none" w:sz="0" w:space="0" w:color="auto"/>
        <w:left w:val="none" w:sz="0" w:space="0" w:color="auto"/>
        <w:bottom w:val="none" w:sz="0" w:space="0" w:color="auto"/>
        <w:right w:val="none" w:sz="0" w:space="0" w:color="auto"/>
      </w:divBdr>
    </w:div>
    <w:div w:id="2025861513">
      <w:bodyDiv w:val="1"/>
      <w:marLeft w:val="0"/>
      <w:marRight w:val="0"/>
      <w:marTop w:val="0"/>
      <w:marBottom w:val="0"/>
      <w:divBdr>
        <w:top w:val="none" w:sz="0" w:space="0" w:color="auto"/>
        <w:left w:val="none" w:sz="0" w:space="0" w:color="auto"/>
        <w:bottom w:val="none" w:sz="0" w:space="0" w:color="auto"/>
        <w:right w:val="none" w:sz="0" w:space="0" w:color="auto"/>
      </w:divBdr>
    </w:div>
    <w:div w:id="20605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remi.com/model/tax-pi/" TargetMode="External"/><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1</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
    <b:Tag>Cam20</b:Tag>
    <b:SourceType>InternetSite</b:SourceType>
    <b:Guid>{07CD33BF-7FCD-4B3F-9720-C585BE10C970}</b:Guid>
    <b:Title>Does Your State Levy a Capital Stock Tax?</b:Title>
    <b:Year>2020</b:Year>
    <b:Author>
      <b:Author>
        <b:NameList>
          <b:Person>
            <b:Last>Cammenga</b:Last>
            <b:First>Janelle</b:First>
          </b:Person>
        </b:NameList>
      </b:Author>
    </b:Author>
    <b:InternetSiteTitle>Tax Foundation</b:InternetSiteTitle>
    <b:Month>April</b:Month>
    <b:Day>29</b:Day>
    <b:URL>https://taxfoundation.org/state-capital-stock-tax-2020/#:~:text=Connecticut%20will%20phase%20out%20its,more%20neutral%20forms%20of%20taxation.</b:URL>
    <b:RefOrder>1</b:RefOrder>
  </b:Source>
</b:Sources>
</file>

<file path=customXml/itemProps1.xml><?xml version="1.0" encoding="utf-8"?>
<ds:datastoreItem xmlns:ds="http://schemas.openxmlformats.org/officeDocument/2006/customXml" ds:itemID="{291156F2-6AE0-4BF0-9B34-9754A98F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Liu, Fushang (DOR)</cp:lastModifiedBy>
  <cp:revision>15</cp:revision>
  <cp:lastPrinted>2020-01-28T19:08:00Z</cp:lastPrinted>
  <dcterms:created xsi:type="dcterms:W3CDTF">2021-01-28T21:22:00Z</dcterms:created>
  <dcterms:modified xsi:type="dcterms:W3CDTF">2021-02-03T22:48:00Z</dcterms:modified>
</cp:coreProperties>
</file>