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MediumList1-Accent2"/>
        <w:tblW w:w="0" w:type="auto"/>
        <w:tblLook w:val="04A0" w:firstRow="1" w:lastRow="0" w:firstColumn="1" w:lastColumn="0" w:noHBand="0" w:noVBand="1"/>
      </w:tblPr>
      <w:tblGrid>
        <w:gridCol w:w="9576"/>
      </w:tblGrid>
      <w:tr w:rsidR="005B1BBE" w:rsidRPr="002C2079" w14:paraId="5B62F42C" w14:textId="77777777" w:rsidTr="00DC76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7AE464B6" w14:textId="77777777" w:rsidR="008C2341" w:rsidRDefault="005B1BBE" w:rsidP="008C2341">
            <w:pPr>
              <w:jc w:val="center"/>
              <w:rPr>
                <w:color w:val="150399"/>
                <w:sz w:val="28"/>
                <w:szCs w:val="28"/>
              </w:rPr>
            </w:pPr>
            <w:r w:rsidRPr="002C2079">
              <w:rPr>
                <w:rFonts w:cs="Times New Roman"/>
                <w:sz w:val="24"/>
              </w:rPr>
              <w:br w:type="page"/>
            </w:r>
            <w:r w:rsidR="008C2341" w:rsidRPr="008C2341">
              <w:rPr>
                <w:color w:val="150399"/>
                <w:sz w:val="28"/>
                <w:szCs w:val="28"/>
              </w:rPr>
              <w:t xml:space="preserve">PROPOSED MASSACHUSETTS TAX EXPENDITURES </w:t>
            </w:r>
          </w:p>
          <w:p w14:paraId="26F8A1BD" w14:textId="77777777" w:rsidR="005B1BBE" w:rsidRPr="008C2341" w:rsidRDefault="008C2341" w:rsidP="008C2341">
            <w:pPr>
              <w:jc w:val="center"/>
              <w:rPr>
                <w:b w:val="0"/>
                <w:bCs w:val="0"/>
                <w:color w:val="150399"/>
                <w:sz w:val="28"/>
                <w:szCs w:val="28"/>
              </w:rPr>
            </w:pPr>
            <w:r w:rsidRPr="008C2341">
              <w:rPr>
                <w:color w:val="150399"/>
                <w:sz w:val="28"/>
                <w:szCs w:val="28"/>
              </w:rPr>
              <w:t>EVALUATION SUMMARY</w:t>
            </w:r>
            <w:r>
              <w:rPr>
                <w:color w:val="150399"/>
                <w:sz w:val="28"/>
                <w:szCs w:val="28"/>
              </w:rPr>
              <w:t xml:space="preserve"> </w:t>
            </w:r>
          </w:p>
          <w:p w14:paraId="2B61A0CF" w14:textId="77777777" w:rsidR="004B14D0" w:rsidRPr="004B14D0" w:rsidRDefault="004B14D0" w:rsidP="00565D22">
            <w:pPr>
              <w:rPr>
                <w:color w:val="150399"/>
                <w:sz w:val="28"/>
                <w:szCs w:val="28"/>
              </w:rPr>
            </w:pPr>
          </w:p>
        </w:tc>
      </w:tr>
      <w:tr w:rsidR="005B1BBE" w:rsidRPr="002C2079" w14:paraId="316D3395" w14:textId="77777777" w:rsidTr="00DC76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7E3E270E" w14:textId="77777777" w:rsidR="005B1BBE" w:rsidRPr="002C2079" w:rsidRDefault="005B1BBE" w:rsidP="005B1BBE">
            <w:pPr>
              <w:jc w:val="center"/>
              <w:rPr>
                <w:rFonts w:asciiTheme="majorHAnsi" w:hAnsiTheme="majorHAnsi"/>
              </w:rPr>
            </w:pPr>
            <w:r w:rsidRPr="002C2079">
              <w:rPr>
                <w:rFonts w:asciiTheme="majorHAnsi" w:hAnsiTheme="majorHAnsi"/>
                <w:sz w:val="28"/>
                <w:szCs w:val="28"/>
              </w:rPr>
              <w:t>EVALUATION YEAR: 2020</w:t>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7"/>
        <w:gridCol w:w="4653"/>
      </w:tblGrid>
      <w:tr w:rsidR="005B1BBE" w:rsidRPr="002C2079" w14:paraId="0C2D83D5" w14:textId="77777777" w:rsidTr="001E672D">
        <w:trPr>
          <w:trHeight w:val="360"/>
        </w:trPr>
        <w:tc>
          <w:tcPr>
            <w:tcW w:w="4707" w:type="dxa"/>
          </w:tcPr>
          <w:p w14:paraId="45609965" w14:textId="77777777" w:rsidR="005B1BBE" w:rsidRPr="002C2079" w:rsidRDefault="005B1BBE" w:rsidP="005B1BBE">
            <w:pPr>
              <w:tabs>
                <w:tab w:val="left" w:pos="7050"/>
              </w:tabs>
              <w:rPr>
                <w:rFonts w:asciiTheme="majorHAnsi" w:hAnsiTheme="majorHAnsi"/>
              </w:rPr>
            </w:pPr>
          </w:p>
        </w:tc>
        <w:tc>
          <w:tcPr>
            <w:tcW w:w="4653" w:type="dxa"/>
          </w:tcPr>
          <w:p w14:paraId="25E98F5C" w14:textId="77777777" w:rsidR="005B1BBE" w:rsidRPr="002C2079" w:rsidRDefault="005B1BBE" w:rsidP="005B1BBE">
            <w:pPr>
              <w:tabs>
                <w:tab w:val="left" w:pos="7050"/>
              </w:tabs>
              <w:rPr>
                <w:rFonts w:asciiTheme="majorHAnsi" w:hAnsiTheme="majorHAnsi"/>
              </w:rPr>
            </w:pPr>
          </w:p>
        </w:tc>
      </w:tr>
      <w:tr w:rsidR="005B1BBE" w:rsidRPr="002C2079" w14:paraId="3C51FBA0" w14:textId="77777777" w:rsidTr="001E672D">
        <w:tc>
          <w:tcPr>
            <w:tcW w:w="4707" w:type="dxa"/>
          </w:tcPr>
          <w:p w14:paraId="492739D3" w14:textId="77777777" w:rsidR="005B1BBE" w:rsidRPr="002C2079" w:rsidRDefault="005B1BBE" w:rsidP="005B1BBE">
            <w:pPr>
              <w:tabs>
                <w:tab w:val="left" w:pos="7050"/>
              </w:tabs>
              <w:rPr>
                <w:rFonts w:asciiTheme="majorHAnsi" w:eastAsiaTheme="majorEastAsia" w:hAnsiTheme="majorHAnsi" w:cstheme="majorBidi"/>
                <w:b/>
                <w:bCs/>
                <w:color w:val="000000" w:themeColor="text1"/>
              </w:rPr>
            </w:pPr>
            <w:r w:rsidRPr="002C2079">
              <w:rPr>
                <w:rFonts w:asciiTheme="majorHAnsi" w:eastAsiaTheme="majorEastAsia" w:hAnsiTheme="majorHAnsi" w:cstheme="majorBidi"/>
                <w:b/>
                <w:bCs/>
                <w:color w:val="000000" w:themeColor="text1"/>
              </w:rPr>
              <w:t>TAX EXPENDITURE TITLE</w:t>
            </w:r>
          </w:p>
          <w:p w14:paraId="00E23D61" w14:textId="77777777" w:rsidR="005B1BBE" w:rsidRPr="002C2079" w:rsidRDefault="005B1BBE" w:rsidP="005B1BBE">
            <w:pPr>
              <w:tabs>
                <w:tab w:val="left" w:pos="7050"/>
              </w:tabs>
              <w:rPr>
                <w:rFonts w:asciiTheme="majorHAnsi" w:hAnsiTheme="majorHAnsi"/>
              </w:rPr>
            </w:pPr>
          </w:p>
        </w:tc>
        <w:tc>
          <w:tcPr>
            <w:tcW w:w="4653" w:type="dxa"/>
          </w:tcPr>
          <w:p w14:paraId="02597108" w14:textId="77777777" w:rsidR="005B1BBE" w:rsidRPr="002C2079" w:rsidRDefault="002E62D8" w:rsidP="005B1BBE">
            <w:pPr>
              <w:tabs>
                <w:tab w:val="left" w:pos="7050"/>
              </w:tabs>
              <w:rPr>
                <w:rFonts w:asciiTheme="majorHAnsi" w:hAnsiTheme="majorHAnsi"/>
              </w:rPr>
            </w:pPr>
            <w:r w:rsidRPr="005835F0">
              <w:rPr>
                <w:rFonts w:asciiTheme="majorHAnsi" w:hAnsiTheme="majorHAnsi"/>
              </w:rPr>
              <w:t xml:space="preserve">Exemption for </w:t>
            </w:r>
            <w:r>
              <w:rPr>
                <w:rFonts w:asciiTheme="majorHAnsi" w:hAnsiTheme="majorHAnsi"/>
              </w:rPr>
              <w:t>Motor Fuels</w:t>
            </w:r>
          </w:p>
        </w:tc>
      </w:tr>
      <w:tr w:rsidR="005B1BBE" w:rsidRPr="002C2079" w14:paraId="317949EF" w14:textId="77777777" w:rsidTr="001E672D">
        <w:tc>
          <w:tcPr>
            <w:tcW w:w="4707" w:type="dxa"/>
          </w:tcPr>
          <w:p w14:paraId="302F058C" w14:textId="77777777" w:rsidR="005B1BBE" w:rsidRPr="002C2079" w:rsidRDefault="005B1BBE" w:rsidP="005B1BBE">
            <w:pPr>
              <w:tabs>
                <w:tab w:val="left" w:pos="7050"/>
              </w:tabs>
              <w:rPr>
                <w:rFonts w:asciiTheme="majorHAnsi" w:eastAsiaTheme="majorEastAsia" w:hAnsiTheme="majorHAnsi" w:cstheme="majorBidi"/>
                <w:b/>
                <w:bCs/>
                <w:color w:val="000000" w:themeColor="text1"/>
              </w:rPr>
            </w:pPr>
            <w:r w:rsidRPr="002C2079">
              <w:rPr>
                <w:rFonts w:asciiTheme="majorHAnsi" w:eastAsiaTheme="majorEastAsia" w:hAnsiTheme="majorHAnsi" w:cstheme="majorBidi"/>
                <w:b/>
                <w:bCs/>
                <w:color w:val="000000" w:themeColor="text1"/>
              </w:rPr>
              <w:t>TAX EXPENDITURE NUMBER</w:t>
            </w:r>
          </w:p>
          <w:p w14:paraId="16F4A3FA" w14:textId="77777777" w:rsidR="005B1BBE" w:rsidRPr="002C2079" w:rsidRDefault="005B1BBE" w:rsidP="005B1BBE">
            <w:pPr>
              <w:tabs>
                <w:tab w:val="left" w:pos="7050"/>
              </w:tabs>
              <w:rPr>
                <w:rFonts w:asciiTheme="majorHAnsi" w:hAnsiTheme="majorHAnsi"/>
              </w:rPr>
            </w:pPr>
          </w:p>
        </w:tc>
        <w:tc>
          <w:tcPr>
            <w:tcW w:w="4653" w:type="dxa"/>
          </w:tcPr>
          <w:p w14:paraId="424378AD" w14:textId="77777777" w:rsidR="005B1BBE" w:rsidRPr="002C2079" w:rsidRDefault="002A7E4B" w:rsidP="005B1BBE">
            <w:pPr>
              <w:tabs>
                <w:tab w:val="left" w:pos="7050"/>
              </w:tabs>
              <w:rPr>
                <w:rFonts w:asciiTheme="majorHAnsi" w:hAnsiTheme="majorHAnsi"/>
              </w:rPr>
            </w:pPr>
            <w:r>
              <w:rPr>
                <w:rFonts w:asciiTheme="majorHAnsi" w:hAnsiTheme="majorHAnsi"/>
              </w:rPr>
              <w:t>3.20</w:t>
            </w:r>
            <w:r w:rsidR="002E62D8">
              <w:rPr>
                <w:rFonts w:asciiTheme="majorHAnsi" w:hAnsiTheme="majorHAnsi"/>
              </w:rPr>
              <w:t>2</w:t>
            </w:r>
          </w:p>
        </w:tc>
      </w:tr>
      <w:tr w:rsidR="005B1BBE" w:rsidRPr="002C2079" w14:paraId="5B7A632C" w14:textId="77777777" w:rsidTr="001E672D">
        <w:tc>
          <w:tcPr>
            <w:tcW w:w="4707" w:type="dxa"/>
          </w:tcPr>
          <w:p w14:paraId="15161B70" w14:textId="77777777" w:rsidR="005B1BBE" w:rsidRPr="002C2079" w:rsidRDefault="005B1BBE" w:rsidP="005B1BBE">
            <w:pPr>
              <w:tabs>
                <w:tab w:val="left" w:pos="7050"/>
              </w:tabs>
              <w:rPr>
                <w:rFonts w:asciiTheme="majorHAnsi" w:eastAsiaTheme="majorEastAsia" w:hAnsiTheme="majorHAnsi" w:cstheme="majorBidi"/>
                <w:b/>
                <w:bCs/>
                <w:color w:val="000000" w:themeColor="text1"/>
              </w:rPr>
            </w:pPr>
            <w:r w:rsidRPr="002C2079">
              <w:rPr>
                <w:rFonts w:asciiTheme="majorHAnsi" w:eastAsiaTheme="majorEastAsia" w:hAnsiTheme="majorHAnsi" w:cstheme="majorBidi"/>
                <w:b/>
                <w:bCs/>
                <w:color w:val="000000" w:themeColor="text1"/>
              </w:rPr>
              <w:t>TAX EXPENDITURE CATEGORY</w:t>
            </w:r>
          </w:p>
          <w:p w14:paraId="0C27415A" w14:textId="77777777" w:rsidR="005B1BBE" w:rsidRPr="002C2079" w:rsidRDefault="005B1BBE" w:rsidP="005B1BBE">
            <w:pPr>
              <w:tabs>
                <w:tab w:val="left" w:pos="7050"/>
              </w:tabs>
              <w:rPr>
                <w:rFonts w:asciiTheme="majorHAnsi" w:hAnsiTheme="majorHAnsi"/>
              </w:rPr>
            </w:pPr>
          </w:p>
        </w:tc>
        <w:tc>
          <w:tcPr>
            <w:tcW w:w="4653" w:type="dxa"/>
          </w:tcPr>
          <w:p w14:paraId="5902CCDF" w14:textId="77777777" w:rsidR="005B1BBE" w:rsidRPr="002C2079" w:rsidRDefault="002A7E4B" w:rsidP="005B1BBE">
            <w:pPr>
              <w:tabs>
                <w:tab w:val="left" w:pos="7050"/>
              </w:tabs>
              <w:rPr>
                <w:rFonts w:asciiTheme="majorHAnsi" w:hAnsiTheme="majorHAnsi"/>
              </w:rPr>
            </w:pPr>
            <w:r w:rsidRPr="00ED4A50">
              <w:rPr>
                <w:rFonts w:asciiTheme="majorHAnsi" w:hAnsiTheme="majorHAnsi"/>
              </w:rPr>
              <w:t>E</w:t>
            </w:r>
            <w:r>
              <w:rPr>
                <w:rFonts w:asciiTheme="majorHAnsi" w:hAnsiTheme="majorHAnsi"/>
              </w:rPr>
              <w:t xml:space="preserve">xempt, Taxed under Another Excise </w:t>
            </w:r>
          </w:p>
        </w:tc>
      </w:tr>
      <w:tr w:rsidR="005B1BBE" w:rsidRPr="002C2079" w14:paraId="610D9D23" w14:textId="77777777" w:rsidTr="001E672D">
        <w:tc>
          <w:tcPr>
            <w:tcW w:w="4707" w:type="dxa"/>
          </w:tcPr>
          <w:p w14:paraId="013B78DD" w14:textId="77777777" w:rsidR="005B1BBE" w:rsidRPr="002C2079" w:rsidRDefault="005B1BBE" w:rsidP="005B1BBE">
            <w:pPr>
              <w:tabs>
                <w:tab w:val="left" w:pos="7050"/>
              </w:tabs>
              <w:rPr>
                <w:rFonts w:asciiTheme="majorHAnsi" w:eastAsiaTheme="majorEastAsia" w:hAnsiTheme="majorHAnsi" w:cstheme="majorBidi"/>
                <w:b/>
                <w:bCs/>
                <w:color w:val="000000" w:themeColor="text1"/>
              </w:rPr>
            </w:pPr>
            <w:r w:rsidRPr="002C2079">
              <w:rPr>
                <w:rFonts w:asciiTheme="majorHAnsi" w:eastAsiaTheme="majorEastAsia" w:hAnsiTheme="majorHAnsi" w:cstheme="majorBidi"/>
                <w:b/>
                <w:bCs/>
                <w:color w:val="000000" w:themeColor="text1"/>
              </w:rPr>
              <w:t>TAX TYPE</w:t>
            </w:r>
          </w:p>
          <w:p w14:paraId="61985CA6" w14:textId="77777777" w:rsidR="005B1BBE" w:rsidRPr="002C2079" w:rsidRDefault="005B1BBE" w:rsidP="005B1BBE">
            <w:pPr>
              <w:tabs>
                <w:tab w:val="left" w:pos="7050"/>
              </w:tabs>
              <w:rPr>
                <w:rFonts w:asciiTheme="majorHAnsi" w:hAnsiTheme="majorHAnsi"/>
              </w:rPr>
            </w:pPr>
          </w:p>
        </w:tc>
        <w:tc>
          <w:tcPr>
            <w:tcW w:w="4653" w:type="dxa"/>
          </w:tcPr>
          <w:p w14:paraId="2D272625" w14:textId="77777777" w:rsidR="002A7E4B" w:rsidRDefault="002A7E4B" w:rsidP="002A7E4B">
            <w:pPr>
              <w:tabs>
                <w:tab w:val="left" w:pos="7050"/>
              </w:tabs>
              <w:rPr>
                <w:rFonts w:asciiTheme="majorHAnsi" w:hAnsiTheme="majorHAnsi"/>
              </w:rPr>
            </w:pPr>
            <w:r>
              <w:rPr>
                <w:rFonts w:asciiTheme="majorHAnsi" w:hAnsiTheme="majorHAnsi"/>
              </w:rPr>
              <w:t>S</w:t>
            </w:r>
            <w:r w:rsidRPr="002C2079">
              <w:rPr>
                <w:rFonts w:asciiTheme="majorHAnsi" w:hAnsiTheme="majorHAnsi"/>
              </w:rPr>
              <w:t>ales and use tax</w:t>
            </w:r>
          </w:p>
          <w:p w14:paraId="51EF3694" w14:textId="77777777" w:rsidR="00565D22" w:rsidRPr="002C2079" w:rsidRDefault="00565D22" w:rsidP="005B1BBE">
            <w:pPr>
              <w:tabs>
                <w:tab w:val="left" w:pos="7050"/>
              </w:tabs>
              <w:rPr>
                <w:rFonts w:asciiTheme="majorHAnsi" w:hAnsiTheme="majorHAnsi"/>
              </w:rPr>
            </w:pPr>
          </w:p>
        </w:tc>
      </w:tr>
      <w:tr w:rsidR="005B1BBE" w:rsidRPr="002C2079" w14:paraId="75FACE8B" w14:textId="77777777" w:rsidTr="001E672D">
        <w:tc>
          <w:tcPr>
            <w:tcW w:w="4707" w:type="dxa"/>
          </w:tcPr>
          <w:p w14:paraId="62522B98" w14:textId="77777777" w:rsidR="005B1BBE" w:rsidRPr="002C2079" w:rsidRDefault="005B1BBE" w:rsidP="005B1BBE">
            <w:pPr>
              <w:tabs>
                <w:tab w:val="left" w:pos="7050"/>
              </w:tabs>
              <w:rPr>
                <w:rFonts w:asciiTheme="majorHAnsi" w:eastAsiaTheme="majorEastAsia" w:hAnsiTheme="majorHAnsi" w:cstheme="majorBidi"/>
                <w:b/>
                <w:bCs/>
                <w:color w:val="000000" w:themeColor="text1"/>
              </w:rPr>
            </w:pPr>
            <w:r w:rsidRPr="002C2079">
              <w:rPr>
                <w:rFonts w:asciiTheme="majorHAnsi" w:eastAsiaTheme="majorEastAsia" w:hAnsiTheme="majorHAnsi" w:cstheme="majorBidi"/>
                <w:b/>
                <w:bCs/>
                <w:color w:val="000000" w:themeColor="text1"/>
              </w:rPr>
              <w:t>LEGAL REFERENCE</w:t>
            </w:r>
          </w:p>
          <w:p w14:paraId="055F44EF" w14:textId="77777777" w:rsidR="005B1BBE" w:rsidRPr="002C2079" w:rsidRDefault="005B1BBE" w:rsidP="005B1BBE">
            <w:pPr>
              <w:tabs>
                <w:tab w:val="left" w:pos="7050"/>
              </w:tabs>
              <w:rPr>
                <w:rFonts w:asciiTheme="majorHAnsi" w:hAnsiTheme="majorHAnsi"/>
              </w:rPr>
            </w:pPr>
          </w:p>
        </w:tc>
        <w:tc>
          <w:tcPr>
            <w:tcW w:w="4653" w:type="dxa"/>
          </w:tcPr>
          <w:p w14:paraId="32E428B7" w14:textId="77777777" w:rsidR="0030014C" w:rsidRPr="002C2079" w:rsidRDefault="002A7E4B" w:rsidP="005B1BBE">
            <w:pPr>
              <w:tabs>
                <w:tab w:val="left" w:pos="7050"/>
              </w:tabs>
              <w:rPr>
                <w:rFonts w:asciiTheme="majorHAnsi" w:hAnsiTheme="majorHAnsi"/>
              </w:rPr>
            </w:pPr>
            <w:r w:rsidRPr="00480811">
              <w:rPr>
                <w:rFonts w:asciiTheme="majorHAnsi" w:hAnsiTheme="majorHAnsi" w:cs="Arial"/>
                <w:color w:val="000000"/>
              </w:rPr>
              <w:t>M.G.L. c. 64H § 6(g)</w:t>
            </w:r>
          </w:p>
        </w:tc>
      </w:tr>
      <w:tr w:rsidR="005B1BBE" w:rsidRPr="002C2079" w14:paraId="0082ADA5" w14:textId="77777777" w:rsidTr="001E672D">
        <w:tc>
          <w:tcPr>
            <w:tcW w:w="4707" w:type="dxa"/>
          </w:tcPr>
          <w:p w14:paraId="31D29113" w14:textId="77777777" w:rsidR="005B1BBE" w:rsidRPr="002C2079" w:rsidRDefault="005B1BBE" w:rsidP="005B1BBE">
            <w:pPr>
              <w:tabs>
                <w:tab w:val="left" w:pos="7050"/>
              </w:tabs>
              <w:rPr>
                <w:rFonts w:asciiTheme="majorHAnsi" w:eastAsiaTheme="majorEastAsia" w:hAnsiTheme="majorHAnsi" w:cstheme="majorBidi"/>
                <w:b/>
                <w:bCs/>
                <w:color w:val="000000" w:themeColor="text1"/>
              </w:rPr>
            </w:pPr>
            <w:r w:rsidRPr="002C2079">
              <w:rPr>
                <w:rFonts w:asciiTheme="majorHAnsi" w:eastAsiaTheme="majorEastAsia" w:hAnsiTheme="majorHAnsi" w:cstheme="majorBidi"/>
                <w:b/>
                <w:bCs/>
                <w:color w:val="000000" w:themeColor="text1"/>
              </w:rPr>
              <w:t>YEAR ENACTED</w:t>
            </w:r>
          </w:p>
          <w:p w14:paraId="76145300" w14:textId="77777777" w:rsidR="005B1BBE" w:rsidRPr="002C2079" w:rsidRDefault="005B1BBE" w:rsidP="005B1BBE">
            <w:pPr>
              <w:tabs>
                <w:tab w:val="left" w:pos="7050"/>
              </w:tabs>
              <w:rPr>
                <w:rFonts w:asciiTheme="majorHAnsi" w:hAnsiTheme="majorHAnsi"/>
              </w:rPr>
            </w:pPr>
          </w:p>
        </w:tc>
        <w:tc>
          <w:tcPr>
            <w:tcW w:w="4653" w:type="dxa"/>
          </w:tcPr>
          <w:p w14:paraId="04C123AF" w14:textId="70D39E7A" w:rsidR="005B1BBE" w:rsidRPr="002C2079" w:rsidRDefault="00DA58BD" w:rsidP="005B1BBE">
            <w:pPr>
              <w:tabs>
                <w:tab w:val="left" w:pos="7050"/>
              </w:tabs>
              <w:rPr>
                <w:rFonts w:asciiTheme="majorHAnsi" w:hAnsiTheme="majorHAnsi"/>
              </w:rPr>
            </w:pPr>
            <w:r>
              <w:rPr>
                <w:rFonts w:asciiTheme="majorHAnsi" w:hAnsiTheme="majorHAnsi"/>
              </w:rPr>
              <w:t xml:space="preserve">1967. Last amended in </w:t>
            </w:r>
            <w:r w:rsidR="002E62D8">
              <w:rPr>
                <w:rFonts w:asciiTheme="majorHAnsi" w:hAnsiTheme="majorHAnsi"/>
              </w:rPr>
              <w:t>2010</w:t>
            </w:r>
          </w:p>
        </w:tc>
      </w:tr>
      <w:tr w:rsidR="005B1BBE" w:rsidRPr="002C2079" w14:paraId="2D4263BB" w14:textId="77777777" w:rsidTr="001E672D">
        <w:tc>
          <w:tcPr>
            <w:tcW w:w="4707" w:type="dxa"/>
          </w:tcPr>
          <w:p w14:paraId="304C47D8" w14:textId="77777777" w:rsidR="005B1BBE" w:rsidRPr="002C2079" w:rsidRDefault="005B1BBE" w:rsidP="005B1BBE">
            <w:pPr>
              <w:tabs>
                <w:tab w:val="left" w:pos="7050"/>
              </w:tabs>
              <w:rPr>
                <w:rFonts w:asciiTheme="majorHAnsi" w:hAnsiTheme="majorHAnsi"/>
              </w:rPr>
            </w:pPr>
            <w:r w:rsidRPr="002C2079">
              <w:rPr>
                <w:rFonts w:asciiTheme="majorHAnsi" w:eastAsiaTheme="majorEastAsia" w:hAnsiTheme="majorHAnsi" w:cstheme="majorBidi"/>
                <w:b/>
                <w:bCs/>
                <w:color w:val="000000" w:themeColor="text1"/>
              </w:rPr>
              <w:t>REPEAL/EXPIRATION DATE</w:t>
            </w:r>
          </w:p>
        </w:tc>
        <w:tc>
          <w:tcPr>
            <w:tcW w:w="4653" w:type="dxa"/>
          </w:tcPr>
          <w:p w14:paraId="796CE615" w14:textId="77777777" w:rsidR="005B1BBE" w:rsidRDefault="00F639D4" w:rsidP="003419DF">
            <w:pPr>
              <w:tabs>
                <w:tab w:val="left" w:pos="7050"/>
              </w:tabs>
              <w:rPr>
                <w:rFonts w:asciiTheme="majorHAnsi" w:hAnsiTheme="majorHAnsi"/>
              </w:rPr>
            </w:pPr>
            <w:r>
              <w:rPr>
                <w:rFonts w:asciiTheme="majorHAnsi" w:hAnsiTheme="majorHAnsi"/>
              </w:rPr>
              <w:t>None</w:t>
            </w:r>
          </w:p>
          <w:p w14:paraId="61C3BD4F" w14:textId="77777777" w:rsidR="003419DF" w:rsidRPr="002C2079" w:rsidRDefault="003419DF" w:rsidP="003419DF">
            <w:pPr>
              <w:tabs>
                <w:tab w:val="left" w:pos="7050"/>
              </w:tabs>
              <w:rPr>
                <w:rFonts w:asciiTheme="majorHAnsi" w:hAnsiTheme="majorHAnsi"/>
              </w:rPr>
            </w:pPr>
          </w:p>
        </w:tc>
      </w:tr>
      <w:tr w:rsidR="001E672D" w:rsidRPr="002C2079" w14:paraId="59A9BD0A" w14:textId="77777777" w:rsidTr="001E672D">
        <w:tc>
          <w:tcPr>
            <w:tcW w:w="4707" w:type="dxa"/>
          </w:tcPr>
          <w:p w14:paraId="66F8C337" w14:textId="77777777" w:rsidR="001E672D" w:rsidRPr="002C2079" w:rsidRDefault="001E672D" w:rsidP="001E672D">
            <w:pPr>
              <w:tabs>
                <w:tab w:val="left" w:pos="7050"/>
              </w:tabs>
              <w:rPr>
                <w:rFonts w:asciiTheme="majorHAnsi" w:eastAsiaTheme="majorEastAsia" w:hAnsiTheme="majorHAnsi" w:cstheme="majorBidi"/>
                <w:b/>
                <w:bCs/>
                <w:color w:val="000000" w:themeColor="text1"/>
              </w:rPr>
            </w:pPr>
            <w:r w:rsidRPr="002C2079">
              <w:rPr>
                <w:rFonts w:asciiTheme="majorHAnsi" w:eastAsiaTheme="majorEastAsia" w:hAnsiTheme="majorHAnsi" w:cstheme="majorBidi"/>
                <w:b/>
                <w:bCs/>
                <w:color w:val="000000" w:themeColor="text1"/>
              </w:rPr>
              <w:t>ANNUAL REVENUE IMPACT</w:t>
            </w:r>
          </w:p>
          <w:p w14:paraId="7065FD5A" w14:textId="77777777" w:rsidR="001E672D" w:rsidRPr="002C2079" w:rsidRDefault="001E672D" w:rsidP="001E672D">
            <w:pPr>
              <w:tabs>
                <w:tab w:val="left" w:pos="7050"/>
              </w:tabs>
              <w:rPr>
                <w:rFonts w:asciiTheme="majorHAnsi" w:hAnsiTheme="majorHAnsi"/>
              </w:rPr>
            </w:pPr>
          </w:p>
        </w:tc>
        <w:tc>
          <w:tcPr>
            <w:tcW w:w="4653" w:type="dxa"/>
          </w:tcPr>
          <w:p w14:paraId="13B566E0" w14:textId="77777777" w:rsidR="001E672D" w:rsidRDefault="001E672D" w:rsidP="001E672D">
            <w:pPr>
              <w:tabs>
                <w:tab w:val="left" w:pos="7050"/>
              </w:tabs>
              <w:rPr>
                <w:rFonts w:asciiTheme="majorHAnsi" w:hAnsiTheme="majorHAnsi"/>
              </w:rPr>
            </w:pPr>
            <w:r w:rsidRPr="002C2079">
              <w:rPr>
                <w:rFonts w:asciiTheme="majorHAnsi" w:hAnsiTheme="majorHAnsi"/>
              </w:rPr>
              <w:t>Tax loss of $</w:t>
            </w:r>
            <w:r w:rsidR="002E62D8">
              <w:rPr>
                <w:rFonts w:asciiTheme="majorHAnsi" w:hAnsiTheme="majorHAnsi"/>
              </w:rPr>
              <w:t>536.7</w:t>
            </w:r>
            <w:r w:rsidR="00DA7CE5">
              <w:rPr>
                <w:rFonts w:asciiTheme="majorHAnsi" w:hAnsiTheme="majorHAnsi"/>
              </w:rPr>
              <w:t xml:space="preserve"> - $</w:t>
            </w:r>
            <w:r w:rsidR="002E62D8">
              <w:rPr>
                <w:rFonts w:asciiTheme="majorHAnsi" w:hAnsiTheme="majorHAnsi"/>
              </w:rPr>
              <w:t>549.0</w:t>
            </w:r>
            <w:r>
              <w:rPr>
                <w:rFonts w:asciiTheme="majorHAnsi" w:hAnsiTheme="majorHAnsi"/>
              </w:rPr>
              <w:t xml:space="preserve"> </w:t>
            </w:r>
            <w:r w:rsidRPr="002C2079">
              <w:rPr>
                <w:rFonts w:asciiTheme="majorHAnsi" w:hAnsiTheme="majorHAnsi"/>
              </w:rPr>
              <w:t xml:space="preserve">million </w:t>
            </w:r>
            <w:r w:rsidR="002E219A">
              <w:rPr>
                <w:rFonts w:asciiTheme="majorHAnsi" w:hAnsiTheme="majorHAnsi"/>
              </w:rPr>
              <w:t xml:space="preserve">per year during </w:t>
            </w:r>
            <w:r w:rsidRPr="002C2079">
              <w:rPr>
                <w:rFonts w:asciiTheme="majorHAnsi" w:hAnsiTheme="majorHAnsi"/>
              </w:rPr>
              <w:t>FY1</w:t>
            </w:r>
            <w:r>
              <w:rPr>
                <w:rFonts w:asciiTheme="majorHAnsi" w:hAnsiTheme="majorHAnsi"/>
              </w:rPr>
              <w:t>8</w:t>
            </w:r>
            <w:r w:rsidRPr="002C2079">
              <w:rPr>
                <w:rFonts w:asciiTheme="majorHAnsi" w:hAnsiTheme="majorHAnsi"/>
              </w:rPr>
              <w:t>-FY2</w:t>
            </w:r>
            <w:r>
              <w:rPr>
                <w:rFonts w:asciiTheme="majorHAnsi" w:hAnsiTheme="majorHAnsi"/>
              </w:rPr>
              <w:t>2</w:t>
            </w:r>
          </w:p>
          <w:p w14:paraId="3138588C" w14:textId="77777777" w:rsidR="002E219A" w:rsidRPr="002C2079" w:rsidRDefault="002E219A" w:rsidP="001E672D">
            <w:pPr>
              <w:tabs>
                <w:tab w:val="left" w:pos="7050"/>
              </w:tabs>
              <w:rPr>
                <w:rFonts w:asciiTheme="majorHAnsi" w:hAnsiTheme="majorHAnsi"/>
              </w:rPr>
            </w:pPr>
          </w:p>
        </w:tc>
      </w:tr>
      <w:tr w:rsidR="005B1BBE" w:rsidRPr="002C2079" w14:paraId="73E09DB6" w14:textId="77777777" w:rsidTr="001E672D">
        <w:tc>
          <w:tcPr>
            <w:tcW w:w="4707" w:type="dxa"/>
          </w:tcPr>
          <w:p w14:paraId="5FC5FBBA" w14:textId="77777777" w:rsidR="005B1BBE" w:rsidRPr="002C2079" w:rsidRDefault="005B1BBE" w:rsidP="005B1BBE">
            <w:pPr>
              <w:tabs>
                <w:tab w:val="left" w:pos="7050"/>
              </w:tabs>
              <w:rPr>
                <w:rFonts w:asciiTheme="majorHAnsi" w:hAnsiTheme="majorHAnsi"/>
              </w:rPr>
            </w:pPr>
            <w:r w:rsidRPr="002C2079">
              <w:rPr>
                <w:rFonts w:asciiTheme="majorHAnsi" w:eastAsiaTheme="majorEastAsia" w:hAnsiTheme="majorHAnsi" w:cstheme="majorBidi"/>
                <w:b/>
                <w:bCs/>
                <w:color w:val="000000" w:themeColor="text1"/>
              </w:rPr>
              <w:t xml:space="preserve">NUMBER OF TAXPAYERS </w:t>
            </w:r>
          </w:p>
        </w:tc>
        <w:tc>
          <w:tcPr>
            <w:tcW w:w="4653" w:type="dxa"/>
          </w:tcPr>
          <w:p w14:paraId="4956F945" w14:textId="2885C86A" w:rsidR="002A7E4B" w:rsidRDefault="002A7E4B" w:rsidP="002A7E4B">
            <w:pPr>
              <w:tabs>
                <w:tab w:val="left" w:pos="7050"/>
              </w:tabs>
              <w:rPr>
                <w:rFonts w:asciiTheme="majorHAnsi" w:hAnsiTheme="majorHAnsi"/>
              </w:rPr>
            </w:pPr>
            <w:r>
              <w:rPr>
                <w:rFonts w:asciiTheme="majorHAnsi" w:hAnsiTheme="majorHAnsi"/>
              </w:rPr>
              <w:t xml:space="preserve">Buyers and </w:t>
            </w:r>
            <w:r w:rsidR="00482F28">
              <w:rPr>
                <w:rFonts w:asciiTheme="majorHAnsi" w:hAnsiTheme="majorHAnsi"/>
              </w:rPr>
              <w:t>S</w:t>
            </w:r>
            <w:r>
              <w:rPr>
                <w:rFonts w:asciiTheme="majorHAnsi" w:hAnsiTheme="majorHAnsi"/>
              </w:rPr>
              <w:t xml:space="preserve">ellers of </w:t>
            </w:r>
            <w:r w:rsidR="002E62D8">
              <w:rPr>
                <w:rFonts w:asciiTheme="majorHAnsi" w:hAnsiTheme="majorHAnsi"/>
              </w:rPr>
              <w:t>Motor Fuels</w:t>
            </w:r>
            <w:r w:rsidR="00CC6E5B">
              <w:rPr>
                <w:rFonts w:asciiTheme="majorHAnsi" w:hAnsiTheme="majorHAnsi"/>
              </w:rPr>
              <w:t xml:space="preserve"> at the Retail </w:t>
            </w:r>
            <w:r w:rsidR="001175C9">
              <w:rPr>
                <w:rFonts w:asciiTheme="majorHAnsi" w:hAnsiTheme="majorHAnsi"/>
              </w:rPr>
              <w:t>Level</w:t>
            </w:r>
          </w:p>
          <w:p w14:paraId="28A598B8" w14:textId="77777777" w:rsidR="005B1BBE" w:rsidRPr="002C2079" w:rsidRDefault="005B1BBE" w:rsidP="005B1BBE">
            <w:pPr>
              <w:tabs>
                <w:tab w:val="left" w:pos="7050"/>
              </w:tabs>
              <w:rPr>
                <w:rFonts w:asciiTheme="majorHAnsi" w:hAnsiTheme="majorHAnsi"/>
              </w:rPr>
            </w:pPr>
          </w:p>
        </w:tc>
      </w:tr>
      <w:tr w:rsidR="005B1BBE" w:rsidRPr="002C2079" w14:paraId="57BFE808" w14:textId="77777777" w:rsidTr="001E672D">
        <w:tc>
          <w:tcPr>
            <w:tcW w:w="4707" w:type="dxa"/>
          </w:tcPr>
          <w:p w14:paraId="0B0F4B47" w14:textId="77777777" w:rsidR="005B1BBE" w:rsidRPr="002C2079" w:rsidRDefault="005B1BBE" w:rsidP="00F7586D">
            <w:pPr>
              <w:tabs>
                <w:tab w:val="left" w:pos="7050"/>
              </w:tabs>
              <w:rPr>
                <w:rFonts w:asciiTheme="majorHAnsi" w:hAnsiTheme="majorHAnsi"/>
              </w:rPr>
            </w:pPr>
            <w:r w:rsidRPr="002C2079">
              <w:rPr>
                <w:rFonts w:asciiTheme="majorHAnsi" w:eastAsiaTheme="majorEastAsia" w:hAnsiTheme="majorHAnsi" w:cstheme="majorBidi"/>
                <w:b/>
                <w:bCs/>
                <w:color w:val="000000" w:themeColor="text1"/>
              </w:rPr>
              <w:t>AVERAGE TAXPAYER BENEFIT</w:t>
            </w:r>
          </w:p>
        </w:tc>
        <w:tc>
          <w:tcPr>
            <w:tcW w:w="4653" w:type="dxa"/>
          </w:tcPr>
          <w:p w14:paraId="64C79584" w14:textId="2693A28C" w:rsidR="005B1BBE" w:rsidRPr="002C2079" w:rsidRDefault="002A7E4B" w:rsidP="002A7E4B">
            <w:pPr>
              <w:tabs>
                <w:tab w:val="left" w:pos="7050"/>
              </w:tabs>
              <w:rPr>
                <w:rFonts w:asciiTheme="majorHAnsi" w:hAnsiTheme="majorHAnsi"/>
              </w:rPr>
            </w:pPr>
            <w:r>
              <w:rPr>
                <w:rFonts w:asciiTheme="majorHAnsi" w:hAnsiTheme="majorHAnsi"/>
              </w:rPr>
              <w:t>$</w:t>
            </w:r>
            <w:r w:rsidR="004E7DD4">
              <w:rPr>
                <w:rFonts w:asciiTheme="majorHAnsi" w:hAnsiTheme="majorHAnsi"/>
              </w:rPr>
              <w:t xml:space="preserve">185 </w:t>
            </w:r>
            <w:r>
              <w:rPr>
                <w:rFonts w:asciiTheme="majorHAnsi" w:hAnsiTheme="majorHAnsi"/>
              </w:rPr>
              <w:t xml:space="preserve">per </w:t>
            </w:r>
            <w:r w:rsidR="00D62DBC">
              <w:rPr>
                <w:rFonts w:asciiTheme="majorHAnsi" w:hAnsiTheme="majorHAnsi"/>
              </w:rPr>
              <w:t xml:space="preserve">Massachusetts </w:t>
            </w:r>
            <w:r>
              <w:rPr>
                <w:rFonts w:asciiTheme="majorHAnsi" w:hAnsiTheme="majorHAnsi"/>
              </w:rPr>
              <w:t>Household</w:t>
            </w:r>
            <w:r w:rsidR="009A7868">
              <w:rPr>
                <w:rFonts w:asciiTheme="majorHAnsi" w:hAnsiTheme="majorHAnsi"/>
              </w:rPr>
              <w:t xml:space="preserve"> in FY18</w:t>
            </w:r>
            <w:r>
              <w:rPr>
                <w:rFonts w:asciiTheme="majorHAnsi" w:hAnsiTheme="majorHAnsi"/>
              </w:rPr>
              <w:t>.</w:t>
            </w:r>
          </w:p>
        </w:tc>
      </w:tr>
    </w:tbl>
    <w:p w14:paraId="78355724" w14:textId="77777777" w:rsidR="00565D22" w:rsidRDefault="00565D22">
      <w:pPr>
        <w:rPr>
          <w:b/>
          <w:bCs/>
        </w:rPr>
      </w:pPr>
    </w:p>
    <w:tbl>
      <w:tblPr>
        <w:tblStyle w:val="TableGrid"/>
        <w:tblW w:w="0" w:type="auto"/>
        <w:tblLook w:val="04A0" w:firstRow="1" w:lastRow="0" w:firstColumn="1" w:lastColumn="0" w:noHBand="0" w:noVBand="1"/>
      </w:tblPr>
      <w:tblGrid>
        <w:gridCol w:w="4676"/>
        <w:gridCol w:w="4674"/>
      </w:tblGrid>
      <w:tr w:rsidR="00565D22" w:rsidRPr="00221535" w14:paraId="14B93581" w14:textId="77777777" w:rsidTr="002A7E4B">
        <w:tc>
          <w:tcPr>
            <w:tcW w:w="4676" w:type="dxa"/>
          </w:tcPr>
          <w:p w14:paraId="315CF0EC" w14:textId="77777777" w:rsidR="00565D22" w:rsidRPr="00F73E2C" w:rsidRDefault="00565D22" w:rsidP="00565D22">
            <w:pPr>
              <w:tabs>
                <w:tab w:val="left" w:pos="7050"/>
              </w:tabs>
              <w:rPr>
                <w:rFonts w:asciiTheme="majorHAnsi" w:eastAsiaTheme="majorEastAsia" w:hAnsiTheme="majorHAnsi" w:cstheme="majorBidi"/>
                <w:b/>
                <w:bCs/>
                <w:color w:val="000000" w:themeColor="text1"/>
              </w:rPr>
            </w:pPr>
            <w:r w:rsidRPr="00F73E2C">
              <w:rPr>
                <w:rFonts w:asciiTheme="majorHAnsi" w:eastAsiaTheme="majorEastAsia" w:hAnsiTheme="majorHAnsi" w:cstheme="majorBidi"/>
                <w:b/>
                <w:bCs/>
                <w:color w:val="000000" w:themeColor="text1"/>
              </w:rPr>
              <w:t>Description of the Tax Expenditure:</w:t>
            </w:r>
          </w:p>
          <w:p w14:paraId="5593567D" w14:textId="77777777" w:rsidR="00565D22" w:rsidRDefault="002E62D8" w:rsidP="00565D22">
            <w:pPr>
              <w:tabs>
                <w:tab w:val="left" w:pos="7050"/>
              </w:tabs>
              <w:rPr>
                <w:rFonts w:asciiTheme="majorHAnsi" w:eastAsiaTheme="majorEastAsia" w:hAnsiTheme="majorHAnsi" w:cstheme="majorBidi"/>
                <w:bCs/>
                <w:color w:val="000000" w:themeColor="text1"/>
                <w:sz w:val="24"/>
              </w:rPr>
            </w:pPr>
            <w:r w:rsidRPr="006E34EC">
              <w:rPr>
                <w:rFonts w:asciiTheme="majorHAnsi" w:eastAsiaTheme="majorEastAsia" w:hAnsiTheme="majorHAnsi" w:cstheme="majorBidi"/>
                <w:bCs/>
                <w:color w:val="000000" w:themeColor="text1"/>
                <w:sz w:val="24"/>
              </w:rPr>
              <w:t>Motor fuels are exempt from sales</w:t>
            </w:r>
            <w:r>
              <w:rPr>
                <w:rFonts w:asciiTheme="majorHAnsi" w:eastAsiaTheme="majorEastAsia" w:hAnsiTheme="majorHAnsi" w:cstheme="majorBidi"/>
                <w:bCs/>
                <w:color w:val="000000" w:themeColor="text1"/>
                <w:sz w:val="24"/>
              </w:rPr>
              <w:t xml:space="preserve"> and use</w:t>
            </w:r>
            <w:r w:rsidRPr="006E34EC">
              <w:rPr>
                <w:rFonts w:asciiTheme="majorHAnsi" w:eastAsiaTheme="majorEastAsia" w:hAnsiTheme="majorHAnsi" w:cstheme="majorBidi"/>
                <w:bCs/>
                <w:color w:val="000000" w:themeColor="text1"/>
                <w:sz w:val="24"/>
              </w:rPr>
              <w:t xml:space="preserve"> tax.  They are </w:t>
            </w:r>
            <w:r>
              <w:rPr>
                <w:rFonts w:asciiTheme="majorHAnsi" w:eastAsiaTheme="majorEastAsia" w:hAnsiTheme="majorHAnsi" w:cstheme="majorBidi"/>
                <w:bCs/>
                <w:color w:val="000000" w:themeColor="text1"/>
                <w:sz w:val="24"/>
              </w:rPr>
              <w:t xml:space="preserve">instead </w:t>
            </w:r>
            <w:r w:rsidRPr="006E34EC">
              <w:rPr>
                <w:rFonts w:asciiTheme="majorHAnsi" w:eastAsiaTheme="majorEastAsia" w:hAnsiTheme="majorHAnsi" w:cstheme="majorBidi"/>
                <w:bCs/>
                <w:color w:val="000000" w:themeColor="text1"/>
                <w:sz w:val="24"/>
              </w:rPr>
              <w:t xml:space="preserve">subject to an excise </w:t>
            </w:r>
            <w:r w:rsidRPr="00247C93">
              <w:rPr>
                <w:rFonts w:asciiTheme="majorHAnsi" w:eastAsiaTheme="majorEastAsia" w:hAnsiTheme="majorHAnsi" w:cstheme="majorBidi"/>
                <w:bCs/>
                <w:color w:val="000000" w:themeColor="text1"/>
                <w:sz w:val="24"/>
              </w:rPr>
              <w:t xml:space="preserve">tax determined by price per gallon </w:t>
            </w:r>
            <w:r>
              <w:rPr>
                <w:rFonts w:asciiTheme="majorHAnsi" w:eastAsiaTheme="majorEastAsia" w:hAnsiTheme="majorHAnsi" w:cstheme="majorBidi"/>
                <w:bCs/>
                <w:color w:val="000000" w:themeColor="text1"/>
                <w:sz w:val="24"/>
              </w:rPr>
              <w:t>under another provision of state law</w:t>
            </w:r>
            <w:r w:rsidRPr="006E34EC">
              <w:rPr>
                <w:rFonts w:asciiTheme="majorHAnsi" w:eastAsiaTheme="majorEastAsia" w:hAnsiTheme="majorHAnsi" w:cstheme="majorBidi"/>
                <w:bCs/>
                <w:color w:val="000000" w:themeColor="text1"/>
                <w:sz w:val="24"/>
              </w:rPr>
              <w:t xml:space="preserve">. </w:t>
            </w:r>
          </w:p>
          <w:p w14:paraId="1069E190" w14:textId="77777777" w:rsidR="002E62D8" w:rsidRPr="00F73E2C" w:rsidRDefault="002E62D8" w:rsidP="00565D22">
            <w:pPr>
              <w:tabs>
                <w:tab w:val="left" w:pos="7050"/>
              </w:tabs>
              <w:rPr>
                <w:rFonts w:asciiTheme="majorHAnsi" w:eastAsiaTheme="majorEastAsia" w:hAnsiTheme="majorHAnsi" w:cstheme="majorBidi"/>
                <w:b/>
                <w:bCs/>
                <w:color w:val="000000" w:themeColor="text1"/>
              </w:rPr>
            </w:pPr>
          </w:p>
        </w:tc>
        <w:tc>
          <w:tcPr>
            <w:tcW w:w="4674" w:type="dxa"/>
          </w:tcPr>
          <w:p w14:paraId="48FF1738" w14:textId="77777777" w:rsidR="00565D22" w:rsidRPr="00F73E2C" w:rsidRDefault="00565D22" w:rsidP="00565D22">
            <w:pPr>
              <w:tabs>
                <w:tab w:val="left" w:pos="7050"/>
              </w:tabs>
              <w:rPr>
                <w:rFonts w:asciiTheme="majorHAnsi" w:eastAsiaTheme="majorEastAsia" w:hAnsiTheme="majorHAnsi" w:cstheme="majorBidi"/>
                <w:b/>
                <w:bCs/>
                <w:color w:val="000000" w:themeColor="text1"/>
              </w:rPr>
            </w:pPr>
            <w:r w:rsidRPr="00F73E2C">
              <w:rPr>
                <w:rFonts w:asciiTheme="majorHAnsi" w:eastAsiaTheme="majorEastAsia" w:hAnsiTheme="majorHAnsi" w:cstheme="majorBidi"/>
                <w:b/>
                <w:bCs/>
                <w:color w:val="000000" w:themeColor="text1"/>
              </w:rPr>
              <w:t>Is the purpose defined in the statute?</w:t>
            </w:r>
          </w:p>
          <w:p w14:paraId="7D2AAB3D" w14:textId="77777777" w:rsidR="002E62D8" w:rsidRPr="009373F9" w:rsidRDefault="002E62D8" w:rsidP="002E62D8">
            <w:pPr>
              <w:rPr>
                <w:rFonts w:asciiTheme="majorHAnsi" w:eastAsiaTheme="majorEastAsia" w:hAnsiTheme="majorHAnsi" w:cstheme="majorBidi"/>
                <w:bCs/>
                <w:color w:val="000000" w:themeColor="text1"/>
                <w:sz w:val="24"/>
              </w:rPr>
            </w:pPr>
            <w:r w:rsidRPr="002C2079">
              <w:rPr>
                <w:rFonts w:asciiTheme="majorHAnsi" w:eastAsiaTheme="majorEastAsia" w:hAnsiTheme="majorHAnsi" w:cstheme="majorBidi"/>
                <w:bCs/>
                <w:color w:val="000000" w:themeColor="text1"/>
                <w:sz w:val="24"/>
              </w:rPr>
              <w:t>The statute does not explicitly state the purpose of this tax expenditure.</w:t>
            </w:r>
            <w:r w:rsidRPr="00247C93">
              <w:rPr>
                <w:rFonts w:asciiTheme="majorHAnsi" w:eastAsiaTheme="majorEastAsia" w:hAnsiTheme="majorHAnsi" w:cstheme="majorBidi"/>
                <w:bCs/>
                <w:color w:val="000000" w:themeColor="text1"/>
                <w:sz w:val="24"/>
              </w:rPr>
              <w:t xml:space="preserve">  </w:t>
            </w:r>
          </w:p>
          <w:p w14:paraId="68F83294" w14:textId="77777777" w:rsidR="00565D22" w:rsidRPr="00F73E2C" w:rsidRDefault="00565D22" w:rsidP="00565D22">
            <w:pPr>
              <w:rPr>
                <w:b/>
                <w:bCs/>
              </w:rPr>
            </w:pPr>
          </w:p>
        </w:tc>
      </w:tr>
      <w:tr w:rsidR="002A7E4B" w:rsidRPr="00221535" w14:paraId="1324F3DE" w14:textId="77777777" w:rsidTr="002A7E4B">
        <w:tc>
          <w:tcPr>
            <w:tcW w:w="4676" w:type="dxa"/>
          </w:tcPr>
          <w:p w14:paraId="20465242" w14:textId="77777777" w:rsidR="002A7E4B" w:rsidRDefault="002A7E4B" w:rsidP="002A7E4B">
            <w:pPr>
              <w:rPr>
                <w:rFonts w:asciiTheme="majorHAnsi" w:eastAsiaTheme="majorEastAsia" w:hAnsiTheme="majorHAnsi" w:cstheme="majorBidi"/>
                <w:bCs/>
                <w:color w:val="000000" w:themeColor="text1"/>
              </w:rPr>
            </w:pPr>
            <w:r w:rsidRPr="00F73E2C">
              <w:rPr>
                <w:rFonts w:asciiTheme="majorHAnsi" w:eastAsiaTheme="majorEastAsia" w:hAnsiTheme="majorHAnsi" w:cstheme="majorBidi"/>
                <w:b/>
                <w:bCs/>
                <w:color w:val="000000" w:themeColor="text1"/>
              </w:rPr>
              <w:t xml:space="preserve">What are the </w:t>
            </w:r>
            <w:r>
              <w:rPr>
                <w:rFonts w:asciiTheme="majorHAnsi" w:eastAsiaTheme="majorEastAsia" w:hAnsiTheme="majorHAnsi" w:cstheme="majorBidi"/>
                <w:b/>
                <w:bCs/>
                <w:color w:val="000000" w:themeColor="text1"/>
                <w:sz w:val="24"/>
              </w:rPr>
              <w:t xml:space="preserve">policy </w:t>
            </w:r>
            <w:r w:rsidRPr="00F73E2C">
              <w:rPr>
                <w:rFonts w:asciiTheme="majorHAnsi" w:eastAsiaTheme="majorEastAsia" w:hAnsiTheme="majorHAnsi" w:cstheme="majorBidi"/>
                <w:b/>
                <w:bCs/>
                <w:color w:val="000000" w:themeColor="text1"/>
              </w:rPr>
              <w:t>goals of the expenditure?</w:t>
            </w:r>
            <w:r w:rsidRPr="00F73E2C">
              <w:rPr>
                <w:rFonts w:asciiTheme="majorHAnsi" w:eastAsiaTheme="majorEastAsia" w:hAnsiTheme="majorHAnsi" w:cstheme="majorBidi"/>
                <w:bCs/>
                <w:color w:val="000000" w:themeColor="text1"/>
              </w:rPr>
              <w:t xml:space="preserve"> </w:t>
            </w:r>
          </w:p>
          <w:p w14:paraId="44CE70E3" w14:textId="4C42EEC1" w:rsidR="002E62D8" w:rsidRPr="00B70F10" w:rsidRDefault="00795279" w:rsidP="002E62D8">
            <w:pPr>
              <w:rPr>
                <w:rFonts w:asciiTheme="majorHAnsi" w:eastAsiaTheme="majorEastAsia" w:hAnsiTheme="majorHAnsi" w:cstheme="majorBidi"/>
                <w:bCs/>
                <w:color w:val="000000" w:themeColor="text1"/>
                <w:sz w:val="24"/>
              </w:rPr>
            </w:pPr>
            <w:r>
              <w:rPr>
                <w:rFonts w:asciiTheme="majorHAnsi" w:eastAsiaTheme="majorEastAsia" w:hAnsiTheme="majorHAnsi" w:cstheme="majorBidi"/>
                <w:bCs/>
                <w:color w:val="000000" w:themeColor="text1"/>
                <w:sz w:val="24"/>
              </w:rPr>
              <w:t>DOR infers that the goal of the expenditure is t</w:t>
            </w:r>
            <w:r w:rsidRPr="00273715">
              <w:rPr>
                <w:rFonts w:asciiTheme="majorHAnsi" w:eastAsiaTheme="majorEastAsia" w:hAnsiTheme="majorHAnsi" w:cstheme="majorBidi"/>
                <w:bCs/>
                <w:color w:val="000000" w:themeColor="text1"/>
                <w:sz w:val="24"/>
              </w:rPr>
              <w:t>o</w:t>
            </w:r>
            <w:r w:rsidR="002E62D8" w:rsidRPr="00247C93">
              <w:rPr>
                <w:rFonts w:asciiTheme="majorHAnsi" w:eastAsiaTheme="majorEastAsia" w:hAnsiTheme="majorHAnsi" w:cstheme="majorBidi"/>
                <w:bCs/>
                <w:color w:val="000000" w:themeColor="text1"/>
                <w:sz w:val="24"/>
              </w:rPr>
              <w:t xml:space="preserve"> avoid double taxation of motor fuels</w:t>
            </w:r>
            <w:r>
              <w:rPr>
                <w:rFonts w:asciiTheme="majorHAnsi" w:eastAsiaTheme="majorEastAsia" w:hAnsiTheme="majorHAnsi" w:cstheme="majorBidi"/>
                <w:bCs/>
                <w:color w:val="000000" w:themeColor="text1"/>
                <w:sz w:val="24"/>
              </w:rPr>
              <w:t>.</w:t>
            </w:r>
            <w:r w:rsidR="002E62D8" w:rsidRPr="00247C93">
              <w:rPr>
                <w:rFonts w:asciiTheme="majorHAnsi" w:eastAsiaTheme="majorEastAsia" w:hAnsiTheme="majorHAnsi" w:cstheme="majorBidi"/>
                <w:bCs/>
                <w:color w:val="000000" w:themeColor="text1"/>
                <w:sz w:val="24"/>
              </w:rPr>
              <w:t xml:space="preserve"> </w:t>
            </w:r>
            <w:r>
              <w:rPr>
                <w:rFonts w:asciiTheme="majorHAnsi" w:eastAsiaTheme="majorEastAsia" w:hAnsiTheme="majorHAnsi" w:cstheme="majorBidi"/>
                <w:bCs/>
                <w:color w:val="000000" w:themeColor="text1"/>
                <w:sz w:val="24"/>
              </w:rPr>
              <w:t>M</w:t>
            </w:r>
            <w:r w:rsidR="002E62D8" w:rsidRPr="00247C93">
              <w:rPr>
                <w:rFonts w:asciiTheme="majorHAnsi" w:eastAsiaTheme="majorEastAsia" w:hAnsiTheme="majorHAnsi" w:cstheme="majorBidi"/>
                <w:bCs/>
                <w:color w:val="000000" w:themeColor="text1"/>
                <w:sz w:val="24"/>
              </w:rPr>
              <w:t>otor fuels are subject to a</w:t>
            </w:r>
            <w:r>
              <w:rPr>
                <w:rFonts w:asciiTheme="majorHAnsi" w:eastAsiaTheme="majorEastAsia" w:hAnsiTheme="majorHAnsi" w:cstheme="majorBidi"/>
                <w:bCs/>
                <w:color w:val="000000" w:themeColor="text1"/>
                <w:sz w:val="24"/>
              </w:rPr>
              <w:t xml:space="preserve"> separate</w:t>
            </w:r>
            <w:r w:rsidR="002E62D8" w:rsidRPr="00247C93">
              <w:rPr>
                <w:rFonts w:asciiTheme="majorHAnsi" w:eastAsiaTheme="majorEastAsia" w:hAnsiTheme="majorHAnsi" w:cstheme="majorBidi"/>
                <w:bCs/>
                <w:color w:val="000000" w:themeColor="text1"/>
                <w:sz w:val="24"/>
              </w:rPr>
              <w:t xml:space="preserve"> excise under another provision of state law, M.G.L. c. 64A.  The cost of that excise, generally paid by a distributor, is usually passed on to consumers.  A sales tax on motor fuels would also be borne by consumers.</w:t>
            </w:r>
          </w:p>
          <w:p w14:paraId="3ECD962C" w14:textId="77777777" w:rsidR="002A7E4B" w:rsidRPr="00F73E2C" w:rsidRDefault="002A7E4B" w:rsidP="002A7E4B">
            <w:pPr>
              <w:rPr>
                <w:b/>
                <w:bCs/>
              </w:rPr>
            </w:pPr>
          </w:p>
        </w:tc>
        <w:tc>
          <w:tcPr>
            <w:tcW w:w="4674" w:type="dxa"/>
          </w:tcPr>
          <w:p w14:paraId="7006EA6D" w14:textId="77777777" w:rsidR="002A7E4B" w:rsidRPr="002C2079" w:rsidRDefault="002A7E4B" w:rsidP="002A7E4B">
            <w:pPr>
              <w:tabs>
                <w:tab w:val="left" w:pos="7050"/>
              </w:tabs>
              <w:rPr>
                <w:rFonts w:asciiTheme="majorHAnsi" w:eastAsiaTheme="majorEastAsia" w:hAnsiTheme="majorHAnsi" w:cstheme="majorBidi"/>
                <w:b/>
                <w:bCs/>
                <w:color w:val="000000" w:themeColor="text1"/>
                <w:sz w:val="24"/>
              </w:rPr>
            </w:pPr>
            <w:r>
              <w:rPr>
                <w:rFonts w:asciiTheme="majorHAnsi" w:eastAsiaTheme="majorEastAsia" w:hAnsiTheme="majorHAnsi" w:cstheme="majorBidi"/>
                <w:b/>
                <w:bCs/>
                <w:color w:val="000000" w:themeColor="text1"/>
                <w:sz w:val="24"/>
              </w:rPr>
              <w:t>Are there other states with a s</w:t>
            </w:r>
            <w:r w:rsidRPr="002C2079">
              <w:rPr>
                <w:rFonts w:asciiTheme="majorHAnsi" w:eastAsiaTheme="majorEastAsia" w:hAnsiTheme="majorHAnsi" w:cstheme="majorBidi"/>
                <w:b/>
                <w:bCs/>
                <w:color w:val="000000" w:themeColor="text1"/>
                <w:sz w:val="24"/>
              </w:rPr>
              <w:t>imilar Tax Expenditure?</w:t>
            </w:r>
          </w:p>
          <w:p w14:paraId="545C4CA2" w14:textId="77777777" w:rsidR="002E62D8" w:rsidRPr="002E62D8" w:rsidRDefault="002E62D8" w:rsidP="002E62D8">
            <w:pPr>
              <w:rPr>
                <w:rFonts w:asciiTheme="majorHAnsi" w:eastAsiaTheme="majorEastAsia" w:hAnsiTheme="majorHAnsi" w:cstheme="majorBidi"/>
                <w:bCs/>
                <w:color w:val="000000" w:themeColor="text1"/>
                <w:sz w:val="24"/>
              </w:rPr>
            </w:pPr>
            <w:r w:rsidRPr="002E62D8">
              <w:rPr>
                <w:rFonts w:asciiTheme="majorHAnsi" w:eastAsiaTheme="majorEastAsia" w:hAnsiTheme="majorHAnsi" w:cstheme="majorBidi"/>
                <w:bCs/>
                <w:color w:val="000000" w:themeColor="text1"/>
                <w:sz w:val="24"/>
              </w:rPr>
              <w:t>Yes.  See the link below to a list of federal and state motor fuels taxes issued by the U.S. Energy Information Administration and updated in February 2020.</w:t>
            </w:r>
          </w:p>
          <w:p w14:paraId="73F4D890" w14:textId="77777777" w:rsidR="002A7E4B" w:rsidRPr="00F73E2C" w:rsidRDefault="002A7E4B" w:rsidP="002E62D8">
            <w:pPr>
              <w:rPr>
                <w:rFonts w:asciiTheme="majorHAnsi" w:eastAsiaTheme="majorEastAsia" w:hAnsiTheme="majorHAnsi" w:cstheme="majorBidi"/>
                <w:bCs/>
                <w:color w:val="000000" w:themeColor="text1"/>
              </w:rPr>
            </w:pPr>
          </w:p>
        </w:tc>
      </w:tr>
    </w:tbl>
    <w:tbl>
      <w:tblPr>
        <w:tblStyle w:val="MediumList1-Accent2"/>
        <w:tblW w:w="0" w:type="auto"/>
        <w:tblLook w:val="04A0" w:firstRow="1" w:lastRow="0" w:firstColumn="1" w:lastColumn="0" w:noHBand="0" w:noVBand="1"/>
      </w:tblPr>
      <w:tblGrid>
        <w:gridCol w:w="9576"/>
      </w:tblGrid>
      <w:tr w:rsidR="00F065BC" w:rsidRPr="00065914" w14:paraId="6A2C7E3A" w14:textId="77777777" w:rsidTr="00515E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14:paraId="0BAC4054" w14:textId="77777777" w:rsidR="00F065BC" w:rsidRPr="00065914" w:rsidRDefault="00F065BC" w:rsidP="00F065BC">
            <w:pPr>
              <w:rPr>
                <w:sz w:val="18"/>
                <w:szCs w:val="18"/>
              </w:rPr>
            </w:pPr>
          </w:p>
        </w:tc>
      </w:tr>
      <w:tr w:rsidR="004B14D0" w:rsidRPr="00065914" w14:paraId="5E007A78" w14:textId="77777777" w:rsidTr="00515E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Borders>
              <w:top w:val="single" w:sz="8" w:space="0" w:color="C0504D" w:themeColor="accent2"/>
              <w:bottom w:val="single" w:sz="8" w:space="0" w:color="C0504D" w:themeColor="accent2"/>
            </w:tcBorders>
            <w:shd w:val="clear" w:color="auto" w:fill="B6DDE8" w:themeFill="accent5" w:themeFillTint="66"/>
          </w:tcPr>
          <w:p w14:paraId="47F35B40" w14:textId="77777777" w:rsidR="004B14D0" w:rsidRPr="00065914" w:rsidRDefault="004B14D0" w:rsidP="00F065BC">
            <w:pPr>
              <w:rPr>
                <w:rFonts w:asciiTheme="majorHAnsi" w:hAnsiTheme="majorHAnsi"/>
                <w:sz w:val="18"/>
                <w:szCs w:val="18"/>
              </w:rPr>
            </w:pPr>
            <w:r w:rsidRPr="00065914">
              <w:rPr>
                <w:sz w:val="18"/>
                <w:szCs w:val="18"/>
                <w:highlight w:val="cyan"/>
              </w:rPr>
              <w:t>Conclusion/Recommendations: [To be</w:t>
            </w:r>
            <w:r w:rsidR="00F065BC" w:rsidRPr="00065914">
              <w:rPr>
                <w:sz w:val="18"/>
                <w:szCs w:val="18"/>
                <w:highlight w:val="cyan"/>
              </w:rPr>
              <w:t xml:space="preserve"> Entered by TERC]</w:t>
            </w:r>
          </w:p>
        </w:tc>
      </w:tr>
    </w:tbl>
    <w:p w14:paraId="53672DBA" w14:textId="77777777" w:rsidR="005B1BBE" w:rsidRPr="00B22F40" w:rsidRDefault="005B1BBE" w:rsidP="005B1BBE">
      <w:pPr>
        <w:sectPr w:rsidR="005B1BBE" w:rsidRPr="00B22F40" w:rsidSect="00565D22">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267" w:left="1440" w:header="720" w:footer="720" w:gutter="0"/>
          <w:cols w:space="720"/>
          <w:docGrid w:linePitch="360"/>
        </w:sectPr>
      </w:pPr>
    </w:p>
    <w:p w14:paraId="38521422" w14:textId="073BB100" w:rsidR="00291074" w:rsidRPr="00A07439" w:rsidRDefault="00291074" w:rsidP="00291074">
      <w:pPr>
        <w:tabs>
          <w:tab w:val="left" w:pos="7050"/>
        </w:tabs>
        <w:spacing w:after="0"/>
        <w:rPr>
          <w:rFonts w:asciiTheme="majorHAnsi" w:hAnsiTheme="majorHAnsi"/>
          <w:b/>
          <w:color w:val="E36C0A" w:themeColor="accent6" w:themeShade="BF"/>
          <w:sz w:val="28"/>
          <w:szCs w:val="28"/>
        </w:rPr>
      </w:pPr>
      <w:r w:rsidRPr="00A07439">
        <w:rPr>
          <w:rFonts w:asciiTheme="majorHAnsi" w:hAnsiTheme="majorHAnsi"/>
          <w:b/>
          <w:color w:val="E36C0A" w:themeColor="accent6" w:themeShade="BF"/>
          <w:sz w:val="28"/>
          <w:szCs w:val="28"/>
        </w:rPr>
        <w:lastRenderedPageBreak/>
        <w:t>INTRODUCTION</w:t>
      </w:r>
    </w:p>
    <w:p w14:paraId="3FDB34D8" w14:textId="77777777" w:rsidR="00AB3A9C" w:rsidRDefault="00A27C21" w:rsidP="001851EC">
      <w:pPr>
        <w:tabs>
          <w:tab w:val="left" w:pos="7050"/>
        </w:tabs>
        <w:spacing w:after="0"/>
        <w:rPr>
          <w:rFonts w:asciiTheme="majorHAnsi" w:eastAsiaTheme="majorEastAsia" w:hAnsiTheme="majorHAnsi" w:cstheme="majorBidi"/>
          <w:bCs/>
          <w:color w:val="000000" w:themeColor="text1"/>
          <w:sz w:val="24"/>
          <w:szCs w:val="24"/>
        </w:rPr>
      </w:pPr>
      <w:r w:rsidRPr="002D1275">
        <w:rPr>
          <w:rFonts w:asciiTheme="majorHAnsi" w:eastAsiaTheme="majorEastAsia" w:hAnsiTheme="majorHAnsi" w:cstheme="majorBidi"/>
          <w:bCs/>
          <w:color w:val="000000" w:themeColor="text1"/>
          <w:sz w:val="24"/>
          <w:szCs w:val="24"/>
        </w:rPr>
        <w:t xml:space="preserve">Motor fuels are exempt from sales </w:t>
      </w:r>
      <w:r>
        <w:rPr>
          <w:rFonts w:asciiTheme="majorHAnsi" w:eastAsiaTheme="majorEastAsia" w:hAnsiTheme="majorHAnsi" w:cstheme="majorBidi"/>
          <w:bCs/>
          <w:color w:val="000000" w:themeColor="text1"/>
          <w:sz w:val="24"/>
          <w:szCs w:val="24"/>
        </w:rPr>
        <w:t xml:space="preserve">and use </w:t>
      </w:r>
      <w:r w:rsidRPr="002D1275">
        <w:rPr>
          <w:rFonts w:asciiTheme="majorHAnsi" w:eastAsiaTheme="majorEastAsia" w:hAnsiTheme="majorHAnsi" w:cstheme="majorBidi"/>
          <w:bCs/>
          <w:color w:val="000000" w:themeColor="text1"/>
          <w:sz w:val="24"/>
          <w:szCs w:val="24"/>
        </w:rPr>
        <w:t xml:space="preserve">tax.  </w:t>
      </w:r>
      <w:r w:rsidRPr="00247C93">
        <w:rPr>
          <w:rFonts w:asciiTheme="majorHAnsi" w:eastAsiaTheme="majorEastAsia" w:hAnsiTheme="majorHAnsi" w:cstheme="majorBidi"/>
          <w:bCs/>
          <w:color w:val="000000" w:themeColor="text1"/>
          <w:sz w:val="24"/>
          <w:szCs w:val="24"/>
        </w:rPr>
        <w:t xml:space="preserve">They are instead subject to an excise determined by </w:t>
      </w:r>
      <w:r w:rsidR="00600512">
        <w:rPr>
          <w:rFonts w:asciiTheme="majorHAnsi" w:eastAsiaTheme="majorEastAsia" w:hAnsiTheme="majorHAnsi" w:cstheme="majorBidi"/>
          <w:bCs/>
          <w:color w:val="000000" w:themeColor="text1"/>
          <w:sz w:val="24"/>
          <w:szCs w:val="24"/>
        </w:rPr>
        <w:t>tax</w:t>
      </w:r>
      <w:r w:rsidRPr="00247C93">
        <w:rPr>
          <w:rFonts w:asciiTheme="majorHAnsi" w:eastAsiaTheme="majorEastAsia" w:hAnsiTheme="majorHAnsi" w:cstheme="majorBidi"/>
          <w:bCs/>
          <w:color w:val="000000" w:themeColor="text1"/>
          <w:sz w:val="24"/>
          <w:szCs w:val="24"/>
        </w:rPr>
        <w:t xml:space="preserve"> per gallon rather than the retail price under another provision of state </w:t>
      </w:r>
      <w:r w:rsidRPr="00A27C21">
        <w:rPr>
          <w:rFonts w:asciiTheme="majorHAnsi" w:eastAsiaTheme="majorEastAsia" w:hAnsiTheme="majorHAnsi" w:cstheme="majorBidi"/>
          <w:bCs/>
          <w:color w:val="000000" w:themeColor="text1"/>
          <w:sz w:val="24"/>
        </w:rPr>
        <w:t>law</w:t>
      </w:r>
      <w:r w:rsidR="002A7E4B" w:rsidRPr="008D55DD">
        <w:rPr>
          <w:rFonts w:asciiTheme="majorHAnsi" w:eastAsiaTheme="majorEastAsia" w:hAnsiTheme="majorHAnsi" w:cstheme="majorBidi"/>
          <w:bCs/>
          <w:color w:val="000000" w:themeColor="text1"/>
          <w:sz w:val="24"/>
          <w:szCs w:val="24"/>
        </w:rPr>
        <w:t>.</w:t>
      </w:r>
      <w:r w:rsidR="008D55DD" w:rsidRPr="008D55DD">
        <w:rPr>
          <w:rFonts w:asciiTheme="majorHAnsi" w:eastAsiaTheme="majorEastAsia" w:hAnsiTheme="majorHAnsi" w:cstheme="majorBidi"/>
          <w:bCs/>
          <w:color w:val="000000" w:themeColor="text1"/>
          <w:sz w:val="24"/>
          <w:szCs w:val="24"/>
        </w:rPr>
        <w:t xml:space="preserve"> </w:t>
      </w:r>
    </w:p>
    <w:p w14:paraId="578709CD" w14:textId="77777777" w:rsidR="00AB3A9C" w:rsidRDefault="00AB3A9C" w:rsidP="001851EC">
      <w:pPr>
        <w:tabs>
          <w:tab w:val="left" w:pos="7050"/>
        </w:tabs>
        <w:spacing w:after="0"/>
        <w:rPr>
          <w:rFonts w:asciiTheme="majorHAnsi" w:eastAsiaTheme="majorEastAsia" w:hAnsiTheme="majorHAnsi" w:cstheme="majorBidi"/>
          <w:bCs/>
          <w:color w:val="000000" w:themeColor="text1"/>
          <w:sz w:val="24"/>
          <w:szCs w:val="24"/>
        </w:rPr>
      </w:pPr>
    </w:p>
    <w:p w14:paraId="728FD450" w14:textId="5E2C46E3" w:rsidR="001851EC" w:rsidRDefault="008D55DD" w:rsidP="001851EC">
      <w:pPr>
        <w:tabs>
          <w:tab w:val="left" w:pos="7050"/>
        </w:tabs>
        <w:spacing w:after="0"/>
        <w:rPr>
          <w:rFonts w:asciiTheme="majorHAnsi" w:hAnsiTheme="majorHAnsi"/>
          <w:sz w:val="24"/>
          <w:szCs w:val="24"/>
        </w:rPr>
      </w:pPr>
      <w:r w:rsidRPr="008D55DD">
        <w:rPr>
          <w:rFonts w:asciiTheme="majorHAnsi" w:eastAsiaTheme="majorEastAsia" w:hAnsiTheme="majorHAnsi" w:cstheme="majorBidi"/>
          <w:bCs/>
          <w:color w:val="000000" w:themeColor="text1"/>
          <w:sz w:val="24"/>
          <w:szCs w:val="24"/>
        </w:rPr>
        <w:t>Effective July 31, 2013, the tax rate on gasoline and diesel is $0.24 per gallon and the tax is included in the price charged at the retail level. Other fuels are taxed at different tax rates as shown in the following link:</w:t>
      </w:r>
      <w:r>
        <w:rPr>
          <w:rFonts w:ascii="Noto Sans" w:hAnsi="Noto Sans"/>
          <w:color w:val="141414"/>
          <w:sz w:val="25"/>
          <w:szCs w:val="25"/>
          <w:lang w:val="en"/>
        </w:rPr>
        <w:t xml:space="preserve"> </w:t>
      </w:r>
      <w:hyperlink r:id="rId14" w:history="1">
        <w:r w:rsidRPr="008D55DD">
          <w:rPr>
            <w:rStyle w:val="Hyperlink"/>
            <w:rFonts w:asciiTheme="majorHAnsi" w:eastAsiaTheme="majorEastAsia" w:hAnsiTheme="majorHAnsi" w:cstheme="majorBidi"/>
            <w:bCs/>
            <w:sz w:val="24"/>
            <w:szCs w:val="24"/>
          </w:rPr>
          <w:t>https://www.mass.gov/doc/massachusetts-fuels-excise-rate-table-4th-quarter-2020/download</w:t>
        </w:r>
      </w:hyperlink>
      <w:r>
        <w:rPr>
          <w:rFonts w:asciiTheme="majorHAnsi" w:eastAsiaTheme="majorEastAsia" w:hAnsiTheme="majorHAnsi" w:cstheme="majorBidi"/>
          <w:bCs/>
          <w:color w:val="000000" w:themeColor="text1"/>
          <w:sz w:val="24"/>
          <w:szCs w:val="24"/>
        </w:rPr>
        <w:t xml:space="preserve">. </w:t>
      </w:r>
      <w:r w:rsidR="00AB3A9C">
        <w:rPr>
          <w:rFonts w:asciiTheme="majorHAnsi" w:eastAsiaTheme="majorEastAsia" w:hAnsiTheme="majorHAnsi" w:cstheme="majorBidi"/>
          <w:bCs/>
          <w:color w:val="000000" w:themeColor="text1"/>
          <w:sz w:val="24"/>
          <w:szCs w:val="24"/>
        </w:rPr>
        <w:t xml:space="preserve">In </w:t>
      </w:r>
      <w:r w:rsidR="00AB3A9C">
        <w:rPr>
          <w:rFonts w:asciiTheme="majorHAnsi" w:hAnsiTheme="majorHAnsi"/>
          <w:sz w:val="24"/>
          <w:szCs w:val="24"/>
        </w:rPr>
        <w:t xml:space="preserve">Fiscal Year 2020, </w:t>
      </w:r>
      <w:r w:rsidR="00407550">
        <w:rPr>
          <w:rFonts w:asciiTheme="majorHAnsi" w:hAnsiTheme="majorHAnsi"/>
          <w:sz w:val="24"/>
          <w:szCs w:val="24"/>
        </w:rPr>
        <w:t xml:space="preserve">the </w:t>
      </w:r>
      <w:r w:rsidR="001851EC">
        <w:rPr>
          <w:rFonts w:asciiTheme="majorHAnsi" w:hAnsiTheme="majorHAnsi"/>
          <w:sz w:val="24"/>
          <w:szCs w:val="24"/>
        </w:rPr>
        <w:t>Department of Revenue (DOR) collected $</w:t>
      </w:r>
      <w:r w:rsidR="00AB3A9C">
        <w:rPr>
          <w:rFonts w:asciiTheme="majorHAnsi" w:hAnsiTheme="majorHAnsi"/>
          <w:sz w:val="24"/>
          <w:szCs w:val="24"/>
        </w:rPr>
        <w:t>707</w:t>
      </w:r>
      <w:r w:rsidR="001851EC">
        <w:rPr>
          <w:rFonts w:asciiTheme="majorHAnsi" w:hAnsiTheme="majorHAnsi"/>
          <w:sz w:val="24"/>
          <w:szCs w:val="24"/>
        </w:rPr>
        <w:t>.</w:t>
      </w:r>
      <w:r w:rsidR="00AB3A9C">
        <w:rPr>
          <w:rFonts w:asciiTheme="majorHAnsi" w:hAnsiTheme="majorHAnsi"/>
          <w:sz w:val="24"/>
          <w:szCs w:val="24"/>
        </w:rPr>
        <w:t>9</w:t>
      </w:r>
      <w:r w:rsidR="001851EC">
        <w:rPr>
          <w:rFonts w:asciiTheme="majorHAnsi" w:hAnsiTheme="majorHAnsi"/>
          <w:sz w:val="24"/>
          <w:szCs w:val="24"/>
        </w:rPr>
        <w:t xml:space="preserve"> million </w:t>
      </w:r>
      <w:r w:rsidR="00AB3A9C">
        <w:rPr>
          <w:rFonts w:asciiTheme="majorHAnsi" w:hAnsiTheme="majorHAnsi"/>
          <w:sz w:val="24"/>
          <w:szCs w:val="24"/>
        </w:rPr>
        <w:t>from motor fuels tax</w:t>
      </w:r>
      <w:r w:rsidR="001851EC">
        <w:rPr>
          <w:rFonts w:asciiTheme="majorHAnsi" w:hAnsiTheme="majorHAnsi"/>
          <w:sz w:val="24"/>
          <w:szCs w:val="24"/>
        </w:rPr>
        <w:t xml:space="preserve"> </w:t>
      </w:r>
      <w:r w:rsidR="00AB3A9C">
        <w:rPr>
          <w:rFonts w:asciiTheme="majorHAnsi" w:hAnsiTheme="majorHAnsi"/>
          <w:sz w:val="24"/>
          <w:szCs w:val="24"/>
        </w:rPr>
        <w:t>excluding jet fuel tax and $31.2 million from jet fuel tax, which is a local option tax</w:t>
      </w:r>
      <w:r w:rsidR="001851EC">
        <w:rPr>
          <w:rFonts w:asciiTheme="majorHAnsi" w:hAnsiTheme="majorHAnsi"/>
          <w:sz w:val="24"/>
          <w:szCs w:val="24"/>
        </w:rPr>
        <w:t xml:space="preserve">. </w:t>
      </w:r>
    </w:p>
    <w:p w14:paraId="12D0EEE9" w14:textId="77777777" w:rsidR="00C94BB5" w:rsidRDefault="00C94BB5" w:rsidP="00291074">
      <w:pPr>
        <w:tabs>
          <w:tab w:val="left" w:pos="7050"/>
        </w:tabs>
        <w:spacing w:after="0"/>
        <w:rPr>
          <w:rFonts w:asciiTheme="majorHAnsi" w:hAnsiTheme="majorHAnsi"/>
          <w:sz w:val="24"/>
          <w:szCs w:val="24"/>
        </w:rPr>
      </w:pPr>
    </w:p>
    <w:p w14:paraId="746A1F35" w14:textId="77777777" w:rsidR="00C94BB5" w:rsidRDefault="00C94BB5" w:rsidP="00291074">
      <w:pPr>
        <w:tabs>
          <w:tab w:val="left" w:pos="7050"/>
        </w:tabs>
        <w:spacing w:after="0"/>
        <w:rPr>
          <w:rFonts w:asciiTheme="majorHAnsi" w:hAnsiTheme="majorHAnsi"/>
          <w:sz w:val="24"/>
          <w:szCs w:val="24"/>
        </w:rPr>
      </w:pPr>
    </w:p>
    <w:p w14:paraId="263C27CC" w14:textId="77777777" w:rsidR="00291074" w:rsidRPr="00A07439" w:rsidRDefault="007259D5" w:rsidP="00291074">
      <w:pPr>
        <w:tabs>
          <w:tab w:val="left" w:pos="7050"/>
        </w:tabs>
        <w:spacing w:after="0"/>
        <w:rPr>
          <w:rFonts w:asciiTheme="majorHAnsi" w:hAnsiTheme="majorHAnsi"/>
          <w:b/>
          <w:color w:val="E36C0A" w:themeColor="accent6" w:themeShade="BF"/>
          <w:sz w:val="28"/>
          <w:szCs w:val="28"/>
        </w:rPr>
      </w:pPr>
      <w:r>
        <w:rPr>
          <w:rFonts w:asciiTheme="majorHAnsi" w:hAnsiTheme="majorHAnsi"/>
          <w:b/>
          <w:color w:val="E36C0A" w:themeColor="accent6" w:themeShade="BF"/>
          <w:sz w:val="28"/>
          <w:szCs w:val="28"/>
        </w:rPr>
        <w:t>POLICY GOAL</w:t>
      </w:r>
      <w:r w:rsidR="00A47BE2">
        <w:rPr>
          <w:rFonts w:asciiTheme="majorHAnsi" w:hAnsiTheme="majorHAnsi"/>
          <w:b/>
          <w:color w:val="E36C0A" w:themeColor="accent6" w:themeShade="BF"/>
          <w:sz w:val="28"/>
          <w:szCs w:val="28"/>
        </w:rPr>
        <w:t>S</w:t>
      </w:r>
    </w:p>
    <w:p w14:paraId="6CCF742E" w14:textId="386684E6" w:rsidR="00A27C21" w:rsidRDefault="00D05642" w:rsidP="00A27C21">
      <w:pPr>
        <w:rPr>
          <w:rFonts w:asciiTheme="majorHAnsi" w:hAnsiTheme="majorHAnsi"/>
          <w:sz w:val="24"/>
          <w:szCs w:val="24"/>
        </w:rPr>
      </w:pPr>
      <w:r w:rsidRPr="0047015B">
        <w:rPr>
          <w:rFonts w:asciiTheme="majorHAnsi" w:hAnsiTheme="majorHAnsi"/>
          <w:sz w:val="24"/>
          <w:szCs w:val="24"/>
        </w:rPr>
        <w:t>DOR infers that the goal of the expenditure is to avoid double taxation of motor fuels. Motor fuels are subject to a separate excise under another provision of state law, M.G.L. c. 64A.</w:t>
      </w:r>
      <w:r w:rsidRPr="00247C93">
        <w:rPr>
          <w:rFonts w:asciiTheme="majorHAnsi" w:eastAsiaTheme="majorEastAsia" w:hAnsiTheme="majorHAnsi" w:cstheme="majorBidi"/>
          <w:bCs/>
          <w:color w:val="000000" w:themeColor="text1"/>
          <w:sz w:val="24"/>
        </w:rPr>
        <w:t xml:space="preserve">  </w:t>
      </w:r>
      <w:r w:rsidR="00A27C21" w:rsidRPr="00247C93">
        <w:rPr>
          <w:rFonts w:asciiTheme="majorHAnsi" w:hAnsiTheme="majorHAnsi"/>
          <w:sz w:val="24"/>
          <w:szCs w:val="24"/>
        </w:rPr>
        <w:t>The cost of that excise, generally paid by distributors, is usually passed on to consumers.  A sales tax on motor fuels would be imposed at the retail level and therefore would also be borne by consumers.</w:t>
      </w:r>
    </w:p>
    <w:p w14:paraId="6DA8F5F4" w14:textId="77777777" w:rsidR="00A27C21" w:rsidRPr="00011525" w:rsidRDefault="00A27C21" w:rsidP="009B5445">
      <w:pPr>
        <w:tabs>
          <w:tab w:val="left" w:pos="7050"/>
        </w:tabs>
        <w:spacing w:after="0"/>
        <w:rPr>
          <w:rFonts w:asciiTheme="majorHAnsi" w:hAnsiTheme="majorHAnsi"/>
          <w:sz w:val="24"/>
          <w:szCs w:val="24"/>
        </w:rPr>
      </w:pPr>
      <w:r w:rsidRPr="00186E49">
        <w:rPr>
          <w:rFonts w:asciiTheme="majorHAnsi" w:hAnsiTheme="majorHAnsi"/>
          <w:sz w:val="24"/>
          <w:szCs w:val="24"/>
        </w:rPr>
        <w:t>The following is a link to a list of Federal and state motor fuels taxes/excises as of February 2020 and issued by the U.S. Energy Information Administration</w:t>
      </w:r>
      <w:r>
        <w:rPr>
          <w:rFonts w:asciiTheme="majorHAnsi" w:hAnsiTheme="majorHAnsi"/>
          <w:sz w:val="24"/>
          <w:szCs w:val="24"/>
        </w:rPr>
        <w:t xml:space="preserve">:  </w:t>
      </w:r>
      <w:hyperlink r:id="rId15" w:history="1">
        <w:r w:rsidRPr="00296008">
          <w:rPr>
            <w:rStyle w:val="Hyperlink"/>
            <w:rFonts w:asciiTheme="majorHAnsi" w:hAnsiTheme="majorHAnsi" w:cstheme="minorBidi"/>
            <w:iCs/>
            <w:sz w:val="24"/>
            <w:szCs w:val="24"/>
          </w:rPr>
          <w:t>https://www.eia.gov/petroleum/marketing/monthly/xls/fueltaxes.xls</w:t>
        </w:r>
      </w:hyperlink>
      <w:r w:rsidRPr="00186E49">
        <w:rPr>
          <w:rFonts w:asciiTheme="majorHAnsi" w:hAnsiTheme="majorHAnsi"/>
          <w:sz w:val="24"/>
          <w:szCs w:val="24"/>
        </w:rPr>
        <w:t>.  All fifty states, the five United State possessions and the District of Columbia impose various levies on petroleum products.  While the terminology varies from state to state, the chart shows the maximum amount each state charges and can serve as a comparative basis for evaluation.</w:t>
      </w:r>
    </w:p>
    <w:p w14:paraId="05F08B8E" w14:textId="77777777" w:rsidR="00622D32" w:rsidRPr="009B5445" w:rsidRDefault="00622D32" w:rsidP="00622D32">
      <w:pPr>
        <w:tabs>
          <w:tab w:val="left" w:pos="7050"/>
        </w:tabs>
        <w:spacing w:after="0"/>
        <w:rPr>
          <w:rFonts w:asciiTheme="majorHAnsi" w:hAnsiTheme="majorHAnsi"/>
          <w:sz w:val="24"/>
          <w:szCs w:val="24"/>
        </w:rPr>
      </w:pPr>
    </w:p>
    <w:p w14:paraId="78266813" w14:textId="77777777" w:rsidR="00622D32" w:rsidRPr="009B5445" w:rsidRDefault="00622D32" w:rsidP="00622D32">
      <w:pPr>
        <w:tabs>
          <w:tab w:val="left" w:pos="7050"/>
        </w:tabs>
        <w:spacing w:after="0"/>
        <w:rPr>
          <w:rFonts w:asciiTheme="majorHAnsi" w:hAnsiTheme="majorHAnsi"/>
          <w:sz w:val="24"/>
          <w:szCs w:val="24"/>
        </w:rPr>
      </w:pPr>
    </w:p>
    <w:p w14:paraId="7473A885" w14:textId="77777777" w:rsidR="00D80E3B" w:rsidRPr="00A07439" w:rsidRDefault="00A47BE2" w:rsidP="00D80E3B">
      <w:pPr>
        <w:tabs>
          <w:tab w:val="left" w:pos="7050"/>
        </w:tabs>
        <w:spacing w:after="0"/>
        <w:rPr>
          <w:rFonts w:asciiTheme="majorHAnsi" w:hAnsiTheme="majorHAnsi"/>
          <w:b/>
          <w:color w:val="E36C0A" w:themeColor="accent6" w:themeShade="BF"/>
          <w:sz w:val="28"/>
          <w:szCs w:val="28"/>
        </w:rPr>
      </w:pPr>
      <w:r>
        <w:rPr>
          <w:rFonts w:asciiTheme="majorHAnsi" w:hAnsiTheme="majorHAnsi"/>
          <w:b/>
          <w:color w:val="E36C0A" w:themeColor="accent6" w:themeShade="BF"/>
          <w:sz w:val="28"/>
          <w:szCs w:val="28"/>
        </w:rPr>
        <w:t xml:space="preserve">DIRECT </w:t>
      </w:r>
      <w:r w:rsidR="00D80E3B" w:rsidRPr="00A07439">
        <w:rPr>
          <w:rFonts w:asciiTheme="majorHAnsi" w:hAnsiTheme="majorHAnsi"/>
          <w:b/>
          <w:color w:val="E36C0A" w:themeColor="accent6" w:themeShade="BF"/>
          <w:sz w:val="28"/>
          <w:szCs w:val="28"/>
        </w:rPr>
        <w:t xml:space="preserve">COSTS </w:t>
      </w:r>
    </w:p>
    <w:p w14:paraId="1414EDD4" w14:textId="77777777" w:rsidR="005D2F13" w:rsidRDefault="00476C5D" w:rsidP="00291074">
      <w:pPr>
        <w:spacing w:after="0"/>
        <w:rPr>
          <w:rFonts w:asciiTheme="majorHAnsi" w:eastAsiaTheme="majorEastAsia" w:hAnsiTheme="majorHAnsi" w:cstheme="majorBidi"/>
          <w:bCs/>
          <w:color w:val="000000" w:themeColor="text1"/>
          <w:sz w:val="24"/>
          <w:szCs w:val="24"/>
        </w:rPr>
      </w:pPr>
      <w:r w:rsidRPr="00476C5D">
        <w:rPr>
          <w:rFonts w:asciiTheme="majorHAnsi" w:eastAsiaTheme="majorEastAsia" w:hAnsiTheme="majorHAnsi" w:cstheme="majorBidi"/>
          <w:bCs/>
          <w:color w:val="000000" w:themeColor="text1"/>
          <w:sz w:val="24"/>
          <w:szCs w:val="24"/>
        </w:rPr>
        <w:t>The revenue loss</w:t>
      </w:r>
      <w:r w:rsidR="005A5BED">
        <w:rPr>
          <w:rFonts w:asciiTheme="majorHAnsi" w:eastAsiaTheme="majorEastAsia" w:hAnsiTheme="majorHAnsi" w:cstheme="majorBidi"/>
          <w:bCs/>
          <w:color w:val="000000" w:themeColor="text1"/>
          <w:sz w:val="24"/>
          <w:szCs w:val="24"/>
        </w:rPr>
        <w:t xml:space="preserve"> resulting from this tax expenditure</w:t>
      </w:r>
      <w:r w:rsidR="005A5BED" w:rsidRPr="00EB1DDD">
        <w:rPr>
          <w:rFonts w:asciiTheme="majorHAnsi" w:hAnsiTheme="majorHAnsi"/>
          <w:sz w:val="24"/>
          <w:szCs w:val="24"/>
        </w:rPr>
        <w:t xml:space="preserve"> </w:t>
      </w:r>
      <w:r w:rsidRPr="00476C5D">
        <w:rPr>
          <w:rFonts w:asciiTheme="majorHAnsi" w:eastAsiaTheme="majorEastAsia" w:hAnsiTheme="majorHAnsi" w:cstheme="majorBidi"/>
          <w:bCs/>
          <w:color w:val="000000" w:themeColor="text1"/>
          <w:sz w:val="24"/>
          <w:szCs w:val="24"/>
        </w:rPr>
        <w:t>is e</w:t>
      </w:r>
      <w:r w:rsidR="00E83597">
        <w:rPr>
          <w:rFonts w:asciiTheme="majorHAnsi" w:eastAsiaTheme="majorEastAsia" w:hAnsiTheme="majorHAnsi" w:cstheme="majorBidi"/>
          <w:bCs/>
          <w:color w:val="000000" w:themeColor="text1"/>
          <w:sz w:val="24"/>
          <w:szCs w:val="24"/>
        </w:rPr>
        <w:t>stimated</w:t>
      </w:r>
      <w:r w:rsidRPr="00476C5D">
        <w:rPr>
          <w:rFonts w:asciiTheme="majorHAnsi" w:eastAsiaTheme="majorEastAsia" w:hAnsiTheme="majorHAnsi" w:cstheme="majorBidi"/>
          <w:bCs/>
          <w:color w:val="000000" w:themeColor="text1"/>
          <w:sz w:val="24"/>
          <w:szCs w:val="24"/>
        </w:rPr>
        <w:t xml:space="preserve"> to be </w:t>
      </w:r>
      <w:r w:rsidR="00A27C21" w:rsidRPr="002C2079">
        <w:rPr>
          <w:rFonts w:asciiTheme="majorHAnsi" w:hAnsiTheme="majorHAnsi"/>
        </w:rPr>
        <w:t>$</w:t>
      </w:r>
      <w:r w:rsidR="00A27C21">
        <w:rPr>
          <w:rFonts w:asciiTheme="majorHAnsi" w:hAnsiTheme="majorHAnsi"/>
        </w:rPr>
        <w:t xml:space="preserve">536.7 - $549.0 </w:t>
      </w:r>
      <w:r w:rsidRPr="00476C5D">
        <w:rPr>
          <w:rFonts w:asciiTheme="majorHAnsi" w:eastAsiaTheme="majorEastAsia" w:hAnsiTheme="majorHAnsi" w:cstheme="majorBidi"/>
          <w:bCs/>
          <w:color w:val="000000" w:themeColor="text1"/>
          <w:sz w:val="24"/>
          <w:szCs w:val="24"/>
        </w:rPr>
        <w:t xml:space="preserve">million </w:t>
      </w:r>
      <w:r w:rsidR="00E83597">
        <w:rPr>
          <w:rFonts w:asciiTheme="majorHAnsi" w:eastAsiaTheme="majorEastAsia" w:hAnsiTheme="majorHAnsi" w:cstheme="majorBidi"/>
          <w:bCs/>
          <w:color w:val="000000" w:themeColor="text1"/>
          <w:sz w:val="24"/>
          <w:szCs w:val="24"/>
        </w:rPr>
        <w:t xml:space="preserve">per year </w:t>
      </w:r>
      <w:r w:rsidRPr="00476C5D">
        <w:rPr>
          <w:rFonts w:asciiTheme="majorHAnsi" w:eastAsiaTheme="majorEastAsia" w:hAnsiTheme="majorHAnsi" w:cstheme="majorBidi"/>
          <w:bCs/>
          <w:color w:val="000000" w:themeColor="text1"/>
          <w:sz w:val="24"/>
          <w:szCs w:val="24"/>
        </w:rPr>
        <w:t>during FY18-FY22</w:t>
      </w:r>
      <w:r w:rsidR="00683B65">
        <w:rPr>
          <w:rFonts w:asciiTheme="majorHAnsi" w:eastAsiaTheme="majorEastAsia" w:hAnsiTheme="majorHAnsi" w:cstheme="majorBidi"/>
          <w:bCs/>
          <w:color w:val="000000" w:themeColor="text1"/>
          <w:sz w:val="24"/>
          <w:szCs w:val="24"/>
        </w:rPr>
        <w:t xml:space="preserve">. </w:t>
      </w:r>
      <w:r w:rsidR="005A5BED">
        <w:rPr>
          <w:rFonts w:asciiTheme="majorHAnsi" w:eastAsiaTheme="majorEastAsia" w:hAnsiTheme="majorHAnsi" w:cstheme="majorBidi"/>
          <w:bCs/>
          <w:color w:val="000000" w:themeColor="text1"/>
          <w:sz w:val="24"/>
          <w:szCs w:val="24"/>
        </w:rPr>
        <w:t xml:space="preserve">See Table 1. </w:t>
      </w:r>
    </w:p>
    <w:p w14:paraId="01F4AD12" w14:textId="77777777" w:rsidR="00401A6B" w:rsidRDefault="00401A6B" w:rsidP="00291074">
      <w:pPr>
        <w:spacing w:after="0"/>
        <w:rPr>
          <w:rFonts w:asciiTheme="majorHAnsi" w:eastAsiaTheme="majorEastAsia" w:hAnsiTheme="majorHAnsi" w:cstheme="majorBidi"/>
          <w:bCs/>
          <w:color w:val="000000" w:themeColor="text1"/>
          <w:sz w:val="24"/>
          <w:szCs w:val="24"/>
        </w:rPr>
      </w:pPr>
    </w:p>
    <w:p w14:paraId="22A030DB" w14:textId="77777777" w:rsidR="00564CAA" w:rsidRDefault="00716ED1" w:rsidP="00F73E2C">
      <w:pPr>
        <w:spacing w:after="0"/>
        <w:jc w:val="center"/>
        <w:rPr>
          <w:rFonts w:asciiTheme="majorHAnsi" w:eastAsiaTheme="majorEastAsia" w:hAnsiTheme="majorHAnsi" w:cstheme="majorBidi"/>
          <w:b/>
          <w:color w:val="000000" w:themeColor="text1"/>
          <w:sz w:val="24"/>
          <w:szCs w:val="24"/>
        </w:rPr>
      </w:pPr>
      <w:r w:rsidRPr="00B726D0">
        <w:rPr>
          <w:rFonts w:asciiTheme="majorHAnsi" w:eastAsiaTheme="majorEastAsia" w:hAnsiTheme="majorHAnsi" w:cstheme="majorBidi"/>
          <w:b/>
          <w:color w:val="000000" w:themeColor="text1"/>
          <w:sz w:val="24"/>
          <w:szCs w:val="24"/>
        </w:rPr>
        <w:t xml:space="preserve">Table 1. Tax Revenue Loss Estimates for </w:t>
      </w:r>
      <w:r w:rsidR="002A7E4B">
        <w:rPr>
          <w:rFonts w:asciiTheme="majorHAnsi" w:eastAsiaTheme="majorEastAsia" w:hAnsiTheme="majorHAnsi" w:cstheme="majorBidi"/>
          <w:b/>
          <w:color w:val="000000" w:themeColor="text1"/>
          <w:sz w:val="24"/>
          <w:szCs w:val="24"/>
        </w:rPr>
        <w:t xml:space="preserve">Sales Tax </w:t>
      </w:r>
      <w:r w:rsidR="002A7E4B" w:rsidRPr="002A7E4B">
        <w:rPr>
          <w:rFonts w:asciiTheme="majorHAnsi" w:eastAsiaTheme="majorEastAsia" w:hAnsiTheme="majorHAnsi" w:cstheme="majorBidi"/>
          <w:b/>
          <w:color w:val="000000" w:themeColor="text1"/>
          <w:sz w:val="24"/>
          <w:szCs w:val="24"/>
        </w:rPr>
        <w:t xml:space="preserve">Exemption </w:t>
      </w:r>
    </w:p>
    <w:p w14:paraId="767F0691" w14:textId="77777777" w:rsidR="00716ED1" w:rsidRPr="00B726D0" w:rsidRDefault="002A7E4B" w:rsidP="00F73E2C">
      <w:pPr>
        <w:spacing w:after="0"/>
        <w:jc w:val="center"/>
        <w:rPr>
          <w:rFonts w:asciiTheme="majorHAnsi" w:eastAsiaTheme="majorEastAsia" w:hAnsiTheme="majorHAnsi" w:cstheme="majorBidi"/>
          <w:b/>
          <w:color w:val="000000" w:themeColor="text1"/>
          <w:sz w:val="24"/>
          <w:szCs w:val="24"/>
        </w:rPr>
      </w:pPr>
      <w:r w:rsidRPr="002A7E4B">
        <w:rPr>
          <w:rFonts w:asciiTheme="majorHAnsi" w:eastAsiaTheme="majorEastAsia" w:hAnsiTheme="majorHAnsi" w:cstheme="majorBidi"/>
          <w:b/>
          <w:color w:val="000000" w:themeColor="text1"/>
          <w:sz w:val="24"/>
          <w:szCs w:val="24"/>
        </w:rPr>
        <w:t xml:space="preserve">for </w:t>
      </w:r>
      <w:r w:rsidR="00A27C21">
        <w:rPr>
          <w:rFonts w:asciiTheme="majorHAnsi" w:eastAsiaTheme="majorEastAsia" w:hAnsiTheme="majorHAnsi" w:cstheme="majorBidi"/>
          <w:b/>
          <w:color w:val="000000" w:themeColor="text1"/>
          <w:sz w:val="24"/>
          <w:szCs w:val="24"/>
        </w:rPr>
        <w:t>Motor Fuels</w:t>
      </w:r>
    </w:p>
    <w:tbl>
      <w:tblPr>
        <w:tblW w:w="7915" w:type="dxa"/>
        <w:jc w:val="center"/>
        <w:tblLook w:val="04A0" w:firstRow="1" w:lastRow="0" w:firstColumn="1" w:lastColumn="0" w:noHBand="0" w:noVBand="1"/>
      </w:tblPr>
      <w:tblGrid>
        <w:gridCol w:w="2604"/>
        <w:gridCol w:w="1063"/>
        <w:gridCol w:w="1062"/>
        <w:gridCol w:w="1062"/>
        <w:gridCol w:w="1062"/>
        <w:gridCol w:w="1062"/>
      </w:tblGrid>
      <w:tr w:rsidR="00716ED1" w:rsidRPr="00716ED1" w14:paraId="2898FEBA" w14:textId="77777777" w:rsidTr="009A7868">
        <w:trPr>
          <w:trHeight w:val="300"/>
          <w:jc w:val="center"/>
        </w:trPr>
        <w:tc>
          <w:tcPr>
            <w:tcW w:w="2604" w:type="dxa"/>
            <w:tcBorders>
              <w:top w:val="single" w:sz="4" w:space="0" w:color="auto"/>
              <w:left w:val="single" w:sz="4" w:space="0" w:color="auto"/>
              <w:bottom w:val="single" w:sz="4" w:space="0" w:color="auto"/>
              <w:right w:val="single" w:sz="4" w:space="0" w:color="auto"/>
            </w:tcBorders>
            <w:shd w:val="clear" w:color="000000" w:fill="B6DDE8" w:themeFill="accent5" w:themeFillTint="66"/>
            <w:vAlign w:val="center"/>
            <w:hideMark/>
          </w:tcPr>
          <w:p w14:paraId="022BE4B0" w14:textId="77777777" w:rsidR="00716ED1" w:rsidRPr="00716ED1" w:rsidRDefault="00716ED1" w:rsidP="00716ED1">
            <w:pPr>
              <w:spacing w:after="0" w:line="240" w:lineRule="auto"/>
              <w:jc w:val="center"/>
              <w:rPr>
                <w:rFonts w:ascii="Cambria" w:eastAsia="Times New Roman" w:hAnsi="Cambria" w:cs="Arial"/>
                <w:sz w:val="20"/>
                <w:szCs w:val="20"/>
                <w:lang w:eastAsia="ko-KR"/>
              </w:rPr>
            </w:pPr>
            <w:r w:rsidRPr="00716ED1">
              <w:rPr>
                <w:rFonts w:ascii="Cambria" w:eastAsia="Times New Roman" w:hAnsi="Cambria" w:cs="Arial"/>
                <w:sz w:val="20"/>
                <w:szCs w:val="20"/>
                <w:lang w:eastAsia="ko-KR"/>
              </w:rPr>
              <w:t xml:space="preserve">Fiscal Year </w:t>
            </w:r>
          </w:p>
        </w:tc>
        <w:tc>
          <w:tcPr>
            <w:tcW w:w="1063"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14:paraId="68F0D8BA" w14:textId="77777777" w:rsidR="00716ED1" w:rsidRPr="00716ED1" w:rsidRDefault="00716ED1" w:rsidP="00716ED1">
            <w:pPr>
              <w:spacing w:after="0" w:line="240" w:lineRule="auto"/>
              <w:jc w:val="center"/>
              <w:rPr>
                <w:rFonts w:ascii="Cambria" w:eastAsia="Times New Roman" w:hAnsi="Cambria" w:cs="Arial"/>
                <w:sz w:val="20"/>
                <w:szCs w:val="20"/>
                <w:lang w:eastAsia="ko-KR"/>
              </w:rPr>
            </w:pPr>
            <w:r w:rsidRPr="00716ED1">
              <w:rPr>
                <w:rFonts w:ascii="Cambria" w:eastAsia="Times New Roman" w:hAnsi="Cambria" w:cs="Arial"/>
                <w:sz w:val="20"/>
                <w:szCs w:val="20"/>
                <w:lang w:eastAsia="ko-KR"/>
              </w:rPr>
              <w:t>2018</w:t>
            </w:r>
          </w:p>
        </w:tc>
        <w:tc>
          <w:tcPr>
            <w:tcW w:w="1062"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14:paraId="7AB73887" w14:textId="77777777" w:rsidR="00716ED1" w:rsidRPr="00716ED1" w:rsidRDefault="00716ED1" w:rsidP="00716ED1">
            <w:pPr>
              <w:spacing w:after="0" w:line="240" w:lineRule="auto"/>
              <w:jc w:val="center"/>
              <w:rPr>
                <w:rFonts w:ascii="Cambria" w:eastAsia="Times New Roman" w:hAnsi="Cambria" w:cs="Arial"/>
                <w:sz w:val="20"/>
                <w:szCs w:val="20"/>
                <w:lang w:eastAsia="ko-KR"/>
              </w:rPr>
            </w:pPr>
            <w:r w:rsidRPr="00716ED1">
              <w:rPr>
                <w:rFonts w:ascii="Cambria" w:eastAsia="Times New Roman" w:hAnsi="Cambria" w:cs="Arial"/>
                <w:sz w:val="20"/>
                <w:szCs w:val="20"/>
                <w:lang w:eastAsia="ko-KR"/>
              </w:rPr>
              <w:t>2019</w:t>
            </w:r>
          </w:p>
        </w:tc>
        <w:tc>
          <w:tcPr>
            <w:tcW w:w="1062"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14:paraId="62008588" w14:textId="77777777" w:rsidR="00716ED1" w:rsidRPr="00716ED1" w:rsidRDefault="00716ED1" w:rsidP="00716ED1">
            <w:pPr>
              <w:spacing w:after="0" w:line="240" w:lineRule="auto"/>
              <w:jc w:val="center"/>
              <w:rPr>
                <w:rFonts w:ascii="Cambria" w:eastAsia="Times New Roman" w:hAnsi="Cambria" w:cs="Arial"/>
                <w:sz w:val="20"/>
                <w:szCs w:val="20"/>
                <w:lang w:eastAsia="ko-KR"/>
              </w:rPr>
            </w:pPr>
            <w:r w:rsidRPr="00716ED1">
              <w:rPr>
                <w:rFonts w:ascii="Cambria" w:eastAsia="Times New Roman" w:hAnsi="Cambria" w:cs="Arial"/>
                <w:sz w:val="20"/>
                <w:szCs w:val="20"/>
                <w:lang w:eastAsia="ko-KR"/>
              </w:rPr>
              <w:t>2020</w:t>
            </w:r>
          </w:p>
        </w:tc>
        <w:tc>
          <w:tcPr>
            <w:tcW w:w="1062"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14:paraId="490FA13A" w14:textId="77777777" w:rsidR="00716ED1" w:rsidRPr="00716ED1" w:rsidRDefault="00716ED1" w:rsidP="00716ED1">
            <w:pPr>
              <w:spacing w:after="0" w:line="240" w:lineRule="auto"/>
              <w:jc w:val="center"/>
              <w:rPr>
                <w:rFonts w:ascii="Cambria" w:eastAsia="Times New Roman" w:hAnsi="Cambria" w:cs="Arial"/>
                <w:sz w:val="20"/>
                <w:szCs w:val="20"/>
                <w:lang w:eastAsia="ko-KR"/>
              </w:rPr>
            </w:pPr>
            <w:r w:rsidRPr="00716ED1">
              <w:rPr>
                <w:rFonts w:ascii="Cambria" w:eastAsia="Times New Roman" w:hAnsi="Cambria" w:cs="Arial"/>
                <w:sz w:val="20"/>
                <w:szCs w:val="20"/>
                <w:lang w:eastAsia="ko-KR"/>
              </w:rPr>
              <w:t>2021</w:t>
            </w:r>
          </w:p>
        </w:tc>
        <w:tc>
          <w:tcPr>
            <w:tcW w:w="1062" w:type="dxa"/>
            <w:tcBorders>
              <w:top w:val="single" w:sz="4" w:space="0" w:color="auto"/>
              <w:left w:val="nil"/>
              <w:bottom w:val="single" w:sz="4" w:space="0" w:color="auto"/>
              <w:right w:val="single" w:sz="4" w:space="0" w:color="auto"/>
            </w:tcBorders>
            <w:shd w:val="clear" w:color="000000" w:fill="B6DDE8" w:themeFill="accent5" w:themeFillTint="66"/>
            <w:vAlign w:val="center"/>
            <w:hideMark/>
          </w:tcPr>
          <w:p w14:paraId="77A8FA58" w14:textId="77777777" w:rsidR="00716ED1" w:rsidRPr="00716ED1" w:rsidRDefault="00716ED1" w:rsidP="00716ED1">
            <w:pPr>
              <w:spacing w:after="0" w:line="240" w:lineRule="auto"/>
              <w:jc w:val="center"/>
              <w:rPr>
                <w:rFonts w:ascii="Cambria" w:eastAsia="Times New Roman" w:hAnsi="Cambria" w:cs="Arial"/>
                <w:sz w:val="20"/>
                <w:szCs w:val="20"/>
                <w:lang w:eastAsia="ko-KR"/>
              </w:rPr>
            </w:pPr>
            <w:r w:rsidRPr="00716ED1">
              <w:rPr>
                <w:rFonts w:ascii="Cambria" w:eastAsia="Times New Roman" w:hAnsi="Cambria" w:cs="Arial"/>
                <w:sz w:val="20"/>
                <w:szCs w:val="20"/>
                <w:lang w:eastAsia="ko-KR"/>
              </w:rPr>
              <w:t>2022</w:t>
            </w:r>
          </w:p>
        </w:tc>
      </w:tr>
      <w:tr w:rsidR="00A27C21" w:rsidRPr="00716ED1" w14:paraId="066C9CB6" w14:textId="77777777" w:rsidTr="00A27C21">
        <w:trPr>
          <w:trHeight w:val="520"/>
          <w:jc w:val="center"/>
        </w:trPr>
        <w:tc>
          <w:tcPr>
            <w:tcW w:w="2604" w:type="dxa"/>
            <w:tcBorders>
              <w:top w:val="nil"/>
              <w:left w:val="single" w:sz="4" w:space="0" w:color="auto"/>
              <w:bottom w:val="single" w:sz="4" w:space="0" w:color="auto"/>
              <w:right w:val="single" w:sz="4" w:space="0" w:color="auto"/>
            </w:tcBorders>
            <w:shd w:val="clear" w:color="000000" w:fill="FFFFFF"/>
            <w:vAlign w:val="center"/>
            <w:hideMark/>
          </w:tcPr>
          <w:p w14:paraId="1070E9AF" w14:textId="77777777" w:rsidR="00A27C21" w:rsidRPr="00716ED1" w:rsidRDefault="00A27C21" w:rsidP="00A27C21">
            <w:pPr>
              <w:spacing w:after="0" w:line="240" w:lineRule="auto"/>
              <w:jc w:val="center"/>
              <w:rPr>
                <w:rFonts w:ascii="Cambria" w:eastAsia="Times New Roman" w:hAnsi="Cambria" w:cs="Arial"/>
                <w:sz w:val="20"/>
                <w:szCs w:val="20"/>
                <w:lang w:eastAsia="ko-KR"/>
              </w:rPr>
            </w:pPr>
            <w:r w:rsidRPr="00716ED1">
              <w:rPr>
                <w:rFonts w:ascii="Cambria" w:eastAsia="Times New Roman" w:hAnsi="Cambria" w:cs="Arial"/>
                <w:sz w:val="20"/>
                <w:szCs w:val="20"/>
                <w:lang w:eastAsia="ko-KR"/>
              </w:rPr>
              <w:t xml:space="preserve"> </w:t>
            </w:r>
            <w:r w:rsidRPr="00CD3A6C">
              <w:rPr>
                <w:rFonts w:ascii="Cambria" w:eastAsia="Times New Roman" w:hAnsi="Cambria" w:cs="Arial"/>
                <w:sz w:val="20"/>
                <w:szCs w:val="20"/>
                <w:lang w:eastAsia="ko-KR"/>
              </w:rPr>
              <w:t>Estimate</w:t>
            </w:r>
            <w:r>
              <w:rPr>
                <w:rFonts w:ascii="Cambria" w:eastAsia="Times New Roman" w:hAnsi="Cambria" w:cs="Arial"/>
                <w:sz w:val="20"/>
                <w:szCs w:val="20"/>
                <w:lang w:eastAsia="ko-KR"/>
              </w:rPr>
              <w:t>d Revenue Loss</w:t>
            </w:r>
            <w:r w:rsidRPr="00CD3A6C">
              <w:rPr>
                <w:rFonts w:ascii="Cambria" w:eastAsia="Times New Roman" w:hAnsi="Cambria" w:cs="Arial"/>
                <w:sz w:val="20"/>
                <w:szCs w:val="20"/>
                <w:lang w:eastAsia="ko-KR"/>
              </w:rPr>
              <w:t xml:space="preserve"> ($Million)</w:t>
            </w:r>
            <w:r w:rsidRPr="00716ED1" w:rsidDel="005A5BED">
              <w:rPr>
                <w:rFonts w:ascii="Cambria" w:eastAsia="Times New Roman" w:hAnsi="Cambria" w:cs="Arial"/>
                <w:sz w:val="20"/>
                <w:szCs w:val="20"/>
                <w:lang w:eastAsia="ko-KR"/>
              </w:rPr>
              <w:t xml:space="preserve"> </w:t>
            </w:r>
          </w:p>
        </w:tc>
        <w:tc>
          <w:tcPr>
            <w:tcW w:w="1063" w:type="dxa"/>
            <w:tcBorders>
              <w:top w:val="nil"/>
              <w:left w:val="nil"/>
              <w:bottom w:val="single" w:sz="4" w:space="0" w:color="auto"/>
              <w:right w:val="single" w:sz="4" w:space="0" w:color="auto"/>
            </w:tcBorders>
            <w:shd w:val="clear" w:color="auto" w:fill="auto"/>
            <w:noWrap/>
            <w:vAlign w:val="center"/>
            <w:hideMark/>
          </w:tcPr>
          <w:p w14:paraId="56C19652" w14:textId="77777777" w:rsidR="00A27C21" w:rsidRPr="00716ED1" w:rsidRDefault="00A27C21" w:rsidP="00A27C21">
            <w:pPr>
              <w:spacing w:after="0" w:line="240" w:lineRule="auto"/>
              <w:jc w:val="center"/>
              <w:rPr>
                <w:rFonts w:ascii="Cambria" w:eastAsia="Times New Roman" w:hAnsi="Cambria" w:cs="Arial"/>
                <w:sz w:val="20"/>
                <w:szCs w:val="20"/>
                <w:lang w:eastAsia="ko-KR"/>
              </w:rPr>
            </w:pPr>
            <w:r>
              <w:rPr>
                <w:rFonts w:asciiTheme="majorHAnsi" w:eastAsiaTheme="majorEastAsia" w:hAnsiTheme="majorHAnsi" w:cstheme="majorBidi"/>
                <w:bCs/>
                <w:color w:val="000000" w:themeColor="text1"/>
                <w:sz w:val="20"/>
                <w:szCs w:val="20"/>
              </w:rPr>
              <w:t>$</w:t>
            </w:r>
            <w:r w:rsidRPr="009604EC">
              <w:rPr>
                <w:rFonts w:asciiTheme="majorHAnsi" w:eastAsiaTheme="majorEastAsia" w:hAnsiTheme="majorHAnsi" w:cstheme="majorBidi"/>
                <w:bCs/>
                <w:color w:val="000000" w:themeColor="text1"/>
                <w:sz w:val="20"/>
                <w:szCs w:val="20"/>
              </w:rPr>
              <w:t>549.0</w:t>
            </w:r>
          </w:p>
        </w:tc>
        <w:tc>
          <w:tcPr>
            <w:tcW w:w="1062" w:type="dxa"/>
            <w:tcBorders>
              <w:top w:val="nil"/>
              <w:left w:val="nil"/>
              <w:bottom w:val="single" w:sz="4" w:space="0" w:color="auto"/>
              <w:right w:val="single" w:sz="4" w:space="0" w:color="auto"/>
            </w:tcBorders>
            <w:shd w:val="clear" w:color="auto" w:fill="auto"/>
            <w:noWrap/>
            <w:vAlign w:val="center"/>
            <w:hideMark/>
          </w:tcPr>
          <w:p w14:paraId="5BB0A706" w14:textId="77777777" w:rsidR="00A27C21" w:rsidRPr="00716ED1" w:rsidRDefault="00A27C21" w:rsidP="00A27C21">
            <w:pPr>
              <w:spacing w:after="0" w:line="240" w:lineRule="auto"/>
              <w:jc w:val="center"/>
              <w:rPr>
                <w:rFonts w:ascii="Cambria" w:eastAsia="Times New Roman" w:hAnsi="Cambria" w:cs="Arial"/>
                <w:sz w:val="20"/>
                <w:szCs w:val="20"/>
                <w:lang w:eastAsia="ko-KR"/>
              </w:rPr>
            </w:pPr>
            <w:r>
              <w:rPr>
                <w:rFonts w:asciiTheme="majorHAnsi" w:eastAsiaTheme="majorEastAsia" w:hAnsiTheme="majorHAnsi" w:cstheme="majorBidi"/>
                <w:bCs/>
                <w:color w:val="000000" w:themeColor="text1"/>
                <w:sz w:val="20"/>
                <w:szCs w:val="20"/>
              </w:rPr>
              <w:t>$</w:t>
            </w:r>
            <w:r w:rsidRPr="009604EC">
              <w:rPr>
                <w:rFonts w:asciiTheme="majorHAnsi" w:eastAsiaTheme="majorEastAsia" w:hAnsiTheme="majorHAnsi" w:cstheme="majorBidi"/>
                <w:bCs/>
                <w:color w:val="000000" w:themeColor="text1"/>
                <w:sz w:val="20"/>
                <w:szCs w:val="20"/>
              </w:rPr>
              <w:t>568.0</w:t>
            </w:r>
          </w:p>
        </w:tc>
        <w:tc>
          <w:tcPr>
            <w:tcW w:w="1062" w:type="dxa"/>
            <w:tcBorders>
              <w:top w:val="nil"/>
              <w:left w:val="nil"/>
              <w:bottom w:val="single" w:sz="4" w:space="0" w:color="auto"/>
              <w:right w:val="single" w:sz="4" w:space="0" w:color="auto"/>
            </w:tcBorders>
            <w:shd w:val="clear" w:color="auto" w:fill="auto"/>
            <w:noWrap/>
            <w:vAlign w:val="center"/>
            <w:hideMark/>
          </w:tcPr>
          <w:p w14:paraId="230465DA" w14:textId="77777777" w:rsidR="00A27C21" w:rsidRPr="00716ED1" w:rsidRDefault="00A27C21" w:rsidP="00A27C21">
            <w:pPr>
              <w:spacing w:after="0" w:line="240" w:lineRule="auto"/>
              <w:jc w:val="center"/>
              <w:rPr>
                <w:rFonts w:ascii="Cambria" w:eastAsia="Times New Roman" w:hAnsi="Cambria" w:cs="Arial"/>
                <w:sz w:val="20"/>
                <w:szCs w:val="20"/>
                <w:lang w:eastAsia="ko-KR"/>
              </w:rPr>
            </w:pPr>
            <w:r>
              <w:rPr>
                <w:rFonts w:asciiTheme="majorHAnsi" w:eastAsiaTheme="majorEastAsia" w:hAnsiTheme="majorHAnsi" w:cstheme="majorBidi"/>
                <w:bCs/>
                <w:color w:val="000000" w:themeColor="text1"/>
                <w:sz w:val="20"/>
                <w:szCs w:val="20"/>
              </w:rPr>
              <w:t>$</w:t>
            </w:r>
            <w:r w:rsidRPr="009604EC">
              <w:rPr>
                <w:rFonts w:asciiTheme="majorHAnsi" w:eastAsiaTheme="majorEastAsia" w:hAnsiTheme="majorHAnsi" w:cstheme="majorBidi"/>
                <w:bCs/>
                <w:color w:val="000000" w:themeColor="text1"/>
                <w:sz w:val="20"/>
                <w:szCs w:val="20"/>
              </w:rPr>
              <w:t>545.2</w:t>
            </w:r>
          </w:p>
        </w:tc>
        <w:tc>
          <w:tcPr>
            <w:tcW w:w="1062" w:type="dxa"/>
            <w:tcBorders>
              <w:top w:val="nil"/>
              <w:left w:val="nil"/>
              <w:bottom w:val="single" w:sz="4" w:space="0" w:color="auto"/>
              <w:right w:val="single" w:sz="4" w:space="0" w:color="auto"/>
            </w:tcBorders>
            <w:shd w:val="clear" w:color="auto" w:fill="auto"/>
            <w:noWrap/>
            <w:vAlign w:val="center"/>
            <w:hideMark/>
          </w:tcPr>
          <w:p w14:paraId="7AC41969" w14:textId="77777777" w:rsidR="00A27C21" w:rsidRPr="00716ED1" w:rsidRDefault="00A27C21" w:rsidP="00A27C21">
            <w:pPr>
              <w:spacing w:after="0" w:line="240" w:lineRule="auto"/>
              <w:jc w:val="center"/>
              <w:rPr>
                <w:rFonts w:ascii="Cambria" w:eastAsia="Times New Roman" w:hAnsi="Cambria" w:cs="Arial"/>
                <w:sz w:val="20"/>
                <w:szCs w:val="20"/>
                <w:lang w:eastAsia="ko-KR"/>
              </w:rPr>
            </w:pPr>
            <w:r>
              <w:rPr>
                <w:rFonts w:asciiTheme="majorHAnsi" w:eastAsiaTheme="majorEastAsia" w:hAnsiTheme="majorHAnsi" w:cstheme="majorBidi"/>
                <w:bCs/>
                <w:color w:val="000000" w:themeColor="text1"/>
                <w:sz w:val="20"/>
                <w:szCs w:val="20"/>
              </w:rPr>
              <w:t>$</w:t>
            </w:r>
            <w:r w:rsidRPr="009604EC">
              <w:rPr>
                <w:rFonts w:asciiTheme="majorHAnsi" w:eastAsiaTheme="majorEastAsia" w:hAnsiTheme="majorHAnsi" w:cstheme="majorBidi"/>
                <w:bCs/>
                <w:color w:val="000000" w:themeColor="text1"/>
                <w:sz w:val="20"/>
                <w:szCs w:val="20"/>
              </w:rPr>
              <w:t>539.1</w:t>
            </w:r>
          </w:p>
        </w:tc>
        <w:tc>
          <w:tcPr>
            <w:tcW w:w="1062" w:type="dxa"/>
            <w:tcBorders>
              <w:top w:val="nil"/>
              <w:left w:val="nil"/>
              <w:bottom w:val="single" w:sz="4" w:space="0" w:color="auto"/>
              <w:right w:val="single" w:sz="4" w:space="0" w:color="auto"/>
            </w:tcBorders>
            <w:shd w:val="clear" w:color="auto" w:fill="auto"/>
            <w:noWrap/>
            <w:vAlign w:val="center"/>
            <w:hideMark/>
          </w:tcPr>
          <w:p w14:paraId="500FBA58" w14:textId="77777777" w:rsidR="00A27C21" w:rsidRPr="00716ED1" w:rsidRDefault="00A27C21" w:rsidP="00A27C21">
            <w:pPr>
              <w:spacing w:after="0" w:line="240" w:lineRule="auto"/>
              <w:jc w:val="center"/>
              <w:rPr>
                <w:rFonts w:ascii="Cambria" w:eastAsia="Times New Roman" w:hAnsi="Cambria" w:cs="Arial"/>
                <w:sz w:val="20"/>
                <w:szCs w:val="20"/>
                <w:lang w:eastAsia="ko-KR"/>
              </w:rPr>
            </w:pPr>
            <w:r>
              <w:rPr>
                <w:rFonts w:asciiTheme="majorHAnsi" w:eastAsiaTheme="majorEastAsia" w:hAnsiTheme="majorHAnsi" w:cstheme="majorBidi"/>
                <w:bCs/>
                <w:color w:val="000000" w:themeColor="text1"/>
                <w:sz w:val="20"/>
                <w:szCs w:val="20"/>
              </w:rPr>
              <w:t>$</w:t>
            </w:r>
            <w:r w:rsidRPr="009604EC">
              <w:rPr>
                <w:rFonts w:asciiTheme="majorHAnsi" w:eastAsiaTheme="majorEastAsia" w:hAnsiTheme="majorHAnsi" w:cstheme="majorBidi"/>
                <w:bCs/>
                <w:color w:val="000000" w:themeColor="text1"/>
                <w:sz w:val="20"/>
                <w:szCs w:val="20"/>
              </w:rPr>
              <w:t>536.7</w:t>
            </w:r>
          </w:p>
        </w:tc>
      </w:tr>
    </w:tbl>
    <w:p w14:paraId="0FC4A453" w14:textId="77777777" w:rsidR="00716ED1" w:rsidRDefault="00716ED1" w:rsidP="00291074">
      <w:pPr>
        <w:spacing w:after="0"/>
        <w:rPr>
          <w:rFonts w:asciiTheme="majorHAnsi" w:eastAsiaTheme="majorEastAsia" w:hAnsiTheme="majorHAnsi" w:cstheme="majorBidi"/>
          <w:bCs/>
          <w:color w:val="000000" w:themeColor="text1"/>
          <w:sz w:val="24"/>
          <w:szCs w:val="24"/>
        </w:rPr>
      </w:pPr>
    </w:p>
    <w:p w14:paraId="05E0AC18" w14:textId="77777777" w:rsidR="00291074" w:rsidRDefault="00291074" w:rsidP="00291074">
      <w:pPr>
        <w:spacing w:after="0"/>
        <w:rPr>
          <w:rFonts w:asciiTheme="majorHAnsi" w:hAnsiTheme="majorHAnsi"/>
          <w:bCs/>
          <w:sz w:val="24"/>
          <w:szCs w:val="24"/>
        </w:rPr>
      </w:pPr>
    </w:p>
    <w:p w14:paraId="1736C114" w14:textId="77777777" w:rsidR="002F7EB2" w:rsidRDefault="002F7EB2" w:rsidP="00ED4839">
      <w:pPr>
        <w:tabs>
          <w:tab w:val="left" w:pos="7050"/>
        </w:tabs>
        <w:spacing w:after="0"/>
        <w:rPr>
          <w:rFonts w:asciiTheme="majorHAnsi" w:hAnsiTheme="majorHAnsi"/>
          <w:b/>
          <w:color w:val="E36C0A" w:themeColor="accent6" w:themeShade="BF"/>
          <w:sz w:val="28"/>
          <w:szCs w:val="28"/>
        </w:rPr>
      </w:pPr>
    </w:p>
    <w:p w14:paraId="2A99E420" w14:textId="77777777" w:rsidR="002F7EB2" w:rsidRDefault="002F7EB2" w:rsidP="00ED4839">
      <w:pPr>
        <w:tabs>
          <w:tab w:val="left" w:pos="7050"/>
        </w:tabs>
        <w:spacing w:after="0"/>
        <w:rPr>
          <w:rFonts w:asciiTheme="majorHAnsi" w:hAnsiTheme="majorHAnsi"/>
          <w:b/>
          <w:color w:val="E36C0A" w:themeColor="accent6" w:themeShade="BF"/>
          <w:sz w:val="28"/>
          <w:szCs w:val="28"/>
        </w:rPr>
      </w:pPr>
    </w:p>
    <w:p w14:paraId="6CD15A84" w14:textId="77777777" w:rsidR="005529C5" w:rsidRPr="005529C5" w:rsidRDefault="00A47BE2" w:rsidP="00ED4839">
      <w:pPr>
        <w:tabs>
          <w:tab w:val="left" w:pos="7050"/>
        </w:tabs>
        <w:spacing w:after="0"/>
        <w:rPr>
          <w:rFonts w:asciiTheme="majorHAnsi" w:hAnsiTheme="majorHAnsi"/>
          <w:b/>
          <w:color w:val="E36C0A" w:themeColor="accent6" w:themeShade="BF"/>
          <w:sz w:val="28"/>
          <w:szCs w:val="28"/>
        </w:rPr>
      </w:pPr>
      <w:r>
        <w:rPr>
          <w:rFonts w:asciiTheme="majorHAnsi" w:hAnsiTheme="majorHAnsi"/>
          <w:b/>
          <w:color w:val="E36C0A" w:themeColor="accent6" w:themeShade="BF"/>
          <w:sz w:val="28"/>
          <w:szCs w:val="28"/>
        </w:rPr>
        <w:t xml:space="preserve">DIRECT </w:t>
      </w:r>
      <w:r w:rsidR="005529C5" w:rsidRPr="005529C5">
        <w:rPr>
          <w:rFonts w:asciiTheme="majorHAnsi" w:hAnsiTheme="majorHAnsi"/>
          <w:b/>
          <w:color w:val="E36C0A" w:themeColor="accent6" w:themeShade="BF"/>
          <w:sz w:val="28"/>
          <w:szCs w:val="28"/>
        </w:rPr>
        <w:t xml:space="preserve">BENEFITS </w:t>
      </w:r>
    </w:p>
    <w:p w14:paraId="368A7151" w14:textId="093EE10B" w:rsidR="003E1F37" w:rsidRDefault="00564CAA" w:rsidP="00564CAA">
      <w:pPr>
        <w:tabs>
          <w:tab w:val="left" w:pos="7050"/>
        </w:tabs>
        <w:spacing w:after="0"/>
        <w:rPr>
          <w:rFonts w:asciiTheme="majorHAnsi" w:hAnsiTheme="majorHAnsi"/>
          <w:bCs/>
          <w:sz w:val="24"/>
          <w:szCs w:val="24"/>
        </w:rPr>
      </w:pPr>
      <w:bookmarkStart w:id="0" w:name="_Hlk51928638"/>
      <w:r w:rsidRPr="0000423E">
        <w:rPr>
          <w:rFonts w:asciiTheme="majorHAnsi" w:hAnsiTheme="majorHAnsi"/>
          <w:bCs/>
          <w:sz w:val="24"/>
          <w:szCs w:val="24"/>
        </w:rPr>
        <w:t xml:space="preserve">The </w:t>
      </w:r>
      <w:r>
        <w:rPr>
          <w:rFonts w:asciiTheme="majorHAnsi" w:hAnsiTheme="majorHAnsi"/>
          <w:bCs/>
          <w:sz w:val="24"/>
          <w:szCs w:val="24"/>
        </w:rPr>
        <w:t>Massachusetts consumers</w:t>
      </w:r>
      <w:r w:rsidR="003C1EC1">
        <w:rPr>
          <w:rFonts w:asciiTheme="majorHAnsi" w:hAnsiTheme="majorHAnsi"/>
          <w:bCs/>
          <w:sz w:val="24"/>
          <w:szCs w:val="24"/>
        </w:rPr>
        <w:t xml:space="preserve"> </w:t>
      </w:r>
      <w:r>
        <w:rPr>
          <w:rFonts w:asciiTheme="majorHAnsi" w:hAnsiTheme="majorHAnsi"/>
          <w:bCs/>
          <w:sz w:val="24"/>
          <w:szCs w:val="24"/>
        </w:rPr>
        <w:t>and business</w:t>
      </w:r>
      <w:r w:rsidR="003C1EC1">
        <w:rPr>
          <w:rFonts w:asciiTheme="majorHAnsi" w:hAnsiTheme="majorHAnsi"/>
          <w:bCs/>
          <w:sz w:val="24"/>
          <w:szCs w:val="24"/>
        </w:rPr>
        <w:t>es</w:t>
      </w:r>
      <w:r>
        <w:rPr>
          <w:rFonts w:asciiTheme="majorHAnsi" w:hAnsiTheme="majorHAnsi"/>
          <w:bCs/>
          <w:sz w:val="24"/>
          <w:szCs w:val="24"/>
        </w:rPr>
        <w:t xml:space="preserve"> who </w:t>
      </w:r>
      <w:r w:rsidR="003C1EC1">
        <w:rPr>
          <w:rFonts w:asciiTheme="majorHAnsi" w:hAnsiTheme="majorHAnsi"/>
          <w:bCs/>
          <w:sz w:val="24"/>
          <w:szCs w:val="24"/>
        </w:rPr>
        <w:t>buy and sell</w:t>
      </w:r>
      <w:r>
        <w:rPr>
          <w:rFonts w:asciiTheme="majorHAnsi" w:hAnsiTheme="majorHAnsi"/>
          <w:bCs/>
          <w:sz w:val="24"/>
          <w:szCs w:val="24"/>
        </w:rPr>
        <w:t xml:space="preserve"> </w:t>
      </w:r>
      <w:r w:rsidR="00A27C21">
        <w:rPr>
          <w:rFonts w:asciiTheme="majorHAnsi" w:hAnsiTheme="majorHAnsi"/>
          <w:bCs/>
          <w:sz w:val="24"/>
          <w:szCs w:val="24"/>
        </w:rPr>
        <w:t>motor fuels</w:t>
      </w:r>
      <w:r w:rsidR="003C1EC1">
        <w:rPr>
          <w:rFonts w:asciiTheme="majorHAnsi" w:hAnsiTheme="majorHAnsi"/>
          <w:bCs/>
          <w:sz w:val="24"/>
          <w:szCs w:val="24"/>
        </w:rPr>
        <w:t xml:space="preserve"> at the retail </w:t>
      </w:r>
      <w:r w:rsidR="001175C9">
        <w:rPr>
          <w:rFonts w:asciiTheme="majorHAnsi" w:hAnsiTheme="majorHAnsi"/>
          <w:bCs/>
          <w:sz w:val="24"/>
          <w:szCs w:val="24"/>
        </w:rPr>
        <w:t>level</w:t>
      </w:r>
      <w:r>
        <w:rPr>
          <w:rFonts w:asciiTheme="majorHAnsi" w:hAnsiTheme="majorHAnsi"/>
          <w:bCs/>
          <w:sz w:val="24"/>
          <w:szCs w:val="24"/>
        </w:rPr>
        <w:t xml:space="preserve"> are the </w:t>
      </w:r>
      <w:r w:rsidR="003C1EC1">
        <w:rPr>
          <w:rFonts w:asciiTheme="majorHAnsi" w:hAnsiTheme="majorHAnsi"/>
          <w:bCs/>
          <w:sz w:val="24"/>
          <w:szCs w:val="24"/>
        </w:rPr>
        <w:t xml:space="preserve">direct </w:t>
      </w:r>
      <w:r>
        <w:rPr>
          <w:rFonts w:asciiTheme="majorHAnsi" w:hAnsiTheme="majorHAnsi"/>
          <w:bCs/>
          <w:sz w:val="24"/>
          <w:szCs w:val="24"/>
        </w:rPr>
        <w:t xml:space="preserve">beneficiaries of the sales tax exemption. </w:t>
      </w:r>
      <w:r w:rsidR="003C1EC1">
        <w:rPr>
          <w:rFonts w:asciiTheme="majorHAnsi" w:hAnsiTheme="majorHAnsi"/>
          <w:bCs/>
          <w:sz w:val="24"/>
          <w:szCs w:val="24"/>
        </w:rPr>
        <w:t xml:space="preserve">Buyers benefit from the sales tax exemption in the form of </w:t>
      </w:r>
      <w:r w:rsidR="005B75B1">
        <w:rPr>
          <w:rFonts w:asciiTheme="majorHAnsi" w:hAnsiTheme="majorHAnsi"/>
          <w:bCs/>
          <w:sz w:val="24"/>
          <w:szCs w:val="24"/>
        </w:rPr>
        <w:t xml:space="preserve">paying </w:t>
      </w:r>
      <w:r w:rsidR="001175C9">
        <w:rPr>
          <w:rFonts w:asciiTheme="majorHAnsi" w:hAnsiTheme="majorHAnsi"/>
          <w:bCs/>
          <w:sz w:val="24"/>
          <w:szCs w:val="24"/>
        </w:rPr>
        <w:t xml:space="preserve">a </w:t>
      </w:r>
      <w:r w:rsidR="003C1EC1">
        <w:rPr>
          <w:rFonts w:asciiTheme="majorHAnsi" w:hAnsiTheme="majorHAnsi"/>
          <w:bCs/>
          <w:sz w:val="24"/>
          <w:szCs w:val="24"/>
        </w:rPr>
        <w:t xml:space="preserve">lower “after tax price” while sellers benefit from the sales tax exemption in the form of </w:t>
      </w:r>
      <w:r w:rsidR="005B75B1">
        <w:rPr>
          <w:rFonts w:asciiTheme="majorHAnsi" w:hAnsiTheme="majorHAnsi"/>
          <w:bCs/>
          <w:sz w:val="24"/>
          <w:szCs w:val="24"/>
        </w:rPr>
        <w:t xml:space="preserve">receiving </w:t>
      </w:r>
      <w:r w:rsidR="001175C9">
        <w:rPr>
          <w:rFonts w:asciiTheme="majorHAnsi" w:hAnsiTheme="majorHAnsi"/>
          <w:bCs/>
          <w:sz w:val="24"/>
          <w:szCs w:val="24"/>
        </w:rPr>
        <w:t xml:space="preserve">a </w:t>
      </w:r>
      <w:r w:rsidR="003C1EC1">
        <w:rPr>
          <w:rFonts w:asciiTheme="majorHAnsi" w:hAnsiTheme="majorHAnsi"/>
          <w:bCs/>
          <w:sz w:val="24"/>
          <w:szCs w:val="24"/>
        </w:rPr>
        <w:t>higher “before tax price”. The exact split of</w:t>
      </w:r>
      <w:r>
        <w:rPr>
          <w:rFonts w:asciiTheme="majorHAnsi" w:hAnsiTheme="majorHAnsi"/>
          <w:bCs/>
          <w:sz w:val="24"/>
          <w:szCs w:val="24"/>
        </w:rPr>
        <w:t xml:space="preserve"> </w:t>
      </w:r>
      <w:r w:rsidR="003C1EC1">
        <w:rPr>
          <w:rFonts w:asciiTheme="majorHAnsi" w:hAnsiTheme="majorHAnsi"/>
          <w:bCs/>
          <w:sz w:val="24"/>
          <w:szCs w:val="24"/>
        </w:rPr>
        <w:t>the</w:t>
      </w:r>
      <w:r w:rsidR="0007491D">
        <w:rPr>
          <w:rFonts w:asciiTheme="majorHAnsi" w:hAnsiTheme="majorHAnsi"/>
          <w:bCs/>
          <w:sz w:val="24"/>
          <w:szCs w:val="24"/>
        </w:rPr>
        <w:t xml:space="preserve"> direct</w:t>
      </w:r>
      <w:r w:rsidR="003C1EC1">
        <w:rPr>
          <w:rFonts w:asciiTheme="majorHAnsi" w:hAnsiTheme="majorHAnsi"/>
          <w:bCs/>
          <w:sz w:val="24"/>
          <w:szCs w:val="24"/>
        </w:rPr>
        <w:t xml:space="preserve"> benefits depends on the interaction of </w:t>
      </w:r>
      <w:r w:rsidR="0007491D">
        <w:rPr>
          <w:rFonts w:asciiTheme="majorHAnsi" w:hAnsiTheme="majorHAnsi"/>
          <w:bCs/>
          <w:sz w:val="24"/>
          <w:szCs w:val="24"/>
        </w:rPr>
        <w:t xml:space="preserve">demand and supply and is often difficult to quantify. </w:t>
      </w:r>
    </w:p>
    <w:p w14:paraId="7829F189" w14:textId="77777777" w:rsidR="003E1F37" w:rsidRDefault="003E1F37" w:rsidP="00564CAA">
      <w:pPr>
        <w:tabs>
          <w:tab w:val="left" w:pos="7050"/>
        </w:tabs>
        <w:spacing w:after="0"/>
        <w:rPr>
          <w:rFonts w:asciiTheme="majorHAnsi" w:hAnsiTheme="majorHAnsi"/>
          <w:bCs/>
          <w:sz w:val="24"/>
          <w:szCs w:val="24"/>
        </w:rPr>
      </w:pPr>
    </w:p>
    <w:p w14:paraId="7C240F0D" w14:textId="4C4C2263" w:rsidR="006F1953" w:rsidRDefault="003E1F37" w:rsidP="0096718D">
      <w:pPr>
        <w:tabs>
          <w:tab w:val="left" w:pos="7050"/>
        </w:tabs>
        <w:spacing w:after="0"/>
        <w:rPr>
          <w:rFonts w:asciiTheme="majorHAnsi" w:eastAsiaTheme="majorEastAsia" w:hAnsiTheme="majorHAnsi" w:cstheme="majorBidi"/>
          <w:b/>
          <w:color w:val="000000" w:themeColor="text1"/>
          <w:sz w:val="24"/>
          <w:szCs w:val="24"/>
        </w:rPr>
      </w:pPr>
      <w:r>
        <w:rPr>
          <w:rFonts w:asciiTheme="majorHAnsi" w:hAnsiTheme="majorHAnsi"/>
          <w:bCs/>
          <w:sz w:val="24"/>
          <w:szCs w:val="24"/>
        </w:rPr>
        <w:t>Businesses sell</w:t>
      </w:r>
      <w:r w:rsidR="00A27C21">
        <w:rPr>
          <w:rFonts w:asciiTheme="majorHAnsi" w:hAnsiTheme="majorHAnsi"/>
          <w:bCs/>
          <w:sz w:val="24"/>
          <w:szCs w:val="24"/>
        </w:rPr>
        <w:t>ing</w:t>
      </w:r>
      <w:r>
        <w:rPr>
          <w:rFonts w:asciiTheme="majorHAnsi" w:hAnsiTheme="majorHAnsi"/>
          <w:bCs/>
          <w:sz w:val="24"/>
          <w:szCs w:val="24"/>
        </w:rPr>
        <w:t xml:space="preserve"> </w:t>
      </w:r>
      <w:r w:rsidR="00255E10">
        <w:rPr>
          <w:rFonts w:asciiTheme="majorHAnsi" w:hAnsiTheme="majorHAnsi"/>
          <w:bCs/>
          <w:sz w:val="24"/>
          <w:szCs w:val="24"/>
        </w:rPr>
        <w:t>motor fuels</w:t>
      </w:r>
      <w:r>
        <w:rPr>
          <w:rFonts w:asciiTheme="majorHAnsi" w:hAnsiTheme="majorHAnsi"/>
          <w:bCs/>
          <w:sz w:val="24"/>
          <w:szCs w:val="24"/>
        </w:rPr>
        <w:t xml:space="preserve"> at the retail </w:t>
      </w:r>
      <w:r w:rsidR="001175C9">
        <w:rPr>
          <w:rFonts w:asciiTheme="majorHAnsi" w:hAnsiTheme="majorHAnsi"/>
          <w:bCs/>
          <w:sz w:val="24"/>
          <w:szCs w:val="24"/>
        </w:rPr>
        <w:t>level</w:t>
      </w:r>
      <w:r w:rsidR="00A27C21">
        <w:rPr>
          <w:rFonts w:asciiTheme="majorHAnsi" w:hAnsiTheme="majorHAnsi"/>
          <w:bCs/>
          <w:sz w:val="24"/>
          <w:szCs w:val="24"/>
        </w:rPr>
        <w:t xml:space="preserve"> are mainly gas stations. </w:t>
      </w:r>
      <w:r w:rsidR="00221323">
        <w:rPr>
          <w:rFonts w:asciiTheme="majorHAnsi" w:hAnsiTheme="majorHAnsi"/>
          <w:bCs/>
          <w:sz w:val="24"/>
          <w:szCs w:val="24"/>
        </w:rPr>
        <w:t>According to U.S. Census Bureau, in 2017, Massachusetts had 1,</w:t>
      </w:r>
      <w:r w:rsidR="0096718D">
        <w:rPr>
          <w:rFonts w:asciiTheme="majorHAnsi" w:hAnsiTheme="majorHAnsi"/>
          <w:bCs/>
          <w:sz w:val="24"/>
          <w:szCs w:val="24"/>
        </w:rPr>
        <w:t>419 “</w:t>
      </w:r>
      <w:r w:rsidR="0096718D" w:rsidRPr="0096718D">
        <w:rPr>
          <w:rFonts w:asciiTheme="majorHAnsi" w:hAnsiTheme="majorHAnsi"/>
          <w:bCs/>
          <w:sz w:val="24"/>
          <w:szCs w:val="24"/>
        </w:rPr>
        <w:t>Gasoline stations with convenience stores</w:t>
      </w:r>
      <w:r w:rsidR="0096718D">
        <w:rPr>
          <w:rFonts w:asciiTheme="majorHAnsi" w:hAnsiTheme="majorHAnsi"/>
          <w:bCs/>
          <w:sz w:val="24"/>
          <w:szCs w:val="24"/>
        </w:rPr>
        <w:t>” and 639 “</w:t>
      </w:r>
      <w:r w:rsidR="0096718D" w:rsidRPr="0096718D">
        <w:rPr>
          <w:rFonts w:asciiTheme="majorHAnsi" w:hAnsiTheme="majorHAnsi"/>
          <w:bCs/>
          <w:sz w:val="24"/>
          <w:szCs w:val="24"/>
        </w:rPr>
        <w:t>Other gasoline stations</w:t>
      </w:r>
      <w:r w:rsidR="0096718D">
        <w:rPr>
          <w:rFonts w:asciiTheme="majorHAnsi" w:hAnsiTheme="majorHAnsi"/>
          <w:bCs/>
          <w:sz w:val="24"/>
          <w:szCs w:val="24"/>
        </w:rPr>
        <w:t>”</w:t>
      </w:r>
      <w:r w:rsidR="0096718D">
        <w:rPr>
          <w:rStyle w:val="FootnoteReference"/>
          <w:rFonts w:asciiTheme="majorHAnsi" w:hAnsiTheme="majorHAnsi"/>
          <w:bCs/>
          <w:sz w:val="24"/>
          <w:szCs w:val="24"/>
        </w:rPr>
        <w:footnoteReference w:id="1"/>
      </w:r>
      <w:r w:rsidR="0096718D">
        <w:rPr>
          <w:rFonts w:asciiTheme="majorHAnsi" w:hAnsiTheme="majorHAnsi"/>
          <w:bCs/>
          <w:sz w:val="24"/>
          <w:szCs w:val="24"/>
        </w:rPr>
        <w:t>.</w:t>
      </w:r>
    </w:p>
    <w:p w14:paraId="0E625059" w14:textId="77777777" w:rsidR="006F1953" w:rsidRDefault="006F1953" w:rsidP="00564CAA">
      <w:pPr>
        <w:tabs>
          <w:tab w:val="left" w:pos="7050"/>
        </w:tabs>
        <w:spacing w:after="0"/>
        <w:rPr>
          <w:rFonts w:asciiTheme="majorHAnsi" w:hAnsiTheme="majorHAnsi"/>
          <w:bCs/>
          <w:sz w:val="24"/>
          <w:szCs w:val="24"/>
        </w:rPr>
      </w:pPr>
    </w:p>
    <w:p w14:paraId="6CB12C16" w14:textId="056053E5" w:rsidR="00FB7726" w:rsidRDefault="003E1F37" w:rsidP="00564CAA">
      <w:pPr>
        <w:tabs>
          <w:tab w:val="left" w:pos="7050"/>
        </w:tabs>
        <w:spacing w:after="0"/>
        <w:rPr>
          <w:rFonts w:asciiTheme="majorHAnsi" w:hAnsiTheme="majorHAnsi"/>
          <w:bCs/>
          <w:sz w:val="24"/>
          <w:szCs w:val="24"/>
        </w:rPr>
      </w:pPr>
      <w:r>
        <w:rPr>
          <w:rFonts w:asciiTheme="majorHAnsi" w:hAnsiTheme="majorHAnsi"/>
          <w:bCs/>
          <w:sz w:val="24"/>
          <w:szCs w:val="24"/>
        </w:rPr>
        <w:t xml:space="preserve">For simplicity, we assume that the entire tax saving due to </w:t>
      </w:r>
      <w:r w:rsidR="001175C9">
        <w:rPr>
          <w:rFonts w:asciiTheme="majorHAnsi" w:hAnsiTheme="majorHAnsi"/>
          <w:bCs/>
          <w:sz w:val="24"/>
          <w:szCs w:val="24"/>
        </w:rPr>
        <w:t xml:space="preserve">the </w:t>
      </w:r>
      <w:r>
        <w:rPr>
          <w:rFonts w:asciiTheme="majorHAnsi" w:hAnsiTheme="majorHAnsi"/>
          <w:bCs/>
          <w:sz w:val="24"/>
          <w:szCs w:val="24"/>
        </w:rPr>
        <w:t xml:space="preserve">sales tax exemption is passed on to buyers. Based on this assumption, </w:t>
      </w:r>
      <w:r w:rsidR="005B75B1">
        <w:rPr>
          <w:rFonts w:asciiTheme="majorHAnsi" w:hAnsiTheme="majorHAnsi"/>
          <w:bCs/>
          <w:sz w:val="24"/>
          <w:szCs w:val="24"/>
        </w:rPr>
        <w:t xml:space="preserve">Table </w:t>
      </w:r>
      <w:r w:rsidR="003D6384">
        <w:rPr>
          <w:rFonts w:asciiTheme="majorHAnsi" w:hAnsiTheme="majorHAnsi"/>
          <w:bCs/>
          <w:sz w:val="24"/>
          <w:szCs w:val="24"/>
        </w:rPr>
        <w:t xml:space="preserve">2 </w:t>
      </w:r>
      <w:r w:rsidR="005B75B1">
        <w:rPr>
          <w:rFonts w:asciiTheme="majorHAnsi" w:hAnsiTheme="majorHAnsi"/>
          <w:bCs/>
          <w:sz w:val="24"/>
          <w:szCs w:val="24"/>
        </w:rPr>
        <w:t>reports the distribution of estimated tax saving</w:t>
      </w:r>
      <w:r w:rsidR="000E0559">
        <w:rPr>
          <w:rFonts w:asciiTheme="majorHAnsi" w:hAnsiTheme="majorHAnsi"/>
          <w:bCs/>
          <w:sz w:val="24"/>
          <w:szCs w:val="24"/>
        </w:rPr>
        <w:t xml:space="preserve"> in FY18</w:t>
      </w:r>
      <w:r w:rsidR="005B75B1">
        <w:rPr>
          <w:rFonts w:asciiTheme="majorHAnsi" w:hAnsiTheme="majorHAnsi"/>
          <w:bCs/>
          <w:sz w:val="24"/>
          <w:szCs w:val="24"/>
        </w:rPr>
        <w:t xml:space="preserve"> among households in different income range</w:t>
      </w:r>
      <w:r w:rsidR="000E0559">
        <w:rPr>
          <w:rFonts w:asciiTheme="majorHAnsi" w:hAnsiTheme="majorHAnsi"/>
          <w:bCs/>
          <w:sz w:val="24"/>
          <w:szCs w:val="24"/>
        </w:rPr>
        <w:t xml:space="preserve">s. The table is based </w:t>
      </w:r>
      <w:r w:rsidR="00C14A91">
        <w:rPr>
          <w:rFonts w:asciiTheme="majorHAnsi" w:hAnsiTheme="majorHAnsi"/>
          <w:bCs/>
          <w:sz w:val="24"/>
          <w:szCs w:val="24"/>
        </w:rPr>
        <w:t xml:space="preserve">primarily </w:t>
      </w:r>
      <w:r w:rsidR="000E0559">
        <w:rPr>
          <w:rFonts w:asciiTheme="majorHAnsi" w:hAnsiTheme="majorHAnsi"/>
          <w:bCs/>
          <w:sz w:val="24"/>
          <w:szCs w:val="24"/>
        </w:rPr>
        <w:t xml:space="preserve">on the 2018 Consumer Expenditure </w:t>
      </w:r>
      <w:proofErr w:type="gramStart"/>
      <w:r w:rsidR="000E0559">
        <w:rPr>
          <w:rFonts w:asciiTheme="majorHAnsi" w:hAnsiTheme="majorHAnsi"/>
          <w:bCs/>
          <w:sz w:val="24"/>
          <w:szCs w:val="24"/>
        </w:rPr>
        <w:t>Survey  data</w:t>
      </w:r>
      <w:proofErr w:type="gramEnd"/>
      <w:r w:rsidR="000E0559">
        <w:rPr>
          <w:rFonts w:asciiTheme="majorHAnsi" w:hAnsiTheme="majorHAnsi"/>
          <w:bCs/>
          <w:sz w:val="24"/>
          <w:szCs w:val="24"/>
        </w:rPr>
        <w:t xml:space="preserve"> published by </w:t>
      </w:r>
      <w:r w:rsidR="00F56D33">
        <w:rPr>
          <w:rFonts w:asciiTheme="majorHAnsi" w:hAnsiTheme="majorHAnsi"/>
          <w:bCs/>
          <w:sz w:val="24"/>
          <w:szCs w:val="24"/>
        </w:rPr>
        <w:t xml:space="preserve">the </w:t>
      </w:r>
      <w:r w:rsidR="000E0559">
        <w:rPr>
          <w:rFonts w:asciiTheme="majorHAnsi" w:hAnsiTheme="majorHAnsi"/>
          <w:bCs/>
          <w:sz w:val="24"/>
          <w:szCs w:val="24"/>
        </w:rPr>
        <w:t xml:space="preserve">U.S. Bureau of Labor Statistics and </w:t>
      </w:r>
      <w:r w:rsidR="0068668C">
        <w:rPr>
          <w:rFonts w:asciiTheme="majorHAnsi" w:hAnsiTheme="majorHAnsi"/>
          <w:bCs/>
          <w:sz w:val="24"/>
          <w:szCs w:val="24"/>
        </w:rPr>
        <w:t xml:space="preserve">data from other sources such as Moody’s Analytics and </w:t>
      </w:r>
      <w:r w:rsidR="00C14A91">
        <w:rPr>
          <w:rFonts w:asciiTheme="majorHAnsi" w:hAnsiTheme="majorHAnsi"/>
          <w:bCs/>
          <w:sz w:val="24"/>
          <w:szCs w:val="24"/>
        </w:rPr>
        <w:t xml:space="preserve">the </w:t>
      </w:r>
      <w:r w:rsidR="00482F28" w:rsidRPr="00482F28">
        <w:rPr>
          <w:rFonts w:asciiTheme="majorHAnsi" w:hAnsiTheme="majorHAnsi"/>
          <w:bCs/>
          <w:sz w:val="24"/>
          <w:szCs w:val="24"/>
        </w:rPr>
        <w:t>Massachusetts Department of Revenue</w:t>
      </w:r>
      <w:r w:rsidR="000E0559">
        <w:rPr>
          <w:rFonts w:asciiTheme="majorHAnsi" w:hAnsiTheme="majorHAnsi"/>
          <w:bCs/>
          <w:sz w:val="24"/>
          <w:szCs w:val="24"/>
        </w:rPr>
        <w:t xml:space="preserve">. The Consumer Expenditure Survey </w:t>
      </w:r>
      <w:r w:rsidR="00FB7726">
        <w:rPr>
          <w:rFonts w:asciiTheme="majorHAnsi" w:hAnsiTheme="majorHAnsi"/>
          <w:bCs/>
          <w:sz w:val="24"/>
          <w:szCs w:val="24"/>
        </w:rPr>
        <w:t xml:space="preserve">reports </w:t>
      </w:r>
      <w:r w:rsidR="0068668C">
        <w:rPr>
          <w:rFonts w:asciiTheme="majorHAnsi" w:hAnsiTheme="majorHAnsi"/>
          <w:bCs/>
          <w:sz w:val="24"/>
          <w:szCs w:val="24"/>
        </w:rPr>
        <w:t>a</w:t>
      </w:r>
      <w:r w:rsidR="0068668C" w:rsidRPr="0068668C">
        <w:rPr>
          <w:rFonts w:asciiTheme="majorHAnsi" w:hAnsiTheme="majorHAnsi"/>
          <w:bCs/>
          <w:sz w:val="24"/>
          <w:szCs w:val="24"/>
        </w:rPr>
        <w:t>verage annual expenditures</w:t>
      </w:r>
      <w:r w:rsidR="0068668C">
        <w:rPr>
          <w:rFonts w:asciiTheme="majorHAnsi" w:hAnsiTheme="majorHAnsi"/>
          <w:bCs/>
          <w:sz w:val="24"/>
          <w:szCs w:val="24"/>
        </w:rPr>
        <w:t xml:space="preserve"> </w:t>
      </w:r>
      <w:r w:rsidR="000E0559">
        <w:rPr>
          <w:rFonts w:asciiTheme="majorHAnsi" w:hAnsiTheme="majorHAnsi"/>
          <w:bCs/>
          <w:sz w:val="24"/>
          <w:szCs w:val="24"/>
        </w:rPr>
        <w:t>on</w:t>
      </w:r>
      <w:r w:rsidR="0068668C">
        <w:rPr>
          <w:rFonts w:asciiTheme="majorHAnsi" w:hAnsiTheme="majorHAnsi"/>
          <w:bCs/>
          <w:sz w:val="24"/>
          <w:szCs w:val="24"/>
        </w:rPr>
        <w:t xml:space="preserve"> </w:t>
      </w:r>
      <w:r w:rsidR="008B2273">
        <w:rPr>
          <w:rFonts w:asciiTheme="majorHAnsi" w:hAnsiTheme="majorHAnsi"/>
          <w:bCs/>
          <w:sz w:val="24"/>
          <w:szCs w:val="24"/>
        </w:rPr>
        <w:t>“g</w:t>
      </w:r>
      <w:r w:rsidR="008B2273" w:rsidRPr="008B2273">
        <w:rPr>
          <w:rFonts w:asciiTheme="majorHAnsi" w:hAnsiTheme="majorHAnsi"/>
          <w:bCs/>
          <w:sz w:val="24"/>
          <w:szCs w:val="24"/>
        </w:rPr>
        <w:t>asoline, other fuels, and motor oil</w:t>
      </w:r>
      <w:r w:rsidR="008B2273">
        <w:rPr>
          <w:rFonts w:asciiTheme="majorHAnsi" w:hAnsiTheme="majorHAnsi"/>
          <w:bCs/>
          <w:sz w:val="24"/>
          <w:szCs w:val="24"/>
        </w:rPr>
        <w:t xml:space="preserve">” </w:t>
      </w:r>
      <w:r w:rsidR="00FB7726">
        <w:rPr>
          <w:rFonts w:asciiTheme="majorHAnsi" w:hAnsiTheme="majorHAnsi"/>
          <w:bCs/>
          <w:sz w:val="24"/>
          <w:szCs w:val="24"/>
        </w:rPr>
        <w:t>and number of households</w:t>
      </w:r>
      <w:r w:rsidR="0068668C">
        <w:rPr>
          <w:rFonts w:asciiTheme="majorHAnsi" w:hAnsiTheme="majorHAnsi"/>
          <w:bCs/>
          <w:sz w:val="24"/>
          <w:szCs w:val="24"/>
        </w:rPr>
        <w:t xml:space="preserve"> by different income </w:t>
      </w:r>
      <w:r w:rsidR="00482F28">
        <w:rPr>
          <w:rFonts w:asciiTheme="majorHAnsi" w:hAnsiTheme="majorHAnsi"/>
          <w:bCs/>
          <w:sz w:val="24"/>
          <w:szCs w:val="24"/>
        </w:rPr>
        <w:t>groups</w:t>
      </w:r>
      <w:r w:rsidR="0068668C">
        <w:rPr>
          <w:rFonts w:asciiTheme="majorHAnsi" w:hAnsiTheme="majorHAnsi"/>
          <w:bCs/>
          <w:sz w:val="24"/>
          <w:szCs w:val="24"/>
        </w:rPr>
        <w:t>.</w:t>
      </w:r>
      <w:r w:rsidR="000E0559">
        <w:rPr>
          <w:rFonts w:asciiTheme="majorHAnsi" w:hAnsiTheme="majorHAnsi"/>
          <w:bCs/>
          <w:sz w:val="24"/>
          <w:szCs w:val="24"/>
        </w:rPr>
        <w:t xml:space="preserve">  </w:t>
      </w:r>
      <w:r w:rsidR="00FB7726">
        <w:rPr>
          <w:rFonts w:asciiTheme="majorHAnsi" w:hAnsiTheme="majorHAnsi"/>
          <w:bCs/>
          <w:sz w:val="24"/>
          <w:szCs w:val="24"/>
        </w:rPr>
        <w:t>Please note that, a</w:t>
      </w:r>
      <w:r w:rsidR="00564CAA">
        <w:rPr>
          <w:rFonts w:asciiTheme="majorHAnsi" w:hAnsiTheme="majorHAnsi"/>
          <w:bCs/>
          <w:sz w:val="24"/>
          <w:szCs w:val="24"/>
        </w:rPr>
        <w:t xml:space="preserve">lthough </w:t>
      </w:r>
      <w:r w:rsidR="008B2273">
        <w:rPr>
          <w:rFonts w:asciiTheme="majorHAnsi" w:hAnsiTheme="majorHAnsi"/>
          <w:bCs/>
          <w:sz w:val="24"/>
          <w:szCs w:val="24"/>
        </w:rPr>
        <w:t>motor fuels</w:t>
      </w:r>
      <w:r w:rsidR="00564CAA">
        <w:rPr>
          <w:rFonts w:asciiTheme="majorHAnsi" w:hAnsiTheme="majorHAnsi"/>
          <w:bCs/>
          <w:sz w:val="24"/>
          <w:szCs w:val="24"/>
        </w:rPr>
        <w:t xml:space="preserve"> are purchased by both consumers</w:t>
      </w:r>
      <w:r w:rsidR="00FB7726">
        <w:rPr>
          <w:rFonts w:asciiTheme="majorHAnsi" w:hAnsiTheme="majorHAnsi"/>
          <w:bCs/>
          <w:sz w:val="24"/>
          <w:szCs w:val="24"/>
        </w:rPr>
        <w:t xml:space="preserve"> (households)</w:t>
      </w:r>
      <w:r w:rsidR="00564CAA">
        <w:rPr>
          <w:rFonts w:asciiTheme="majorHAnsi" w:hAnsiTheme="majorHAnsi"/>
          <w:bCs/>
          <w:sz w:val="24"/>
          <w:szCs w:val="24"/>
        </w:rPr>
        <w:t xml:space="preserve"> and business</w:t>
      </w:r>
      <w:r w:rsidR="00FB7726">
        <w:rPr>
          <w:rFonts w:asciiTheme="majorHAnsi" w:hAnsiTheme="majorHAnsi"/>
          <w:bCs/>
          <w:sz w:val="24"/>
          <w:szCs w:val="24"/>
        </w:rPr>
        <w:t>es</w:t>
      </w:r>
      <w:r w:rsidR="00564CAA">
        <w:rPr>
          <w:rFonts w:asciiTheme="majorHAnsi" w:hAnsiTheme="majorHAnsi"/>
          <w:bCs/>
          <w:sz w:val="24"/>
          <w:szCs w:val="24"/>
        </w:rPr>
        <w:t xml:space="preserve">, the </w:t>
      </w:r>
      <w:r w:rsidR="00FB7726">
        <w:rPr>
          <w:rFonts w:asciiTheme="majorHAnsi" w:hAnsiTheme="majorHAnsi"/>
          <w:bCs/>
          <w:sz w:val="24"/>
          <w:szCs w:val="24"/>
        </w:rPr>
        <w:t xml:space="preserve">distribution of </w:t>
      </w:r>
      <w:r w:rsidR="00564CAA">
        <w:rPr>
          <w:rFonts w:asciiTheme="majorHAnsi" w:hAnsiTheme="majorHAnsi"/>
          <w:bCs/>
          <w:sz w:val="24"/>
          <w:szCs w:val="24"/>
        </w:rPr>
        <w:t>tax savings</w:t>
      </w:r>
      <w:r w:rsidR="00FB7726">
        <w:rPr>
          <w:rFonts w:asciiTheme="majorHAnsi" w:hAnsiTheme="majorHAnsi"/>
          <w:bCs/>
          <w:sz w:val="24"/>
          <w:szCs w:val="24"/>
        </w:rPr>
        <w:t xml:space="preserve"> reported in Table </w:t>
      </w:r>
      <w:r w:rsidR="00A3769A">
        <w:rPr>
          <w:rFonts w:asciiTheme="majorHAnsi" w:hAnsiTheme="majorHAnsi"/>
          <w:bCs/>
          <w:sz w:val="24"/>
          <w:szCs w:val="24"/>
        </w:rPr>
        <w:t xml:space="preserve">2 </w:t>
      </w:r>
      <w:r w:rsidR="00564CAA">
        <w:rPr>
          <w:rFonts w:asciiTheme="majorHAnsi" w:hAnsiTheme="majorHAnsi"/>
          <w:bCs/>
          <w:sz w:val="24"/>
          <w:szCs w:val="24"/>
        </w:rPr>
        <w:t>is for</w:t>
      </w:r>
      <w:r w:rsidR="00FB7726">
        <w:rPr>
          <w:rFonts w:asciiTheme="majorHAnsi" w:hAnsiTheme="majorHAnsi"/>
          <w:bCs/>
          <w:sz w:val="24"/>
          <w:szCs w:val="24"/>
        </w:rPr>
        <w:t xml:space="preserve"> </w:t>
      </w:r>
      <w:r w:rsidR="00564CAA">
        <w:rPr>
          <w:rFonts w:asciiTheme="majorHAnsi" w:hAnsiTheme="majorHAnsi"/>
          <w:bCs/>
          <w:sz w:val="24"/>
          <w:szCs w:val="24"/>
        </w:rPr>
        <w:t>consumer</w:t>
      </w:r>
      <w:r w:rsidR="00FB7726">
        <w:rPr>
          <w:rFonts w:asciiTheme="majorHAnsi" w:hAnsiTheme="majorHAnsi"/>
          <w:bCs/>
          <w:sz w:val="24"/>
          <w:szCs w:val="24"/>
        </w:rPr>
        <w:t>s</w:t>
      </w:r>
      <w:r w:rsidR="004F5F74">
        <w:rPr>
          <w:rFonts w:asciiTheme="majorHAnsi" w:hAnsiTheme="majorHAnsi"/>
          <w:bCs/>
          <w:sz w:val="24"/>
          <w:szCs w:val="24"/>
        </w:rPr>
        <w:t xml:space="preserve"> (households) </w:t>
      </w:r>
      <w:r w:rsidR="00564CAA">
        <w:rPr>
          <w:rFonts w:asciiTheme="majorHAnsi" w:hAnsiTheme="majorHAnsi"/>
          <w:bCs/>
          <w:sz w:val="24"/>
          <w:szCs w:val="24"/>
        </w:rPr>
        <w:t xml:space="preserve">only. </w:t>
      </w:r>
    </w:p>
    <w:p w14:paraId="63F54C50" w14:textId="77777777" w:rsidR="00FB7726" w:rsidRDefault="00FB7726" w:rsidP="00564CAA">
      <w:pPr>
        <w:tabs>
          <w:tab w:val="left" w:pos="7050"/>
        </w:tabs>
        <w:spacing w:after="0"/>
        <w:rPr>
          <w:rFonts w:asciiTheme="majorHAnsi" w:hAnsiTheme="majorHAnsi"/>
          <w:bCs/>
          <w:sz w:val="24"/>
          <w:szCs w:val="24"/>
        </w:rPr>
      </w:pPr>
    </w:p>
    <w:p w14:paraId="547D90DF" w14:textId="5B7F2346" w:rsidR="00136531" w:rsidRPr="00136531" w:rsidRDefault="00FB7726" w:rsidP="00136531">
      <w:pPr>
        <w:tabs>
          <w:tab w:val="left" w:pos="7050"/>
        </w:tabs>
        <w:spacing w:after="0"/>
        <w:rPr>
          <w:rFonts w:asciiTheme="majorHAnsi" w:hAnsiTheme="majorHAnsi"/>
          <w:bCs/>
          <w:sz w:val="24"/>
          <w:szCs w:val="24"/>
        </w:rPr>
      </w:pPr>
      <w:r>
        <w:rPr>
          <w:rFonts w:asciiTheme="majorHAnsi" w:hAnsiTheme="majorHAnsi"/>
          <w:bCs/>
          <w:sz w:val="24"/>
          <w:szCs w:val="24"/>
        </w:rPr>
        <w:t xml:space="preserve">According to Table </w:t>
      </w:r>
      <w:r w:rsidR="00A3769A">
        <w:rPr>
          <w:rFonts w:asciiTheme="majorHAnsi" w:hAnsiTheme="majorHAnsi"/>
          <w:bCs/>
          <w:sz w:val="24"/>
          <w:szCs w:val="24"/>
        </w:rPr>
        <w:t>2</w:t>
      </w:r>
      <w:r>
        <w:rPr>
          <w:rFonts w:asciiTheme="majorHAnsi" w:hAnsiTheme="majorHAnsi"/>
          <w:bCs/>
          <w:sz w:val="24"/>
          <w:szCs w:val="24"/>
        </w:rPr>
        <w:t xml:space="preserve">, </w:t>
      </w:r>
      <w:r w:rsidR="00136531">
        <w:rPr>
          <w:rFonts w:asciiTheme="majorHAnsi" w:hAnsiTheme="majorHAnsi"/>
          <w:bCs/>
          <w:sz w:val="24"/>
          <w:szCs w:val="24"/>
        </w:rPr>
        <w:t>t</w:t>
      </w:r>
      <w:r w:rsidR="00564CAA">
        <w:rPr>
          <w:rFonts w:asciiTheme="majorHAnsi" w:hAnsiTheme="majorHAnsi"/>
          <w:bCs/>
          <w:sz w:val="24"/>
          <w:szCs w:val="24"/>
        </w:rPr>
        <w:t xml:space="preserve">he </w:t>
      </w:r>
      <w:r w:rsidR="0088354E">
        <w:rPr>
          <w:rFonts w:asciiTheme="majorHAnsi" w:hAnsiTheme="majorHAnsi"/>
          <w:bCs/>
          <w:sz w:val="24"/>
          <w:szCs w:val="24"/>
        </w:rPr>
        <w:t xml:space="preserve">average </w:t>
      </w:r>
      <w:r w:rsidR="00136531">
        <w:rPr>
          <w:rFonts w:asciiTheme="majorHAnsi" w:hAnsiTheme="majorHAnsi"/>
          <w:bCs/>
          <w:sz w:val="24"/>
          <w:szCs w:val="24"/>
        </w:rPr>
        <w:t>t</w:t>
      </w:r>
      <w:r w:rsidR="00564CAA">
        <w:rPr>
          <w:rFonts w:asciiTheme="majorHAnsi" w:hAnsiTheme="majorHAnsi"/>
          <w:bCs/>
          <w:sz w:val="24"/>
          <w:szCs w:val="24"/>
        </w:rPr>
        <w:t>ax saving</w:t>
      </w:r>
      <w:r w:rsidR="00C14A91">
        <w:rPr>
          <w:rFonts w:asciiTheme="majorHAnsi" w:hAnsiTheme="majorHAnsi"/>
          <w:bCs/>
          <w:sz w:val="24"/>
          <w:szCs w:val="24"/>
        </w:rPr>
        <w:t>s from the exemption</w:t>
      </w:r>
      <w:r w:rsidR="00564CAA">
        <w:rPr>
          <w:rFonts w:asciiTheme="majorHAnsi" w:hAnsiTheme="majorHAnsi"/>
          <w:bCs/>
          <w:sz w:val="24"/>
          <w:szCs w:val="24"/>
        </w:rPr>
        <w:t xml:space="preserve"> is estimated to be $</w:t>
      </w:r>
      <w:r w:rsidR="00743DBA">
        <w:rPr>
          <w:rFonts w:asciiTheme="majorHAnsi" w:hAnsiTheme="majorHAnsi"/>
          <w:bCs/>
          <w:sz w:val="24"/>
          <w:szCs w:val="24"/>
        </w:rPr>
        <w:t>185</w:t>
      </w:r>
      <w:r w:rsidR="00136531">
        <w:rPr>
          <w:rFonts w:asciiTheme="majorHAnsi" w:hAnsiTheme="majorHAnsi"/>
          <w:bCs/>
          <w:sz w:val="24"/>
          <w:szCs w:val="24"/>
        </w:rPr>
        <w:t>.</w:t>
      </w:r>
      <w:r w:rsidR="00743DBA">
        <w:rPr>
          <w:rFonts w:asciiTheme="majorHAnsi" w:hAnsiTheme="majorHAnsi"/>
          <w:bCs/>
          <w:sz w:val="24"/>
          <w:szCs w:val="24"/>
        </w:rPr>
        <w:t>27</w:t>
      </w:r>
      <w:r w:rsidR="00136531">
        <w:rPr>
          <w:rFonts w:asciiTheme="majorHAnsi" w:hAnsiTheme="majorHAnsi"/>
          <w:bCs/>
          <w:sz w:val="24"/>
          <w:szCs w:val="24"/>
        </w:rPr>
        <w:t xml:space="preserve"> </w:t>
      </w:r>
      <w:r w:rsidR="0088354E">
        <w:rPr>
          <w:rFonts w:asciiTheme="majorHAnsi" w:hAnsiTheme="majorHAnsi"/>
          <w:bCs/>
          <w:sz w:val="24"/>
          <w:szCs w:val="24"/>
        </w:rPr>
        <w:t xml:space="preserve">per </w:t>
      </w:r>
      <w:r w:rsidR="00C14A91">
        <w:rPr>
          <w:rFonts w:asciiTheme="majorHAnsi" w:hAnsiTheme="majorHAnsi"/>
          <w:bCs/>
          <w:sz w:val="24"/>
          <w:szCs w:val="24"/>
        </w:rPr>
        <w:t>Massachusetts</w:t>
      </w:r>
      <w:r w:rsidR="0088354E">
        <w:rPr>
          <w:rFonts w:asciiTheme="majorHAnsi" w:hAnsiTheme="majorHAnsi"/>
          <w:bCs/>
          <w:sz w:val="24"/>
          <w:szCs w:val="24"/>
        </w:rPr>
        <w:t xml:space="preserve"> household </w:t>
      </w:r>
      <w:r w:rsidR="00136531">
        <w:rPr>
          <w:rFonts w:asciiTheme="majorHAnsi" w:hAnsiTheme="majorHAnsi"/>
          <w:bCs/>
          <w:sz w:val="24"/>
          <w:szCs w:val="24"/>
        </w:rPr>
        <w:t>in FY18, varying from $</w:t>
      </w:r>
      <w:r w:rsidR="00743DBA">
        <w:rPr>
          <w:rFonts w:asciiTheme="majorHAnsi" w:hAnsiTheme="majorHAnsi"/>
          <w:bCs/>
          <w:sz w:val="24"/>
          <w:szCs w:val="24"/>
        </w:rPr>
        <w:t>83.64</w:t>
      </w:r>
      <w:r w:rsidR="00136531">
        <w:rPr>
          <w:rFonts w:asciiTheme="majorHAnsi" w:hAnsiTheme="majorHAnsi"/>
          <w:bCs/>
          <w:sz w:val="24"/>
          <w:szCs w:val="24"/>
        </w:rPr>
        <w:t xml:space="preserve"> for households </w:t>
      </w:r>
      <w:r w:rsidR="00743DBA">
        <w:rPr>
          <w:rFonts w:asciiTheme="majorHAnsi" w:hAnsiTheme="majorHAnsi"/>
          <w:bCs/>
          <w:sz w:val="24"/>
          <w:szCs w:val="24"/>
        </w:rPr>
        <w:t>with annual income of less than $15,000</w:t>
      </w:r>
      <w:r w:rsidR="00136531">
        <w:rPr>
          <w:rFonts w:asciiTheme="majorHAnsi" w:hAnsiTheme="majorHAnsi"/>
          <w:bCs/>
          <w:sz w:val="24"/>
          <w:szCs w:val="24"/>
        </w:rPr>
        <w:t>, to $</w:t>
      </w:r>
      <w:r w:rsidR="00743DBA">
        <w:rPr>
          <w:rFonts w:asciiTheme="majorHAnsi" w:hAnsiTheme="majorHAnsi"/>
          <w:bCs/>
          <w:sz w:val="24"/>
          <w:szCs w:val="24"/>
        </w:rPr>
        <w:t>298.89</w:t>
      </w:r>
      <w:r w:rsidR="00136531">
        <w:rPr>
          <w:rFonts w:asciiTheme="majorHAnsi" w:hAnsiTheme="majorHAnsi"/>
          <w:bCs/>
          <w:sz w:val="24"/>
          <w:szCs w:val="24"/>
        </w:rPr>
        <w:t xml:space="preserve"> for households with annual income of at least $200,000. By percentage, </w:t>
      </w:r>
      <w:r w:rsidR="00743DBA">
        <w:rPr>
          <w:rFonts w:asciiTheme="majorHAnsi" w:hAnsiTheme="majorHAnsi"/>
          <w:bCs/>
          <w:sz w:val="24"/>
          <w:szCs w:val="24"/>
        </w:rPr>
        <w:t>18.89</w:t>
      </w:r>
      <w:r w:rsidR="00136531">
        <w:rPr>
          <w:rFonts w:asciiTheme="majorHAnsi" w:hAnsiTheme="majorHAnsi"/>
          <w:bCs/>
          <w:sz w:val="24"/>
          <w:szCs w:val="24"/>
        </w:rPr>
        <w:t xml:space="preserve">% of all tax savings went to the households </w:t>
      </w:r>
      <w:r w:rsidR="008B2273">
        <w:rPr>
          <w:rFonts w:asciiTheme="majorHAnsi" w:hAnsiTheme="majorHAnsi"/>
          <w:bCs/>
          <w:sz w:val="24"/>
          <w:szCs w:val="24"/>
        </w:rPr>
        <w:t>with</w:t>
      </w:r>
      <w:r w:rsidR="00743DBA">
        <w:rPr>
          <w:rFonts w:asciiTheme="majorHAnsi" w:hAnsiTheme="majorHAnsi"/>
          <w:bCs/>
          <w:sz w:val="24"/>
          <w:szCs w:val="24"/>
        </w:rPr>
        <w:t xml:space="preserve"> annual income of </w:t>
      </w:r>
      <w:r w:rsidR="00743DBA" w:rsidRPr="00743DBA">
        <w:rPr>
          <w:rFonts w:asciiTheme="majorHAnsi" w:hAnsiTheme="majorHAnsi"/>
          <w:bCs/>
          <w:sz w:val="24"/>
          <w:szCs w:val="24"/>
        </w:rPr>
        <w:t>$100,000 to $149,999</w:t>
      </w:r>
      <w:r w:rsidR="00743DBA">
        <w:rPr>
          <w:rFonts w:asciiTheme="majorHAnsi" w:hAnsiTheme="majorHAnsi"/>
          <w:bCs/>
          <w:sz w:val="24"/>
          <w:szCs w:val="24"/>
        </w:rPr>
        <w:t xml:space="preserve"> </w:t>
      </w:r>
      <w:r w:rsidR="004F5F74">
        <w:rPr>
          <w:rFonts w:asciiTheme="majorHAnsi" w:hAnsiTheme="majorHAnsi"/>
          <w:bCs/>
          <w:sz w:val="24"/>
          <w:szCs w:val="24"/>
        </w:rPr>
        <w:t>while</w:t>
      </w:r>
      <w:r w:rsidR="00136531">
        <w:rPr>
          <w:rFonts w:asciiTheme="majorHAnsi" w:hAnsiTheme="majorHAnsi"/>
          <w:bCs/>
          <w:sz w:val="24"/>
          <w:szCs w:val="24"/>
        </w:rPr>
        <w:t xml:space="preserve"> </w:t>
      </w:r>
      <w:r w:rsidR="00743DBA">
        <w:rPr>
          <w:rFonts w:asciiTheme="majorHAnsi" w:hAnsiTheme="majorHAnsi"/>
          <w:bCs/>
          <w:sz w:val="24"/>
          <w:szCs w:val="24"/>
        </w:rPr>
        <w:t>5.89</w:t>
      </w:r>
      <w:r w:rsidR="00136531">
        <w:rPr>
          <w:rFonts w:asciiTheme="majorHAnsi" w:hAnsiTheme="majorHAnsi"/>
          <w:bCs/>
          <w:sz w:val="24"/>
          <w:szCs w:val="24"/>
        </w:rPr>
        <w:t>% went to households with annual income of less than $15,000.</w:t>
      </w:r>
      <w:r w:rsidR="004F5F74">
        <w:rPr>
          <w:rFonts w:asciiTheme="majorHAnsi" w:hAnsiTheme="majorHAnsi"/>
          <w:bCs/>
          <w:sz w:val="24"/>
          <w:szCs w:val="24"/>
        </w:rPr>
        <w:t xml:space="preserve"> The tax savings reduced the households’ effective tax rate</w:t>
      </w:r>
      <w:r w:rsidR="002330D9">
        <w:rPr>
          <w:rFonts w:asciiTheme="majorHAnsi" w:hAnsiTheme="majorHAnsi"/>
          <w:bCs/>
          <w:sz w:val="24"/>
          <w:szCs w:val="24"/>
        </w:rPr>
        <w:t xml:space="preserve"> (the ratio of tax to income) by 0.</w:t>
      </w:r>
      <w:r w:rsidR="00743DBA">
        <w:rPr>
          <w:rFonts w:asciiTheme="majorHAnsi" w:hAnsiTheme="majorHAnsi"/>
          <w:bCs/>
          <w:sz w:val="24"/>
          <w:szCs w:val="24"/>
        </w:rPr>
        <w:t>24</w:t>
      </w:r>
      <w:r w:rsidR="002330D9">
        <w:rPr>
          <w:rFonts w:asciiTheme="majorHAnsi" w:hAnsiTheme="majorHAnsi"/>
          <w:bCs/>
          <w:sz w:val="24"/>
          <w:szCs w:val="24"/>
        </w:rPr>
        <w:t xml:space="preserve"> percentage point</w:t>
      </w:r>
      <w:r w:rsidR="00C14A91">
        <w:rPr>
          <w:rFonts w:asciiTheme="majorHAnsi" w:hAnsiTheme="majorHAnsi"/>
          <w:bCs/>
          <w:sz w:val="24"/>
          <w:szCs w:val="24"/>
        </w:rPr>
        <w:t>s</w:t>
      </w:r>
      <w:r w:rsidR="002330D9">
        <w:rPr>
          <w:rFonts w:asciiTheme="majorHAnsi" w:hAnsiTheme="majorHAnsi"/>
          <w:bCs/>
          <w:sz w:val="24"/>
          <w:szCs w:val="24"/>
        </w:rPr>
        <w:t xml:space="preserve"> on average</w:t>
      </w:r>
      <w:r w:rsidR="004F5F74">
        <w:rPr>
          <w:rFonts w:asciiTheme="majorHAnsi" w:hAnsiTheme="majorHAnsi"/>
          <w:bCs/>
          <w:sz w:val="24"/>
          <w:szCs w:val="24"/>
        </w:rPr>
        <w:t>.</w:t>
      </w:r>
      <w:r w:rsidR="002330D9">
        <w:rPr>
          <w:rFonts w:asciiTheme="majorHAnsi" w:hAnsiTheme="majorHAnsi"/>
          <w:bCs/>
          <w:sz w:val="24"/>
          <w:szCs w:val="24"/>
        </w:rPr>
        <w:t xml:space="preserve"> This reduction var</w:t>
      </w:r>
      <w:r w:rsidR="00743DBA">
        <w:rPr>
          <w:rFonts w:asciiTheme="majorHAnsi" w:hAnsiTheme="majorHAnsi"/>
          <w:bCs/>
          <w:sz w:val="24"/>
          <w:szCs w:val="24"/>
        </w:rPr>
        <w:t>ied</w:t>
      </w:r>
      <w:r w:rsidR="002330D9">
        <w:rPr>
          <w:rFonts w:asciiTheme="majorHAnsi" w:hAnsiTheme="majorHAnsi"/>
          <w:bCs/>
          <w:sz w:val="24"/>
          <w:szCs w:val="24"/>
        </w:rPr>
        <w:t xml:space="preserve"> </w:t>
      </w:r>
      <w:r w:rsidR="00743DBA">
        <w:rPr>
          <w:rFonts w:asciiTheme="majorHAnsi" w:hAnsiTheme="majorHAnsi"/>
          <w:bCs/>
          <w:sz w:val="24"/>
          <w:szCs w:val="24"/>
        </w:rPr>
        <w:t>from 0.09 percentage point</w:t>
      </w:r>
      <w:r w:rsidR="00C14A91">
        <w:rPr>
          <w:rFonts w:asciiTheme="majorHAnsi" w:hAnsiTheme="majorHAnsi"/>
          <w:bCs/>
          <w:sz w:val="24"/>
          <w:szCs w:val="24"/>
        </w:rPr>
        <w:t>s</w:t>
      </w:r>
      <w:r w:rsidR="002330D9">
        <w:rPr>
          <w:rFonts w:asciiTheme="majorHAnsi" w:hAnsiTheme="majorHAnsi"/>
          <w:bCs/>
          <w:sz w:val="24"/>
          <w:szCs w:val="24"/>
        </w:rPr>
        <w:t xml:space="preserve"> for the</w:t>
      </w:r>
      <w:r w:rsidR="00AF2C3E">
        <w:rPr>
          <w:rFonts w:asciiTheme="majorHAnsi" w:hAnsiTheme="majorHAnsi"/>
          <w:bCs/>
          <w:sz w:val="24"/>
          <w:szCs w:val="24"/>
        </w:rPr>
        <w:t xml:space="preserve"> households with annual income </w:t>
      </w:r>
      <w:r w:rsidR="002330D9">
        <w:rPr>
          <w:rFonts w:asciiTheme="majorHAnsi" w:hAnsiTheme="majorHAnsi"/>
          <w:bCs/>
          <w:sz w:val="24"/>
          <w:szCs w:val="24"/>
        </w:rPr>
        <w:t xml:space="preserve">of </w:t>
      </w:r>
      <w:r w:rsidR="008B2273">
        <w:rPr>
          <w:rFonts w:asciiTheme="majorHAnsi" w:hAnsiTheme="majorHAnsi"/>
          <w:bCs/>
          <w:sz w:val="24"/>
          <w:szCs w:val="24"/>
        </w:rPr>
        <w:t>at least</w:t>
      </w:r>
      <w:r w:rsidR="00743DBA">
        <w:rPr>
          <w:rFonts w:asciiTheme="majorHAnsi" w:hAnsiTheme="majorHAnsi"/>
          <w:bCs/>
          <w:sz w:val="24"/>
          <w:szCs w:val="24"/>
        </w:rPr>
        <w:t xml:space="preserve"> </w:t>
      </w:r>
      <w:r w:rsidR="002330D9">
        <w:rPr>
          <w:rFonts w:asciiTheme="majorHAnsi" w:hAnsiTheme="majorHAnsi"/>
          <w:bCs/>
          <w:sz w:val="24"/>
          <w:szCs w:val="24"/>
        </w:rPr>
        <w:t>$</w:t>
      </w:r>
      <w:r w:rsidR="00743DBA">
        <w:rPr>
          <w:rFonts w:asciiTheme="majorHAnsi" w:hAnsiTheme="majorHAnsi"/>
          <w:bCs/>
          <w:sz w:val="24"/>
          <w:szCs w:val="24"/>
        </w:rPr>
        <w:t>200</w:t>
      </w:r>
      <w:r w:rsidR="002330D9">
        <w:rPr>
          <w:rFonts w:asciiTheme="majorHAnsi" w:hAnsiTheme="majorHAnsi"/>
          <w:bCs/>
          <w:sz w:val="24"/>
          <w:szCs w:val="24"/>
        </w:rPr>
        <w:t>,000</w:t>
      </w:r>
      <w:r w:rsidR="00AF2C3E">
        <w:rPr>
          <w:rFonts w:asciiTheme="majorHAnsi" w:hAnsiTheme="majorHAnsi"/>
          <w:bCs/>
          <w:sz w:val="24"/>
          <w:szCs w:val="24"/>
        </w:rPr>
        <w:t xml:space="preserve"> </w:t>
      </w:r>
      <w:r w:rsidR="00743DBA">
        <w:rPr>
          <w:rFonts w:asciiTheme="majorHAnsi" w:hAnsiTheme="majorHAnsi"/>
          <w:bCs/>
          <w:sz w:val="24"/>
          <w:szCs w:val="24"/>
        </w:rPr>
        <w:t>to 1.1 percentage point</w:t>
      </w:r>
      <w:r w:rsidR="00C14A91">
        <w:rPr>
          <w:rFonts w:asciiTheme="majorHAnsi" w:hAnsiTheme="majorHAnsi"/>
          <w:bCs/>
          <w:sz w:val="24"/>
          <w:szCs w:val="24"/>
        </w:rPr>
        <w:t>s</w:t>
      </w:r>
      <w:r w:rsidR="00743DBA">
        <w:rPr>
          <w:rFonts w:asciiTheme="majorHAnsi" w:hAnsiTheme="majorHAnsi"/>
          <w:bCs/>
          <w:sz w:val="24"/>
          <w:szCs w:val="24"/>
        </w:rPr>
        <w:t xml:space="preserve"> </w:t>
      </w:r>
      <w:r w:rsidR="00AF2C3E">
        <w:rPr>
          <w:rFonts w:asciiTheme="majorHAnsi" w:hAnsiTheme="majorHAnsi"/>
          <w:bCs/>
          <w:sz w:val="24"/>
          <w:szCs w:val="24"/>
        </w:rPr>
        <w:t xml:space="preserve">for households with annual income of less than $15,000. </w:t>
      </w:r>
      <w:r w:rsidR="00743DBA">
        <w:rPr>
          <w:rFonts w:asciiTheme="majorHAnsi" w:hAnsiTheme="majorHAnsi"/>
          <w:bCs/>
          <w:sz w:val="24"/>
          <w:szCs w:val="24"/>
        </w:rPr>
        <w:t xml:space="preserve">On average, </w:t>
      </w:r>
      <w:r w:rsidR="00AF2C3E">
        <w:rPr>
          <w:rFonts w:asciiTheme="majorHAnsi" w:hAnsiTheme="majorHAnsi"/>
          <w:bCs/>
          <w:sz w:val="24"/>
          <w:szCs w:val="24"/>
        </w:rPr>
        <w:t xml:space="preserve">households </w:t>
      </w:r>
      <w:r w:rsidR="00743DBA">
        <w:rPr>
          <w:rFonts w:asciiTheme="majorHAnsi" w:hAnsiTheme="majorHAnsi"/>
          <w:bCs/>
          <w:sz w:val="24"/>
          <w:szCs w:val="24"/>
        </w:rPr>
        <w:t xml:space="preserve">with annual income of less than $15,000 </w:t>
      </w:r>
      <w:r w:rsidR="00AF2C3E">
        <w:rPr>
          <w:rFonts w:asciiTheme="majorHAnsi" w:hAnsiTheme="majorHAnsi"/>
          <w:bCs/>
          <w:sz w:val="24"/>
          <w:szCs w:val="24"/>
        </w:rPr>
        <w:t xml:space="preserve">spent a much higher percentage of their income on </w:t>
      </w:r>
      <w:r w:rsidR="00743DBA">
        <w:rPr>
          <w:rFonts w:asciiTheme="majorHAnsi" w:hAnsiTheme="majorHAnsi"/>
          <w:bCs/>
          <w:sz w:val="24"/>
          <w:szCs w:val="24"/>
        </w:rPr>
        <w:t>motor fuels than other income groups</w:t>
      </w:r>
      <w:r w:rsidR="00AF2C3E">
        <w:rPr>
          <w:rFonts w:asciiTheme="majorHAnsi" w:hAnsiTheme="majorHAnsi"/>
          <w:bCs/>
          <w:sz w:val="24"/>
          <w:szCs w:val="24"/>
        </w:rPr>
        <w:t>.</w:t>
      </w:r>
    </w:p>
    <w:p w14:paraId="702BA5DB" w14:textId="77777777" w:rsidR="00564CAA" w:rsidRDefault="00564CAA" w:rsidP="00564CAA">
      <w:pPr>
        <w:tabs>
          <w:tab w:val="left" w:pos="7050"/>
        </w:tabs>
        <w:spacing w:after="0"/>
        <w:rPr>
          <w:rFonts w:asciiTheme="majorHAnsi" w:hAnsiTheme="majorHAnsi"/>
          <w:bCs/>
          <w:sz w:val="24"/>
          <w:szCs w:val="24"/>
        </w:rPr>
      </w:pPr>
    </w:p>
    <w:p w14:paraId="5586C382" w14:textId="77777777" w:rsidR="008D758E" w:rsidRDefault="008D758E" w:rsidP="00564CAA">
      <w:pPr>
        <w:tabs>
          <w:tab w:val="left" w:pos="7050"/>
        </w:tabs>
        <w:spacing w:after="0"/>
        <w:rPr>
          <w:rFonts w:asciiTheme="majorHAnsi" w:hAnsiTheme="majorHAnsi"/>
          <w:bCs/>
          <w:sz w:val="24"/>
          <w:szCs w:val="24"/>
        </w:rPr>
      </w:pPr>
    </w:p>
    <w:p w14:paraId="2E07434B" w14:textId="77777777" w:rsidR="008D758E" w:rsidRDefault="008D758E" w:rsidP="00564CAA">
      <w:pPr>
        <w:tabs>
          <w:tab w:val="left" w:pos="7050"/>
        </w:tabs>
        <w:spacing w:after="0"/>
        <w:rPr>
          <w:rFonts w:asciiTheme="majorHAnsi" w:hAnsiTheme="majorHAnsi"/>
          <w:bCs/>
          <w:sz w:val="24"/>
          <w:szCs w:val="24"/>
        </w:rPr>
      </w:pPr>
    </w:p>
    <w:p w14:paraId="67AD71C1" w14:textId="77777777" w:rsidR="008D758E" w:rsidRDefault="008D758E" w:rsidP="00564CAA">
      <w:pPr>
        <w:tabs>
          <w:tab w:val="left" w:pos="7050"/>
        </w:tabs>
        <w:spacing w:after="0"/>
        <w:rPr>
          <w:rFonts w:asciiTheme="majorHAnsi" w:hAnsiTheme="majorHAnsi"/>
          <w:bCs/>
          <w:sz w:val="24"/>
          <w:szCs w:val="24"/>
        </w:rPr>
      </w:pPr>
    </w:p>
    <w:p w14:paraId="03F1ED55" w14:textId="77777777" w:rsidR="0088354E" w:rsidRDefault="00564CAA" w:rsidP="00136531">
      <w:pPr>
        <w:tabs>
          <w:tab w:val="left" w:pos="7050"/>
        </w:tabs>
        <w:spacing w:after="0"/>
        <w:jc w:val="center"/>
        <w:rPr>
          <w:rFonts w:asciiTheme="majorHAnsi" w:hAnsiTheme="majorHAnsi"/>
          <w:b/>
          <w:sz w:val="24"/>
          <w:szCs w:val="24"/>
        </w:rPr>
      </w:pPr>
      <w:bookmarkStart w:id="1" w:name="_Hlk51929338"/>
      <w:bookmarkEnd w:id="0"/>
      <w:r w:rsidRPr="0088354E">
        <w:rPr>
          <w:rFonts w:asciiTheme="majorHAnsi" w:hAnsiTheme="majorHAnsi"/>
          <w:b/>
          <w:sz w:val="24"/>
          <w:szCs w:val="24"/>
        </w:rPr>
        <w:t xml:space="preserve">Table </w:t>
      </w:r>
      <w:r w:rsidR="00A3769A">
        <w:rPr>
          <w:rFonts w:asciiTheme="majorHAnsi" w:hAnsiTheme="majorHAnsi"/>
          <w:b/>
          <w:sz w:val="24"/>
          <w:szCs w:val="24"/>
        </w:rPr>
        <w:t>2</w:t>
      </w:r>
      <w:r w:rsidRPr="0088354E">
        <w:rPr>
          <w:rFonts w:asciiTheme="majorHAnsi" w:hAnsiTheme="majorHAnsi"/>
          <w:b/>
          <w:sz w:val="24"/>
          <w:szCs w:val="24"/>
        </w:rPr>
        <w:t xml:space="preserve">. </w:t>
      </w:r>
      <w:r w:rsidR="00136531" w:rsidRPr="0088354E">
        <w:rPr>
          <w:rFonts w:asciiTheme="majorHAnsi" w:hAnsiTheme="majorHAnsi"/>
          <w:b/>
          <w:sz w:val="24"/>
          <w:szCs w:val="24"/>
        </w:rPr>
        <w:t xml:space="preserve">Estimated Distribution of </w:t>
      </w:r>
      <w:r w:rsidRPr="0088354E">
        <w:rPr>
          <w:rFonts w:asciiTheme="majorHAnsi" w:hAnsiTheme="majorHAnsi"/>
          <w:b/>
          <w:sz w:val="24"/>
          <w:szCs w:val="24"/>
        </w:rPr>
        <w:t xml:space="preserve">Tax Savings </w:t>
      </w:r>
      <w:r w:rsidR="00136531" w:rsidRPr="0088354E">
        <w:rPr>
          <w:rFonts w:asciiTheme="majorHAnsi" w:hAnsiTheme="majorHAnsi"/>
          <w:b/>
          <w:sz w:val="24"/>
          <w:szCs w:val="24"/>
        </w:rPr>
        <w:t>to</w:t>
      </w:r>
      <w:r w:rsidRPr="0088354E">
        <w:rPr>
          <w:rFonts w:asciiTheme="majorHAnsi" w:hAnsiTheme="majorHAnsi"/>
          <w:b/>
          <w:sz w:val="24"/>
          <w:szCs w:val="24"/>
        </w:rPr>
        <w:t xml:space="preserve"> MA Households </w:t>
      </w:r>
    </w:p>
    <w:p w14:paraId="732A7EC9" w14:textId="77777777" w:rsidR="00564CAA" w:rsidRPr="0088354E" w:rsidRDefault="00564CAA" w:rsidP="00136531">
      <w:pPr>
        <w:tabs>
          <w:tab w:val="left" w:pos="7050"/>
        </w:tabs>
        <w:spacing w:after="0"/>
        <w:jc w:val="center"/>
        <w:rPr>
          <w:rFonts w:asciiTheme="majorHAnsi" w:hAnsiTheme="majorHAnsi"/>
          <w:b/>
          <w:sz w:val="24"/>
          <w:szCs w:val="24"/>
        </w:rPr>
      </w:pPr>
      <w:r w:rsidRPr="0088354E">
        <w:rPr>
          <w:rFonts w:asciiTheme="majorHAnsi" w:hAnsiTheme="majorHAnsi"/>
          <w:b/>
          <w:sz w:val="24"/>
          <w:szCs w:val="24"/>
        </w:rPr>
        <w:t xml:space="preserve">by Income </w:t>
      </w:r>
      <w:r w:rsidR="00136531" w:rsidRPr="0088354E">
        <w:rPr>
          <w:rFonts w:asciiTheme="majorHAnsi" w:hAnsiTheme="majorHAnsi"/>
          <w:b/>
          <w:sz w:val="24"/>
          <w:szCs w:val="24"/>
        </w:rPr>
        <w:t>Level</w:t>
      </w:r>
      <w:r w:rsidR="004F5F74" w:rsidRPr="0088354E">
        <w:rPr>
          <w:rFonts w:asciiTheme="majorHAnsi" w:hAnsiTheme="majorHAnsi"/>
          <w:b/>
          <w:sz w:val="24"/>
          <w:szCs w:val="24"/>
        </w:rPr>
        <w:t xml:space="preserve"> in FY18</w:t>
      </w:r>
    </w:p>
    <w:tbl>
      <w:tblPr>
        <w:tblStyle w:val="TableGrid"/>
        <w:tblW w:w="9355" w:type="dxa"/>
        <w:tblLook w:val="04A0" w:firstRow="1" w:lastRow="0" w:firstColumn="1" w:lastColumn="0" w:noHBand="0" w:noVBand="1"/>
      </w:tblPr>
      <w:tblGrid>
        <w:gridCol w:w="2245"/>
        <w:gridCol w:w="1530"/>
        <w:gridCol w:w="1260"/>
        <w:gridCol w:w="1440"/>
        <w:gridCol w:w="1350"/>
        <w:gridCol w:w="1530"/>
      </w:tblGrid>
      <w:tr w:rsidR="002330D9" w:rsidRPr="00AF2C3E" w14:paraId="6E87A392" w14:textId="77777777" w:rsidTr="0088354E">
        <w:trPr>
          <w:trHeight w:val="989"/>
        </w:trPr>
        <w:tc>
          <w:tcPr>
            <w:tcW w:w="2245" w:type="dxa"/>
            <w:shd w:val="clear" w:color="auto" w:fill="B6DDE8" w:themeFill="accent5" w:themeFillTint="66"/>
          </w:tcPr>
          <w:bookmarkEnd w:id="1"/>
          <w:p w14:paraId="404EEBF7" w14:textId="77777777" w:rsidR="00564CAA" w:rsidRPr="00AF2C3E" w:rsidRDefault="00AF2C3E" w:rsidP="0088354E">
            <w:pPr>
              <w:tabs>
                <w:tab w:val="left" w:pos="7050"/>
              </w:tabs>
              <w:rPr>
                <w:rFonts w:asciiTheme="majorHAnsi" w:hAnsiTheme="majorHAnsi"/>
                <w:bCs/>
                <w:sz w:val="20"/>
                <w:szCs w:val="20"/>
              </w:rPr>
            </w:pPr>
            <w:r w:rsidRPr="00AF2C3E">
              <w:rPr>
                <w:rFonts w:asciiTheme="majorHAnsi" w:hAnsiTheme="majorHAnsi"/>
                <w:bCs/>
                <w:sz w:val="20"/>
                <w:szCs w:val="20"/>
              </w:rPr>
              <w:t xml:space="preserve">Annual </w:t>
            </w:r>
            <w:r w:rsidR="00564CAA" w:rsidRPr="00AF2C3E">
              <w:rPr>
                <w:rFonts w:asciiTheme="majorHAnsi" w:hAnsiTheme="majorHAnsi"/>
                <w:bCs/>
                <w:sz w:val="20"/>
                <w:szCs w:val="20"/>
              </w:rPr>
              <w:t xml:space="preserve">Income </w:t>
            </w:r>
            <w:r w:rsidR="00136531" w:rsidRPr="00AF2C3E">
              <w:rPr>
                <w:rFonts w:asciiTheme="majorHAnsi" w:hAnsiTheme="majorHAnsi"/>
                <w:bCs/>
                <w:sz w:val="20"/>
                <w:szCs w:val="20"/>
              </w:rPr>
              <w:t>Range</w:t>
            </w:r>
          </w:p>
        </w:tc>
        <w:tc>
          <w:tcPr>
            <w:tcW w:w="1530" w:type="dxa"/>
            <w:shd w:val="clear" w:color="auto" w:fill="B6DDE8" w:themeFill="accent5" w:themeFillTint="66"/>
          </w:tcPr>
          <w:p w14:paraId="2EBF41D1" w14:textId="77777777" w:rsidR="00564CAA" w:rsidRPr="00AF2C3E" w:rsidRDefault="00564CAA" w:rsidP="0088354E">
            <w:pPr>
              <w:tabs>
                <w:tab w:val="left" w:pos="7050"/>
              </w:tabs>
              <w:jc w:val="center"/>
              <w:rPr>
                <w:rFonts w:asciiTheme="majorHAnsi" w:hAnsiTheme="majorHAnsi"/>
                <w:bCs/>
                <w:sz w:val="20"/>
                <w:szCs w:val="20"/>
              </w:rPr>
            </w:pPr>
            <w:r w:rsidRPr="00AF2C3E">
              <w:rPr>
                <w:rFonts w:asciiTheme="majorHAnsi" w:hAnsiTheme="majorHAnsi"/>
                <w:bCs/>
                <w:sz w:val="20"/>
                <w:szCs w:val="20"/>
              </w:rPr>
              <w:t>Number</w:t>
            </w:r>
            <w:r w:rsidR="0088354E" w:rsidRPr="00AF2C3E">
              <w:rPr>
                <w:rFonts w:asciiTheme="majorHAnsi" w:hAnsiTheme="majorHAnsi"/>
                <w:bCs/>
                <w:sz w:val="20"/>
                <w:szCs w:val="20"/>
              </w:rPr>
              <w:t xml:space="preserve"> </w:t>
            </w:r>
            <w:r w:rsidRPr="00AF2C3E">
              <w:rPr>
                <w:rFonts w:asciiTheme="majorHAnsi" w:hAnsiTheme="majorHAnsi"/>
                <w:bCs/>
                <w:sz w:val="20"/>
                <w:szCs w:val="20"/>
              </w:rPr>
              <w:t>of MA Households (Millions)</w:t>
            </w:r>
          </w:p>
        </w:tc>
        <w:tc>
          <w:tcPr>
            <w:tcW w:w="1260" w:type="dxa"/>
            <w:shd w:val="clear" w:color="auto" w:fill="B6DDE8" w:themeFill="accent5" w:themeFillTint="66"/>
          </w:tcPr>
          <w:p w14:paraId="7A4CB5A8" w14:textId="77777777" w:rsidR="00564CAA" w:rsidRPr="00AF2C3E" w:rsidRDefault="00564CAA" w:rsidP="0088354E">
            <w:pPr>
              <w:tabs>
                <w:tab w:val="left" w:pos="7050"/>
              </w:tabs>
              <w:jc w:val="center"/>
              <w:rPr>
                <w:rFonts w:asciiTheme="majorHAnsi" w:hAnsiTheme="majorHAnsi"/>
                <w:bCs/>
                <w:sz w:val="20"/>
                <w:szCs w:val="20"/>
              </w:rPr>
            </w:pPr>
            <w:r w:rsidRPr="00AF2C3E">
              <w:rPr>
                <w:rFonts w:asciiTheme="majorHAnsi" w:hAnsiTheme="majorHAnsi"/>
                <w:bCs/>
                <w:sz w:val="20"/>
                <w:szCs w:val="20"/>
              </w:rPr>
              <w:t>Tax Savings</w:t>
            </w:r>
          </w:p>
          <w:p w14:paraId="6BE1D9DA" w14:textId="77777777" w:rsidR="00564CAA" w:rsidRPr="00AF2C3E" w:rsidRDefault="00564CAA" w:rsidP="0088354E">
            <w:pPr>
              <w:tabs>
                <w:tab w:val="left" w:pos="7050"/>
              </w:tabs>
              <w:jc w:val="center"/>
              <w:rPr>
                <w:rFonts w:asciiTheme="majorHAnsi" w:hAnsiTheme="majorHAnsi"/>
                <w:bCs/>
                <w:sz w:val="20"/>
                <w:szCs w:val="20"/>
              </w:rPr>
            </w:pPr>
            <w:r w:rsidRPr="00AF2C3E">
              <w:rPr>
                <w:rFonts w:asciiTheme="majorHAnsi" w:hAnsiTheme="majorHAnsi"/>
                <w:bCs/>
                <w:sz w:val="20"/>
                <w:szCs w:val="20"/>
              </w:rPr>
              <w:t>(Millions)</w:t>
            </w:r>
          </w:p>
        </w:tc>
        <w:tc>
          <w:tcPr>
            <w:tcW w:w="1440" w:type="dxa"/>
            <w:shd w:val="clear" w:color="auto" w:fill="B6DDE8" w:themeFill="accent5" w:themeFillTint="66"/>
          </w:tcPr>
          <w:p w14:paraId="526F68B8" w14:textId="77777777" w:rsidR="00564CAA" w:rsidRPr="00AF2C3E" w:rsidRDefault="00564CAA" w:rsidP="0088354E">
            <w:pPr>
              <w:tabs>
                <w:tab w:val="left" w:pos="7050"/>
              </w:tabs>
              <w:jc w:val="center"/>
              <w:rPr>
                <w:rFonts w:asciiTheme="majorHAnsi" w:hAnsiTheme="majorHAnsi"/>
                <w:bCs/>
                <w:sz w:val="20"/>
                <w:szCs w:val="20"/>
              </w:rPr>
            </w:pPr>
            <w:r w:rsidRPr="00AF2C3E">
              <w:rPr>
                <w:rFonts w:asciiTheme="majorHAnsi" w:hAnsiTheme="majorHAnsi"/>
                <w:bCs/>
                <w:sz w:val="20"/>
                <w:szCs w:val="20"/>
              </w:rPr>
              <w:t xml:space="preserve">Average Tax Savings </w:t>
            </w:r>
          </w:p>
          <w:p w14:paraId="171143AC" w14:textId="77777777" w:rsidR="00564CAA" w:rsidRPr="00AF2C3E" w:rsidRDefault="00564CAA" w:rsidP="0088354E">
            <w:pPr>
              <w:tabs>
                <w:tab w:val="left" w:pos="7050"/>
              </w:tabs>
              <w:jc w:val="center"/>
              <w:rPr>
                <w:rFonts w:asciiTheme="majorHAnsi" w:hAnsiTheme="majorHAnsi"/>
                <w:bCs/>
                <w:sz w:val="20"/>
                <w:szCs w:val="20"/>
              </w:rPr>
            </w:pPr>
            <w:r w:rsidRPr="00AF2C3E">
              <w:rPr>
                <w:rFonts w:asciiTheme="majorHAnsi" w:hAnsiTheme="majorHAnsi"/>
                <w:bCs/>
                <w:sz w:val="20"/>
                <w:szCs w:val="20"/>
              </w:rPr>
              <w:t>($)</w:t>
            </w:r>
          </w:p>
        </w:tc>
        <w:tc>
          <w:tcPr>
            <w:tcW w:w="1350" w:type="dxa"/>
            <w:shd w:val="clear" w:color="auto" w:fill="B6DDE8" w:themeFill="accent5" w:themeFillTint="66"/>
          </w:tcPr>
          <w:p w14:paraId="0C5DD562" w14:textId="77777777" w:rsidR="00564CAA" w:rsidRPr="00AF2C3E" w:rsidRDefault="00564CAA" w:rsidP="0088354E">
            <w:pPr>
              <w:tabs>
                <w:tab w:val="left" w:pos="7050"/>
              </w:tabs>
              <w:jc w:val="center"/>
              <w:rPr>
                <w:rFonts w:asciiTheme="majorHAnsi" w:hAnsiTheme="majorHAnsi"/>
                <w:bCs/>
                <w:sz w:val="20"/>
                <w:szCs w:val="20"/>
              </w:rPr>
            </w:pPr>
            <w:r w:rsidRPr="00AF2C3E">
              <w:rPr>
                <w:rFonts w:asciiTheme="majorHAnsi" w:hAnsiTheme="majorHAnsi"/>
                <w:bCs/>
                <w:sz w:val="20"/>
                <w:szCs w:val="20"/>
              </w:rPr>
              <w:t>Tax Savings Distribution</w:t>
            </w:r>
          </w:p>
        </w:tc>
        <w:tc>
          <w:tcPr>
            <w:tcW w:w="1530" w:type="dxa"/>
            <w:shd w:val="clear" w:color="auto" w:fill="B6DDE8" w:themeFill="accent5" w:themeFillTint="66"/>
          </w:tcPr>
          <w:p w14:paraId="06CFD76A" w14:textId="77777777" w:rsidR="00564CAA" w:rsidRPr="00AF2C3E" w:rsidRDefault="0088354E" w:rsidP="0088354E">
            <w:pPr>
              <w:tabs>
                <w:tab w:val="left" w:pos="7050"/>
              </w:tabs>
              <w:jc w:val="center"/>
              <w:rPr>
                <w:rFonts w:asciiTheme="majorHAnsi" w:hAnsiTheme="majorHAnsi"/>
                <w:bCs/>
                <w:sz w:val="20"/>
                <w:szCs w:val="20"/>
              </w:rPr>
            </w:pPr>
            <w:r w:rsidRPr="00AF2C3E">
              <w:rPr>
                <w:rFonts w:asciiTheme="majorHAnsi" w:hAnsiTheme="majorHAnsi"/>
                <w:bCs/>
                <w:sz w:val="20"/>
                <w:szCs w:val="20"/>
              </w:rPr>
              <w:t>Change in Households’ Effective Tax Rate</w:t>
            </w:r>
          </w:p>
        </w:tc>
      </w:tr>
      <w:tr w:rsidR="00144788" w:rsidRPr="00AF2C3E" w14:paraId="711FCFC0" w14:textId="77777777" w:rsidTr="00C94BB5">
        <w:trPr>
          <w:trHeight w:val="288"/>
        </w:trPr>
        <w:tc>
          <w:tcPr>
            <w:tcW w:w="2245" w:type="dxa"/>
            <w:vAlign w:val="center"/>
          </w:tcPr>
          <w:p w14:paraId="649AFC5E" w14:textId="77777777" w:rsidR="00144788" w:rsidRPr="00AF2C3E" w:rsidRDefault="00144788" w:rsidP="00144788">
            <w:pPr>
              <w:rPr>
                <w:rFonts w:asciiTheme="majorHAnsi" w:hAnsiTheme="majorHAnsi"/>
                <w:bCs/>
                <w:sz w:val="20"/>
                <w:szCs w:val="20"/>
              </w:rPr>
            </w:pPr>
            <w:r w:rsidRPr="00AF2C3E">
              <w:rPr>
                <w:rFonts w:asciiTheme="majorHAnsi" w:hAnsiTheme="majorHAnsi"/>
                <w:bCs/>
                <w:sz w:val="20"/>
                <w:szCs w:val="20"/>
              </w:rPr>
              <w:t>Less than $15,000</w:t>
            </w:r>
          </w:p>
        </w:tc>
        <w:tc>
          <w:tcPr>
            <w:tcW w:w="1530" w:type="dxa"/>
            <w:vAlign w:val="bottom"/>
          </w:tcPr>
          <w:p w14:paraId="28D08462" w14:textId="77777777" w:rsidR="00144788" w:rsidRPr="007167C6" w:rsidRDefault="00144788" w:rsidP="00144788">
            <w:pPr>
              <w:tabs>
                <w:tab w:val="left" w:pos="7050"/>
              </w:tabs>
              <w:jc w:val="center"/>
              <w:rPr>
                <w:rFonts w:asciiTheme="majorHAnsi" w:hAnsiTheme="majorHAnsi" w:cs="Arial"/>
                <w:sz w:val="20"/>
                <w:szCs w:val="20"/>
              </w:rPr>
            </w:pPr>
            <w:r w:rsidRPr="00144788">
              <w:rPr>
                <w:rFonts w:asciiTheme="majorHAnsi" w:hAnsiTheme="majorHAnsi" w:cs="Arial"/>
                <w:sz w:val="20"/>
                <w:szCs w:val="20"/>
              </w:rPr>
              <w:t xml:space="preserve">         0.349 </w:t>
            </w:r>
          </w:p>
        </w:tc>
        <w:tc>
          <w:tcPr>
            <w:tcW w:w="1260" w:type="dxa"/>
            <w:vAlign w:val="bottom"/>
          </w:tcPr>
          <w:p w14:paraId="62735C19" w14:textId="77777777" w:rsidR="00144788" w:rsidRPr="007167C6" w:rsidRDefault="00144788" w:rsidP="00144788">
            <w:pPr>
              <w:tabs>
                <w:tab w:val="left" w:pos="7050"/>
              </w:tabs>
              <w:jc w:val="center"/>
              <w:rPr>
                <w:rFonts w:asciiTheme="majorHAnsi" w:hAnsiTheme="majorHAnsi" w:cs="Arial"/>
                <w:sz w:val="20"/>
                <w:szCs w:val="20"/>
              </w:rPr>
            </w:pPr>
            <w:r w:rsidRPr="00144788">
              <w:rPr>
                <w:rFonts w:asciiTheme="majorHAnsi" w:hAnsiTheme="majorHAnsi" w:cs="Arial"/>
                <w:sz w:val="20"/>
                <w:szCs w:val="20"/>
              </w:rPr>
              <w:t>$29.21</w:t>
            </w:r>
          </w:p>
        </w:tc>
        <w:tc>
          <w:tcPr>
            <w:tcW w:w="1440" w:type="dxa"/>
            <w:vAlign w:val="bottom"/>
          </w:tcPr>
          <w:p w14:paraId="7EA10345" w14:textId="77777777" w:rsidR="00144788" w:rsidRPr="007167C6" w:rsidRDefault="00144788" w:rsidP="00144788">
            <w:pPr>
              <w:tabs>
                <w:tab w:val="left" w:pos="7050"/>
              </w:tabs>
              <w:jc w:val="center"/>
              <w:rPr>
                <w:rFonts w:asciiTheme="majorHAnsi" w:hAnsiTheme="majorHAnsi" w:cs="Arial"/>
                <w:sz w:val="20"/>
                <w:szCs w:val="20"/>
              </w:rPr>
            </w:pPr>
            <w:r w:rsidRPr="00144788">
              <w:rPr>
                <w:rFonts w:asciiTheme="majorHAnsi" w:hAnsiTheme="majorHAnsi" w:cs="Arial"/>
                <w:sz w:val="20"/>
                <w:szCs w:val="20"/>
              </w:rPr>
              <w:t>$83.64</w:t>
            </w:r>
          </w:p>
        </w:tc>
        <w:tc>
          <w:tcPr>
            <w:tcW w:w="1350" w:type="dxa"/>
            <w:vAlign w:val="bottom"/>
          </w:tcPr>
          <w:p w14:paraId="02076641" w14:textId="77777777" w:rsidR="00144788" w:rsidRPr="007167C6" w:rsidRDefault="00144788" w:rsidP="00144788">
            <w:pPr>
              <w:tabs>
                <w:tab w:val="left" w:pos="7050"/>
              </w:tabs>
              <w:jc w:val="center"/>
              <w:rPr>
                <w:rFonts w:asciiTheme="majorHAnsi" w:hAnsiTheme="majorHAnsi" w:cs="Arial"/>
                <w:sz w:val="20"/>
                <w:szCs w:val="20"/>
              </w:rPr>
            </w:pPr>
            <w:r w:rsidRPr="00144788">
              <w:rPr>
                <w:rFonts w:asciiTheme="majorHAnsi" w:hAnsiTheme="majorHAnsi" w:cs="Arial"/>
                <w:sz w:val="20"/>
                <w:szCs w:val="20"/>
              </w:rPr>
              <w:t>5.89%</w:t>
            </w:r>
          </w:p>
        </w:tc>
        <w:tc>
          <w:tcPr>
            <w:tcW w:w="1530" w:type="dxa"/>
            <w:vAlign w:val="bottom"/>
          </w:tcPr>
          <w:p w14:paraId="70EA8C93" w14:textId="77777777" w:rsidR="00144788" w:rsidRPr="00AF2C3E" w:rsidRDefault="00144788" w:rsidP="00144788">
            <w:pPr>
              <w:tabs>
                <w:tab w:val="left" w:pos="7050"/>
              </w:tabs>
              <w:jc w:val="center"/>
              <w:rPr>
                <w:rFonts w:asciiTheme="majorHAnsi" w:hAnsiTheme="majorHAnsi" w:cs="Arial"/>
                <w:sz w:val="20"/>
                <w:szCs w:val="20"/>
              </w:rPr>
            </w:pPr>
            <w:r w:rsidRPr="00144788">
              <w:rPr>
                <w:rFonts w:asciiTheme="majorHAnsi" w:hAnsiTheme="majorHAnsi" w:cs="Arial"/>
                <w:sz w:val="20"/>
                <w:szCs w:val="20"/>
              </w:rPr>
              <w:t>-1.10%</w:t>
            </w:r>
          </w:p>
        </w:tc>
      </w:tr>
      <w:tr w:rsidR="00144788" w:rsidRPr="00AF2C3E" w14:paraId="4A0EF759" w14:textId="77777777" w:rsidTr="00C94BB5">
        <w:trPr>
          <w:trHeight w:val="288"/>
        </w:trPr>
        <w:tc>
          <w:tcPr>
            <w:tcW w:w="2245" w:type="dxa"/>
            <w:vAlign w:val="center"/>
          </w:tcPr>
          <w:p w14:paraId="6C71DC54" w14:textId="77777777" w:rsidR="00144788" w:rsidRPr="00AF2C3E" w:rsidRDefault="00144788" w:rsidP="00144788">
            <w:pPr>
              <w:rPr>
                <w:rFonts w:asciiTheme="majorHAnsi" w:hAnsiTheme="majorHAnsi"/>
                <w:bCs/>
                <w:sz w:val="20"/>
                <w:szCs w:val="20"/>
              </w:rPr>
            </w:pPr>
            <w:r w:rsidRPr="00AF2C3E">
              <w:rPr>
                <w:rFonts w:asciiTheme="majorHAnsi" w:hAnsiTheme="majorHAnsi"/>
                <w:bCs/>
                <w:sz w:val="20"/>
                <w:szCs w:val="20"/>
              </w:rPr>
              <w:t>$15,000 to $29,999</w:t>
            </w:r>
          </w:p>
        </w:tc>
        <w:tc>
          <w:tcPr>
            <w:tcW w:w="1530" w:type="dxa"/>
            <w:vAlign w:val="bottom"/>
          </w:tcPr>
          <w:p w14:paraId="671E6BCA" w14:textId="77777777" w:rsidR="00144788" w:rsidRPr="007167C6" w:rsidRDefault="00144788" w:rsidP="00144788">
            <w:pPr>
              <w:tabs>
                <w:tab w:val="left" w:pos="7050"/>
              </w:tabs>
              <w:jc w:val="center"/>
              <w:rPr>
                <w:rFonts w:asciiTheme="majorHAnsi" w:hAnsiTheme="majorHAnsi" w:cs="Arial"/>
                <w:sz w:val="20"/>
                <w:szCs w:val="20"/>
              </w:rPr>
            </w:pPr>
            <w:r w:rsidRPr="00144788">
              <w:rPr>
                <w:rFonts w:asciiTheme="majorHAnsi" w:hAnsiTheme="majorHAnsi" w:cs="Arial"/>
                <w:sz w:val="20"/>
                <w:szCs w:val="20"/>
              </w:rPr>
              <w:t xml:space="preserve">         0.419 </w:t>
            </w:r>
          </w:p>
        </w:tc>
        <w:tc>
          <w:tcPr>
            <w:tcW w:w="1260" w:type="dxa"/>
            <w:vAlign w:val="bottom"/>
          </w:tcPr>
          <w:p w14:paraId="151A062B" w14:textId="77777777" w:rsidR="00144788" w:rsidRPr="007167C6" w:rsidRDefault="00144788" w:rsidP="00144788">
            <w:pPr>
              <w:tabs>
                <w:tab w:val="left" w:pos="7050"/>
              </w:tabs>
              <w:jc w:val="center"/>
              <w:rPr>
                <w:rFonts w:asciiTheme="majorHAnsi" w:hAnsiTheme="majorHAnsi" w:cs="Arial"/>
                <w:sz w:val="20"/>
                <w:szCs w:val="20"/>
              </w:rPr>
            </w:pPr>
            <w:r w:rsidRPr="00144788">
              <w:rPr>
                <w:rFonts w:asciiTheme="majorHAnsi" w:hAnsiTheme="majorHAnsi" w:cs="Arial"/>
                <w:sz w:val="20"/>
                <w:szCs w:val="20"/>
              </w:rPr>
              <w:t>$44.78</w:t>
            </w:r>
          </w:p>
        </w:tc>
        <w:tc>
          <w:tcPr>
            <w:tcW w:w="1440" w:type="dxa"/>
            <w:vAlign w:val="bottom"/>
          </w:tcPr>
          <w:p w14:paraId="226B54AC" w14:textId="77777777" w:rsidR="00144788" w:rsidRPr="007167C6" w:rsidRDefault="00144788" w:rsidP="00144788">
            <w:pPr>
              <w:tabs>
                <w:tab w:val="left" w:pos="7050"/>
              </w:tabs>
              <w:jc w:val="center"/>
              <w:rPr>
                <w:rFonts w:asciiTheme="majorHAnsi" w:hAnsiTheme="majorHAnsi" w:cs="Arial"/>
                <w:sz w:val="20"/>
                <w:szCs w:val="20"/>
              </w:rPr>
            </w:pPr>
            <w:r w:rsidRPr="00144788">
              <w:rPr>
                <w:rFonts w:asciiTheme="majorHAnsi" w:hAnsiTheme="majorHAnsi" w:cs="Arial"/>
                <w:sz w:val="20"/>
                <w:szCs w:val="20"/>
              </w:rPr>
              <w:t>$106.92</w:t>
            </w:r>
          </w:p>
        </w:tc>
        <w:tc>
          <w:tcPr>
            <w:tcW w:w="1350" w:type="dxa"/>
            <w:vAlign w:val="bottom"/>
          </w:tcPr>
          <w:p w14:paraId="0A9C150B" w14:textId="77777777" w:rsidR="00144788" w:rsidRPr="007167C6" w:rsidRDefault="00144788" w:rsidP="00144788">
            <w:pPr>
              <w:tabs>
                <w:tab w:val="left" w:pos="7050"/>
              </w:tabs>
              <w:jc w:val="center"/>
              <w:rPr>
                <w:rFonts w:asciiTheme="majorHAnsi" w:hAnsiTheme="majorHAnsi" w:cs="Arial"/>
                <w:sz w:val="20"/>
                <w:szCs w:val="20"/>
              </w:rPr>
            </w:pPr>
            <w:r w:rsidRPr="00144788">
              <w:rPr>
                <w:rFonts w:asciiTheme="majorHAnsi" w:hAnsiTheme="majorHAnsi" w:cs="Arial"/>
                <w:sz w:val="20"/>
                <w:szCs w:val="20"/>
              </w:rPr>
              <w:t>9.03%</w:t>
            </w:r>
          </w:p>
        </w:tc>
        <w:tc>
          <w:tcPr>
            <w:tcW w:w="1530" w:type="dxa"/>
            <w:vAlign w:val="bottom"/>
          </w:tcPr>
          <w:p w14:paraId="20DFF035" w14:textId="77777777" w:rsidR="00144788" w:rsidRPr="00AF2C3E" w:rsidRDefault="00144788" w:rsidP="00144788">
            <w:pPr>
              <w:tabs>
                <w:tab w:val="left" w:pos="7050"/>
              </w:tabs>
              <w:jc w:val="center"/>
              <w:rPr>
                <w:rFonts w:asciiTheme="majorHAnsi" w:hAnsiTheme="majorHAnsi" w:cs="Arial"/>
                <w:sz w:val="20"/>
                <w:szCs w:val="20"/>
              </w:rPr>
            </w:pPr>
            <w:r w:rsidRPr="00144788">
              <w:rPr>
                <w:rFonts w:asciiTheme="majorHAnsi" w:hAnsiTheme="majorHAnsi" w:cs="Arial"/>
                <w:sz w:val="20"/>
                <w:szCs w:val="20"/>
              </w:rPr>
              <w:t>-0.48%</w:t>
            </w:r>
          </w:p>
        </w:tc>
      </w:tr>
      <w:tr w:rsidR="00144788" w:rsidRPr="00AF2C3E" w14:paraId="35DDDD9D" w14:textId="77777777" w:rsidTr="00C94BB5">
        <w:trPr>
          <w:trHeight w:val="288"/>
        </w:trPr>
        <w:tc>
          <w:tcPr>
            <w:tcW w:w="2245" w:type="dxa"/>
            <w:vAlign w:val="center"/>
          </w:tcPr>
          <w:p w14:paraId="3B33DFDC" w14:textId="77777777" w:rsidR="00144788" w:rsidRPr="00AF2C3E" w:rsidRDefault="00144788" w:rsidP="00144788">
            <w:pPr>
              <w:rPr>
                <w:rFonts w:asciiTheme="majorHAnsi" w:hAnsiTheme="majorHAnsi"/>
                <w:bCs/>
                <w:sz w:val="20"/>
                <w:szCs w:val="20"/>
              </w:rPr>
            </w:pPr>
            <w:r w:rsidRPr="00AF2C3E">
              <w:rPr>
                <w:rFonts w:asciiTheme="majorHAnsi" w:hAnsiTheme="majorHAnsi"/>
                <w:bCs/>
                <w:sz w:val="20"/>
                <w:szCs w:val="20"/>
              </w:rPr>
              <w:t>$30,000 to $39,999</w:t>
            </w:r>
          </w:p>
        </w:tc>
        <w:tc>
          <w:tcPr>
            <w:tcW w:w="1530" w:type="dxa"/>
            <w:vAlign w:val="bottom"/>
          </w:tcPr>
          <w:p w14:paraId="501FBC2F" w14:textId="77777777" w:rsidR="00144788" w:rsidRPr="007167C6" w:rsidRDefault="00144788" w:rsidP="00144788">
            <w:pPr>
              <w:tabs>
                <w:tab w:val="left" w:pos="7050"/>
              </w:tabs>
              <w:jc w:val="center"/>
              <w:rPr>
                <w:rFonts w:asciiTheme="majorHAnsi" w:hAnsiTheme="majorHAnsi" w:cs="Arial"/>
                <w:sz w:val="20"/>
                <w:szCs w:val="20"/>
              </w:rPr>
            </w:pPr>
            <w:r w:rsidRPr="00144788">
              <w:rPr>
                <w:rFonts w:asciiTheme="majorHAnsi" w:hAnsiTheme="majorHAnsi" w:cs="Arial"/>
                <w:sz w:val="20"/>
                <w:szCs w:val="20"/>
              </w:rPr>
              <w:t xml:space="preserve">         0.265 </w:t>
            </w:r>
          </w:p>
        </w:tc>
        <w:tc>
          <w:tcPr>
            <w:tcW w:w="1260" w:type="dxa"/>
            <w:vAlign w:val="bottom"/>
          </w:tcPr>
          <w:p w14:paraId="6C8338EE" w14:textId="77777777" w:rsidR="00144788" w:rsidRPr="007167C6" w:rsidRDefault="00144788" w:rsidP="00144788">
            <w:pPr>
              <w:tabs>
                <w:tab w:val="left" w:pos="7050"/>
              </w:tabs>
              <w:jc w:val="center"/>
              <w:rPr>
                <w:rFonts w:asciiTheme="majorHAnsi" w:hAnsiTheme="majorHAnsi" w:cs="Arial"/>
                <w:sz w:val="20"/>
                <w:szCs w:val="20"/>
              </w:rPr>
            </w:pPr>
            <w:r w:rsidRPr="00144788">
              <w:rPr>
                <w:rFonts w:asciiTheme="majorHAnsi" w:hAnsiTheme="majorHAnsi" w:cs="Arial"/>
                <w:sz w:val="20"/>
                <w:szCs w:val="20"/>
              </w:rPr>
              <w:t>$40.06</w:t>
            </w:r>
          </w:p>
        </w:tc>
        <w:tc>
          <w:tcPr>
            <w:tcW w:w="1440" w:type="dxa"/>
            <w:vAlign w:val="bottom"/>
          </w:tcPr>
          <w:p w14:paraId="012BE4D9" w14:textId="77777777" w:rsidR="00144788" w:rsidRPr="007167C6" w:rsidRDefault="00144788" w:rsidP="00144788">
            <w:pPr>
              <w:tabs>
                <w:tab w:val="left" w:pos="7050"/>
              </w:tabs>
              <w:jc w:val="center"/>
              <w:rPr>
                <w:rFonts w:asciiTheme="majorHAnsi" w:hAnsiTheme="majorHAnsi" w:cs="Arial"/>
                <w:sz w:val="20"/>
                <w:szCs w:val="20"/>
              </w:rPr>
            </w:pPr>
            <w:r w:rsidRPr="00144788">
              <w:rPr>
                <w:rFonts w:asciiTheme="majorHAnsi" w:hAnsiTheme="majorHAnsi" w:cs="Arial"/>
                <w:sz w:val="20"/>
                <w:szCs w:val="20"/>
              </w:rPr>
              <w:t>$151.12</w:t>
            </w:r>
          </w:p>
        </w:tc>
        <w:tc>
          <w:tcPr>
            <w:tcW w:w="1350" w:type="dxa"/>
            <w:vAlign w:val="bottom"/>
          </w:tcPr>
          <w:p w14:paraId="0BF6F8FB" w14:textId="77777777" w:rsidR="00144788" w:rsidRPr="007167C6" w:rsidRDefault="00144788" w:rsidP="00144788">
            <w:pPr>
              <w:tabs>
                <w:tab w:val="left" w:pos="7050"/>
              </w:tabs>
              <w:jc w:val="center"/>
              <w:rPr>
                <w:rFonts w:asciiTheme="majorHAnsi" w:hAnsiTheme="majorHAnsi" w:cs="Arial"/>
                <w:sz w:val="20"/>
                <w:szCs w:val="20"/>
              </w:rPr>
            </w:pPr>
            <w:r w:rsidRPr="00144788">
              <w:rPr>
                <w:rFonts w:asciiTheme="majorHAnsi" w:hAnsiTheme="majorHAnsi" w:cs="Arial"/>
                <w:sz w:val="20"/>
                <w:szCs w:val="20"/>
              </w:rPr>
              <w:t>8.08%</w:t>
            </w:r>
          </w:p>
        </w:tc>
        <w:tc>
          <w:tcPr>
            <w:tcW w:w="1530" w:type="dxa"/>
            <w:vAlign w:val="bottom"/>
          </w:tcPr>
          <w:p w14:paraId="1CBA65BE" w14:textId="77777777" w:rsidR="00144788" w:rsidRPr="00AF2C3E" w:rsidRDefault="00144788" w:rsidP="00144788">
            <w:pPr>
              <w:tabs>
                <w:tab w:val="left" w:pos="7050"/>
              </w:tabs>
              <w:jc w:val="center"/>
              <w:rPr>
                <w:rFonts w:asciiTheme="majorHAnsi" w:hAnsiTheme="majorHAnsi" w:cs="Arial"/>
                <w:sz w:val="20"/>
                <w:szCs w:val="20"/>
              </w:rPr>
            </w:pPr>
            <w:r w:rsidRPr="00144788">
              <w:rPr>
                <w:rFonts w:asciiTheme="majorHAnsi" w:hAnsiTheme="majorHAnsi" w:cs="Arial"/>
                <w:sz w:val="20"/>
                <w:szCs w:val="20"/>
              </w:rPr>
              <w:t>-0.44%</w:t>
            </w:r>
          </w:p>
        </w:tc>
      </w:tr>
      <w:tr w:rsidR="00144788" w:rsidRPr="00AF2C3E" w14:paraId="08E23AD7" w14:textId="77777777" w:rsidTr="00C94BB5">
        <w:trPr>
          <w:trHeight w:val="288"/>
        </w:trPr>
        <w:tc>
          <w:tcPr>
            <w:tcW w:w="2245" w:type="dxa"/>
            <w:vAlign w:val="center"/>
          </w:tcPr>
          <w:p w14:paraId="1B8B98FB" w14:textId="77777777" w:rsidR="00144788" w:rsidRPr="00AF2C3E" w:rsidRDefault="00144788" w:rsidP="00144788">
            <w:pPr>
              <w:rPr>
                <w:rFonts w:asciiTheme="majorHAnsi" w:hAnsiTheme="majorHAnsi"/>
                <w:bCs/>
                <w:sz w:val="20"/>
                <w:szCs w:val="20"/>
              </w:rPr>
            </w:pPr>
            <w:r w:rsidRPr="00AF2C3E">
              <w:rPr>
                <w:rFonts w:asciiTheme="majorHAnsi" w:hAnsiTheme="majorHAnsi"/>
                <w:bCs/>
                <w:sz w:val="20"/>
                <w:szCs w:val="20"/>
              </w:rPr>
              <w:t>$40,000 to $49,999</w:t>
            </w:r>
          </w:p>
        </w:tc>
        <w:tc>
          <w:tcPr>
            <w:tcW w:w="1530" w:type="dxa"/>
            <w:vAlign w:val="bottom"/>
          </w:tcPr>
          <w:p w14:paraId="5578952C" w14:textId="77777777" w:rsidR="00144788" w:rsidRPr="007167C6" w:rsidRDefault="00144788" w:rsidP="00144788">
            <w:pPr>
              <w:tabs>
                <w:tab w:val="left" w:pos="7050"/>
              </w:tabs>
              <w:jc w:val="center"/>
              <w:rPr>
                <w:rFonts w:asciiTheme="majorHAnsi" w:hAnsiTheme="majorHAnsi" w:cs="Arial"/>
                <w:sz w:val="20"/>
                <w:szCs w:val="20"/>
              </w:rPr>
            </w:pPr>
            <w:r w:rsidRPr="00144788">
              <w:rPr>
                <w:rFonts w:asciiTheme="majorHAnsi" w:hAnsiTheme="majorHAnsi" w:cs="Arial"/>
                <w:sz w:val="20"/>
                <w:szCs w:val="20"/>
              </w:rPr>
              <w:t xml:space="preserve">         0.217 </w:t>
            </w:r>
          </w:p>
        </w:tc>
        <w:tc>
          <w:tcPr>
            <w:tcW w:w="1260" w:type="dxa"/>
            <w:vAlign w:val="bottom"/>
          </w:tcPr>
          <w:p w14:paraId="0DFF9779" w14:textId="77777777" w:rsidR="00144788" w:rsidRPr="007167C6" w:rsidRDefault="00144788" w:rsidP="00144788">
            <w:pPr>
              <w:tabs>
                <w:tab w:val="left" w:pos="7050"/>
              </w:tabs>
              <w:jc w:val="center"/>
              <w:rPr>
                <w:rFonts w:asciiTheme="majorHAnsi" w:hAnsiTheme="majorHAnsi" w:cs="Arial"/>
                <w:sz w:val="20"/>
                <w:szCs w:val="20"/>
              </w:rPr>
            </w:pPr>
            <w:r w:rsidRPr="00144788">
              <w:rPr>
                <w:rFonts w:asciiTheme="majorHAnsi" w:hAnsiTheme="majorHAnsi" w:cs="Arial"/>
                <w:sz w:val="20"/>
                <w:szCs w:val="20"/>
              </w:rPr>
              <w:t>$36.72</w:t>
            </w:r>
          </w:p>
        </w:tc>
        <w:tc>
          <w:tcPr>
            <w:tcW w:w="1440" w:type="dxa"/>
            <w:vAlign w:val="bottom"/>
          </w:tcPr>
          <w:p w14:paraId="2162B24F" w14:textId="77777777" w:rsidR="00144788" w:rsidRPr="007167C6" w:rsidRDefault="00144788" w:rsidP="00144788">
            <w:pPr>
              <w:tabs>
                <w:tab w:val="left" w:pos="7050"/>
              </w:tabs>
              <w:jc w:val="center"/>
              <w:rPr>
                <w:rFonts w:asciiTheme="majorHAnsi" w:hAnsiTheme="majorHAnsi" w:cs="Arial"/>
                <w:sz w:val="20"/>
                <w:szCs w:val="20"/>
              </w:rPr>
            </w:pPr>
            <w:r w:rsidRPr="00144788">
              <w:rPr>
                <w:rFonts w:asciiTheme="majorHAnsi" w:hAnsiTheme="majorHAnsi" w:cs="Arial"/>
                <w:sz w:val="20"/>
                <w:szCs w:val="20"/>
              </w:rPr>
              <w:t>$168.86</w:t>
            </w:r>
          </w:p>
        </w:tc>
        <w:tc>
          <w:tcPr>
            <w:tcW w:w="1350" w:type="dxa"/>
            <w:vAlign w:val="bottom"/>
          </w:tcPr>
          <w:p w14:paraId="625F40C3" w14:textId="77777777" w:rsidR="00144788" w:rsidRPr="007167C6" w:rsidRDefault="00144788" w:rsidP="00144788">
            <w:pPr>
              <w:tabs>
                <w:tab w:val="left" w:pos="7050"/>
              </w:tabs>
              <w:jc w:val="center"/>
              <w:rPr>
                <w:rFonts w:asciiTheme="majorHAnsi" w:hAnsiTheme="majorHAnsi" w:cs="Arial"/>
                <w:sz w:val="20"/>
                <w:szCs w:val="20"/>
              </w:rPr>
            </w:pPr>
            <w:r w:rsidRPr="00144788">
              <w:rPr>
                <w:rFonts w:asciiTheme="majorHAnsi" w:hAnsiTheme="majorHAnsi" w:cs="Arial"/>
                <w:sz w:val="20"/>
                <w:szCs w:val="20"/>
              </w:rPr>
              <w:t>7.41%</w:t>
            </w:r>
          </w:p>
        </w:tc>
        <w:tc>
          <w:tcPr>
            <w:tcW w:w="1530" w:type="dxa"/>
            <w:vAlign w:val="bottom"/>
          </w:tcPr>
          <w:p w14:paraId="7B445E4A" w14:textId="77777777" w:rsidR="00144788" w:rsidRPr="00AF2C3E" w:rsidRDefault="00144788" w:rsidP="00144788">
            <w:pPr>
              <w:tabs>
                <w:tab w:val="left" w:pos="7050"/>
              </w:tabs>
              <w:jc w:val="center"/>
              <w:rPr>
                <w:rFonts w:asciiTheme="majorHAnsi" w:hAnsiTheme="majorHAnsi" w:cs="Arial"/>
                <w:sz w:val="20"/>
                <w:szCs w:val="20"/>
              </w:rPr>
            </w:pPr>
            <w:r w:rsidRPr="00144788">
              <w:rPr>
                <w:rFonts w:asciiTheme="majorHAnsi" w:hAnsiTheme="majorHAnsi" w:cs="Arial"/>
                <w:sz w:val="20"/>
                <w:szCs w:val="20"/>
              </w:rPr>
              <w:t>-0.38%</w:t>
            </w:r>
          </w:p>
        </w:tc>
      </w:tr>
      <w:tr w:rsidR="00144788" w:rsidRPr="00AF2C3E" w14:paraId="28E3C6E0" w14:textId="77777777" w:rsidTr="00C94BB5">
        <w:trPr>
          <w:trHeight w:val="288"/>
        </w:trPr>
        <w:tc>
          <w:tcPr>
            <w:tcW w:w="2245" w:type="dxa"/>
            <w:vAlign w:val="center"/>
          </w:tcPr>
          <w:p w14:paraId="69F80A9E" w14:textId="77777777" w:rsidR="00144788" w:rsidRPr="00AF2C3E" w:rsidRDefault="00144788" w:rsidP="00144788">
            <w:pPr>
              <w:rPr>
                <w:rFonts w:asciiTheme="majorHAnsi" w:hAnsiTheme="majorHAnsi"/>
                <w:bCs/>
                <w:sz w:val="20"/>
                <w:szCs w:val="20"/>
              </w:rPr>
            </w:pPr>
            <w:r w:rsidRPr="00AF2C3E">
              <w:rPr>
                <w:rFonts w:asciiTheme="majorHAnsi" w:hAnsiTheme="majorHAnsi"/>
                <w:bCs/>
                <w:sz w:val="20"/>
                <w:szCs w:val="20"/>
              </w:rPr>
              <w:t>$50,000 to $69,999</w:t>
            </w:r>
          </w:p>
        </w:tc>
        <w:tc>
          <w:tcPr>
            <w:tcW w:w="1530" w:type="dxa"/>
            <w:vAlign w:val="bottom"/>
          </w:tcPr>
          <w:p w14:paraId="6BBC384C" w14:textId="77777777" w:rsidR="00144788" w:rsidRPr="007167C6" w:rsidRDefault="00144788" w:rsidP="00144788">
            <w:pPr>
              <w:tabs>
                <w:tab w:val="left" w:pos="7050"/>
              </w:tabs>
              <w:jc w:val="center"/>
              <w:rPr>
                <w:rFonts w:asciiTheme="majorHAnsi" w:hAnsiTheme="majorHAnsi" w:cs="Arial"/>
                <w:sz w:val="20"/>
                <w:szCs w:val="20"/>
              </w:rPr>
            </w:pPr>
            <w:r w:rsidRPr="00144788">
              <w:rPr>
                <w:rFonts w:asciiTheme="majorHAnsi" w:hAnsiTheme="majorHAnsi" w:cs="Arial"/>
                <w:sz w:val="20"/>
                <w:szCs w:val="20"/>
              </w:rPr>
              <w:t xml:space="preserve">         0.346 </w:t>
            </w:r>
          </w:p>
        </w:tc>
        <w:tc>
          <w:tcPr>
            <w:tcW w:w="1260" w:type="dxa"/>
            <w:vAlign w:val="bottom"/>
          </w:tcPr>
          <w:p w14:paraId="2EC8A0D7" w14:textId="77777777" w:rsidR="00144788" w:rsidRPr="007167C6" w:rsidRDefault="00144788" w:rsidP="00144788">
            <w:pPr>
              <w:tabs>
                <w:tab w:val="left" w:pos="7050"/>
              </w:tabs>
              <w:jc w:val="center"/>
              <w:rPr>
                <w:rFonts w:asciiTheme="majorHAnsi" w:hAnsiTheme="majorHAnsi" w:cs="Arial"/>
                <w:sz w:val="20"/>
                <w:szCs w:val="20"/>
              </w:rPr>
            </w:pPr>
            <w:r w:rsidRPr="00144788">
              <w:rPr>
                <w:rFonts w:asciiTheme="majorHAnsi" w:hAnsiTheme="majorHAnsi" w:cs="Arial"/>
                <w:sz w:val="20"/>
                <w:szCs w:val="20"/>
              </w:rPr>
              <w:t>$65.41</w:t>
            </w:r>
          </w:p>
        </w:tc>
        <w:tc>
          <w:tcPr>
            <w:tcW w:w="1440" w:type="dxa"/>
            <w:vAlign w:val="bottom"/>
          </w:tcPr>
          <w:p w14:paraId="61CF1ADD" w14:textId="77777777" w:rsidR="00144788" w:rsidRPr="007167C6" w:rsidRDefault="00144788" w:rsidP="00144788">
            <w:pPr>
              <w:tabs>
                <w:tab w:val="left" w:pos="7050"/>
              </w:tabs>
              <w:jc w:val="center"/>
              <w:rPr>
                <w:rFonts w:asciiTheme="majorHAnsi" w:hAnsiTheme="majorHAnsi" w:cs="Arial"/>
                <w:sz w:val="20"/>
                <w:szCs w:val="20"/>
              </w:rPr>
            </w:pPr>
            <w:r w:rsidRPr="00144788">
              <w:rPr>
                <w:rFonts w:asciiTheme="majorHAnsi" w:hAnsiTheme="majorHAnsi" w:cs="Arial"/>
                <w:sz w:val="20"/>
                <w:szCs w:val="20"/>
              </w:rPr>
              <w:t>$188.98</w:t>
            </w:r>
          </w:p>
        </w:tc>
        <w:tc>
          <w:tcPr>
            <w:tcW w:w="1350" w:type="dxa"/>
            <w:vAlign w:val="bottom"/>
          </w:tcPr>
          <w:p w14:paraId="61468A6B" w14:textId="77777777" w:rsidR="00144788" w:rsidRPr="007167C6" w:rsidRDefault="00144788" w:rsidP="00144788">
            <w:pPr>
              <w:tabs>
                <w:tab w:val="left" w:pos="7050"/>
              </w:tabs>
              <w:jc w:val="center"/>
              <w:rPr>
                <w:rFonts w:asciiTheme="majorHAnsi" w:hAnsiTheme="majorHAnsi" w:cs="Arial"/>
                <w:sz w:val="20"/>
                <w:szCs w:val="20"/>
              </w:rPr>
            </w:pPr>
            <w:r w:rsidRPr="00144788">
              <w:rPr>
                <w:rFonts w:asciiTheme="majorHAnsi" w:hAnsiTheme="majorHAnsi" w:cs="Arial"/>
                <w:sz w:val="20"/>
                <w:szCs w:val="20"/>
              </w:rPr>
              <w:t>13.20%</w:t>
            </w:r>
          </w:p>
        </w:tc>
        <w:tc>
          <w:tcPr>
            <w:tcW w:w="1530" w:type="dxa"/>
            <w:vAlign w:val="bottom"/>
          </w:tcPr>
          <w:p w14:paraId="6A39078E" w14:textId="77777777" w:rsidR="00144788" w:rsidRPr="00AF2C3E" w:rsidRDefault="00144788" w:rsidP="00144788">
            <w:pPr>
              <w:tabs>
                <w:tab w:val="left" w:pos="7050"/>
              </w:tabs>
              <w:jc w:val="center"/>
              <w:rPr>
                <w:rFonts w:asciiTheme="majorHAnsi" w:hAnsiTheme="majorHAnsi" w:cs="Arial"/>
                <w:sz w:val="20"/>
                <w:szCs w:val="20"/>
              </w:rPr>
            </w:pPr>
            <w:r w:rsidRPr="00144788">
              <w:rPr>
                <w:rFonts w:asciiTheme="majorHAnsi" w:hAnsiTheme="majorHAnsi" w:cs="Arial"/>
                <w:sz w:val="20"/>
                <w:szCs w:val="20"/>
              </w:rPr>
              <w:t>-0.32%</w:t>
            </w:r>
          </w:p>
        </w:tc>
      </w:tr>
      <w:tr w:rsidR="00144788" w:rsidRPr="00AF2C3E" w14:paraId="22F06734" w14:textId="77777777" w:rsidTr="00C94BB5">
        <w:trPr>
          <w:trHeight w:val="288"/>
        </w:trPr>
        <w:tc>
          <w:tcPr>
            <w:tcW w:w="2245" w:type="dxa"/>
            <w:vAlign w:val="center"/>
          </w:tcPr>
          <w:p w14:paraId="4551559E" w14:textId="77777777" w:rsidR="00144788" w:rsidRPr="00AF2C3E" w:rsidRDefault="00144788" w:rsidP="00144788">
            <w:pPr>
              <w:rPr>
                <w:rFonts w:asciiTheme="majorHAnsi" w:hAnsiTheme="majorHAnsi"/>
                <w:bCs/>
                <w:sz w:val="20"/>
                <w:szCs w:val="20"/>
              </w:rPr>
            </w:pPr>
            <w:r w:rsidRPr="00AF2C3E">
              <w:rPr>
                <w:rFonts w:asciiTheme="majorHAnsi" w:hAnsiTheme="majorHAnsi"/>
                <w:bCs/>
                <w:sz w:val="20"/>
                <w:szCs w:val="20"/>
              </w:rPr>
              <w:t>$70,000 to $99,999</w:t>
            </w:r>
          </w:p>
        </w:tc>
        <w:tc>
          <w:tcPr>
            <w:tcW w:w="1530" w:type="dxa"/>
            <w:vAlign w:val="bottom"/>
          </w:tcPr>
          <w:p w14:paraId="5C4E6ADC" w14:textId="77777777" w:rsidR="00144788" w:rsidRPr="007167C6" w:rsidRDefault="00144788" w:rsidP="00144788">
            <w:pPr>
              <w:tabs>
                <w:tab w:val="left" w:pos="7050"/>
              </w:tabs>
              <w:jc w:val="center"/>
              <w:rPr>
                <w:rFonts w:asciiTheme="majorHAnsi" w:hAnsiTheme="majorHAnsi" w:cs="Arial"/>
                <w:sz w:val="20"/>
                <w:szCs w:val="20"/>
              </w:rPr>
            </w:pPr>
            <w:r w:rsidRPr="00144788">
              <w:rPr>
                <w:rFonts w:asciiTheme="majorHAnsi" w:hAnsiTheme="majorHAnsi" w:cs="Arial"/>
                <w:sz w:val="20"/>
                <w:szCs w:val="20"/>
              </w:rPr>
              <w:t xml:space="preserve">         0.388 </w:t>
            </w:r>
          </w:p>
        </w:tc>
        <w:tc>
          <w:tcPr>
            <w:tcW w:w="1260" w:type="dxa"/>
            <w:vAlign w:val="bottom"/>
          </w:tcPr>
          <w:p w14:paraId="4766594E" w14:textId="77777777" w:rsidR="00144788" w:rsidRPr="007167C6" w:rsidRDefault="00144788" w:rsidP="00144788">
            <w:pPr>
              <w:tabs>
                <w:tab w:val="left" w:pos="7050"/>
              </w:tabs>
              <w:jc w:val="center"/>
              <w:rPr>
                <w:rFonts w:asciiTheme="majorHAnsi" w:hAnsiTheme="majorHAnsi" w:cs="Arial"/>
                <w:sz w:val="20"/>
                <w:szCs w:val="20"/>
              </w:rPr>
            </w:pPr>
            <w:r w:rsidRPr="00144788">
              <w:rPr>
                <w:rFonts w:asciiTheme="majorHAnsi" w:hAnsiTheme="majorHAnsi" w:cs="Arial"/>
                <w:sz w:val="20"/>
                <w:szCs w:val="20"/>
              </w:rPr>
              <w:t>$85.97</w:t>
            </w:r>
          </w:p>
        </w:tc>
        <w:tc>
          <w:tcPr>
            <w:tcW w:w="1440" w:type="dxa"/>
            <w:vAlign w:val="bottom"/>
          </w:tcPr>
          <w:p w14:paraId="3C7CE7F1" w14:textId="77777777" w:rsidR="00144788" w:rsidRPr="007167C6" w:rsidRDefault="00144788" w:rsidP="00144788">
            <w:pPr>
              <w:tabs>
                <w:tab w:val="left" w:pos="7050"/>
              </w:tabs>
              <w:jc w:val="center"/>
              <w:rPr>
                <w:rFonts w:asciiTheme="majorHAnsi" w:hAnsiTheme="majorHAnsi" w:cs="Arial"/>
                <w:sz w:val="20"/>
                <w:szCs w:val="20"/>
              </w:rPr>
            </w:pPr>
            <w:r w:rsidRPr="00144788">
              <w:rPr>
                <w:rFonts w:asciiTheme="majorHAnsi" w:hAnsiTheme="majorHAnsi" w:cs="Arial"/>
                <w:sz w:val="20"/>
                <w:szCs w:val="20"/>
              </w:rPr>
              <w:t>$221.40</w:t>
            </w:r>
          </w:p>
        </w:tc>
        <w:tc>
          <w:tcPr>
            <w:tcW w:w="1350" w:type="dxa"/>
            <w:vAlign w:val="bottom"/>
          </w:tcPr>
          <w:p w14:paraId="1EDAE3E4" w14:textId="77777777" w:rsidR="00144788" w:rsidRPr="007167C6" w:rsidRDefault="00144788" w:rsidP="00144788">
            <w:pPr>
              <w:tabs>
                <w:tab w:val="left" w:pos="7050"/>
              </w:tabs>
              <w:jc w:val="center"/>
              <w:rPr>
                <w:rFonts w:asciiTheme="majorHAnsi" w:hAnsiTheme="majorHAnsi" w:cs="Arial"/>
                <w:sz w:val="20"/>
                <w:szCs w:val="20"/>
              </w:rPr>
            </w:pPr>
            <w:r w:rsidRPr="00144788">
              <w:rPr>
                <w:rFonts w:asciiTheme="majorHAnsi" w:hAnsiTheme="majorHAnsi" w:cs="Arial"/>
                <w:sz w:val="20"/>
                <w:szCs w:val="20"/>
              </w:rPr>
              <w:t>17.34%</w:t>
            </w:r>
          </w:p>
        </w:tc>
        <w:tc>
          <w:tcPr>
            <w:tcW w:w="1530" w:type="dxa"/>
            <w:vAlign w:val="bottom"/>
          </w:tcPr>
          <w:p w14:paraId="4E65656A" w14:textId="77777777" w:rsidR="00144788" w:rsidRPr="00AF2C3E" w:rsidRDefault="00144788" w:rsidP="00144788">
            <w:pPr>
              <w:tabs>
                <w:tab w:val="left" w:pos="7050"/>
              </w:tabs>
              <w:jc w:val="center"/>
              <w:rPr>
                <w:rFonts w:asciiTheme="majorHAnsi" w:hAnsiTheme="majorHAnsi" w:cs="Arial"/>
                <w:sz w:val="20"/>
                <w:szCs w:val="20"/>
              </w:rPr>
            </w:pPr>
            <w:r w:rsidRPr="00144788">
              <w:rPr>
                <w:rFonts w:asciiTheme="majorHAnsi" w:hAnsiTheme="majorHAnsi" w:cs="Arial"/>
                <w:sz w:val="20"/>
                <w:szCs w:val="20"/>
              </w:rPr>
              <w:t>-0.27%</w:t>
            </w:r>
          </w:p>
        </w:tc>
      </w:tr>
      <w:tr w:rsidR="00144788" w:rsidRPr="00AF2C3E" w14:paraId="5285F053" w14:textId="77777777" w:rsidTr="00C94BB5">
        <w:trPr>
          <w:trHeight w:val="288"/>
        </w:trPr>
        <w:tc>
          <w:tcPr>
            <w:tcW w:w="2245" w:type="dxa"/>
            <w:vAlign w:val="center"/>
          </w:tcPr>
          <w:p w14:paraId="7BB40B9B" w14:textId="77777777" w:rsidR="00144788" w:rsidRPr="00AF2C3E" w:rsidRDefault="00144788" w:rsidP="00144788">
            <w:pPr>
              <w:rPr>
                <w:rFonts w:asciiTheme="majorHAnsi" w:hAnsiTheme="majorHAnsi"/>
                <w:bCs/>
                <w:sz w:val="20"/>
                <w:szCs w:val="20"/>
              </w:rPr>
            </w:pPr>
            <w:r w:rsidRPr="00AF2C3E">
              <w:rPr>
                <w:rFonts w:asciiTheme="majorHAnsi" w:hAnsiTheme="majorHAnsi"/>
                <w:bCs/>
                <w:sz w:val="20"/>
                <w:szCs w:val="20"/>
              </w:rPr>
              <w:t>$100,000 to $149,999</w:t>
            </w:r>
          </w:p>
        </w:tc>
        <w:tc>
          <w:tcPr>
            <w:tcW w:w="1530" w:type="dxa"/>
            <w:vAlign w:val="bottom"/>
          </w:tcPr>
          <w:p w14:paraId="452E31B8" w14:textId="77777777" w:rsidR="00144788" w:rsidRPr="007167C6" w:rsidRDefault="00144788" w:rsidP="00144788">
            <w:pPr>
              <w:tabs>
                <w:tab w:val="left" w:pos="7050"/>
              </w:tabs>
              <w:jc w:val="center"/>
              <w:rPr>
                <w:rFonts w:asciiTheme="majorHAnsi" w:hAnsiTheme="majorHAnsi" w:cs="Arial"/>
                <w:sz w:val="20"/>
                <w:szCs w:val="20"/>
              </w:rPr>
            </w:pPr>
            <w:r w:rsidRPr="00144788">
              <w:rPr>
                <w:rFonts w:asciiTheme="majorHAnsi" w:hAnsiTheme="majorHAnsi" w:cs="Arial"/>
                <w:sz w:val="20"/>
                <w:szCs w:val="20"/>
              </w:rPr>
              <w:t xml:space="preserve">         0.351 </w:t>
            </w:r>
          </w:p>
        </w:tc>
        <w:tc>
          <w:tcPr>
            <w:tcW w:w="1260" w:type="dxa"/>
            <w:vAlign w:val="bottom"/>
          </w:tcPr>
          <w:p w14:paraId="183635CA" w14:textId="77777777" w:rsidR="00144788" w:rsidRPr="007167C6" w:rsidRDefault="00144788" w:rsidP="00144788">
            <w:pPr>
              <w:tabs>
                <w:tab w:val="left" w:pos="7050"/>
              </w:tabs>
              <w:jc w:val="center"/>
              <w:rPr>
                <w:rFonts w:asciiTheme="majorHAnsi" w:hAnsiTheme="majorHAnsi" w:cs="Arial"/>
                <w:sz w:val="20"/>
                <w:szCs w:val="20"/>
              </w:rPr>
            </w:pPr>
            <w:r w:rsidRPr="00144788">
              <w:rPr>
                <w:rFonts w:asciiTheme="majorHAnsi" w:hAnsiTheme="majorHAnsi" w:cs="Arial"/>
                <w:sz w:val="20"/>
                <w:szCs w:val="20"/>
              </w:rPr>
              <w:t>$93.63</w:t>
            </w:r>
          </w:p>
        </w:tc>
        <w:tc>
          <w:tcPr>
            <w:tcW w:w="1440" w:type="dxa"/>
            <w:vAlign w:val="bottom"/>
          </w:tcPr>
          <w:p w14:paraId="72BA46F8" w14:textId="77777777" w:rsidR="00144788" w:rsidRPr="007167C6" w:rsidRDefault="00144788" w:rsidP="00144788">
            <w:pPr>
              <w:tabs>
                <w:tab w:val="left" w:pos="7050"/>
              </w:tabs>
              <w:jc w:val="center"/>
              <w:rPr>
                <w:rFonts w:asciiTheme="majorHAnsi" w:hAnsiTheme="majorHAnsi" w:cs="Arial"/>
                <w:sz w:val="20"/>
                <w:szCs w:val="20"/>
              </w:rPr>
            </w:pPr>
            <w:r w:rsidRPr="00144788">
              <w:rPr>
                <w:rFonts w:asciiTheme="majorHAnsi" w:hAnsiTheme="majorHAnsi" w:cs="Arial"/>
                <w:sz w:val="20"/>
                <w:szCs w:val="20"/>
              </w:rPr>
              <w:t>$266.74</w:t>
            </w:r>
          </w:p>
        </w:tc>
        <w:tc>
          <w:tcPr>
            <w:tcW w:w="1350" w:type="dxa"/>
            <w:vAlign w:val="bottom"/>
          </w:tcPr>
          <w:p w14:paraId="6F4187F6" w14:textId="77777777" w:rsidR="00144788" w:rsidRPr="007167C6" w:rsidRDefault="00144788" w:rsidP="00144788">
            <w:pPr>
              <w:tabs>
                <w:tab w:val="left" w:pos="7050"/>
              </w:tabs>
              <w:jc w:val="center"/>
              <w:rPr>
                <w:rFonts w:asciiTheme="majorHAnsi" w:hAnsiTheme="majorHAnsi" w:cs="Arial"/>
                <w:sz w:val="20"/>
                <w:szCs w:val="20"/>
              </w:rPr>
            </w:pPr>
            <w:r w:rsidRPr="00144788">
              <w:rPr>
                <w:rFonts w:asciiTheme="majorHAnsi" w:hAnsiTheme="majorHAnsi" w:cs="Arial"/>
                <w:sz w:val="20"/>
                <w:szCs w:val="20"/>
              </w:rPr>
              <w:t>18.89%</w:t>
            </w:r>
          </w:p>
        </w:tc>
        <w:tc>
          <w:tcPr>
            <w:tcW w:w="1530" w:type="dxa"/>
            <w:vAlign w:val="bottom"/>
          </w:tcPr>
          <w:p w14:paraId="4009C98D" w14:textId="77777777" w:rsidR="00144788" w:rsidRPr="00AF2C3E" w:rsidRDefault="00144788" w:rsidP="00144788">
            <w:pPr>
              <w:tabs>
                <w:tab w:val="left" w:pos="7050"/>
              </w:tabs>
              <w:jc w:val="center"/>
              <w:rPr>
                <w:rFonts w:asciiTheme="majorHAnsi" w:hAnsiTheme="majorHAnsi" w:cs="Arial"/>
                <w:sz w:val="20"/>
                <w:szCs w:val="20"/>
              </w:rPr>
            </w:pPr>
            <w:r w:rsidRPr="00144788">
              <w:rPr>
                <w:rFonts w:asciiTheme="majorHAnsi" w:hAnsiTheme="majorHAnsi" w:cs="Arial"/>
                <w:sz w:val="20"/>
                <w:szCs w:val="20"/>
              </w:rPr>
              <w:t>-0.22%</w:t>
            </w:r>
          </w:p>
        </w:tc>
      </w:tr>
      <w:tr w:rsidR="00144788" w:rsidRPr="00AF2C3E" w14:paraId="08046C71" w14:textId="77777777" w:rsidTr="00C94BB5">
        <w:trPr>
          <w:trHeight w:val="288"/>
        </w:trPr>
        <w:tc>
          <w:tcPr>
            <w:tcW w:w="2245" w:type="dxa"/>
            <w:vAlign w:val="center"/>
          </w:tcPr>
          <w:p w14:paraId="776192A4" w14:textId="77777777" w:rsidR="00144788" w:rsidRPr="00AF2C3E" w:rsidRDefault="00144788" w:rsidP="00144788">
            <w:pPr>
              <w:rPr>
                <w:rFonts w:asciiTheme="majorHAnsi" w:hAnsiTheme="majorHAnsi"/>
                <w:bCs/>
                <w:sz w:val="20"/>
                <w:szCs w:val="20"/>
              </w:rPr>
            </w:pPr>
            <w:r w:rsidRPr="00AF2C3E">
              <w:rPr>
                <w:rFonts w:asciiTheme="majorHAnsi" w:hAnsiTheme="majorHAnsi"/>
                <w:bCs/>
                <w:sz w:val="20"/>
                <w:szCs w:val="20"/>
              </w:rPr>
              <w:t>$150,000 to $199,999</w:t>
            </w:r>
          </w:p>
        </w:tc>
        <w:tc>
          <w:tcPr>
            <w:tcW w:w="1530" w:type="dxa"/>
            <w:vAlign w:val="bottom"/>
          </w:tcPr>
          <w:p w14:paraId="75438C65" w14:textId="77777777" w:rsidR="00144788" w:rsidRPr="007167C6" w:rsidRDefault="00144788" w:rsidP="00144788">
            <w:pPr>
              <w:tabs>
                <w:tab w:val="left" w:pos="7050"/>
              </w:tabs>
              <w:jc w:val="center"/>
              <w:rPr>
                <w:rFonts w:asciiTheme="majorHAnsi" w:hAnsiTheme="majorHAnsi" w:cs="Arial"/>
                <w:sz w:val="20"/>
                <w:szCs w:val="20"/>
              </w:rPr>
            </w:pPr>
            <w:r w:rsidRPr="00144788">
              <w:rPr>
                <w:rFonts w:asciiTheme="majorHAnsi" w:hAnsiTheme="majorHAnsi" w:cs="Arial"/>
                <w:sz w:val="20"/>
                <w:szCs w:val="20"/>
              </w:rPr>
              <w:t xml:space="preserve">         0.165 </w:t>
            </w:r>
          </w:p>
        </w:tc>
        <w:tc>
          <w:tcPr>
            <w:tcW w:w="1260" w:type="dxa"/>
            <w:vAlign w:val="bottom"/>
          </w:tcPr>
          <w:p w14:paraId="3B6DF168" w14:textId="77777777" w:rsidR="00144788" w:rsidRPr="007167C6" w:rsidRDefault="00144788" w:rsidP="00144788">
            <w:pPr>
              <w:tabs>
                <w:tab w:val="left" w:pos="7050"/>
              </w:tabs>
              <w:jc w:val="center"/>
              <w:rPr>
                <w:rFonts w:asciiTheme="majorHAnsi" w:hAnsiTheme="majorHAnsi" w:cs="Arial"/>
                <w:sz w:val="20"/>
                <w:szCs w:val="20"/>
              </w:rPr>
            </w:pPr>
            <w:r w:rsidRPr="00144788">
              <w:rPr>
                <w:rFonts w:asciiTheme="majorHAnsi" w:hAnsiTheme="majorHAnsi" w:cs="Arial"/>
                <w:sz w:val="20"/>
                <w:szCs w:val="20"/>
              </w:rPr>
              <w:t>$47.81</w:t>
            </w:r>
          </w:p>
        </w:tc>
        <w:tc>
          <w:tcPr>
            <w:tcW w:w="1440" w:type="dxa"/>
            <w:vAlign w:val="bottom"/>
          </w:tcPr>
          <w:p w14:paraId="03D30039" w14:textId="77777777" w:rsidR="00144788" w:rsidRPr="007167C6" w:rsidRDefault="00144788" w:rsidP="00144788">
            <w:pPr>
              <w:tabs>
                <w:tab w:val="left" w:pos="7050"/>
              </w:tabs>
              <w:jc w:val="center"/>
              <w:rPr>
                <w:rFonts w:asciiTheme="majorHAnsi" w:hAnsiTheme="majorHAnsi" w:cs="Arial"/>
                <w:sz w:val="20"/>
                <w:szCs w:val="20"/>
              </w:rPr>
            </w:pPr>
            <w:r w:rsidRPr="00144788">
              <w:rPr>
                <w:rFonts w:asciiTheme="majorHAnsi" w:hAnsiTheme="majorHAnsi" w:cs="Arial"/>
                <w:sz w:val="20"/>
                <w:szCs w:val="20"/>
              </w:rPr>
              <w:t>$289.32</w:t>
            </w:r>
          </w:p>
        </w:tc>
        <w:tc>
          <w:tcPr>
            <w:tcW w:w="1350" w:type="dxa"/>
            <w:vAlign w:val="bottom"/>
          </w:tcPr>
          <w:p w14:paraId="50BC2B3A" w14:textId="77777777" w:rsidR="00144788" w:rsidRPr="007167C6" w:rsidRDefault="00144788" w:rsidP="00144788">
            <w:pPr>
              <w:tabs>
                <w:tab w:val="left" w:pos="7050"/>
              </w:tabs>
              <w:jc w:val="center"/>
              <w:rPr>
                <w:rFonts w:asciiTheme="majorHAnsi" w:hAnsiTheme="majorHAnsi" w:cs="Arial"/>
                <w:sz w:val="20"/>
                <w:szCs w:val="20"/>
              </w:rPr>
            </w:pPr>
            <w:r w:rsidRPr="00144788">
              <w:rPr>
                <w:rFonts w:asciiTheme="majorHAnsi" w:hAnsiTheme="majorHAnsi" w:cs="Arial"/>
                <w:sz w:val="20"/>
                <w:szCs w:val="20"/>
              </w:rPr>
              <w:t>9.64%</w:t>
            </w:r>
          </w:p>
        </w:tc>
        <w:tc>
          <w:tcPr>
            <w:tcW w:w="1530" w:type="dxa"/>
            <w:vAlign w:val="bottom"/>
          </w:tcPr>
          <w:p w14:paraId="5DD32377" w14:textId="77777777" w:rsidR="00144788" w:rsidRPr="00AF2C3E" w:rsidRDefault="00144788" w:rsidP="00144788">
            <w:pPr>
              <w:tabs>
                <w:tab w:val="left" w:pos="7050"/>
              </w:tabs>
              <w:jc w:val="center"/>
              <w:rPr>
                <w:rFonts w:asciiTheme="majorHAnsi" w:hAnsiTheme="majorHAnsi" w:cs="Arial"/>
                <w:sz w:val="20"/>
                <w:szCs w:val="20"/>
              </w:rPr>
            </w:pPr>
            <w:r w:rsidRPr="00144788">
              <w:rPr>
                <w:rFonts w:asciiTheme="majorHAnsi" w:hAnsiTheme="majorHAnsi" w:cs="Arial"/>
                <w:sz w:val="20"/>
                <w:szCs w:val="20"/>
              </w:rPr>
              <w:t>-0.17%</w:t>
            </w:r>
          </w:p>
        </w:tc>
      </w:tr>
      <w:tr w:rsidR="00144788" w:rsidRPr="00AF2C3E" w14:paraId="26933F71" w14:textId="77777777" w:rsidTr="00C94BB5">
        <w:trPr>
          <w:trHeight w:val="288"/>
        </w:trPr>
        <w:tc>
          <w:tcPr>
            <w:tcW w:w="2245" w:type="dxa"/>
            <w:vAlign w:val="center"/>
          </w:tcPr>
          <w:p w14:paraId="2CC0E738" w14:textId="77777777" w:rsidR="00144788" w:rsidRPr="00AF2C3E" w:rsidRDefault="00144788" w:rsidP="00144788">
            <w:pPr>
              <w:rPr>
                <w:rFonts w:asciiTheme="majorHAnsi" w:hAnsiTheme="majorHAnsi"/>
                <w:bCs/>
                <w:sz w:val="20"/>
                <w:szCs w:val="20"/>
              </w:rPr>
            </w:pPr>
            <w:r w:rsidRPr="00AF2C3E">
              <w:rPr>
                <w:rFonts w:asciiTheme="majorHAnsi" w:hAnsiTheme="majorHAnsi"/>
                <w:bCs/>
                <w:sz w:val="20"/>
                <w:szCs w:val="20"/>
              </w:rPr>
              <w:t>$200,000 to more</w:t>
            </w:r>
          </w:p>
        </w:tc>
        <w:tc>
          <w:tcPr>
            <w:tcW w:w="1530" w:type="dxa"/>
            <w:vAlign w:val="bottom"/>
          </w:tcPr>
          <w:p w14:paraId="7F7323B6" w14:textId="77777777" w:rsidR="00144788" w:rsidRPr="007167C6" w:rsidRDefault="00144788" w:rsidP="00144788">
            <w:pPr>
              <w:tabs>
                <w:tab w:val="left" w:pos="7050"/>
              </w:tabs>
              <w:jc w:val="center"/>
              <w:rPr>
                <w:rFonts w:asciiTheme="majorHAnsi" w:hAnsiTheme="majorHAnsi" w:cs="Arial"/>
                <w:sz w:val="20"/>
                <w:szCs w:val="20"/>
              </w:rPr>
            </w:pPr>
            <w:r w:rsidRPr="00144788">
              <w:rPr>
                <w:rFonts w:asciiTheme="majorHAnsi" w:hAnsiTheme="majorHAnsi" w:cs="Arial"/>
                <w:sz w:val="20"/>
                <w:szCs w:val="20"/>
              </w:rPr>
              <w:t xml:space="preserve">         0.174 </w:t>
            </w:r>
          </w:p>
        </w:tc>
        <w:tc>
          <w:tcPr>
            <w:tcW w:w="1260" w:type="dxa"/>
            <w:vAlign w:val="bottom"/>
          </w:tcPr>
          <w:p w14:paraId="7F2DEB2F" w14:textId="77777777" w:rsidR="00144788" w:rsidRPr="007167C6" w:rsidRDefault="00144788" w:rsidP="00144788">
            <w:pPr>
              <w:tabs>
                <w:tab w:val="left" w:pos="7050"/>
              </w:tabs>
              <w:jc w:val="center"/>
              <w:rPr>
                <w:rFonts w:asciiTheme="majorHAnsi" w:hAnsiTheme="majorHAnsi" w:cs="Arial"/>
                <w:sz w:val="20"/>
                <w:szCs w:val="20"/>
              </w:rPr>
            </w:pPr>
            <w:r w:rsidRPr="00144788">
              <w:rPr>
                <w:rFonts w:asciiTheme="majorHAnsi" w:hAnsiTheme="majorHAnsi" w:cs="Arial"/>
                <w:sz w:val="20"/>
                <w:szCs w:val="20"/>
              </w:rPr>
              <w:t>$52.12</w:t>
            </w:r>
          </w:p>
        </w:tc>
        <w:tc>
          <w:tcPr>
            <w:tcW w:w="1440" w:type="dxa"/>
            <w:vAlign w:val="bottom"/>
          </w:tcPr>
          <w:p w14:paraId="1FA463D6" w14:textId="77777777" w:rsidR="00144788" w:rsidRPr="007167C6" w:rsidRDefault="00144788" w:rsidP="00144788">
            <w:pPr>
              <w:tabs>
                <w:tab w:val="left" w:pos="7050"/>
              </w:tabs>
              <w:jc w:val="center"/>
              <w:rPr>
                <w:rFonts w:asciiTheme="majorHAnsi" w:hAnsiTheme="majorHAnsi" w:cs="Arial"/>
                <w:sz w:val="20"/>
                <w:szCs w:val="20"/>
              </w:rPr>
            </w:pPr>
            <w:r w:rsidRPr="00144788">
              <w:rPr>
                <w:rFonts w:asciiTheme="majorHAnsi" w:hAnsiTheme="majorHAnsi" w:cs="Arial"/>
                <w:sz w:val="20"/>
                <w:szCs w:val="20"/>
              </w:rPr>
              <w:t>$298.89</w:t>
            </w:r>
          </w:p>
        </w:tc>
        <w:tc>
          <w:tcPr>
            <w:tcW w:w="1350" w:type="dxa"/>
            <w:vAlign w:val="bottom"/>
          </w:tcPr>
          <w:p w14:paraId="0096C2AA" w14:textId="77777777" w:rsidR="00144788" w:rsidRPr="007167C6" w:rsidRDefault="00144788" w:rsidP="00144788">
            <w:pPr>
              <w:tabs>
                <w:tab w:val="left" w:pos="7050"/>
              </w:tabs>
              <w:jc w:val="center"/>
              <w:rPr>
                <w:rFonts w:asciiTheme="majorHAnsi" w:hAnsiTheme="majorHAnsi" w:cs="Arial"/>
                <w:sz w:val="20"/>
                <w:szCs w:val="20"/>
              </w:rPr>
            </w:pPr>
            <w:r w:rsidRPr="00144788">
              <w:rPr>
                <w:rFonts w:asciiTheme="majorHAnsi" w:hAnsiTheme="majorHAnsi" w:cs="Arial"/>
                <w:sz w:val="20"/>
                <w:szCs w:val="20"/>
              </w:rPr>
              <w:t>10.51%</w:t>
            </w:r>
          </w:p>
        </w:tc>
        <w:tc>
          <w:tcPr>
            <w:tcW w:w="1530" w:type="dxa"/>
            <w:vAlign w:val="bottom"/>
          </w:tcPr>
          <w:p w14:paraId="32B6B6E5" w14:textId="77777777" w:rsidR="00144788" w:rsidRPr="00AF2C3E" w:rsidRDefault="00144788" w:rsidP="00144788">
            <w:pPr>
              <w:tabs>
                <w:tab w:val="left" w:pos="7050"/>
              </w:tabs>
              <w:jc w:val="center"/>
              <w:rPr>
                <w:rFonts w:asciiTheme="majorHAnsi" w:hAnsiTheme="majorHAnsi" w:cs="Arial"/>
                <w:sz w:val="20"/>
                <w:szCs w:val="20"/>
              </w:rPr>
            </w:pPr>
            <w:r w:rsidRPr="00144788">
              <w:rPr>
                <w:rFonts w:asciiTheme="majorHAnsi" w:hAnsiTheme="majorHAnsi" w:cs="Arial"/>
                <w:sz w:val="20"/>
                <w:szCs w:val="20"/>
              </w:rPr>
              <w:t>-0.09%</w:t>
            </w:r>
          </w:p>
        </w:tc>
      </w:tr>
      <w:tr w:rsidR="00144788" w:rsidRPr="00AF2C3E" w14:paraId="129AA7AC" w14:textId="77777777" w:rsidTr="00C94BB5">
        <w:trPr>
          <w:trHeight w:val="288"/>
        </w:trPr>
        <w:tc>
          <w:tcPr>
            <w:tcW w:w="2245" w:type="dxa"/>
            <w:vAlign w:val="center"/>
          </w:tcPr>
          <w:p w14:paraId="79F5A5A1" w14:textId="77777777" w:rsidR="00144788" w:rsidRPr="00AF2C3E" w:rsidRDefault="00144788" w:rsidP="00144788">
            <w:pPr>
              <w:rPr>
                <w:rFonts w:asciiTheme="majorHAnsi" w:hAnsiTheme="majorHAnsi"/>
                <w:bCs/>
                <w:sz w:val="20"/>
                <w:szCs w:val="20"/>
              </w:rPr>
            </w:pPr>
            <w:r w:rsidRPr="00AF2C3E">
              <w:rPr>
                <w:rFonts w:asciiTheme="majorHAnsi" w:hAnsiTheme="majorHAnsi"/>
                <w:bCs/>
                <w:sz w:val="20"/>
                <w:szCs w:val="20"/>
              </w:rPr>
              <w:t>Total</w:t>
            </w:r>
          </w:p>
        </w:tc>
        <w:tc>
          <w:tcPr>
            <w:tcW w:w="1530" w:type="dxa"/>
            <w:vAlign w:val="bottom"/>
          </w:tcPr>
          <w:p w14:paraId="5FE0164C" w14:textId="77777777" w:rsidR="00144788" w:rsidRPr="007167C6" w:rsidRDefault="00144788" w:rsidP="00144788">
            <w:pPr>
              <w:tabs>
                <w:tab w:val="left" w:pos="7050"/>
              </w:tabs>
              <w:jc w:val="center"/>
              <w:rPr>
                <w:rFonts w:asciiTheme="majorHAnsi" w:hAnsiTheme="majorHAnsi" w:cs="Arial"/>
                <w:sz w:val="20"/>
                <w:szCs w:val="20"/>
              </w:rPr>
            </w:pPr>
            <w:r w:rsidRPr="00144788">
              <w:rPr>
                <w:rFonts w:asciiTheme="majorHAnsi" w:hAnsiTheme="majorHAnsi" w:cs="Arial"/>
                <w:sz w:val="20"/>
                <w:szCs w:val="20"/>
              </w:rPr>
              <w:t xml:space="preserve">         2.676 </w:t>
            </w:r>
          </w:p>
        </w:tc>
        <w:tc>
          <w:tcPr>
            <w:tcW w:w="1260" w:type="dxa"/>
            <w:vAlign w:val="bottom"/>
          </w:tcPr>
          <w:p w14:paraId="32C44D22" w14:textId="77777777" w:rsidR="00144788" w:rsidRPr="007167C6" w:rsidRDefault="00144788" w:rsidP="00144788">
            <w:pPr>
              <w:tabs>
                <w:tab w:val="left" w:pos="7050"/>
              </w:tabs>
              <w:jc w:val="center"/>
              <w:rPr>
                <w:rFonts w:asciiTheme="majorHAnsi" w:hAnsiTheme="majorHAnsi" w:cs="Arial"/>
                <w:sz w:val="20"/>
                <w:szCs w:val="20"/>
              </w:rPr>
            </w:pPr>
            <w:r w:rsidRPr="00144788">
              <w:rPr>
                <w:rFonts w:asciiTheme="majorHAnsi" w:hAnsiTheme="majorHAnsi" w:cs="Arial"/>
                <w:sz w:val="20"/>
                <w:szCs w:val="20"/>
              </w:rPr>
              <w:t>$495.70</w:t>
            </w:r>
          </w:p>
        </w:tc>
        <w:tc>
          <w:tcPr>
            <w:tcW w:w="1440" w:type="dxa"/>
            <w:vAlign w:val="bottom"/>
          </w:tcPr>
          <w:p w14:paraId="2FCFDDEE" w14:textId="77777777" w:rsidR="00144788" w:rsidRPr="007167C6" w:rsidRDefault="00144788" w:rsidP="00144788">
            <w:pPr>
              <w:tabs>
                <w:tab w:val="left" w:pos="7050"/>
              </w:tabs>
              <w:jc w:val="center"/>
              <w:rPr>
                <w:rFonts w:asciiTheme="majorHAnsi" w:hAnsiTheme="majorHAnsi" w:cs="Arial"/>
                <w:sz w:val="20"/>
                <w:szCs w:val="20"/>
              </w:rPr>
            </w:pPr>
            <w:r w:rsidRPr="00144788">
              <w:rPr>
                <w:rFonts w:asciiTheme="majorHAnsi" w:hAnsiTheme="majorHAnsi" w:cs="Arial"/>
                <w:sz w:val="20"/>
                <w:szCs w:val="20"/>
              </w:rPr>
              <w:t>$185.27</w:t>
            </w:r>
          </w:p>
        </w:tc>
        <w:tc>
          <w:tcPr>
            <w:tcW w:w="1350" w:type="dxa"/>
            <w:vAlign w:val="bottom"/>
          </w:tcPr>
          <w:p w14:paraId="5481BF5D" w14:textId="77777777" w:rsidR="00144788" w:rsidRPr="007167C6" w:rsidRDefault="00144788" w:rsidP="00144788">
            <w:pPr>
              <w:tabs>
                <w:tab w:val="left" w:pos="7050"/>
              </w:tabs>
              <w:jc w:val="center"/>
              <w:rPr>
                <w:rFonts w:asciiTheme="majorHAnsi" w:hAnsiTheme="majorHAnsi" w:cs="Arial"/>
                <w:sz w:val="20"/>
                <w:szCs w:val="20"/>
              </w:rPr>
            </w:pPr>
            <w:r w:rsidRPr="00144788">
              <w:rPr>
                <w:rFonts w:asciiTheme="majorHAnsi" w:hAnsiTheme="majorHAnsi" w:cs="Arial"/>
                <w:sz w:val="20"/>
                <w:szCs w:val="20"/>
              </w:rPr>
              <w:t>100.00%</w:t>
            </w:r>
          </w:p>
        </w:tc>
        <w:tc>
          <w:tcPr>
            <w:tcW w:w="1530" w:type="dxa"/>
            <w:vAlign w:val="bottom"/>
          </w:tcPr>
          <w:p w14:paraId="10972CB4" w14:textId="77777777" w:rsidR="00144788" w:rsidRPr="00AF2C3E" w:rsidRDefault="00144788" w:rsidP="00144788">
            <w:pPr>
              <w:tabs>
                <w:tab w:val="left" w:pos="7050"/>
              </w:tabs>
              <w:jc w:val="center"/>
              <w:rPr>
                <w:rFonts w:asciiTheme="majorHAnsi" w:hAnsiTheme="majorHAnsi" w:cs="Arial"/>
                <w:sz w:val="20"/>
                <w:szCs w:val="20"/>
              </w:rPr>
            </w:pPr>
            <w:r w:rsidRPr="00144788">
              <w:rPr>
                <w:rFonts w:asciiTheme="majorHAnsi" w:hAnsiTheme="majorHAnsi" w:cs="Arial"/>
                <w:sz w:val="20"/>
                <w:szCs w:val="20"/>
              </w:rPr>
              <w:t>-0.24%</w:t>
            </w:r>
          </w:p>
        </w:tc>
      </w:tr>
    </w:tbl>
    <w:p w14:paraId="521F2064" w14:textId="77777777" w:rsidR="00564CAA" w:rsidRPr="0088354E" w:rsidRDefault="009A7868" w:rsidP="00564CAA">
      <w:pPr>
        <w:spacing w:after="0"/>
        <w:rPr>
          <w:rFonts w:asciiTheme="majorHAnsi" w:hAnsiTheme="majorHAnsi"/>
          <w:sz w:val="20"/>
          <w:szCs w:val="20"/>
        </w:rPr>
      </w:pPr>
      <w:r w:rsidRPr="0088354E">
        <w:rPr>
          <w:rFonts w:asciiTheme="majorHAnsi" w:hAnsiTheme="majorHAnsi"/>
          <w:sz w:val="20"/>
          <w:szCs w:val="20"/>
        </w:rPr>
        <w:t>Source: Estimated by Massachusetts Department of Revenue</w:t>
      </w:r>
      <w:r w:rsidR="0088354E" w:rsidRPr="0088354E">
        <w:rPr>
          <w:rFonts w:asciiTheme="majorHAnsi" w:hAnsiTheme="majorHAnsi"/>
          <w:sz w:val="20"/>
          <w:szCs w:val="20"/>
        </w:rPr>
        <w:t>.</w:t>
      </w:r>
    </w:p>
    <w:p w14:paraId="0F2A6AEE" w14:textId="77777777" w:rsidR="00E40A0A" w:rsidRDefault="00E40A0A" w:rsidP="00E17C2F">
      <w:pPr>
        <w:spacing w:after="0"/>
        <w:rPr>
          <w:rFonts w:asciiTheme="majorHAnsi" w:eastAsiaTheme="majorEastAsia" w:hAnsiTheme="majorHAnsi" w:cstheme="majorBidi"/>
          <w:bCs/>
          <w:color w:val="000000" w:themeColor="text1"/>
          <w:sz w:val="24"/>
          <w:szCs w:val="24"/>
        </w:rPr>
      </w:pPr>
    </w:p>
    <w:p w14:paraId="6954F4B1" w14:textId="4538D650" w:rsidR="0075330A" w:rsidRDefault="0075330A" w:rsidP="0075330A">
      <w:pPr>
        <w:tabs>
          <w:tab w:val="left" w:pos="7050"/>
        </w:tabs>
        <w:spacing w:after="0"/>
        <w:rPr>
          <w:rFonts w:asciiTheme="majorHAnsi" w:hAnsiTheme="majorHAnsi"/>
          <w:bCs/>
          <w:sz w:val="24"/>
          <w:szCs w:val="24"/>
        </w:rPr>
      </w:pPr>
      <w:r>
        <w:rPr>
          <w:rFonts w:asciiTheme="majorHAnsi" w:hAnsiTheme="majorHAnsi"/>
          <w:bCs/>
          <w:sz w:val="24"/>
          <w:szCs w:val="24"/>
        </w:rPr>
        <w:t xml:space="preserve">The consumer side of direct beneficiaries can also be looked at from </w:t>
      </w:r>
      <w:r w:rsidR="00B00293">
        <w:rPr>
          <w:rFonts w:asciiTheme="majorHAnsi" w:hAnsiTheme="majorHAnsi"/>
          <w:bCs/>
          <w:sz w:val="24"/>
          <w:szCs w:val="24"/>
        </w:rPr>
        <w:t xml:space="preserve">a </w:t>
      </w:r>
      <w:r>
        <w:rPr>
          <w:rFonts w:asciiTheme="majorHAnsi" w:hAnsiTheme="majorHAnsi"/>
          <w:bCs/>
          <w:sz w:val="24"/>
          <w:szCs w:val="24"/>
        </w:rPr>
        <w:t xml:space="preserve">rider’s point of view. </w:t>
      </w:r>
      <w:r w:rsidR="00593A22">
        <w:rPr>
          <w:rFonts w:asciiTheme="majorHAnsi" w:hAnsiTheme="majorHAnsi"/>
          <w:bCs/>
          <w:sz w:val="24"/>
          <w:szCs w:val="24"/>
        </w:rPr>
        <w:t>According to MassDOT</w:t>
      </w:r>
      <w:r w:rsidR="00593A22">
        <w:rPr>
          <w:rStyle w:val="FootnoteReference"/>
          <w:rFonts w:asciiTheme="majorHAnsi" w:hAnsiTheme="majorHAnsi"/>
          <w:bCs/>
          <w:sz w:val="24"/>
          <w:szCs w:val="24"/>
        </w:rPr>
        <w:footnoteReference w:id="2"/>
      </w:r>
      <w:r w:rsidR="00593A22">
        <w:rPr>
          <w:rFonts w:asciiTheme="majorHAnsi" w:hAnsiTheme="majorHAnsi"/>
          <w:bCs/>
          <w:sz w:val="24"/>
          <w:szCs w:val="24"/>
        </w:rPr>
        <w:t>, w</w:t>
      </w:r>
      <w:r w:rsidR="00593A22" w:rsidRPr="00593A22">
        <w:rPr>
          <w:rFonts w:asciiTheme="majorHAnsi" w:hAnsiTheme="majorHAnsi"/>
          <w:bCs/>
          <w:sz w:val="24"/>
          <w:szCs w:val="24"/>
        </w:rPr>
        <w:t>ith an estimated population of over 6.79 million Massachusetts residents, about 80% (over 5.42 million) are of driving age (16 and over), while about 70% of all residents (4.75 million) are licensed drivers.</w:t>
      </w:r>
      <w:r w:rsidR="00593A22">
        <w:rPr>
          <w:rFonts w:asciiTheme="majorHAnsi" w:hAnsiTheme="majorHAnsi"/>
          <w:bCs/>
          <w:sz w:val="24"/>
          <w:szCs w:val="24"/>
        </w:rPr>
        <w:t xml:space="preserve">   </w:t>
      </w:r>
      <w:r w:rsidR="00320853">
        <w:rPr>
          <w:rFonts w:asciiTheme="majorHAnsi" w:hAnsiTheme="majorHAnsi"/>
          <w:bCs/>
          <w:sz w:val="24"/>
          <w:szCs w:val="24"/>
        </w:rPr>
        <w:t xml:space="preserve">The </w:t>
      </w:r>
      <w:r w:rsidR="00955F66" w:rsidRPr="003B4056">
        <w:rPr>
          <w:rFonts w:asciiTheme="majorHAnsi" w:hAnsiTheme="majorHAnsi"/>
          <w:bCs/>
          <w:sz w:val="24"/>
          <w:szCs w:val="24"/>
        </w:rPr>
        <w:t xml:space="preserve">Federal Highway Administration at </w:t>
      </w:r>
      <w:r w:rsidR="00320853">
        <w:rPr>
          <w:rFonts w:asciiTheme="majorHAnsi" w:hAnsiTheme="majorHAnsi"/>
          <w:bCs/>
          <w:sz w:val="24"/>
          <w:szCs w:val="24"/>
        </w:rPr>
        <w:t xml:space="preserve">the </w:t>
      </w:r>
      <w:r w:rsidR="00955F66" w:rsidRPr="003B4056">
        <w:rPr>
          <w:rFonts w:asciiTheme="majorHAnsi" w:hAnsiTheme="majorHAnsi"/>
          <w:bCs/>
          <w:sz w:val="24"/>
          <w:szCs w:val="24"/>
        </w:rPr>
        <w:t>U.S. Department of Transportation report</w:t>
      </w:r>
      <w:r w:rsidR="00320853">
        <w:rPr>
          <w:rFonts w:asciiTheme="majorHAnsi" w:hAnsiTheme="majorHAnsi"/>
          <w:bCs/>
          <w:sz w:val="24"/>
          <w:szCs w:val="24"/>
        </w:rPr>
        <w:t>ed</w:t>
      </w:r>
      <w:r w:rsidR="00955F66" w:rsidRPr="003B4056">
        <w:rPr>
          <w:rFonts w:asciiTheme="majorHAnsi" w:hAnsiTheme="majorHAnsi"/>
          <w:bCs/>
          <w:sz w:val="24"/>
          <w:szCs w:val="24"/>
        </w:rPr>
        <w:t xml:space="preserve"> that there were 2.2 million private and commercial automobiles (including taxicabs) registered in Massachusetts in 2018.</w:t>
      </w:r>
      <w:r w:rsidR="00955F66">
        <w:rPr>
          <w:rStyle w:val="FootnoteReference"/>
          <w:rFonts w:asciiTheme="majorHAnsi" w:hAnsiTheme="majorHAnsi"/>
          <w:bCs/>
          <w:sz w:val="24"/>
          <w:szCs w:val="24"/>
        </w:rPr>
        <w:footnoteReference w:id="3"/>
      </w:r>
    </w:p>
    <w:p w14:paraId="7B3C0808" w14:textId="77777777" w:rsidR="0075330A" w:rsidRDefault="0075330A" w:rsidP="00E17C2F">
      <w:pPr>
        <w:spacing w:after="0"/>
        <w:rPr>
          <w:rFonts w:asciiTheme="majorHAnsi" w:eastAsiaTheme="majorEastAsia" w:hAnsiTheme="majorHAnsi" w:cstheme="majorBidi"/>
          <w:bCs/>
          <w:color w:val="000000" w:themeColor="text1"/>
          <w:sz w:val="24"/>
          <w:szCs w:val="24"/>
        </w:rPr>
      </w:pPr>
    </w:p>
    <w:p w14:paraId="490D2406" w14:textId="77777777" w:rsidR="00291074" w:rsidRPr="00003FFA" w:rsidRDefault="00291074" w:rsidP="00291074">
      <w:pPr>
        <w:tabs>
          <w:tab w:val="left" w:pos="7050"/>
        </w:tabs>
        <w:spacing w:after="0"/>
        <w:rPr>
          <w:rFonts w:asciiTheme="majorHAnsi" w:hAnsiTheme="majorHAnsi"/>
          <w:b/>
          <w:sz w:val="24"/>
          <w:szCs w:val="24"/>
        </w:rPr>
      </w:pPr>
    </w:p>
    <w:p w14:paraId="182BE39B" w14:textId="77777777" w:rsidR="00291074" w:rsidRPr="00A07439" w:rsidRDefault="00291074" w:rsidP="00291074">
      <w:pPr>
        <w:tabs>
          <w:tab w:val="left" w:pos="7050"/>
        </w:tabs>
        <w:spacing w:after="0"/>
        <w:rPr>
          <w:rFonts w:asciiTheme="majorHAnsi" w:hAnsiTheme="majorHAnsi"/>
          <w:b/>
          <w:color w:val="E36C0A" w:themeColor="accent6" w:themeShade="BF"/>
          <w:sz w:val="28"/>
          <w:szCs w:val="28"/>
        </w:rPr>
      </w:pPr>
      <w:r w:rsidRPr="00A07439">
        <w:rPr>
          <w:rFonts w:asciiTheme="majorHAnsi" w:hAnsiTheme="majorHAnsi"/>
          <w:b/>
          <w:color w:val="E36C0A" w:themeColor="accent6" w:themeShade="BF"/>
          <w:sz w:val="28"/>
          <w:szCs w:val="28"/>
        </w:rPr>
        <w:t>EVALUATION:  COMPARING COSTS AND BENEFITS</w:t>
      </w:r>
    </w:p>
    <w:p w14:paraId="66C77A96" w14:textId="30828398" w:rsidR="00A47BE2" w:rsidRDefault="00A47BE2" w:rsidP="00A47BE2">
      <w:pPr>
        <w:tabs>
          <w:tab w:val="left" w:pos="7050"/>
        </w:tabs>
        <w:spacing w:after="0"/>
        <w:rPr>
          <w:rFonts w:asciiTheme="majorHAnsi" w:hAnsiTheme="majorHAnsi"/>
          <w:bCs/>
          <w:sz w:val="24"/>
          <w:szCs w:val="24"/>
        </w:rPr>
      </w:pPr>
      <w:r>
        <w:rPr>
          <w:rFonts w:asciiTheme="majorHAnsi" w:hAnsiTheme="majorHAnsi"/>
          <w:bCs/>
          <w:sz w:val="24"/>
          <w:szCs w:val="24"/>
        </w:rPr>
        <w:t>In the previous sections, we reported the direct costs (to the Commonwealth, or to the residents and businesses who ultimately bear the costs when the Commonwealth cuts government spending or increase</w:t>
      </w:r>
      <w:r w:rsidR="00B00293">
        <w:rPr>
          <w:rFonts w:asciiTheme="majorHAnsi" w:hAnsiTheme="majorHAnsi"/>
          <w:bCs/>
          <w:sz w:val="24"/>
          <w:szCs w:val="24"/>
        </w:rPr>
        <w:t>s</w:t>
      </w:r>
      <w:r>
        <w:rPr>
          <w:rFonts w:asciiTheme="majorHAnsi" w:hAnsiTheme="majorHAnsi"/>
          <w:bCs/>
          <w:sz w:val="24"/>
          <w:szCs w:val="24"/>
        </w:rPr>
        <w:t xml:space="preserve"> tax</w:t>
      </w:r>
      <w:r w:rsidR="00B00293">
        <w:rPr>
          <w:rFonts w:asciiTheme="majorHAnsi" w:hAnsiTheme="majorHAnsi"/>
          <w:bCs/>
          <w:sz w:val="24"/>
          <w:szCs w:val="24"/>
        </w:rPr>
        <w:t>es</w:t>
      </w:r>
      <w:r>
        <w:rPr>
          <w:rFonts w:asciiTheme="majorHAnsi" w:hAnsiTheme="majorHAnsi"/>
          <w:bCs/>
          <w:sz w:val="24"/>
          <w:szCs w:val="24"/>
        </w:rPr>
        <w:t xml:space="preserve"> to finance </w:t>
      </w:r>
      <w:r w:rsidR="00B00293">
        <w:rPr>
          <w:rFonts w:asciiTheme="majorHAnsi" w:hAnsiTheme="majorHAnsi"/>
          <w:bCs/>
          <w:sz w:val="24"/>
          <w:szCs w:val="24"/>
        </w:rPr>
        <w:t xml:space="preserve">the </w:t>
      </w:r>
      <w:r w:rsidR="00CA0A64">
        <w:rPr>
          <w:rFonts w:asciiTheme="majorHAnsi" w:hAnsiTheme="majorHAnsi"/>
          <w:bCs/>
          <w:sz w:val="24"/>
          <w:szCs w:val="24"/>
        </w:rPr>
        <w:t xml:space="preserve">sales tax exemption for </w:t>
      </w:r>
      <w:r w:rsidR="00557EAD">
        <w:rPr>
          <w:rFonts w:asciiTheme="majorHAnsi" w:hAnsiTheme="majorHAnsi"/>
          <w:bCs/>
          <w:sz w:val="24"/>
          <w:szCs w:val="24"/>
        </w:rPr>
        <w:t>motor fuels</w:t>
      </w:r>
      <w:r>
        <w:rPr>
          <w:rFonts w:asciiTheme="majorHAnsi" w:hAnsiTheme="majorHAnsi"/>
          <w:bCs/>
          <w:sz w:val="24"/>
          <w:szCs w:val="24"/>
        </w:rPr>
        <w:t xml:space="preserve">) and direct benefits (to </w:t>
      </w:r>
      <w:r w:rsidR="00CA0A64">
        <w:rPr>
          <w:rFonts w:asciiTheme="majorHAnsi" w:hAnsiTheme="majorHAnsi"/>
          <w:bCs/>
          <w:sz w:val="24"/>
          <w:szCs w:val="24"/>
        </w:rPr>
        <w:t xml:space="preserve">buyers and sellers of </w:t>
      </w:r>
      <w:r w:rsidR="001B6F26">
        <w:rPr>
          <w:rFonts w:asciiTheme="majorHAnsi" w:hAnsiTheme="majorHAnsi"/>
          <w:bCs/>
          <w:sz w:val="24"/>
          <w:szCs w:val="24"/>
        </w:rPr>
        <w:t>motor fuels</w:t>
      </w:r>
      <w:r w:rsidR="00CA0A64">
        <w:rPr>
          <w:rFonts w:asciiTheme="majorHAnsi" w:hAnsiTheme="majorHAnsi"/>
          <w:bCs/>
          <w:sz w:val="24"/>
          <w:szCs w:val="24"/>
        </w:rPr>
        <w:t xml:space="preserve"> at </w:t>
      </w:r>
      <w:r w:rsidR="00B00293">
        <w:rPr>
          <w:rFonts w:asciiTheme="majorHAnsi" w:hAnsiTheme="majorHAnsi"/>
          <w:bCs/>
          <w:sz w:val="24"/>
          <w:szCs w:val="24"/>
        </w:rPr>
        <w:t xml:space="preserve">the </w:t>
      </w:r>
      <w:r w:rsidR="00CA0A64">
        <w:rPr>
          <w:rFonts w:asciiTheme="majorHAnsi" w:hAnsiTheme="majorHAnsi"/>
          <w:bCs/>
          <w:sz w:val="24"/>
          <w:szCs w:val="24"/>
        </w:rPr>
        <w:t xml:space="preserve">retail </w:t>
      </w:r>
      <w:r w:rsidR="00B00293">
        <w:rPr>
          <w:rFonts w:asciiTheme="majorHAnsi" w:hAnsiTheme="majorHAnsi"/>
          <w:bCs/>
          <w:sz w:val="24"/>
          <w:szCs w:val="24"/>
        </w:rPr>
        <w:t>level</w:t>
      </w:r>
      <w:r>
        <w:rPr>
          <w:rFonts w:asciiTheme="majorHAnsi" w:hAnsiTheme="majorHAnsi"/>
          <w:bCs/>
          <w:sz w:val="24"/>
          <w:szCs w:val="24"/>
        </w:rPr>
        <w:t>) of this tax expenditure. Since the direct costs to the Commonwealth are the direct benefits to taxpayers, they are equal.</w:t>
      </w:r>
    </w:p>
    <w:p w14:paraId="0DB6BF10" w14:textId="77777777" w:rsidR="00A47BE2" w:rsidRDefault="00A47BE2" w:rsidP="00A47BE2">
      <w:pPr>
        <w:tabs>
          <w:tab w:val="left" w:pos="7050"/>
        </w:tabs>
        <w:spacing w:after="0"/>
        <w:rPr>
          <w:rFonts w:asciiTheme="majorHAnsi" w:hAnsiTheme="majorHAnsi"/>
          <w:bCs/>
          <w:sz w:val="24"/>
          <w:szCs w:val="24"/>
        </w:rPr>
      </w:pPr>
    </w:p>
    <w:p w14:paraId="36CC71E0" w14:textId="260E1F2A" w:rsidR="00A47BE2" w:rsidRDefault="00A47BE2" w:rsidP="00A47BE2">
      <w:pPr>
        <w:tabs>
          <w:tab w:val="left" w:pos="7050"/>
        </w:tabs>
        <w:spacing w:after="0"/>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bCs/>
          <w:color w:val="000000" w:themeColor="text1"/>
          <w:sz w:val="24"/>
          <w:szCs w:val="24"/>
        </w:rPr>
        <w:t>However, when looking at the broader economy, there are, in addition to direct impacts, indirect and induced impacts on other residents and businesses in Massachusetts</w:t>
      </w:r>
      <w:r w:rsidR="00CA0A64">
        <w:rPr>
          <w:rFonts w:asciiTheme="majorHAnsi" w:eastAsiaTheme="majorEastAsia" w:hAnsiTheme="majorHAnsi" w:cstheme="majorBidi"/>
          <w:bCs/>
          <w:color w:val="000000" w:themeColor="text1"/>
          <w:sz w:val="24"/>
          <w:szCs w:val="24"/>
        </w:rPr>
        <w:t xml:space="preserve">, such as </w:t>
      </w:r>
      <w:r w:rsidR="00CA0A64">
        <w:rPr>
          <w:rFonts w:asciiTheme="majorHAnsi" w:eastAsiaTheme="majorEastAsia" w:hAnsiTheme="majorHAnsi" w:cstheme="majorBidi"/>
          <w:bCs/>
          <w:color w:val="000000" w:themeColor="text1"/>
          <w:sz w:val="24"/>
          <w:szCs w:val="24"/>
        </w:rPr>
        <w:lastRenderedPageBreak/>
        <w:t xml:space="preserve">wholesalers, importers, </w:t>
      </w:r>
      <w:r w:rsidR="00C14A91">
        <w:rPr>
          <w:rFonts w:asciiTheme="majorHAnsi" w:eastAsiaTheme="majorEastAsia" w:hAnsiTheme="majorHAnsi" w:cstheme="majorBidi"/>
          <w:bCs/>
          <w:color w:val="000000" w:themeColor="text1"/>
          <w:sz w:val="24"/>
          <w:szCs w:val="24"/>
        </w:rPr>
        <w:t xml:space="preserve">and </w:t>
      </w:r>
      <w:r w:rsidR="00CA0A64">
        <w:rPr>
          <w:rFonts w:asciiTheme="majorHAnsi" w:eastAsiaTheme="majorEastAsia" w:hAnsiTheme="majorHAnsi" w:cstheme="majorBidi"/>
          <w:bCs/>
          <w:color w:val="000000" w:themeColor="text1"/>
          <w:sz w:val="24"/>
          <w:szCs w:val="24"/>
        </w:rPr>
        <w:t xml:space="preserve">producers of </w:t>
      </w:r>
      <w:r w:rsidR="001B6F26">
        <w:rPr>
          <w:rFonts w:asciiTheme="majorHAnsi" w:eastAsiaTheme="majorEastAsia" w:hAnsiTheme="majorHAnsi" w:cstheme="majorBidi"/>
          <w:bCs/>
          <w:color w:val="000000" w:themeColor="text1"/>
          <w:sz w:val="24"/>
          <w:szCs w:val="24"/>
        </w:rPr>
        <w:t>motor fuels</w:t>
      </w:r>
      <w:r w:rsidR="00CA0A64">
        <w:rPr>
          <w:rFonts w:asciiTheme="majorHAnsi" w:eastAsiaTheme="majorEastAsia" w:hAnsiTheme="majorHAnsi" w:cstheme="majorBidi"/>
          <w:bCs/>
          <w:color w:val="000000" w:themeColor="text1"/>
          <w:sz w:val="24"/>
          <w:szCs w:val="24"/>
        </w:rPr>
        <w:t>, as well as other individuals and businesses</w:t>
      </w:r>
      <w:r>
        <w:rPr>
          <w:rFonts w:asciiTheme="majorHAnsi" w:eastAsiaTheme="majorEastAsia" w:hAnsiTheme="majorHAnsi" w:cstheme="majorBidi"/>
          <w:bCs/>
          <w:color w:val="000000" w:themeColor="text1"/>
          <w:sz w:val="24"/>
          <w:szCs w:val="24"/>
        </w:rPr>
        <w:t xml:space="preserve">. See </w:t>
      </w:r>
      <w:r w:rsidR="00E37E4F">
        <w:rPr>
          <w:rFonts w:asciiTheme="majorHAnsi" w:eastAsiaTheme="majorEastAsia" w:hAnsiTheme="majorHAnsi" w:cstheme="majorBidi"/>
          <w:bCs/>
          <w:color w:val="000000" w:themeColor="text1"/>
          <w:sz w:val="24"/>
          <w:szCs w:val="24"/>
        </w:rPr>
        <w:t xml:space="preserve">the </w:t>
      </w:r>
      <w:r w:rsidR="006D37B1">
        <w:rPr>
          <w:rFonts w:asciiTheme="majorHAnsi" w:eastAsiaTheme="majorEastAsia" w:hAnsiTheme="majorHAnsi" w:cstheme="majorBidi"/>
          <w:bCs/>
          <w:color w:val="000000" w:themeColor="text1"/>
          <w:sz w:val="24"/>
          <w:szCs w:val="24"/>
        </w:rPr>
        <w:t>A</w:t>
      </w:r>
      <w:r>
        <w:rPr>
          <w:rFonts w:asciiTheme="majorHAnsi" w:eastAsiaTheme="majorEastAsia" w:hAnsiTheme="majorHAnsi" w:cstheme="majorBidi"/>
          <w:bCs/>
          <w:color w:val="000000" w:themeColor="text1"/>
          <w:sz w:val="24"/>
          <w:szCs w:val="24"/>
        </w:rPr>
        <w:t>ppendix for more discussion.</w:t>
      </w:r>
    </w:p>
    <w:p w14:paraId="695BE24B" w14:textId="77777777" w:rsidR="00D62DBC" w:rsidRDefault="00D62DBC" w:rsidP="00A47BE2">
      <w:pPr>
        <w:tabs>
          <w:tab w:val="left" w:pos="7050"/>
        </w:tabs>
        <w:spacing w:after="0"/>
        <w:rPr>
          <w:rFonts w:asciiTheme="majorHAnsi" w:hAnsiTheme="majorHAnsi"/>
          <w:bCs/>
          <w:sz w:val="24"/>
          <w:szCs w:val="24"/>
        </w:rPr>
      </w:pPr>
    </w:p>
    <w:p w14:paraId="5C396688" w14:textId="19FF3177" w:rsidR="00A47BE2" w:rsidRDefault="00A47BE2" w:rsidP="00A47BE2">
      <w:pPr>
        <w:spacing w:after="0"/>
        <w:rPr>
          <w:rFonts w:asciiTheme="majorHAnsi" w:hAnsiTheme="majorHAnsi"/>
          <w:bCs/>
          <w:sz w:val="24"/>
          <w:szCs w:val="23"/>
        </w:rPr>
      </w:pPr>
      <w:r w:rsidRPr="00DF1213">
        <w:rPr>
          <w:rFonts w:asciiTheme="majorHAnsi" w:eastAsiaTheme="majorEastAsia" w:hAnsiTheme="majorHAnsi" w:cstheme="majorBidi"/>
          <w:bCs/>
          <w:color w:val="000000" w:themeColor="text1"/>
          <w:sz w:val="24"/>
          <w:szCs w:val="24"/>
        </w:rPr>
        <w:t xml:space="preserve">To </w:t>
      </w:r>
      <w:r>
        <w:rPr>
          <w:rFonts w:asciiTheme="majorHAnsi" w:eastAsiaTheme="majorEastAsia" w:hAnsiTheme="majorHAnsi" w:cstheme="majorBidi"/>
          <w:bCs/>
          <w:color w:val="000000" w:themeColor="text1"/>
          <w:sz w:val="24"/>
          <w:szCs w:val="24"/>
        </w:rPr>
        <w:t>determine the net impact of the tax expenditure, i.e., the total benefits (including direct, indirect and induced benefits) offset by the total costs (including direct, indirect and induced costs)</w:t>
      </w:r>
      <w:r w:rsidRPr="00DF1213">
        <w:rPr>
          <w:rFonts w:asciiTheme="majorHAnsi" w:eastAsiaTheme="majorEastAsia" w:hAnsiTheme="majorHAnsi" w:cstheme="majorBidi"/>
          <w:bCs/>
          <w:color w:val="000000" w:themeColor="text1"/>
          <w:sz w:val="24"/>
          <w:szCs w:val="24"/>
        </w:rPr>
        <w:t xml:space="preserve">, we employed </w:t>
      </w:r>
      <w:r>
        <w:rPr>
          <w:rFonts w:asciiTheme="majorHAnsi" w:eastAsiaTheme="majorEastAsia" w:hAnsiTheme="majorHAnsi" w:cstheme="majorBidi"/>
          <w:bCs/>
          <w:color w:val="000000" w:themeColor="text1"/>
          <w:sz w:val="24"/>
          <w:szCs w:val="24"/>
        </w:rPr>
        <w:t>the model of “</w:t>
      </w:r>
      <w:r w:rsidRPr="00DF1213">
        <w:rPr>
          <w:rFonts w:asciiTheme="majorHAnsi" w:eastAsiaTheme="majorEastAsia" w:hAnsiTheme="majorHAnsi" w:cstheme="majorBidi"/>
          <w:bCs/>
          <w:color w:val="000000" w:themeColor="text1"/>
          <w:sz w:val="24"/>
          <w:szCs w:val="24"/>
        </w:rPr>
        <w:t>Tax-PI</w:t>
      </w:r>
      <w:r>
        <w:rPr>
          <w:rFonts w:asciiTheme="majorHAnsi" w:eastAsiaTheme="majorEastAsia" w:hAnsiTheme="majorHAnsi" w:cstheme="majorBidi"/>
          <w:bCs/>
          <w:color w:val="000000" w:themeColor="text1"/>
          <w:sz w:val="24"/>
          <w:szCs w:val="24"/>
        </w:rPr>
        <w:t>” developed by Regional Economic Models Incorporated (“REMI”).</w:t>
      </w:r>
      <w:r>
        <w:rPr>
          <w:rStyle w:val="FootnoteReference"/>
          <w:rFonts w:asciiTheme="majorHAnsi" w:eastAsiaTheme="majorEastAsia" w:hAnsiTheme="majorHAnsi"/>
          <w:bCs/>
          <w:color w:val="000000" w:themeColor="text1"/>
          <w:sz w:val="24"/>
          <w:szCs w:val="24"/>
        </w:rPr>
        <w:footnoteReference w:id="4"/>
      </w:r>
      <w:r>
        <w:rPr>
          <w:rFonts w:asciiTheme="majorHAnsi" w:eastAsiaTheme="majorEastAsia" w:hAnsiTheme="majorHAnsi" w:cstheme="majorBidi"/>
          <w:bCs/>
          <w:color w:val="000000" w:themeColor="text1"/>
          <w:sz w:val="24"/>
          <w:szCs w:val="24"/>
        </w:rPr>
        <w:t xml:space="preserve">  See </w:t>
      </w:r>
      <w:r w:rsidR="00E37E4F">
        <w:rPr>
          <w:rFonts w:asciiTheme="majorHAnsi" w:eastAsiaTheme="majorEastAsia" w:hAnsiTheme="majorHAnsi" w:cstheme="majorBidi"/>
          <w:bCs/>
          <w:color w:val="000000" w:themeColor="text1"/>
          <w:sz w:val="24"/>
          <w:szCs w:val="24"/>
        </w:rPr>
        <w:t xml:space="preserve">the </w:t>
      </w:r>
      <w:r w:rsidR="006D37B1">
        <w:rPr>
          <w:rFonts w:asciiTheme="majorHAnsi" w:eastAsiaTheme="majorEastAsia" w:hAnsiTheme="majorHAnsi" w:cstheme="majorBidi"/>
          <w:bCs/>
          <w:color w:val="000000" w:themeColor="text1"/>
          <w:sz w:val="24"/>
          <w:szCs w:val="24"/>
        </w:rPr>
        <w:t xml:space="preserve">Appendix </w:t>
      </w:r>
      <w:r>
        <w:rPr>
          <w:rFonts w:asciiTheme="majorHAnsi" w:eastAsiaTheme="majorEastAsia" w:hAnsiTheme="majorHAnsi" w:cstheme="majorBidi"/>
          <w:bCs/>
          <w:color w:val="000000" w:themeColor="text1"/>
          <w:sz w:val="24"/>
          <w:szCs w:val="24"/>
        </w:rPr>
        <w:t>for details.</w:t>
      </w:r>
    </w:p>
    <w:p w14:paraId="211F462D" w14:textId="77777777" w:rsidR="00A47BE2" w:rsidRDefault="00A47BE2" w:rsidP="00B33952">
      <w:pPr>
        <w:tabs>
          <w:tab w:val="left" w:pos="7050"/>
        </w:tabs>
        <w:spacing w:after="0"/>
        <w:rPr>
          <w:rFonts w:asciiTheme="majorHAnsi" w:hAnsiTheme="majorHAnsi"/>
          <w:bCs/>
          <w:sz w:val="24"/>
          <w:szCs w:val="23"/>
        </w:rPr>
      </w:pPr>
    </w:p>
    <w:p w14:paraId="28329CD3" w14:textId="6E197480" w:rsidR="005C0E39" w:rsidRDefault="00A47BE2" w:rsidP="005C0E39">
      <w:pPr>
        <w:tabs>
          <w:tab w:val="left" w:pos="7050"/>
        </w:tabs>
        <w:spacing w:after="0"/>
        <w:rPr>
          <w:rFonts w:asciiTheme="majorHAnsi" w:hAnsiTheme="majorHAnsi"/>
          <w:bCs/>
          <w:sz w:val="24"/>
          <w:szCs w:val="23"/>
        </w:rPr>
      </w:pPr>
      <w:r>
        <w:rPr>
          <w:rFonts w:asciiTheme="majorHAnsi" w:hAnsiTheme="majorHAnsi"/>
          <w:bCs/>
          <w:sz w:val="24"/>
          <w:szCs w:val="23"/>
        </w:rPr>
        <w:t xml:space="preserve">The estimated net impact of the tax expenditure for fiscal years 2018 through 2022 are shown in </w:t>
      </w:r>
      <w:r w:rsidRPr="00A76DAE">
        <w:rPr>
          <w:rFonts w:asciiTheme="majorHAnsi" w:hAnsiTheme="majorHAnsi"/>
          <w:bCs/>
          <w:sz w:val="24"/>
          <w:szCs w:val="23"/>
        </w:rPr>
        <w:t xml:space="preserve">Tables </w:t>
      </w:r>
      <w:r w:rsidR="00A3769A">
        <w:rPr>
          <w:rFonts w:asciiTheme="majorHAnsi" w:hAnsiTheme="majorHAnsi"/>
          <w:bCs/>
          <w:sz w:val="24"/>
          <w:szCs w:val="23"/>
        </w:rPr>
        <w:t>3</w:t>
      </w:r>
      <w:r w:rsidR="00A3769A" w:rsidRPr="00A76DAE">
        <w:rPr>
          <w:rFonts w:asciiTheme="majorHAnsi" w:hAnsiTheme="majorHAnsi"/>
          <w:bCs/>
          <w:sz w:val="24"/>
          <w:szCs w:val="23"/>
        </w:rPr>
        <w:t xml:space="preserve"> </w:t>
      </w:r>
      <w:r w:rsidRPr="00A76DAE">
        <w:rPr>
          <w:rFonts w:asciiTheme="majorHAnsi" w:hAnsiTheme="majorHAnsi"/>
          <w:bCs/>
          <w:sz w:val="24"/>
          <w:szCs w:val="23"/>
        </w:rPr>
        <w:t xml:space="preserve">and </w:t>
      </w:r>
      <w:r w:rsidR="00A3769A">
        <w:rPr>
          <w:rFonts w:asciiTheme="majorHAnsi" w:hAnsiTheme="majorHAnsi"/>
          <w:bCs/>
          <w:sz w:val="24"/>
          <w:szCs w:val="23"/>
        </w:rPr>
        <w:t>4</w:t>
      </w:r>
      <w:r>
        <w:rPr>
          <w:rFonts w:asciiTheme="majorHAnsi" w:hAnsiTheme="majorHAnsi"/>
          <w:bCs/>
          <w:sz w:val="24"/>
          <w:szCs w:val="23"/>
        </w:rPr>
        <w:t>.  As</w:t>
      </w:r>
      <w:r w:rsidRPr="00A76DAE">
        <w:rPr>
          <w:rFonts w:asciiTheme="majorHAnsi" w:hAnsiTheme="majorHAnsi"/>
          <w:bCs/>
          <w:sz w:val="24"/>
          <w:szCs w:val="23"/>
        </w:rPr>
        <w:t xml:space="preserve"> show</w:t>
      </w:r>
      <w:r>
        <w:rPr>
          <w:rFonts w:asciiTheme="majorHAnsi" w:hAnsiTheme="majorHAnsi"/>
          <w:bCs/>
          <w:sz w:val="24"/>
          <w:szCs w:val="23"/>
        </w:rPr>
        <w:t>n,</w:t>
      </w:r>
      <w:r w:rsidRPr="00A76DAE">
        <w:rPr>
          <w:rFonts w:asciiTheme="majorHAnsi" w:hAnsiTheme="majorHAnsi"/>
          <w:bCs/>
          <w:sz w:val="24"/>
          <w:szCs w:val="23"/>
        </w:rPr>
        <w:t xml:space="preserve"> the </w:t>
      </w:r>
      <w:r w:rsidR="00CA0A64">
        <w:rPr>
          <w:rFonts w:asciiTheme="majorHAnsi" w:hAnsiTheme="majorHAnsi"/>
          <w:bCs/>
          <w:sz w:val="24"/>
          <w:szCs w:val="24"/>
        </w:rPr>
        <w:t>sales tax exemption</w:t>
      </w:r>
      <w:r w:rsidR="003520B6" w:rsidRPr="00A76DAE">
        <w:rPr>
          <w:rFonts w:asciiTheme="majorHAnsi" w:hAnsiTheme="majorHAnsi"/>
          <w:bCs/>
          <w:sz w:val="24"/>
          <w:szCs w:val="23"/>
        </w:rPr>
        <w:t xml:space="preserve"> </w:t>
      </w:r>
      <w:r w:rsidR="00CA0A64">
        <w:rPr>
          <w:rFonts w:asciiTheme="majorHAnsi" w:hAnsiTheme="majorHAnsi"/>
          <w:bCs/>
          <w:sz w:val="24"/>
          <w:szCs w:val="24"/>
        </w:rPr>
        <w:t xml:space="preserve">for </w:t>
      </w:r>
      <w:r w:rsidR="005C0E39">
        <w:rPr>
          <w:rFonts w:asciiTheme="majorHAnsi" w:hAnsiTheme="majorHAnsi"/>
          <w:bCs/>
          <w:sz w:val="24"/>
          <w:szCs w:val="24"/>
        </w:rPr>
        <w:t>motor fuels</w:t>
      </w:r>
      <w:r w:rsidR="00CA0A64" w:rsidRPr="00A76DAE">
        <w:rPr>
          <w:rFonts w:asciiTheme="majorHAnsi" w:hAnsiTheme="majorHAnsi"/>
          <w:bCs/>
          <w:sz w:val="24"/>
          <w:szCs w:val="23"/>
        </w:rPr>
        <w:t xml:space="preserve"> </w:t>
      </w:r>
      <w:r w:rsidRPr="00A76DAE">
        <w:rPr>
          <w:rFonts w:asciiTheme="majorHAnsi" w:hAnsiTheme="majorHAnsi"/>
          <w:bCs/>
          <w:sz w:val="24"/>
          <w:szCs w:val="23"/>
        </w:rPr>
        <w:t xml:space="preserve">combined with a cut in state government spending results in less economic </w:t>
      </w:r>
      <w:r w:rsidR="00C14A91" w:rsidRPr="00A76DAE">
        <w:rPr>
          <w:rFonts w:asciiTheme="majorHAnsi" w:hAnsiTheme="majorHAnsi"/>
          <w:bCs/>
          <w:sz w:val="24"/>
          <w:szCs w:val="23"/>
        </w:rPr>
        <w:t>activit</w:t>
      </w:r>
      <w:r w:rsidR="00C14A91">
        <w:rPr>
          <w:rFonts w:asciiTheme="majorHAnsi" w:hAnsiTheme="majorHAnsi"/>
          <w:bCs/>
          <w:sz w:val="24"/>
          <w:szCs w:val="23"/>
        </w:rPr>
        <w:t>y</w:t>
      </w:r>
      <w:r w:rsidRPr="00A76DAE">
        <w:rPr>
          <w:rFonts w:asciiTheme="majorHAnsi" w:hAnsiTheme="majorHAnsi"/>
          <w:bCs/>
          <w:sz w:val="24"/>
          <w:szCs w:val="23"/>
        </w:rPr>
        <w:t xml:space="preserve">, with real state GDP </w:t>
      </w:r>
      <w:r w:rsidR="005C0E39" w:rsidRPr="00A76DAE">
        <w:rPr>
          <w:rFonts w:asciiTheme="majorHAnsi" w:hAnsiTheme="majorHAnsi"/>
          <w:bCs/>
          <w:sz w:val="24"/>
          <w:szCs w:val="23"/>
        </w:rPr>
        <w:t>decreasing</w:t>
      </w:r>
      <w:r w:rsidR="005C0E39">
        <w:rPr>
          <w:rFonts w:asciiTheme="majorHAnsi" w:hAnsiTheme="majorHAnsi"/>
          <w:bCs/>
          <w:sz w:val="24"/>
          <w:szCs w:val="23"/>
        </w:rPr>
        <w:t xml:space="preserve"> by $45 million-</w:t>
      </w:r>
      <w:r w:rsidR="005C0E39" w:rsidRPr="00A76DAE">
        <w:rPr>
          <w:rFonts w:asciiTheme="majorHAnsi" w:hAnsiTheme="majorHAnsi"/>
          <w:bCs/>
          <w:sz w:val="24"/>
          <w:szCs w:val="23"/>
        </w:rPr>
        <w:t>$</w:t>
      </w:r>
      <w:r w:rsidR="005C0E39">
        <w:rPr>
          <w:rFonts w:asciiTheme="majorHAnsi" w:hAnsiTheme="majorHAnsi"/>
          <w:bCs/>
          <w:sz w:val="24"/>
          <w:szCs w:val="23"/>
        </w:rPr>
        <w:t>385</w:t>
      </w:r>
      <w:r w:rsidR="005C0E39" w:rsidRPr="00A76DAE">
        <w:rPr>
          <w:rFonts w:asciiTheme="majorHAnsi" w:hAnsiTheme="majorHAnsi"/>
          <w:bCs/>
          <w:sz w:val="24"/>
          <w:szCs w:val="23"/>
        </w:rPr>
        <w:t xml:space="preserve"> million. The net impact on total employment is negative</w:t>
      </w:r>
      <w:r w:rsidR="005C0E39">
        <w:rPr>
          <w:rFonts w:asciiTheme="majorHAnsi" w:hAnsiTheme="majorHAnsi"/>
          <w:bCs/>
          <w:sz w:val="24"/>
          <w:szCs w:val="23"/>
        </w:rPr>
        <w:t>,</w:t>
      </w:r>
      <w:r w:rsidR="005C0E39" w:rsidRPr="00A76DAE">
        <w:rPr>
          <w:rFonts w:asciiTheme="majorHAnsi" w:hAnsiTheme="majorHAnsi"/>
          <w:bCs/>
          <w:sz w:val="24"/>
          <w:szCs w:val="23"/>
        </w:rPr>
        <w:t xml:space="preserve"> decreasing </w:t>
      </w:r>
      <w:r w:rsidR="005C0E39">
        <w:rPr>
          <w:rFonts w:asciiTheme="majorHAnsi" w:hAnsiTheme="majorHAnsi"/>
          <w:bCs/>
          <w:sz w:val="24"/>
          <w:szCs w:val="23"/>
        </w:rPr>
        <w:t>by 738 – 4,323</w:t>
      </w:r>
      <w:r w:rsidR="005C0E39" w:rsidRPr="000C715E">
        <w:rPr>
          <w:rFonts w:asciiTheme="majorHAnsi" w:hAnsiTheme="majorHAnsi"/>
          <w:bCs/>
          <w:sz w:val="24"/>
          <w:szCs w:val="23"/>
        </w:rPr>
        <w:t xml:space="preserve"> </w:t>
      </w:r>
      <w:r w:rsidR="005C0E39">
        <w:rPr>
          <w:rFonts w:asciiTheme="majorHAnsi" w:hAnsiTheme="majorHAnsi"/>
          <w:bCs/>
          <w:sz w:val="24"/>
          <w:szCs w:val="23"/>
        </w:rPr>
        <w:t xml:space="preserve">jobs </w:t>
      </w:r>
      <w:r w:rsidR="005C0E39" w:rsidRPr="00A76DAE">
        <w:rPr>
          <w:rFonts w:asciiTheme="majorHAnsi" w:hAnsiTheme="majorHAnsi"/>
          <w:bCs/>
          <w:sz w:val="24"/>
          <w:szCs w:val="23"/>
        </w:rPr>
        <w:t xml:space="preserve">annually. The </w:t>
      </w:r>
      <w:r w:rsidR="005C0E39">
        <w:rPr>
          <w:rFonts w:asciiTheme="majorHAnsi" w:hAnsiTheme="majorHAnsi"/>
          <w:bCs/>
          <w:sz w:val="24"/>
          <w:szCs w:val="23"/>
        </w:rPr>
        <w:t xml:space="preserve">net additional </w:t>
      </w:r>
      <w:r w:rsidR="005C0E39" w:rsidRPr="00A76DAE">
        <w:rPr>
          <w:rFonts w:asciiTheme="majorHAnsi" w:hAnsiTheme="majorHAnsi"/>
          <w:bCs/>
          <w:sz w:val="24"/>
          <w:szCs w:val="23"/>
        </w:rPr>
        <w:t xml:space="preserve">impact on </w:t>
      </w:r>
      <w:r w:rsidR="005C0E39">
        <w:rPr>
          <w:rFonts w:asciiTheme="majorHAnsi" w:hAnsiTheme="majorHAnsi"/>
          <w:bCs/>
          <w:sz w:val="24"/>
          <w:szCs w:val="23"/>
        </w:rPr>
        <w:t xml:space="preserve">state </w:t>
      </w:r>
      <w:r w:rsidR="005C0E39" w:rsidRPr="00A76DAE">
        <w:rPr>
          <w:rFonts w:asciiTheme="majorHAnsi" w:hAnsiTheme="majorHAnsi"/>
          <w:bCs/>
          <w:sz w:val="24"/>
          <w:szCs w:val="23"/>
        </w:rPr>
        <w:t>revenues</w:t>
      </w:r>
      <w:r w:rsidR="00593A22">
        <w:rPr>
          <w:rStyle w:val="FootnoteReference"/>
          <w:rFonts w:asciiTheme="majorHAnsi" w:hAnsiTheme="majorHAnsi"/>
          <w:bCs/>
          <w:sz w:val="24"/>
          <w:szCs w:val="23"/>
        </w:rPr>
        <w:footnoteReference w:id="5"/>
      </w:r>
      <w:r w:rsidR="005C0E39" w:rsidRPr="00A76DAE">
        <w:rPr>
          <w:rFonts w:asciiTheme="majorHAnsi" w:hAnsiTheme="majorHAnsi"/>
          <w:bCs/>
          <w:sz w:val="24"/>
          <w:szCs w:val="23"/>
        </w:rPr>
        <w:t xml:space="preserve"> is </w:t>
      </w:r>
      <w:r w:rsidR="005C0E39">
        <w:rPr>
          <w:rFonts w:asciiTheme="majorHAnsi" w:hAnsiTheme="majorHAnsi"/>
          <w:bCs/>
          <w:sz w:val="24"/>
          <w:szCs w:val="23"/>
        </w:rPr>
        <w:t>posi</w:t>
      </w:r>
      <w:r w:rsidR="005C0E39" w:rsidRPr="00A76DAE">
        <w:rPr>
          <w:rFonts w:asciiTheme="majorHAnsi" w:hAnsiTheme="majorHAnsi"/>
          <w:bCs/>
          <w:sz w:val="24"/>
          <w:szCs w:val="23"/>
        </w:rPr>
        <w:t xml:space="preserve">tive, </w:t>
      </w:r>
      <w:r w:rsidR="005C0E39">
        <w:rPr>
          <w:rFonts w:asciiTheme="majorHAnsi" w:hAnsiTheme="majorHAnsi"/>
          <w:bCs/>
          <w:sz w:val="24"/>
          <w:szCs w:val="23"/>
        </w:rPr>
        <w:t>in</w:t>
      </w:r>
      <w:r w:rsidR="005C0E39" w:rsidRPr="00A76DAE">
        <w:rPr>
          <w:rFonts w:asciiTheme="majorHAnsi" w:hAnsiTheme="majorHAnsi"/>
          <w:bCs/>
          <w:sz w:val="24"/>
          <w:szCs w:val="23"/>
        </w:rPr>
        <w:t xml:space="preserve">creasing </w:t>
      </w:r>
      <w:r w:rsidR="005C0E39">
        <w:rPr>
          <w:rFonts w:asciiTheme="majorHAnsi" w:hAnsiTheme="majorHAnsi"/>
          <w:bCs/>
          <w:sz w:val="24"/>
          <w:szCs w:val="23"/>
        </w:rPr>
        <w:t>by</w:t>
      </w:r>
      <w:r w:rsidR="005C0E39" w:rsidRPr="00A76DAE">
        <w:rPr>
          <w:rFonts w:asciiTheme="majorHAnsi" w:hAnsiTheme="majorHAnsi"/>
          <w:bCs/>
          <w:sz w:val="24"/>
          <w:szCs w:val="23"/>
        </w:rPr>
        <w:t xml:space="preserve"> </w:t>
      </w:r>
      <w:r w:rsidR="005C0E39" w:rsidRPr="000C715E">
        <w:rPr>
          <w:rFonts w:asciiTheme="majorHAnsi" w:hAnsiTheme="majorHAnsi"/>
          <w:bCs/>
          <w:sz w:val="24"/>
          <w:szCs w:val="23"/>
        </w:rPr>
        <w:t>$</w:t>
      </w:r>
      <w:r w:rsidR="005C0E39">
        <w:rPr>
          <w:rFonts w:asciiTheme="majorHAnsi" w:hAnsiTheme="majorHAnsi"/>
          <w:bCs/>
          <w:sz w:val="24"/>
          <w:szCs w:val="23"/>
        </w:rPr>
        <w:t>27.2</w:t>
      </w:r>
      <w:r w:rsidR="005C0E39" w:rsidRPr="000C715E">
        <w:rPr>
          <w:rFonts w:asciiTheme="majorHAnsi" w:hAnsiTheme="majorHAnsi"/>
          <w:bCs/>
          <w:sz w:val="24"/>
          <w:szCs w:val="23"/>
        </w:rPr>
        <w:t xml:space="preserve"> million to $</w:t>
      </w:r>
      <w:r w:rsidR="005C0E39">
        <w:rPr>
          <w:rFonts w:asciiTheme="majorHAnsi" w:hAnsiTheme="majorHAnsi"/>
          <w:bCs/>
          <w:sz w:val="24"/>
          <w:szCs w:val="23"/>
        </w:rPr>
        <w:t>69.5</w:t>
      </w:r>
      <w:r w:rsidR="005C0E39" w:rsidRPr="000C715E">
        <w:rPr>
          <w:rFonts w:asciiTheme="majorHAnsi" w:hAnsiTheme="majorHAnsi"/>
          <w:bCs/>
          <w:sz w:val="24"/>
          <w:szCs w:val="23"/>
        </w:rPr>
        <w:t xml:space="preserve"> </w:t>
      </w:r>
      <w:r w:rsidR="005C0E39" w:rsidRPr="00A76DAE">
        <w:rPr>
          <w:rFonts w:asciiTheme="majorHAnsi" w:hAnsiTheme="majorHAnsi"/>
          <w:bCs/>
          <w:sz w:val="24"/>
          <w:szCs w:val="23"/>
        </w:rPr>
        <w:t>million annually.</w:t>
      </w:r>
    </w:p>
    <w:p w14:paraId="7EBB6FE0" w14:textId="4075DECD" w:rsidR="00D62DBC" w:rsidRDefault="00D62DBC" w:rsidP="005C0E39">
      <w:pPr>
        <w:tabs>
          <w:tab w:val="left" w:pos="7050"/>
        </w:tabs>
        <w:spacing w:after="0"/>
        <w:rPr>
          <w:rFonts w:asciiTheme="majorHAnsi" w:hAnsiTheme="majorHAnsi"/>
          <w:bCs/>
          <w:sz w:val="24"/>
          <w:szCs w:val="23"/>
        </w:rPr>
      </w:pPr>
    </w:p>
    <w:p w14:paraId="3E7C6586" w14:textId="4D339823" w:rsidR="00D62DBC" w:rsidRDefault="00D62DBC" w:rsidP="00D62DBC">
      <w:pPr>
        <w:tabs>
          <w:tab w:val="left" w:pos="7050"/>
        </w:tabs>
        <w:spacing w:after="0"/>
        <w:rPr>
          <w:rFonts w:asciiTheme="majorHAnsi" w:hAnsiTheme="majorHAnsi"/>
          <w:bCs/>
          <w:sz w:val="24"/>
          <w:szCs w:val="23"/>
        </w:rPr>
      </w:pPr>
      <w:r>
        <w:rPr>
          <w:rFonts w:asciiTheme="majorHAnsi" w:hAnsiTheme="majorHAnsi"/>
          <w:bCs/>
          <w:sz w:val="24"/>
          <w:szCs w:val="23"/>
        </w:rPr>
        <w:t xml:space="preserve">Note that because the tax expenditure has a specific purpose </w:t>
      </w:r>
      <w:r w:rsidRPr="00387AE1">
        <w:rPr>
          <w:rFonts w:asciiTheme="majorHAnsi" w:hAnsiTheme="majorHAnsi"/>
          <w:bCs/>
          <w:sz w:val="24"/>
          <w:szCs w:val="24"/>
        </w:rPr>
        <w:t>(</w:t>
      </w:r>
      <w:r>
        <w:rPr>
          <w:rFonts w:asciiTheme="majorHAnsi" w:eastAsiaTheme="majorEastAsia" w:hAnsiTheme="majorHAnsi" w:cstheme="majorBidi"/>
          <w:bCs/>
          <w:color w:val="000000" w:themeColor="text1"/>
          <w:sz w:val="24"/>
          <w:szCs w:val="24"/>
        </w:rPr>
        <w:t>in this case, the</w:t>
      </w:r>
      <w:r>
        <w:rPr>
          <w:rFonts w:asciiTheme="majorHAnsi" w:hAnsiTheme="majorHAnsi"/>
          <w:bCs/>
          <w:sz w:val="24"/>
          <w:szCs w:val="23"/>
        </w:rPr>
        <w:t xml:space="preserve"> </w:t>
      </w:r>
      <w:r>
        <w:rPr>
          <w:rFonts w:asciiTheme="majorHAnsi" w:eastAsiaTheme="majorEastAsia" w:hAnsiTheme="majorHAnsi" w:cstheme="majorBidi"/>
          <w:bCs/>
          <w:color w:val="000000" w:themeColor="text1"/>
          <w:sz w:val="24"/>
        </w:rPr>
        <w:t>avoidance of double taxation of motor fuels</w:t>
      </w:r>
      <w:r w:rsidRPr="00387AE1">
        <w:rPr>
          <w:rFonts w:asciiTheme="majorHAnsi" w:eastAsiaTheme="majorEastAsia" w:hAnsiTheme="majorHAnsi" w:cstheme="majorBidi"/>
          <w:bCs/>
          <w:color w:val="000000" w:themeColor="text1"/>
          <w:sz w:val="24"/>
          <w:szCs w:val="24"/>
        </w:rPr>
        <w:t>)</w:t>
      </w:r>
      <w:r>
        <w:rPr>
          <w:rFonts w:asciiTheme="majorHAnsi" w:hAnsiTheme="majorHAnsi"/>
          <w:bCs/>
          <w:sz w:val="24"/>
          <w:szCs w:val="23"/>
        </w:rPr>
        <w:t xml:space="preserve">, the net negative impacts on economic activity (real state GDP) do not necessarily imply that the tax expenditure is not desirable. </w:t>
      </w:r>
    </w:p>
    <w:p w14:paraId="180CCF60" w14:textId="77777777" w:rsidR="00D62DBC" w:rsidRDefault="00D62DBC" w:rsidP="005C0E39">
      <w:pPr>
        <w:tabs>
          <w:tab w:val="left" w:pos="7050"/>
        </w:tabs>
        <w:spacing w:after="0"/>
        <w:rPr>
          <w:rFonts w:asciiTheme="majorHAnsi" w:hAnsiTheme="majorHAnsi"/>
          <w:bCs/>
          <w:sz w:val="24"/>
          <w:szCs w:val="23"/>
        </w:rPr>
      </w:pPr>
    </w:p>
    <w:p w14:paraId="308E512B" w14:textId="77777777" w:rsidR="0064014B" w:rsidRDefault="0064014B" w:rsidP="009A3998">
      <w:pPr>
        <w:tabs>
          <w:tab w:val="left" w:pos="7050"/>
        </w:tabs>
        <w:spacing w:after="0"/>
        <w:rPr>
          <w:rFonts w:asciiTheme="majorHAnsi" w:hAnsiTheme="majorHAnsi"/>
          <w:bCs/>
          <w:sz w:val="24"/>
          <w:szCs w:val="23"/>
        </w:rPr>
      </w:pPr>
    </w:p>
    <w:p w14:paraId="5ECC9910" w14:textId="77777777" w:rsidR="005C0E39" w:rsidRDefault="005C0E39" w:rsidP="005C0E39">
      <w:pPr>
        <w:spacing w:after="0"/>
        <w:jc w:val="center"/>
        <w:rPr>
          <w:rFonts w:asciiTheme="majorHAnsi" w:eastAsiaTheme="majorEastAsia" w:hAnsiTheme="majorHAnsi" w:cstheme="majorBidi"/>
          <w:b/>
          <w:color w:val="000000" w:themeColor="text1"/>
          <w:sz w:val="24"/>
          <w:szCs w:val="24"/>
        </w:rPr>
      </w:pPr>
      <w:r w:rsidRPr="00366FFC">
        <w:rPr>
          <w:rFonts w:asciiTheme="majorHAnsi" w:eastAsiaTheme="majorEastAsia" w:hAnsiTheme="majorHAnsi" w:cstheme="majorBidi"/>
          <w:b/>
          <w:color w:val="000000" w:themeColor="text1"/>
          <w:sz w:val="24"/>
          <w:szCs w:val="24"/>
        </w:rPr>
        <w:t xml:space="preserve">Table </w:t>
      </w:r>
      <w:r>
        <w:rPr>
          <w:rFonts w:asciiTheme="majorHAnsi" w:eastAsiaTheme="majorEastAsia" w:hAnsiTheme="majorHAnsi" w:cstheme="majorBidi"/>
          <w:b/>
          <w:color w:val="000000" w:themeColor="text1"/>
          <w:sz w:val="24"/>
          <w:szCs w:val="24"/>
        </w:rPr>
        <w:t>3</w:t>
      </w:r>
      <w:r w:rsidRPr="00366FFC">
        <w:rPr>
          <w:rFonts w:asciiTheme="majorHAnsi" w:eastAsiaTheme="majorEastAsia" w:hAnsiTheme="majorHAnsi" w:cstheme="majorBidi"/>
          <w:b/>
          <w:color w:val="000000" w:themeColor="text1"/>
          <w:sz w:val="24"/>
          <w:szCs w:val="24"/>
        </w:rPr>
        <w:t xml:space="preserve">. </w:t>
      </w:r>
      <w:r>
        <w:rPr>
          <w:rFonts w:asciiTheme="majorHAnsi" w:eastAsiaTheme="majorEastAsia" w:hAnsiTheme="majorHAnsi" w:cstheme="majorBidi"/>
          <w:b/>
          <w:color w:val="000000" w:themeColor="text1"/>
          <w:sz w:val="24"/>
          <w:szCs w:val="24"/>
        </w:rPr>
        <w:t xml:space="preserve"> Net Additional Revenue Impact of S</w:t>
      </w:r>
      <w:r w:rsidRPr="006941B4">
        <w:rPr>
          <w:rFonts w:asciiTheme="majorHAnsi" w:eastAsiaTheme="majorEastAsia" w:hAnsiTheme="majorHAnsi" w:cstheme="majorBidi"/>
          <w:b/>
          <w:color w:val="000000" w:themeColor="text1"/>
          <w:sz w:val="24"/>
          <w:szCs w:val="24"/>
        </w:rPr>
        <w:t xml:space="preserve">ales </w:t>
      </w:r>
      <w:r>
        <w:rPr>
          <w:rFonts w:asciiTheme="majorHAnsi" w:eastAsiaTheme="majorEastAsia" w:hAnsiTheme="majorHAnsi" w:cstheme="majorBidi"/>
          <w:b/>
          <w:color w:val="000000" w:themeColor="text1"/>
          <w:sz w:val="24"/>
          <w:szCs w:val="24"/>
        </w:rPr>
        <w:t>T</w:t>
      </w:r>
      <w:r w:rsidRPr="006941B4">
        <w:rPr>
          <w:rFonts w:asciiTheme="majorHAnsi" w:eastAsiaTheme="majorEastAsia" w:hAnsiTheme="majorHAnsi" w:cstheme="majorBidi"/>
          <w:b/>
          <w:color w:val="000000" w:themeColor="text1"/>
          <w:sz w:val="24"/>
          <w:szCs w:val="24"/>
        </w:rPr>
        <w:t xml:space="preserve">ax </w:t>
      </w:r>
      <w:r>
        <w:rPr>
          <w:rFonts w:asciiTheme="majorHAnsi" w:eastAsiaTheme="majorEastAsia" w:hAnsiTheme="majorHAnsi" w:cstheme="majorBidi"/>
          <w:b/>
          <w:color w:val="000000" w:themeColor="text1"/>
          <w:sz w:val="24"/>
          <w:szCs w:val="24"/>
        </w:rPr>
        <w:t>E</w:t>
      </w:r>
      <w:r w:rsidRPr="006941B4">
        <w:rPr>
          <w:rFonts w:asciiTheme="majorHAnsi" w:eastAsiaTheme="majorEastAsia" w:hAnsiTheme="majorHAnsi" w:cstheme="majorBidi"/>
          <w:b/>
          <w:color w:val="000000" w:themeColor="text1"/>
          <w:sz w:val="24"/>
          <w:szCs w:val="24"/>
        </w:rPr>
        <w:t xml:space="preserve">xemption </w:t>
      </w:r>
    </w:p>
    <w:p w14:paraId="6A18EEB9" w14:textId="77777777" w:rsidR="005C0E39" w:rsidRDefault="005C0E39" w:rsidP="005C0E39">
      <w:pPr>
        <w:spacing w:after="0"/>
        <w:jc w:val="center"/>
        <w:rPr>
          <w:rFonts w:asciiTheme="majorHAnsi" w:eastAsiaTheme="majorEastAsia" w:hAnsiTheme="majorHAnsi" w:cstheme="majorBidi"/>
          <w:b/>
          <w:color w:val="000000" w:themeColor="text1"/>
          <w:sz w:val="24"/>
          <w:szCs w:val="24"/>
        </w:rPr>
      </w:pPr>
      <w:r w:rsidRPr="006941B4">
        <w:rPr>
          <w:rFonts w:asciiTheme="majorHAnsi" w:eastAsiaTheme="majorEastAsia" w:hAnsiTheme="majorHAnsi" w:cstheme="majorBidi"/>
          <w:b/>
          <w:color w:val="000000" w:themeColor="text1"/>
          <w:sz w:val="24"/>
          <w:szCs w:val="24"/>
        </w:rPr>
        <w:t>for</w:t>
      </w:r>
      <w:r>
        <w:rPr>
          <w:rFonts w:asciiTheme="majorHAnsi" w:eastAsiaTheme="majorEastAsia" w:hAnsiTheme="majorHAnsi" w:cstheme="majorBidi"/>
          <w:b/>
          <w:color w:val="000000" w:themeColor="text1"/>
          <w:sz w:val="24"/>
          <w:szCs w:val="24"/>
        </w:rPr>
        <w:t xml:space="preserve"> Motor Fuels*</w:t>
      </w:r>
    </w:p>
    <w:tbl>
      <w:tblPr>
        <w:tblW w:w="9350" w:type="dxa"/>
        <w:tblLook w:val="04A0" w:firstRow="1" w:lastRow="0" w:firstColumn="1" w:lastColumn="0" w:noHBand="0" w:noVBand="1"/>
      </w:tblPr>
      <w:tblGrid>
        <w:gridCol w:w="3835"/>
        <w:gridCol w:w="1103"/>
        <w:gridCol w:w="1103"/>
        <w:gridCol w:w="1103"/>
        <w:gridCol w:w="1103"/>
        <w:gridCol w:w="1103"/>
      </w:tblGrid>
      <w:tr w:rsidR="005C0E39" w:rsidRPr="00E072E2" w14:paraId="53683958" w14:textId="77777777" w:rsidTr="00C94BB5">
        <w:trPr>
          <w:trHeight w:val="500"/>
        </w:trPr>
        <w:tc>
          <w:tcPr>
            <w:tcW w:w="3835"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14:paraId="598B2F55" w14:textId="77777777" w:rsidR="005C0E39" w:rsidRPr="00E072E2" w:rsidRDefault="005C0E39" w:rsidP="00C94BB5">
            <w:pPr>
              <w:spacing w:after="0" w:line="240" w:lineRule="auto"/>
              <w:jc w:val="center"/>
              <w:rPr>
                <w:rFonts w:ascii="Cambria" w:eastAsia="Times New Roman" w:hAnsi="Cambria" w:cs="Helvetica"/>
                <w:sz w:val="20"/>
                <w:szCs w:val="20"/>
                <w:lang w:eastAsia="ko-KR"/>
              </w:rPr>
            </w:pPr>
            <w:r w:rsidRPr="00E072E2">
              <w:rPr>
                <w:rFonts w:ascii="Cambria" w:eastAsia="Times New Roman" w:hAnsi="Cambria" w:cs="Helvetica"/>
                <w:sz w:val="20"/>
                <w:szCs w:val="20"/>
                <w:lang w:eastAsia="ko-KR"/>
              </w:rPr>
              <w:t>Fiscal Year</w:t>
            </w:r>
          </w:p>
        </w:tc>
        <w:tc>
          <w:tcPr>
            <w:tcW w:w="1103" w:type="dxa"/>
            <w:tcBorders>
              <w:top w:val="single" w:sz="4" w:space="0" w:color="auto"/>
              <w:left w:val="nil"/>
              <w:bottom w:val="single" w:sz="4" w:space="0" w:color="auto"/>
              <w:right w:val="single" w:sz="4" w:space="0" w:color="auto"/>
            </w:tcBorders>
            <w:shd w:val="clear" w:color="000000" w:fill="B7DEE8"/>
            <w:noWrap/>
            <w:vAlign w:val="center"/>
            <w:hideMark/>
          </w:tcPr>
          <w:p w14:paraId="4BA3C0F2" w14:textId="77777777" w:rsidR="005C0E39" w:rsidRPr="00E072E2" w:rsidRDefault="005C0E39" w:rsidP="00C94BB5">
            <w:pPr>
              <w:spacing w:after="0" w:line="240" w:lineRule="auto"/>
              <w:jc w:val="center"/>
              <w:rPr>
                <w:rFonts w:ascii="Cambria" w:eastAsia="Times New Roman" w:hAnsi="Cambria" w:cs="Helvetica"/>
                <w:sz w:val="20"/>
                <w:szCs w:val="20"/>
                <w:lang w:eastAsia="ko-KR"/>
              </w:rPr>
            </w:pPr>
            <w:r w:rsidRPr="00E072E2">
              <w:rPr>
                <w:rFonts w:ascii="Cambria" w:eastAsia="Times New Roman" w:hAnsi="Cambria" w:cs="Helvetica"/>
                <w:sz w:val="20"/>
                <w:szCs w:val="20"/>
                <w:lang w:eastAsia="ko-KR"/>
              </w:rPr>
              <w:t>2018</w:t>
            </w:r>
          </w:p>
        </w:tc>
        <w:tc>
          <w:tcPr>
            <w:tcW w:w="1103" w:type="dxa"/>
            <w:tcBorders>
              <w:top w:val="single" w:sz="4" w:space="0" w:color="auto"/>
              <w:left w:val="nil"/>
              <w:bottom w:val="single" w:sz="4" w:space="0" w:color="auto"/>
              <w:right w:val="single" w:sz="4" w:space="0" w:color="auto"/>
            </w:tcBorders>
            <w:shd w:val="clear" w:color="000000" w:fill="B7DEE8"/>
            <w:noWrap/>
            <w:vAlign w:val="center"/>
            <w:hideMark/>
          </w:tcPr>
          <w:p w14:paraId="642DE16C" w14:textId="77777777" w:rsidR="005C0E39" w:rsidRPr="00E072E2" w:rsidRDefault="005C0E39" w:rsidP="00C94BB5">
            <w:pPr>
              <w:spacing w:after="0" w:line="240" w:lineRule="auto"/>
              <w:jc w:val="center"/>
              <w:rPr>
                <w:rFonts w:ascii="Cambria" w:eastAsia="Times New Roman" w:hAnsi="Cambria" w:cs="Helvetica"/>
                <w:sz w:val="20"/>
                <w:szCs w:val="20"/>
                <w:lang w:eastAsia="ko-KR"/>
              </w:rPr>
            </w:pPr>
            <w:r w:rsidRPr="00E072E2">
              <w:rPr>
                <w:rFonts w:ascii="Cambria" w:eastAsia="Times New Roman" w:hAnsi="Cambria" w:cs="Helvetica"/>
                <w:sz w:val="20"/>
                <w:szCs w:val="20"/>
                <w:lang w:eastAsia="ko-KR"/>
              </w:rPr>
              <w:t>2019</w:t>
            </w:r>
          </w:p>
        </w:tc>
        <w:tc>
          <w:tcPr>
            <w:tcW w:w="1103" w:type="dxa"/>
            <w:tcBorders>
              <w:top w:val="single" w:sz="4" w:space="0" w:color="auto"/>
              <w:left w:val="nil"/>
              <w:bottom w:val="single" w:sz="4" w:space="0" w:color="auto"/>
              <w:right w:val="single" w:sz="4" w:space="0" w:color="auto"/>
            </w:tcBorders>
            <w:shd w:val="clear" w:color="000000" w:fill="B7DEE8"/>
            <w:noWrap/>
            <w:vAlign w:val="center"/>
            <w:hideMark/>
          </w:tcPr>
          <w:p w14:paraId="4F2DE073" w14:textId="77777777" w:rsidR="005C0E39" w:rsidRPr="00E072E2" w:rsidRDefault="005C0E39" w:rsidP="00C94BB5">
            <w:pPr>
              <w:spacing w:after="0" w:line="240" w:lineRule="auto"/>
              <w:jc w:val="center"/>
              <w:rPr>
                <w:rFonts w:ascii="Cambria" w:eastAsia="Times New Roman" w:hAnsi="Cambria" w:cs="Helvetica"/>
                <w:sz w:val="20"/>
                <w:szCs w:val="20"/>
                <w:lang w:eastAsia="ko-KR"/>
              </w:rPr>
            </w:pPr>
            <w:r w:rsidRPr="00E072E2">
              <w:rPr>
                <w:rFonts w:ascii="Cambria" w:eastAsia="Times New Roman" w:hAnsi="Cambria" w:cs="Helvetica"/>
                <w:sz w:val="20"/>
                <w:szCs w:val="20"/>
                <w:lang w:eastAsia="ko-KR"/>
              </w:rPr>
              <w:t>2020</w:t>
            </w:r>
          </w:p>
        </w:tc>
        <w:tc>
          <w:tcPr>
            <w:tcW w:w="1103" w:type="dxa"/>
            <w:tcBorders>
              <w:top w:val="single" w:sz="4" w:space="0" w:color="auto"/>
              <w:left w:val="nil"/>
              <w:bottom w:val="single" w:sz="4" w:space="0" w:color="auto"/>
              <w:right w:val="single" w:sz="4" w:space="0" w:color="auto"/>
            </w:tcBorders>
            <w:shd w:val="clear" w:color="000000" w:fill="B7DEE8"/>
            <w:noWrap/>
            <w:vAlign w:val="center"/>
            <w:hideMark/>
          </w:tcPr>
          <w:p w14:paraId="2E086B0E" w14:textId="77777777" w:rsidR="005C0E39" w:rsidRPr="00E072E2" w:rsidRDefault="005C0E39" w:rsidP="00C94BB5">
            <w:pPr>
              <w:spacing w:after="0" w:line="240" w:lineRule="auto"/>
              <w:jc w:val="center"/>
              <w:rPr>
                <w:rFonts w:ascii="Cambria" w:eastAsia="Times New Roman" w:hAnsi="Cambria" w:cs="Helvetica"/>
                <w:sz w:val="20"/>
                <w:szCs w:val="20"/>
                <w:lang w:eastAsia="ko-KR"/>
              </w:rPr>
            </w:pPr>
            <w:r w:rsidRPr="00E072E2">
              <w:rPr>
                <w:rFonts w:ascii="Cambria" w:eastAsia="Times New Roman" w:hAnsi="Cambria" w:cs="Helvetica"/>
                <w:sz w:val="20"/>
                <w:szCs w:val="20"/>
                <w:lang w:eastAsia="ko-KR"/>
              </w:rPr>
              <w:t>2021</w:t>
            </w:r>
          </w:p>
        </w:tc>
        <w:tc>
          <w:tcPr>
            <w:tcW w:w="1103" w:type="dxa"/>
            <w:tcBorders>
              <w:top w:val="single" w:sz="4" w:space="0" w:color="auto"/>
              <w:left w:val="nil"/>
              <w:bottom w:val="single" w:sz="4" w:space="0" w:color="auto"/>
              <w:right w:val="single" w:sz="4" w:space="0" w:color="auto"/>
            </w:tcBorders>
            <w:shd w:val="clear" w:color="000000" w:fill="B7DEE8"/>
            <w:noWrap/>
            <w:vAlign w:val="center"/>
            <w:hideMark/>
          </w:tcPr>
          <w:p w14:paraId="13FFB24F" w14:textId="77777777" w:rsidR="005C0E39" w:rsidRPr="00E072E2" w:rsidRDefault="005C0E39" w:rsidP="00C94BB5">
            <w:pPr>
              <w:spacing w:after="0" w:line="240" w:lineRule="auto"/>
              <w:jc w:val="center"/>
              <w:rPr>
                <w:rFonts w:ascii="Cambria" w:eastAsia="Times New Roman" w:hAnsi="Cambria" w:cs="Helvetica"/>
                <w:sz w:val="20"/>
                <w:szCs w:val="20"/>
                <w:lang w:eastAsia="ko-KR"/>
              </w:rPr>
            </w:pPr>
            <w:r w:rsidRPr="00E072E2">
              <w:rPr>
                <w:rFonts w:ascii="Cambria" w:eastAsia="Times New Roman" w:hAnsi="Cambria" w:cs="Helvetica"/>
                <w:sz w:val="20"/>
                <w:szCs w:val="20"/>
                <w:lang w:eastAsia="ko-KR"/>
              </w:rPr>
              <w:t>2022</w:t>
            </w:r>
          </w:p>
        </w:tc>
      </w:tr>
      <w:tr w:rsidR="005C0E39" w:rsidRPr="00E072E2" w14:paraId="604FF3CB" w14:textId="77777777" w:rsidTr="00C94BB5">
        <w:trPr>
          <w:trHeight w:val="500"/>
        </w:trPr>
        <w:tc>
          <w:tcPr>
            <w:tcW w:w="3835" w:type="dxa"/>
            <w:tcBorders>
              <w:top w:val="nil"/>
              <w:left w:val="single" w:sz="4" w:space="0" w:color="auto"/>
              <w:bottom w:val="single" w:sz="4" w:space="0" w:color="auto"/>
              <w:right w:val="single" w:sz="4" w:space="0" w:color="auto"/>
            </w:tcBorders>
            <w:shd w:val="clear" w:color="auto" w:fill="auto"/>
            <w:vAlign w:val="center"/>
            <w:hideMark/>
          </w:tcPr>
          <w:p w14:paraId="606CCB18" w14:textId="77777777" w:rsidR="005C0E39" w:rsidRPr="00E072E2" w:rsidRDefault="005C0E39" w:rsidP="00C94BB5">
            <w:pPr>
              <w:spacing w:after="0" w:line="240" w:lineRule="auto"/>
              <w:rPr>
                <w:rFonts w:ascii="Cambria" w:eastAsia="Times New Roman" w:hAnsi="Cambria" w:cs="Helvetica"/>
                <w:sz w:val="20"/>
                <w:szCs w:val="20"/>
                <w:lang w:eastAsia="ko-KR"/>
              </w:rPr>
            </w:pPr>
            <w:r w:rsidRPr="00E072E2">
              <w:rPr>
                <w:rFonts w:ascii="Cambria" w:eastAsia="Times New Roman" w:hAnsi="Cambria" w:cs="Helvetica"/>
                <w:sz w:val="20"/>
                <w:szCs w:val="20"/>
                <w:lang w:eastAsia="ko-KR"/>
              </w:rPr>
              <w:t>Net additional revenue impact ($000)</w:t>
            </w: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B847A9" w14:textId="77777777" w:rsidR="005C0E39" w:rsidRPr="007B1A7A" w:rsidRDefault="005C0E39" w:rsidP="00C94BB5">
            <w:pPr>
              <w:spacing w:after="0" w:line="240" w:lineRule="auto"/>
              <w:jc w:val="center"/>
              <w:rPr>
                <w:rFonts w:ascii="Cambria" w:eastAsia="Times New Roman" w:hAnsi="Cambria" w:cs="Arial"/>
                <w:sz w:val="20"/>
                <w:szCs w:val="20"/>
                <w:lang w:eastAsia="ko-KR"/>
              </w:rPr>
            </w:pPr>
            <w:r w:rsidRPr="007B1A7A">
              <w:rPr>
                <w:rFonts w:ascii="Cambria" w:eastAsia="Times New Roman" w:hAnsi="Cambria" w:cs="Arial"/>
                <w:sz w:val="20"/>
                <w:szCs w:val="20"/>
                <w:lang w:eastAsia="ko-KR"/>
              </w:rPr>
              <w:t>$27,201</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14:paraId="60A20678" w14:textId="77777777" w:rsidR="005C0E39" w:rsidRPr="007B1A7A" w:rsidRDefault="005C0E39" w:rsidP="00C94BB5">
            <w:pPr>
              <w:spacing w:after="0" w:line="240" w:lineRule="auto"/>
              <w:jc w:val="center"/>
              <w:rPr>
                <w:rFonts w:ascii="Cambria" w:eastAsia="Times New Roman" w:hAnsi="Cambria" w:cs="Arial"/>
                <w:sz w:val="20"/>
                <w:szCs w:val="20"/>
                <w:lang w:eastAsia="ko-KR"/>
              </w:rPr>
            </w:pPr>
            <w:r w:rsidRPr="007B1A7A">
              <w:rPr>
                <w:rFonts w:ascii="Cambria" w:eastAsia="Times New Roman" w:hAnsi="Cambria" w:cs="Arial"/>
                <w:sz w:val="20"/>
                <w:szCs w:val="20"/>
                <w:lang w:eastAsia="ko-KR"/>
              </w:rPr>
              <w:t>$59,966</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14:paraId="42DF0EE6" w14:textId="77777777" w:rsidR="005C0E39" w:rsidRPr="007B1A7A" w:rsidRDefault="005C0E39" w:rsidP="00C94BB5">
            <w:pPr>
              <w:spacing w:after="0" w:line="240" w:lineRule="auto"/>
              <w:jc w:val="center"/>
              <w:rPr>
                <w:rFonts w:ascii="Cambria" w:eastAsia="Times New Roman" w:hAnsi="Cambria" w:cs="Arial"/>
                <w:sz w:val="20"/>
                <w:szCs w:val="20"/>
                <w:lang w:eastAsia="ko-KR"/>
              </w:rPr>
            </w:pPr>
            <w:r w:rsidRPr="007B1A7A">
              <w:rPr>
                <w:rFonts w:ascii="Cambria" w:eastAsia="Times New Roman" w:hAnsi="Cambria" w:cs="Arial"/>
                <w:sz w:val="20"/>
                <w:szCs w:val="20"/>
                <w:lang w:eastAsia="ko-KR"/>
              </w:rPr>
              <w:t>$67,808</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14:paraId="024B5737" w14:textId="77777777" w:rsidR="005C0E39" w:rsidRPr="007B1A7A" w:rsidRDefault="005C0E39" w:rsidP="00C94BB5">
            <w:pPr>
              <w:spacing w:after="0" w:line="240" w:lineRule="auto"/>
              <w:jc w:val="center"/>
              <w:rPr>
                <w:rFonts w:ascii="Cambria" w:eastAsia="Times New Roman" w:hAnsi="Cambria" w:cs="Arial"/>
                <w:sz w:val="20"/>
                <w:szCs w:val="20"/>
                <w:lang w:eastAsia="ko-KR"/>
              </w:rPr>
            </w:pPr>
            <w:r w:rsidRPr="007B1A7A">
              <w:rPr>
                <w:rFonts w:ascii="Cambria" w:eastAsia="Times New Roman" w:hAnsi="Cambria" w:cs="Arial"/>
                <w:sz w:val="20"/>
                <w:szCs w:val="20"/>
                <w:lang w:eastAsia="ko-KR"/>
              </w:rPr>
              <w:t>$69,477</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14:paraId="1F5D7B4D" w14:textId="77777777" w:rsidR="005C0E39" w:rsidRPr="007B1A7A" w:rsidRDefault="005C0E39" w:rsidP="00C94BB5">
            <w:pPr>
              <w:spacing w:after="0" w:line="240" w:lineRule="auto"/>
              <w:jc w:val="center"/>
              <w:rPr>
                <w:rFonts w:ascii="Cambria" w:eastAsia="Times New Roman" w:hAnsi="Cambria" w:cs="Arial"/>
                <w:sz w:val="20"/>
                <w:szCs w:val="20"/>
                <w:lang w:eastAsia="ko-KR"/>
              </w:rPr>
            </w:pPr>
            <w:r w:rsidRPr="007B1A7A">
              <w:rPr>
                <w:rFonts w:ascii="Cambria" w:eastAsia="Times New Roman" w:hAnsi="Cambria" w:cs="Arial"/>
                <w:sz w:val="20"/>
                <w:szCs w:val="20"/>
                <w:lang w:eastAsia="ko-KR"/>
              </w:rPr>
              <w:t>$68,908</w:t>
            </w:r>
          </w:p>
        </w:tc>
      </w:tr>
    </w:tbl>
    <w:p w14:paraId="764893C6" w14:textId="77777777" w:rsidR="005C0E39" w:rsidRDefault="005C0E39" w:rsidP="005C0E39">
      <w:pPr>
        <w:tabs>
          <w:tab w:val="left" w:pos="7050"/>
        </w:tabs>
        <w:spacing w:after="0"/>
        <w:rPr>
          <w:rFonts w:asciiTheme="majorHAnsi" w:hAnsiTheme="majorHAnsi"/>
          <w:b/>
          <w:sz w:val="24"/>
          <w:szCs w:val="24"/>
        </w:rPr>
      </w:pPr>
      <w:r w:rsidRPr="00304366">
        <w:rPr>
          <w:rFonts w:asciiTheme="majorHAnsi" w:hAnsiTheme="majorHAnsi"/>
          <w:bCs/>
          <w:sz w:val="20"/>
          <w:szCs w:val="20"/>
        </w:rPr>
        <w:t>* assuming state government spending is cut by the same amount as</w:t>
      </w:r>
      <w:r>
        <w:rPr>
          <w:rFonts w:asciiTheme="majorHAnsi" w:hAnsiTheme="majorHAnsi"/>
          <w:bCs/>
          <w:sz w:val="20"/>
          <w:szCs w:val="20"/>
        </w:rPr>
        <w:t xml:space="preserve"> the revenue loss due to</w:t>
      </w:r>
      <w:r w:rsidRPr="00304366">
        <w:rPr>
          <w:rFonts w:asciiTheme="majorHAnsi" w:hAnsiTheme="majorHAnsi"/>
          <w:bCs/>
          <w:sz w:val="20"/>
          <w:szCs w:val="20"/>
        </w:rPr>
        <w:t xml:space="preserve"> </w:t>
      </w:r>
      <w:r>
        <w:rPr>
          <w:rFonts w:asciiTheme="majorHAnsi" w:hAnsiTheme="majorHAnsi"/>
          <w:bCs/>
          <w:sz w:val="20"/>
          <w:szCs w:val="20"/>
        </w:rPr>
        <w:t>the sales tax exemption for motor fuels to balance budget</w:t>
      </w:r>
      <w:r w:rsidRPr="00304366">
        <w:rPr>
          <w:rFonts w:asciiTheme="majorHAnsi" w:hAnsiTheme="majorHAnsi"/>
          <w:bCs/>
          <w:sz w:val="20"/>
          <w:szCs w:val="20"/>
        </w:rPr>
        <w:t>.</w:t>
      </w:r>
    </w:p>
    <w:p w14:paraId="595A1BBF" w14:textId="77777777" w:rsidR="005C0E39" w:rsidRDefault="005C0E39" w:rsidP="005C0E39">
      <w:pPr>
        <w:tabs>
          <w:tab w:val="left" w:pos="7050"/>
        </w:tabs>
        <w:spacing w:after="0"/>
        <w:rPr>
          <w:rFonts w:asciiTheme="majorHAnsi" w:hAnsiTheme="majorHAnsi"/>
          <w:sz w:val="24"/>
          <w:szCs w:val="24"/>
        </w:rPr>
      </w:pPr>
    </w:p>
    <w:p w14:paraId="70E7624C" w14:textId="77777777" w:rsidR="005C0E39" w:rsidRDefault="005C0E39" w:rsidP="005C0E39">
      <w:pPr>
        <w:spacing w:after="0"/>
        <w:jc w:val="center"/>
        <w:rPr>
          <w:rFonts w:asciiTheme="majorHAnsi" w:eastAsiaTheme="majorEastAsia" w:hAnsiTheme="majorHAnsi" w:cstheme="majorBidi"/>
          <w:b/>
          <w:color w:val="000000" w:themeColor="text1"/>
          <w:sz w:val="24"/>
          <w:szCs w:val="24"/>
        </w:rPr>
      </w:pPr>
      <w:r w:rsidRPr="00366FFC">
        <w:rPr>
          <w:rFonts w:asciiTheme="majorHAnsi" w:eastAsiaTheme="majorEastAsia" w:hAnsiTheme="majorHAnsi" w:cstheme="majorBidi"/>
          <w:b/>
          <w:color w:val="000000" w:themeColor="text1"/>
          <w:sz w:val="24"/>
          <w:szCs w:val="24"/>
        </w:rPr>
        <w:t xml:space="preserve">Table </w:t>
      </w:r>
      <w:r>
        <w:rPr>
          <w:rFonts w:asciiTheme="majorHAnsi" w:eastAsiaTheme="majorEastAsia" w:hAnsiTheme="majorHAnsi" w:cstheme="majorBidi"/>
          <w:b/>
          <w:color w:val="000000" w:themeColor="text1"/>
          <w:sz w:val="24"/>
          <w:szCs w:val="24"/>
        </w:rPr>
        <w:t>4</w:t>
      </w:r>
      <w:r w:rsidRPr="00366FFC">
        <w:rPr>
          <w:rFonts w:asciiTheme="majorHAnsi" w:eastAsiaTheme="majorEastAsia" w:hAnsiTheme="majorHAnsi" w:cstheme="majorBidi"/>
          <w:b/>
          <w:color w:val="000000" w:themeColor="text1"/>
          <w:sz w:val="24"/>
          <w:szCs w:val="24"/>
        </w:rPr>
        <w:t xml:space="preserve">. </w:t>
      </w:r>
      <w:r>
        <w:rPr>
          <w:rFonts w:asciiTheme="majorHAnsi" w:eastAsiaTheme="majorEastAsia" w:hAnsiTheme="majorHAnsi" w:cstheme="majorBidi"/>
          <w:b/>
          <w:color w:val="000000" w:themeColor="text1"/>
          <w:sz w:val="24"/>
          <w:szCs w:val="24"/>
        </w:rPr>
        <w:t>Net Economic Impacts of S</w:t>
      </w:r>
      <w:r w:rsidRPr="006941B4">
        <w:rPr>
          <w:rFonts w:asciiTheme="majorHAnsi" w:eastAsiaTheme="majorEastAsia" w:hAnsiTheme="majorHAnsi" w:cstheme="majorBidi"/>
          <w:b/>
          <w:color w:val="000000" w:themeColor="text1"/>
          <w:sz w:val="24"/>
          <w:szCs w:val="24"/>
        </w:rPr>
        <w:t xml:space="preserve">ales </w:t>
      </w:r>
      <w:r>
        <w:rPr>
          <w:rFonts w:asciiTheme="majorHAnsi" w:eastAsiaTheme="majorEastAsia" w:hAnsiTheme="majorHAnsi" w:cstheme="majorBidi"/>
          <w:b/>
          <w:color w:val="000000" w:themeColor="text1"/>
          <w:sz w:val="24"/>
          <w:szCs w:val="24"/>
        </w:rPr>
        <w:t>T</w:t>
      </w:r>
      <w:r w:rsidRPr="006941B4">
        <w:rPr>
          <w:rFonts w:asciiTheme="majorHAnsi" w:eastAsiaTheme="majorEastAsia" w:hAnsiTheme="majorHAnsi" w:cstheme="majorBidi"/>
          <w:b/>
          <w:color w:val="000000" w:themeColor="text1"/>
          <w:sz w:val="24"/>
          <w:szCs w:val="24"/>
        </w:rPr>
        <w:t xml:space="preserve">ax </w:t>
      </w:r>
      <w:r>
        <w:rPr>
          <w:rFonts w:asciiTheme="majorHAnsi" w:eastAsiaTheme="majorEastAsia" w:hAnsiTheme="majorHAnsi" w:cstheme="majorBidi"/>
          <w:b/>
          <w:color w:val="000000" w:themeColor="text1"/>
          <w:sz w:val="24"/>
          <w:szCs w:val="24"/>
        </w:rPr>
        <w:t>E</w:t>
      </w:r>
      <w:r w:rsidRPr="006941B4">
        <w:rPr>
          <w:rFonts w:asciiTheme="majorHAnsi" w:eastAsiaTheme="majorEastAsia" w:hAnsiTheme="majorHAnsi" w:cstheme="majorBidi"/>
          <w:b/>
          <w:color w:val="000000" w:themeColor="text1"/>
          <w:sz w:val="24"/>
          <w:szCs w:val="24"/>
        </w:rPr>
        <w:t xml:space="preserve">xemption </w:t>
      </w:r>
    </w:p>
    <w:p w14:paraId="77B2FDBC" w14:textId="77777777" w:rsidR="005C0E39" w:rsidRDefault="005C0E39" w:rsidP="005C0E39">
      <w:pPr>
        <w:spacing w:after="0"/>
        <w:jc w:val="center"/>
        <w:rPr>
          <w:rFonts w:asciiTheme="majorHAnsi" w:eastAsiaTheme="majorEastAsia" w:hAnsiTheme="majorHAnsi" w:cstheme="majorBidi"/>
          <w:b/>
          <w:color w:val="000000" w:themeColor="text1"/>
          <w:sz w:val="24"/>
          <w:szCs w:val="24"/>
        </w:rPr>
      </w:pPr>
      <w:r w:rsidRPr="006941B4">
        <w:rPr>
          <w:rFonts w:asciiTheme="majorHAnsi" w:eastAsiaTheme="majorEastAsia" w:hAnsiTheme="majorHAnsi" w:cstheme="majorBidi"/>
          <w:b/>
          <w:color w:val="000000" w:themeColor="text1"/>
          <w:sz w:val="24"/>
          <w:szCs w:val="24"/>
        </w:rPr>
        <w:t>for</w:t>
      </w:r>
      <w:r>
        <w:rPr>
          <w:rFonts w:asciiTheme="majorHAnsi" w:eastAsiaTheme="majorEastAsia" w:hAnsiTheme="majorHAnsi" w:cstheme="majorBidi"/>
          <w:b/>
          <w:color w:val="000000" w:themeColor="text1"/>
          <w:sz w:val="24"/>
          <w:szCs w:val="24"/>
        </w:rPr>
        <w:t xml:space="preserve"> Motor Fuels by Selected Economic Measure*</w:t>
      </w:r>
    </w:p>
    <w:tbl>
      <w:tblPr>
        <w:tblW w:w="9350" w:type="dxa"/>
        <w:tblLook w:val="04A0" w:firstRow="1" w:lastRow="0" w:firstColumn="1" w:lastColumn="0" w:noHBand="0" w:noVBand="1"/>
      </w:tblPr>
      <w:tblGrid>
        <w:gridCol w:w="3365"/>
        <w:gridCol w:w="1197"/>
        <w:gridCol w:w="1197"/>
        <w:gridCol w:w="1197"/>
        <w:gridCol w:w="1197"/>
        <w:gridCol w:w="1197"/>
      </w:tblGrid>
      <w:tr w:rsidR="005C0E39" w:rsidRPr="00A94F48" w14:paraId="1A10A5E9" w14:textId="77777777" w:rsidTr="00C94BB5">
        <w:trPr>
          <w:trHeight w:val="380"/>
        </w:trPr>
        <w:tc>
          <w:tcPr>
            <w:tcW w:w="3365"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14:paraId="28BD0684" w14:textId="77777777" w:rsidR="005C0E39" w:rsidRPr="00A94F48" w:rsidRDefault="005C0E39" w:rsidP="00C94BB5">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Calendar Year</w:t>
            </w:r>
          </w:p>
        </w:tc>
        <w:tc>
          <w:tcPr>
            <w:tcW w:w="1197" w:type="dxa"/>
            <w:tcBorders>
              <w:top w:val="single" w:sz="4" w:space="0" w:color="auto"/>
              <w:left w:val="nil"/>
              <w:bottom w:val="single" w:sz="4" w:space="0" w:color="auto"/>
              <w:right w:val="single" w:sz="4" w:space="0" w:color="auto"/>
            </w:tcBorders>
            <w:shd w:val="clear" w:color="000000" w:fill="B7DEE8"/>
            <w:noWrap/>
            <w:vAlign w:val="center"/>
            <w:hideMark/>
          </w:tcPr>
          <w:p w14:paraId="76AFBB1C" w14:textId="77777777" w:rsidR="005C0E39" w:rsidRPr="00A94F48" w:rsidRDefault="005C0E39" w:rsidP="00C94BB5">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2018</w:t>
            </w:r>
          </w:p>
        </w:tc>
        <w:tc>
          <w:tcPr>
            <w:tcW w:w="1197" w:type="dxa"/>
            <w:tcBorders>
              <w:top w:val="single" w:sz="4" w:space="0" w:color="auto"/>
              <w:left w:val="nil"/>
              <w:bottom w:val="single" w:sz="4" w:space="0" w:color="auto"/>
              <w:right w:val="single" w:sz="4" w:space="0" w:color="auto"/>
            </w:tcBorders>
            <w:shd w:val="clear" w:color="000000" w:fill="B7DEE8"/>
            <w:noWrap/>
            <w:vAlign w:val="center"/>
            <w:hideMark/>
          </w:tcPr>
          <w:p w14:paraId="4EAA141C" w14:textId="77777777" w:rsidR="005C0E39" w:rsidRPr="00A94F48" w:rsidRDefault="005C0E39" w:rsidP="00C94BB5">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2019</w:t>
            </w:r>
          </w:p>
        </w:tc>
        <w:tc>
          <w:tcPr>
            <w:tcW w:w="1197" w:type="dxa"/>
            <w:tcBorders>
              <w:top w:val="single" w:sz="4" w:space="0" w:color="auto"/>
              <w:left w:val="nil"/>
              <w:bottom w:val="single" w:sz="4" w:space="0" w:color="auto"/>
              <w:right w:val="single" w:sz="4" w:space="0" w:color="auto"/>
            </w:tcBorders>
            <w:shd w:val="clear" w:color="000000" w:fill="B7DEE8"/>
            <w:noWrap/>
            <w:vAlign w:val="center"/>
            <w:hideMark/>
          </w:tcPr>
          <w:p w14:paraId="6DD26896" w14:textId="77777777" w:rsidR="005C0E39" w:rsidRPr="00A94F48" w:rsidRDefault="005C0E39" w:rsidP="00C94BB5">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2020</w:t>
            </w:r>
          </w:p>
        </w:tc>
        <w:tc>
          <w:tcPr>
            <w:tcW w:w="1197" w:type="dxa"/>
            <w:tcBorders>
              <w:top w:val="single" w:sz="4" w:space="0" w:color="auto"/>
              <w:left w:val="nil"/>
              <w:bottom w:val="single" w:sz="4" w:space="0" w:color="auto"/>
              <w:right w:val="single" w:sz="4" w:space="0" w:color="auto"/>
            </w:tcBorders>
            <w:shd w:val="clear" w:color="000000" w:fill="B7DEE8"/>
            <w:noWrap/>
            <w:vAlign w:val="center"/>
            <w:hideMark/>
          </w:tcPr>
          <w:p w14:paraId="3C032A58" w14:textId="77777777" w:rsidR="005C0E39" w:rsidRPr="00A94F48" w:rsidRDefault="005C0E39" w:rsidP="00C94BB5">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2021</w:t>
            </w:r>
          </w:p>
        </w:tc>
        <w:tc>
          <w:tcPr>
            <w:tcW w:w="1197" w:type="dxa"/>
            <w:tcBorders>
              <w:top w:val="single" w:sz="4" w:space="0" w:color="auto"/>
              <w:left w:val="nil"/>
              <w:bottom w:val="single" w:sz="4" w:space="0" w:color="auto"/>
              <w:right w:val="single" w:sz="4" w:space="0" w:color="auto"/>
            </w:tcBorders>
            <w:shd w:val="clear" w:color="000000" w:fill="B7DEE8"/>
            <w:noWrap/>
            <w:vAlign w:val="center"/>
            <w:hideMark/>
          </w:tcPr>
          <w:p w14:paraId="607C4284" w14:textId="77777777" w:rsidR="005C0E39" w:rsidRPr="00A94F48" w:rsidRDefault="005C0E39" w:rsidP="00C94BB5">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2022</w:t>
            </w:r>
          </w:p>
        </w:tc>
      </w:tr>
      <w:tr w:rsidR="005C0E39" w:rsidRPr="00A94F48" w14:paraId="77B47E53" w14:textId="77777777" w:rsidTr="00C94BB5">
        <w:trPr>
          <w:trHeight w:val="580"/>
        </w:trPr>
        <w:tc>
          <w:tcPr>
            <w:tcW w:w="3365" w:type="dxa"/>
            <w:tcBorders>
              <w:top w:val="nil"/>
              <w:left w:val="single" w:sz="4" w:space="0" w:color="auto"/>
              <w:bottom w:val="single" w:sz="4" w:space="0" w:color="auto"/>
              <w:right w:val="single" w:sz="4" w:space="0" w:color="auto"/>
            </w:tcBorders>
            <w:shd w:val="clear" w:color="auto" w:fill="auto"/>
            <w:vAlign w:val="center"/>
            <w:hideMark/>
          </w:tcPr>
          <w:p w14:paraId="0BB99AF6" w14:textId="77777777" w:rsidR="005C0E39" w:rsidRPr="00A94F48" w:rsidRDefault="005C0E39" w:rsidP="00C94BB5">
            <w:pPr>
              <w:spacing w:after="0" w:line="240" w:lineRule="auto"/>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Impact on total employment</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7A957F" w14:textId="77777777" w:rsidR="005C0E39" w:rsidRPr="007B1A7A" w:rsidRDefault="005C0E39" w:rsidP="00C94BB5">
            <w:pPr>
              <w:spacing w:after="0" w:line="240" w:lineRule="auto"/>
              <w:jc w:val="center"/>
              <w:rPr>
                <w:rFonts w:asciiTheme="majorHAnsi" w:hAnsiTheme="majorHAnsi" w:cs="Calibri"/>
                <w:color w:val="000000"/>
                <w:sz w:val="20"/>
                <w:szCs w:val="20"/>
              </w:rPr>
            </w:pPr>
            <w:r w:rsidRPr="007B1A7A">
              <w:rPr>
                <w:rFonts w:asciiTheme="majorHAnsi" w:hAnsiTheme="majorHAnsi" w:cs="Calibri"/>
                <w:color w:val="000000"/>
                <w:sz w:val="20"/>
                <w:szCs w:val="20"/>
              </w:rPr>
              <w:t>-4,323</w:t>
            </w:r>
          </w:p>
        </w:tc>
        <w:tc>
          <w:tcPr>
            <w:tcW w:w="1197" w:type="dxa"/>
            <w:tcBorders>
              <w:top w:val="single" w:sz="4" w:space="0" w:color="auto"/>
              <w:left w:val="nil"/>
              <w:bottom w:val="single" w:sz="4" w:space="0" w:color="auto"/>
              <w:right w:val="single" w:sz="4" w:space="0" w:color="auto"/>
            </w:tcBorders>
            <w:shd w:val="clear" w:color="auto" w:fill="auto"/>
            <w:noWrap/>
            <w:vAlign w:val="center"/>
            <w:hideMark/>
          </w:tcPr>
          <w:p w14:paraId="7BC629EF" w14:textId="77777777" w:rsidR="005C0E39" w:rsidRPr="007B1A7A" w:rsidRDefault="005C0E39" w:rsidP="00C94BB5">
            <w:pPr>
              <w:spacing w:after="0" w:line="240" w:lineRule="auto"/>
              <w:jc w:val="center"/>
              <w:rPr>
                <w:rFonts w:asciiTheme="majorHAnsi" w:hAnsiTheme="majorHAnsi" w:cs="Calibri"/>
                <w:color w:val="000000"/>
                <w:sz w:val="20"/>
                <w:szCs w:val="20"/>
              </w:rPr>
            </w:pPr>
            <w:r w:rsidRPr="007B1A7A">
              <w:rPr>
                <w:rFonts w:asciiTheme="majorHAnsi" w:hAnsiTheme="majorHAnsi" w:cs="Calibri"/>
                <w:color w:val="000000"/>
                <w:sz w:val="20"/>
                <w:szCs w:val="20"/>
              </w:rPr>
              <w:t>-1,868</w:t>
            </w:r>
          </w:p>
        </w:tc>
        <w:tc>
          <w:tcPr>
            <w:tcW w:w="1197" w:type="dxa"/>
            <w:tcBorders>
              <w:top w:val="single" w:sz="4" w:space="0" w:color="auto"/>
              <w:left w:val="nil"/>
              <w:bottom w:val="single" w:sz="4" w:space="0" w:color="auto"/>
              <w:right w:val="single" w:sz="4" w:space="0" w:color="auto"/>
            </w:tcBorders>
            <w:shd w:val="clear" w:color="auto" w:fill="auto"/>
            <w:noWrap/>
            <w:vAlign w:val="center"/>
            <w:hideMark/>
          </w:tcPr>
          <w:p w14:paraId="7C43BF3D" w14:textId="77777777" w:rsidR="005C0E39" w:rsidRPr="007B1A7A" w:rsidRDefault="005C0E39" w:rsidP="00C94BB5">
            <w:pPr>
              <w:spacing w:after="0" w:line="240" w:lineRule="auto"/>
              <w:jc w:val="center"/>
              <w:rPr>
                <w:rFonts w:asciiTheme="majorHAnsi" w:hAnsiTheme="majorHAnsi" w:cs="Calibri"/>
                <w:color w:val="000000"/>
                <w:sz w:val="20"/>
                <w:szCs w:val="20"/>
              </w:rPr>
            </w:pPr>
            <w:r w:rsidRPr="007B1A7A">
              <w:rPr>
                <w:rFonts w:asciiTheme="majorHAnsi" w:hAnsiTheme="majorHAnsi" w:cs="Calibri"/>
                <w:color w:val="000000"/>
                <w:sz w:val="20"/>
                <w:szCs w:val="20"/>
              </w:rPr>
              <w:t>-787</w:t>
            </w:r>
          </w:p>
        </w:tc>
        <w:tc>
          <w:tcPr>
            <w:tcW w:w="1197" w:type="dxa"/>
            <w:tcBorders>
              <w:top w:val="single" w:sz="4" w:space="0" w:color="auto"/>
              <w:left w:val="nil"/>
              <w:bottom w:val="single" w:sz="4" w:space="0" w:color="auto"/>
              <w:right w:val="single" w:sz="4" w:space="0" w:color="auto"/>
            </w:tcBorders>
            <w:shd w:val="clear" w:color="auto" w:fill="auto"/>
            <w:noWrap/>
            <w:vAlign w:val="center"/>
            <w:hideMark/>
          </w:tcPr>
          <w:p w14:paraId="4E0C8C75" w14:textId="77777777" w:rsidR="005C0E39" w:rsidRPr="007B1A7A" w:rsidRDefault="005C0E39" w:rsidP="00C94BB5">
            <w:pPr>
              <w:spacing w:after="0" w:line="240" w:lineRule="auto"/>
              <w:jc w:val="center"/>
              <w:rPr>
                <w:rFonts w:asciiTheme="majorHAnsi" w:hAnsiTheme="majorHAnsi" w:cs="Calibri"/>
                <w:color w:val="000000"/>
                <w:sz w:val="20"/>
                <w:szCs w:val="20"/>
              </w:rPr>
            </w:pPr>
            <w:r w:rsidRPr="007B1A7A">
              <w:rPr>
                <w:rFonts w:asciiTheme="majorHAnsi" w:hAnsiTheme="majorHAnsi" w:cs="Calibri"/>
                <w:color w:val="000000"/>
                <w:sz w:val="20"/>
                <w:szCs w:val="20"/>
              </w:rPr>
              <w:t>-738</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7543BD" w14:textId="77777777" w:rsidR="005C0E39" w:rsidRPr="007B1A7A" w:rsidRDefault="005C0E39" w:rsidP="00C94BB5">
            <w:pPr>
              <w:spacing w:after="0" w:line="240" w:lineRule="auto"/>
              <w:jc w:val="center"/>
              <w:rPr>
                <w:rFonts w:asciiTheme="majorHAnsi" w:hAnsiTheme="majorHAnsi" w:cs="Calibri"/>
                <w:color w:val="000000"/>
                <w:sz w:val="20"/>
                <w:szCs w:val="20"/>
              </w:rPr>
            </w:pPr>
            <w:r w:rsidRPr="007B1A7A">
              <w:rPr>
                <w:rFonts w:asciiTheme="majorHAnsi" w:hAnsiTheme="majorHAnsi" w:cs="Calibri"/>
                <w:color w:val="000000"/>
                <w:sz w:val="20"/>
                <w:szCs w:val="20"/>
              </w:rPr>
              <w:t>-1,186</w:t>
            </w:r>
          </w:p>
        </w:tc>
      </w:tr>
      <w:tr w:rsidR="005C0E39" w:rsidRPr="00A94F48" w14:paraId="2D801E1F" w14:textId="77777777" w:rsidTr="00C94BB5">
        <w:trPr>
          <w:trHeight w:val="500"/>
        </w:trPr>
        <w:tc>
          <w:tcPr>
            <w:tcW w:w="3365" w:type="dxa"/>
            <w:tcBorders>
              <w:top w:val="nil"/>
              <w:left w:val="single" w:sz="4" w:space="0" w:color="auto"/>
              <w:bottom w:val="single" w:sz="4" w:space="0" w:color="auto"/>
              <w:right w:val="single" w:sz="4" w:space="0" w:color="auto"/>
            </w:tcBorders>
            <w:shd w:val="clear" w:color="auto" w:fill="auto"/>
            <w:vAlign w:val="center"/>
            <w:hideMark/>
          </w:tcPr>
          <w:p w14:paraId="625F4018" w14:textId="77777777" w:rsidR="005C0E39" w:rsidRPr="00A94F48" w:rsidRDefault="005C0E39" w:rsidP="00C94BB5">
            <w:pPr>
              <w:spacing w:after="0" w:line="240" w:lineRule="auto"/>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Impact on private non-farm employment</w:t>
            </w:r>
          </w:p>
        </w:tc>
        <w:tc>
          <w:tcPr>
            <w:tcW w:w="1197" w:type="dxa"/>
            <w:tcBorders>
              <w:top w:val="nil"/>
              <w:left w:val="single" w:sz="4" w:space="0" w:color="auto"/>
              <w:bottom w:val="single" w:sz="4" w:space="0" w:color="auto"/>
              <w:right w:val="single" w:sz="4" w:space="0" w:color="auto"/>
            </w:tcBorders>
            <w:shd w:val="clear" w:color="auto" w:fill="auto"/>
            <w:noWrap/>
            <w:vAlign w:val="center"/>
            <w:hideMark/>
          </w:tcPr>
          <w:p w14:paraId="7B2AC1FD" w14:textId="77777777" w:rsidR="005C0E39" w:rsidRPr="007B1A7A" w:rsidRDefault="005C0E39" w:rsidP="00C94BB5">
            <w:pPr>
              <w:spacing w:after="0" w:line="240" w:lineRule="auto"/>
              <w:jc w:val="center"/>
              <w:rPr>
                <w:rFonts w:asciiTheme="majorHAnsi" w:hAnsiTheme="majorHAnsi" w:cs="Calibri"/>
                <w:color w:val="000000"/>
                <w:sz w:val="20"/>
                <w:szCs w:val="20"/>
              </w:rPr>
            </w:pPr>
            <w:r w:rsidRPr="007B1A7A">
              <w:rPr>
                <w:rFonts w:asciiTheme="majorHAnsi" w:hAnsiTheme="majorHAnsi" w:cs="Calibri"/>
                <w:color w:val="000000"/>
                <w:sz w:val="20"/>
                <w:szCs w:val="20"/>
              </w:rPr>
              <w:t>1,687</w:t>
            </w:r>
          </w:p>
        </w:tc>
        <w:tc>
          <w:tcPr>
            <w:tcW w:w="1197" w:type="dxa"/>
            <w:tcBorders>
              <w:top w:val="nil"/>
              <w:left w:val="nil"/>
              <w:bottom w:val="single" w:sz="4" w:space="0" w:color="auto"/>
              <w:right w:val="single" w:sz="4" w:space="0" w:color="auto"/>
            </w:tcBorders>
            <w:shd w:val="clear" w:color="auto" w:fill="auto"/>
            <w:noWrap/>
            <w:vAlign w:val="center"/>
            <w:hideMark/>
          </w:tcPr>
          <w:p w14:paraId="32610EFB" w14:textId="77777777" w:rsidR="005C0E39" w:rsidRPr="007B1A7A" w:rsidRDefault="005C0E39" w:rsidP="00C94BB5">
            <w:pPr>
              <w:spacing w:after="0" w:line="240" w:lineRule="auto"/>
              <w:jc w:val="center"/>
              <w:rPr>
                <w:rFonts w:asciiTheme="majorHAnsi" w:hAnsiTheme="majorHAnsi" w:cs="Calibri"/>
                <w:color w:val="000000"/>
                <w:sz w:val="20"/>
                <w:szCs w:val="20"/>
              </w:rPr>
            </w:pPr>
            <w:r w:rsidRPr="007B1A7A">
              <w:rPr>
                <w:rFonts w:asciiTheme="majorHAnsi" w:hAnsiTheme="majorHAnsi" w:cs="Calibri"/>
                <w:color w:val="000000"/>
                <w:sz w:val="20"/>
                <w:szCs w:val="20"/>
              </w:rPr>
              <w:t>4,060</w:t>
            </w:r>
          </w:p>
        </w:tc>
        <w:tc>
          <w:tcPr>
            <w:tcW w:w="1197" w:type="dxa"/>
            <w:tcBorders>
              <w:top w:val="nil"/>
              <w:left w:val="nil"/>
              <w:bottom w:val="single" w:sz="4" w:space="0" w:color="auto"/>
              <w:right w:val="single" w:sz="4" w:space="0" w:color="auto"/>
            </w:tcBorders>
            <w:shd w:val="clear" w:color="auto" w:fill="auto"/>
            <w:noWrap/>
            <w:vAlign w:val="center"/>
            <w:hideMark/>
          </w:tcPr>
          <w:p w14:paraId="508887A1" w14:textId="77777777" w:rsidR="005C0E39" w:rsidRPr="007B1A7A" w:rsidRDefault="005C0E39" w:rsidP="00C94BB5">
            <w:pPr>
              <w:spacing w:after="0" w:line="240" w:lineRule="auto"/>
              <w:jc w:val="center"/>
              <w:rPr>
                <w:rFonts w:asciiTheme="majorHAnsi" w:hAnsiTheme="majorHAnsi" w:cs="Calibri"/>
                <w:color w:val="000000"/>
                <w:sz w:val="20"/>
                <w:szCs w:val="20"/>
              </w:rPr>
            </w:pPr>
            <w:r w:rsidRPr="007B1A7A">
              <w:rPr>
                <w:rFonts w:asciiTheme="majorHAnsi" w:hAnsiTheme="majorHAnsi" w:cs="Calibri"/>
                <w:color w:val="000000"/>
                <w:sz w:val="20"/>
                <w:szCs w:val="20"/>
              </w:rPr>
              <w:t>4,648</w:t>
            </w:r>
          </w:p>
        </w:tc>
        <w:tc>
          <w:tcPr>
            <w:tcW w:w="1197" w:type="dxa"/>
            <w:tcBorders>
              <w:top w:val="nil"/>
              <w:left w:val="nil"/>
              <w:bottom w:val="single" w:sz="4" w:space="0" w:color="auto"/>
              <w:right w:val="single" w:sz="4" w:space="0" w:color="auto"/>
            </w:tcBorders>
            <w:shd w:val="clear" w:color="auto" w:fill="auto"/>
            <w:noWrap/>
            <w:vAlign w:val="center"/>
            <w:hideMark/>
          </w:tcPr>
          <w:p w14:paraId="20C7FA2A" w14:textId="77777777" w:rsidR="005C0E39" w:rsidRPr="007B1A7A" w:rsidRDefault="005C0E39" w:rsidP="00C94BB5">
            <w:pPr>
              <w:spacing w:after="0" w:line="240" w:lineRule="auto"/>
              <w:jc w:val="center"/>
              <w:rPr>
                <w:rFonts w:asciiTheme="majorHAnsi" w:hAnsiTheme="majorHAnsi" w:cs="Calibri"/>
                <w:color w:val="000000"/>
                <w:sz w:val="20"/>
                <w:szCs w:val="20"/>
              </w:rPr>
            </w:pPr>
            <w:r w:rsidRPr="007B1A7A">
              <w:rPr>
                <w:rFonts w:asciiTheme="majorHAnsi" w:hAnsiTheme="majorHAnsi" w:cs="Calibri"/>
                <w:color w:val="000000"/>
                <w:sz w:val="20"/>
                <w:szCs w:val="20"/>
              </w:rPr>
              <w:t>4,392</w:t>
            </w:r>
          </w:p>
        </w:tc>
        <w:tc>
          <w:tcPr>
            <w:tcW w:w="1197" w:type="dxa"/>
            <w:tcBorders>
              <w:top w:val="nil"/>
              <w:left w:val="single" w:sz="4" w:space="0" w:color="auto"/>
              <w:bottom w:val="single" w:sz="4" w:space="0" w:color="auto"/>
              <w:right w:val="single" w:sz="4" w:space="0" w:color="auto"/>
            </w:tcBorders>
            <w:shd w:val="clear" w:color="auto" w:fill="auto"/>
            <w:noWrap/>
            <w:vAlign w:val="center"/>
            <w:hideMark/>
          </w:tcPr>
          <w:p w14:paraId="32D4EC75" w14:textId="77777777" w:rsidR="005C0E39" w:rsidRPr="007B1A7A" w:rsidRDefault="005C0E39" w:rsidP="00C94BB5">
            <w:pPr>
              <w:spacing w:after="0" w:line="240" w:lineRule="auto"/>
              <w:jc w:val="center"/>
              <w:rPr>
                <w:rFonts w:asciiTheme="majorHAnsi" w:hAnsiTheme="majorHAnsi" w:cs="Calibri"/>
                <w:color w:val="000000"/>
                <w:sz w:val="20"/>
                <w:szCs w:val="20"/>
              </w:rPr>
            </w:pPr>
            <w:r w:rsidRPr="007B1A7A">
              <w:rPr>
                <w:rFonts w:asciiTheme="majorHAnsi" w:hAnsiTheme="majorHAnsi" w:cs="Calibri"/>
                <w:color w:val="000000"/>
                <w:sz w:val="20"/>
                <w:szCs w:val="20"/>
              </w:rPr>
              <w:t>3,729</w:t>
            </w:r>
          </w:p>
        </w:tc>
      </w:tr>
      <w:tr w:rsidR="005C0E39" w:rsidRPr="00A94F48" w14:paraId="01A3ABBB" w14:textId="77777777" w:rsidTr="00C94BB5">
        <w:trPr>
          <w:trHeight w:val="500"/>
        </w:trPr>
        <w:tc>
          <w:tcPr>
            <w:tcW w:w="3365" w:type="dxa"/>
            <w:tcBorders>
              <w:top w:val="nil"/>
              <w:left w:val="single" w:sz="4" w:space="0" w:color="auto"/>
              <w:bottom w:val="single" w:sz="4" w:space="0" w:color="auto"/>
              <w:right w:val="single" w:sz="4" w:space="0" w:color="auto"/>
            </w:tcBorders>
            <w:shd w:val="clear" w:color="auto" w:fill="auto"/>
            <w:vAlign w:val="center"/>
            <w:hideMark/>
          </w:tcPr>
          <w:p w14:paraId="27104808" w14:textId="77777777" w:rsidR="005C0E39" w:rsidRPr="00A94F48" w:rsidRDefault="005C0E39" w:rsidP="00C94BB5">
            <w:pPr>
              <w:spacing w:after="0" w:line="240" w:lineRule="auto"/>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Impact on GDP ($000), real dollars (2012)</w:t>
            </w:r>
          </w:p>
        </w:tc>
        <w:tc>
          <w:tcPr>
            <w:tcW w:w="1197" w:type="dxa"/>
            <w:tcBorders>
              <w:top w:val="nil"/>
              <w:left w:val="single" w:sz="4" w:space="0" w:color="auto"/>
              <w:bottom w:val="single" w:sz="4" w:space="0" w:color="auto"/>
              <w:right w:val="single" w:sz="4" w:space="0" w:color="auto"/>
            </w:tcBorders>
            <w:shd w:val="clear" w:color="auto" w:fill="auto"/>
            <w:noWrap/>
            <w:vAlign w:val="center"/>
            <w:hideMark/>
          </w:tcPr>
          <w:p w14:paraId="36A81A4C" w14:textId="77777777" w:rsidR="005C0E39" w:rsidRPr="007B1A7A" w:rsidRDefault="005C0E39" w:rsidP="00C94BB5">
            <w:pPr>
              <w:spacing w:after="0" w:line="240" w:lineRule="auto"/>
              <w:jc w:val="center"/>
              <w:rPr>
                <w:rFonts w:ascii="Cambria" w:eastAsia="Times New Roman" w:hAnsi="Cambria" w:cs="Arial"/>
                <w:sz w:val="20"/>
                <w:szCs w:val="20"/>
                <w:lang w:eastAsia="ko-KR"/>
              </w:rPr>
            </w:pPr>
            <w:r w:rsidRPr="007B1A7A">
              <w:rPr>
                <w:rFonts w:ascii="Cambria" w:eastAsia="Times New Roman" w:hAnsi="Cambria" w:cs="Arial"/>
                <w:sz w:val="20"/>
                <w:szCs w:val="20"/>
                <w:lang w:eastAsia="ko-KR"/>
              </w:rPr>
              <w:t>-$385,000</w:t>
            </w:r>
          </w:p>
        </w:tc>
        <w:tc>
          <w:tcPr>
            <w:tcW w:w="1197" w:type="dxa"/>
            <w:tcBorders>
              <w:top w:val="nil"/>
              <w:left w:val="nil"/>
              <w:bottom w:val="single" w:sz="4" w:space="0" w:color="auto"/>
              <w:right w:val="single" w:sz="4" w:space="0" w:color="auto"/>
            </w:tcBorders>
            <w:shd w:val="clear" w:color="auto" w:fill="auto"/>
            <w:noWrap/>
            <w:vAlign w:val="center"/>
            <w:hideMark/>
          </w:tcPr>
          <w:p w14:paraId="6A05A2B5" w14:textId="77777777" w:rsidR="005C0E39" w:rsidRPr="007B1A7A" w:rsidRDefault="005C0E39" w:rsidP="00C94BB5">
            <w:pPr>
              <w:spacing w:after="0" w:line="240" w:lineRule="auto"/>
              <w:jc w:val="center"/>
              <w:rPr>
                <w:rFonts w:ascii="Cambria" w:eastAsia="Times New Roman" w:hAnsi="Cambria" w:cs="Arial"/>
                <w:sz w:val="20"/>
                <w:szCs w:val="20"/>
                <w:lang w:eastAsia="ko-KR"/>
              </w:rPr>
            </w:pPr>
            <w:r w:rsidRPr="007B1A7A">
              <w:rPr>
                <w:rFonts w:ascii="Cambria" w:eastAsia="Times New Roman" w:hAnsi="Cambria" w:cs="Arial"/>
                <w:sz w:val="20"/>
                <w:szCs w:val="20"/>
                <w:lang w:eastAsia="ko-KR"/>
              </w:rPr>
              <w:t>-$160,000</w:t>
            </w:r>
          </w:p>
        </w:tc>
        <w:tc>
          <w:tcPr>
            <w:tcW w:w="1197" w:type="dxa"/>
            <w:tcBorders>
              <w:top w:val="nil"/>
              <w:left w:val="nil"/>
              <w:bottom w:val="single" w:sz="4" w:space="0" w:color="auto"/>
              <w:right w:val="single" w:sz="4" w:space="0" w:color="auto"/>
            </w:tcBorders>
            <w:shd w:val="clear" w:color="auto" w:fill="auto"/>
            <w:noWrap/>
            <w:vAlign w:val="center"/>
            <w:hideMark/>
          </w:tcPr>
          <w:p w14:paraId="753FF66F" w14:textId="77777777" w:rsidR="005C0E39" w:rsidRPr="007B1A7A" w:rsidRDefault="005C0E39" w:rsidP="00C94BB5">
            <w:pPr>
              <w:spacing w:after="0" w:line="240" w:lineRule="auto"/>
              <w:jc w:val="center"/>
              <w:rPr>
                <w:rFonts w:ascii="Cambria" w:eastAsia="Times New Roman" w:hAnsi="Cambria" w:cs="Arial"/>
                <w:sz w:val="20"/>
                <w:szCs w:val="20"/>
                <w:lang w:eastAsia="ko-KR"/>
              </w:rPr>
            </w:pPr>
            <w:r w:rsidRPr="007B1A7A">
              <w:rPr>
                <w:rFonts w:ascii="Cambria" w:eastAsia="Times New Roman" w:hAnsi="Cambria" w:cs="Arial"/>
                <w:sz w:val="20"/>
                <w:szCs w:val="20"/>
                <w:lang w:eastAsia="ko-KR"/>
              </w:rPr>
              <w:t>-$56,000</w:t>
            </w:r>
          </w:p>
        </w:tc>
        <w:tc>
          <w:tcPr>
            <w:tcW w:w="1197" w:type="dxa"/>
            <w:tcBorders>
              <w:top w:val="nil"/>
              <w:left w:val="nil"/>
              <w:bottom w:val="single" w:sz="4" w:space="0" w:color="auto"/>
              <w:right w:val="single" w:sz="4" w:space="0" w:color="auto"/>
            </w:tcBorders>
            <w:shd w:val="clear" w:color="auto" w:fill="auto"/>
            <w:noWrap/>
            <w:vAlign w:val="center"/>
            <w:hideMark/>
          </w:tcPr>
          <w:p w14:paraId="31DDE3C1" w14:textId="77777777" w:rsidR="005C0E39" w:rsidRPr="007B1A7A" w:rsidRDefault="005C0E39" w:rsidP="00C94BB5">
            <w:pPr>
              <w:spacing w:after="0" w:line="240" w:lineRule="auto"/>
              <w:jc w:val="center"/>
              <w:rPr>
                <w:rFonts w:ascii="Cambria" w:eastAsia="Times New Roman" w:hAnsi="Cambria" w:cs="Arial"/>
                <w:sz w:val="20"/>
                <w:szCs w:val="20"/>
                <w:lang w:eastAsia="ko-KR"/>
              </w:rPr>
            </w:pPr>
            <w:r w:rsidRPr="007B1A7A">
              <w:rPr>
                <w:rFonts w:ascii="Cambria" w:eastAsia="Times New Roman" w:hAnsi="Cambria" w:cs="Arial"/>
                <w:sz w:val="20"/>
                <w:szCs w:val="20"/>
                <w:lang w:eastAsia="ko-KR"/>
              </w:rPr>
              <w:t>-$45,000</w:t>
            </w:r>
          </w:p>
        </w:tc>
        <w:tc>
          <w:tcPr>
            <w:tcW w:w="1197" w:type="dxa"/>
            <w:tcBorders>
              <w:top w:val="nil"/>
              <w:left w:val="single" w:sz="4" w:space="0" w:color="auto"/>
              <w:bottom w:val="single" w:sz="4" w:space="0" w:color="auto"/>
              <w:right w:val="single" w:sz="4" w:space="0" w:color="auto"/>
            </w:tcBorders>
            <w:shd w:val="clear" w:color="auto" w:fill="auto"/>
            <w:noWrap/>
            <w:vAlign w:val="center"/>
            <w:hideMark/>
          </w:tcPr>
          <w:p w14:paraId="28773E74" w14:textId="77777777" w:rsidR="005C0E39" w:rsidRPr="007B1A7A" w:rsidRDefault="005C0E39" w:rsidP="00C94BB5">
            <w:pPr>
              <w:spacing w:after="0" w:line="240" w:lineRule="auto"/>
              <w:jc w:val="center"/>
              <w:rPr>
                <w:rFonts w:ascii="Cambria" w:eastAsia="Times New Roman" w:hAnsi="Cambria" w:cs="Arial"/>
                <w:sz w:val="20"/>
                <w:szCs w:val="20"/>
                <w:lang w:eastAsia="ko-KR"/>
              </w:rPr>
            </w:pPr>
            <w:r w:rsidRPr="007B1A7A">
              <w:rPr>
                <w:rFonts w:ascii="Cambria" w:eastAsia="Times New Roman" w:hAnsi="Cambria" w:cs="Arial"/>
                <w:sz w:val="20"/>
                <w:szCs w:val="20"/>
                <w:lang w:eastAsia="ko-KR"/>
              </w:rPr>
              <w:t>-$82,000</w:t>
            </w:r>
          </w:p>
        </w:tc>
      </w:tr>
      <w:tr w:rsidR="005C0E39" w:rsidRPr="00A94F48" w14:paraId="1D505C88" w14:textId="77777777" w:rsidTr="00C94BB5">
        <w:trPr>
          <w:trHeight w:val="500"/>
        </w:trPr>
        <w:tc>
          <w:tcPr>
            <w:tcW w:w="3365" w:type="dxa"/>
            <w:tcBorders>
              <w:top w:val="nil"/>
              <w:left w:val="single" w:sz="4" w:space="0" w:color="auto"/>
              <w:bottom w:val="single" w:sz="4" w:space="0" w:color="auto"/>
              <w:right w:val="single" w:sz="4" w:space="0" w:color="auto"/>
            </w:tcBorders>
            <w:shd w:val="clear" w:color="auto" w:fill="auto"/>
            <w:vAlign w:val="center"/>
            <w:hideMark/>
          </w:tcPr>
          <w:p w14:paraId="7EFFD243" w14:textId="77777777" w:rsidR="005C0E39" w:rsidRPr="00A94F48" w:rsidRDefault="005C0E39" w:rsidP="00C94BB5">
            <w:pPr>
              <w:spacing w:after="0" w:line="240" w:lineRule="auto"/>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lastRenderedPageBreak/>
              <w:t>Impact on personal income ($000)</w:t>
            </w:r>
          </w:p>
        </w:tc>
        <w:tc>
          <w:tcPr>
            <w:tcW w:w="1197" w:type="dxa"/>
            <w:tcBorders>
              <w:top w:val="nil"/>
              <w:left w:val="single" w:sz="4" w:space="0" w:color="auto"/>
              <w:bottom w:val="single" w:sz="4" w:space="0" w:color="auto"/>
              <w:right w:val="single" w:sz="4" w:space="0" w:color="auto"/>
            </w:tcBorders>
            <w:shd w:val="clear" w:color="auto" w:fill="auto"/>
            <w:noWrap/>
            <w:vAlign w:val="center"/>
            <w:hideMark/>
          </w:tcPr>
          <w:p w14:paraId="3732506C" w14:textId="77777777" w:rsidR="005C0E39" w:rsidRPr="007B1A7A" w:rsidRDefault="005C0E39" w:rsidP="00C94BB5">
            <w:pPr>
              <w:spacing w:after="0" w:line="240" w:lineRule="auto"/>
              <w:jc w:val="center"/>
              <w:rPr>
                <w:rFonts w:ascii="Cambria" w:eastAsia="Times New Roman" w:hAnsi="Cambria" w:cs="Arial"/>
                <w:sz w:val="20"/>
                <w:szCs w:val="20"/>
                <w:lang w:eastAsia="ko-KR"/>
              </w:rPr>
            </w:pPr>
            <w:r w:rsidRPr="007B1A7A">
              <w:rPr>
                <w:rFonts w:ascii="Cambria" w:eastAsia="Times New Roman" w:hAnsi="Cambria" w:cs="Arial"/>
                <w:sz w:val="20"/>
                <w:szCs w:val="20"/>
                <w:lang w:eastAsia="ko-KR"/>
              </w:rPr>
              <w:t>-$167,000</w:t>
            </w:r>
          </w:p>
        </w:tc>
        <w:tc>
          <w:tcPr>
            <w:tcW w:w="1197" w:type="dxa"/>
            <w:tcBorders>
              <w:top w:val="nil"/>
              <w:left w:val="nil"/>
              <w:bottom w:val="single" w:sz="4" w:space="0" w:color="auto"/>
              <w:right w:val="single" w:sz="4" w:space="0" w:color="auto"/>
            </w:tcBorders>
            <w:shd w:val="clear" w:color="auto" w:fill="auto"/>
            <w:noWrap/>
            <w:vAlign w:val="center"/>
            <w:hideMark/>
          </w:tcPr>
          <w:p w14:paraId="20441CD2" w14:textId="77777777" w:rsidR="005C0E39" w:rsidRPr="007B1A7A" w:rsidRDefault="005C0E39" w:rsidP="00C94BB5">
            <w:pPr>
              <w:spacing w:after="0" w:line="240" w:lineRule="auto"/>
              <w:jc w:val="center"/>
              <w:rPr>
                <w:rFonts w:ascii="Cambria" w:eastAsia="Times New Roman" w:hAnsi="Cambria" w:cs="Arial"/>
                <w:sz w:val="20"/>
                <w:szCs w:val="20"/>
                <w:lang w:eastAsia="ko-KR"/>
              </w:rPr>
            </w:pPr>
            <w:r w:rsidRPr="007B1A7A">
              <w:rPr>
                <w:rFonts w:ascii="Cambria" w:eastAsia="Times New Roman" w:hAnsi="Cambria" w:cs="Arial"/>
                <w:sz w:val="20"/>
                <w:szCs w:val="20"/>
                <w:lang w:eastAsia="ko-KR"/>
              </w:rPr>
              <w:t>$13,000</w:t>
            </w:r>
          </w:p>
        </w:tc>
        <w:tc>
          <w:tcPr>
            <w:tcW w:w="1197" w:type="dxa"/>
            <w:tcBorders>
              <w:top w:val="nil"/>
              <w:left w:val="nil"/>
              <w:bottom w:val="single" w:sz="4" w:space="0" w:color="auto"/>
              <w:right w:val="single" w:sz="4" w:space="0" w:color="auto"/>
            </w:tcBorders>
            <w:shd w:val="clear" w:color="auto" w:fill="auto"/>
            <w:noWrap/>
            <w:vAlign w:val="center"/>
            <w:hideMark/>
          </w:tcPr>
          <w:p w14:paraId="7012791B" w14:textId="77777777" w:rsidR="005C0E39" w:rsidRPr="007B1A7A" w:rsidRDefault="005C0E39" w:rsidP="00C94BB5">
            <w:pPr>
              <w:spacing w:after="0" w:line="240" w:lineRule="auto"/>
              <w:jc w:val="center"/>
              <w:rPr>
                <w:rFonts w:ascii="Cambria" w:eastAsia="Times New Roman" w:hAnsi="Cambria" w:cs="Arial"/>
                <w:sz w:val="20"/>
                <w:szCs w:val="20"/>
                <w:lang w:eastAsia="ko-KR"/>
              </w:rPr>
            </w:pPr>
            <w:r w:rsidRPr="007B1A7A">
              <w:rPr>
                <w:rFonts w:ascii="Cambria" w:eastAsia="Times New Roman" w:hAnsi="Cambria" w:cs="Arial"/>
                <w:sz w:val="20"/>
                <w:szCs w:val="20"/>
                <w:lang w:eastAsia="ko-KR"/>
              </w:rPr>
              <w:t>$106,000</w:t>
            </w:r>
          </w:p>
        </w:tc>
        <w:tc>
          <w:tcPr>
            <w:tcW w:w="1197" w:type="dxa"/>
            <w:tcBorders>
              <w:top w:val="nil"/>
              <w:left w:val="nil"/>
              <w:bottom w:val="single" w:sz="4" w:space="0" w:color="auto"/>
              <w:right w:val="single" w:sz="4" w:space="0" w:color="auto"/>
            </w:tcBorders>
            <w:shd w:val="clear" w:color="auto" w:fill="auto"/>
            <w:noWrap/>
            <w:vAlign w:val="center"/>
            <w:hideMark/>
          </w:tcPr>
          <w:p w14:paraId="0FBCF254" w14:textId="77777777" w:rsidR="005C0E39" w:rsidRPr="007B1A7A" w:rsidRDefault="005C0E39" w:rsidP="00C94BB5">
            <w:pPr>
              <w:spacing w:after="0" w:line="240" w:lineRule="auto"/>
              <w:jc w:val="center"/>
              <w:rPr>
                <w:rFonts w:ascii="Cambria" w:eastAsia="Times New Roman" w:hAnsi="Cambria" w:cs="Arial"/>
                <w:sz w:val="20"/>
                <w:szCs w:val="20"/>
                <w:lang w:eastAsia="ko-KR"/>
              </w:rPr>
            </w:pPr>
            <w:r w:rsidRPr="007B1A7A">
              <w:rPr>
                <w:rFonts w:ascii="Cambria" w:eastAsia="Times New Roman" w:hAnsi="Cambria" w:cs="Arial"/>
                <w:sz w:val="20"/>
                <w:szCs w:val="20"/>
                <w:lang w:eastAsia="ko-KR"/>
              </w:rPr>
              <w:t>$129,000</w:t>
            </w:r>
          </w:p>
        </w:tc>
        <w:tc>
          <w:tcPr>
            <w:tcW w:w="1197" w:type="dxa"/>
            <w:tcBorders>
              <w:top w:val="nil"/>
              <w:left w:val="single" w:sz="4" w:space="0" w:color="auto"/>
              <w:bottom w:val="single" w:sz="4" w:space="0" w:color="auto"/>
              <w:right w:val="single" w:sz="4" w:space="0" w:color="auto"/>
            </w:tcBorders>
            <w:shd w:val="clear" w:color="auto" w:fill="auto"/>
            <w:noWrap/>
            <w:vAlign w:val="center"/>
            <w:hideMark/>
          </w:tcPr>
          <w:p w14:paraId="5EA93B2F" w14:textId="77777777" w:rsidR="005C0E39" w:rsidRPr="007B1A7A" w:rsidRDefault="005C0E39" w:rsidP="00C94BB5">
            <w:pPr>
              <w:spacing w:after="0" w:line="240" w:lineRule="auto"/>
              <w:jc w:val="center"/>
              <w:rPr>
                <w:rFonts w:ascii="Cambria" w:eastAsia="Times New Roman" w:hAnsi="Cambria" w:cs="Arial"/>
                <w:sz w:val="20"/>
                <w:szCs w:val="20"/>
                <w:lang w:eastAsia="ko-KR"/>
              </w:rPr>
            </w:pPr>
            <w:r w:rsidRPr="007B1A7A">
              <w:rPr>
                <w:rFonts w:ascii="Cambria" w:eastAsia="Times New Roman" w:hAnsi="Cambria" w:cs="Arial"/>
                <w:sz w:val="20"/>
                <w:szCs w:val="20"/>
                <w:lang w:eastAsia="ko-KR"/>
              </w:rPr>
              <w:t>$101,000</w:t>
            </w:r>
          </w:p>
        </w:tc>
      </w:tr>
    </w:tbl>
    <w:p w14:paraId="2EFA9ACF" w14:textId="77777777" w:rsidR="005C0E39" w:rsidRDefault="005C0E39" w:rsidP="005C0E39">
      <w:pPr>
        <w:tabs>
          <w:tab w:val="left" w:pos="7050"/>
        </w:tabs>
        <w:spacing w:after="0"/>
        <w:rPr>
          <w:rFonts w:asciiTheme="majorHAnsi" w:hAnsiTheme="majorHAnsi"/>
          <w:b/>
          <w:sz w:val="24"/>
          <w:szCs w:val="24"/>
        </w:rPr>
      </w:pPr>
      <w:r w:rsidRPr="00304366">
        <w:rPr>
          <w:rFonts w:asciiTheme="majorHAnsi" w:hAnsiTheme="majorHAnsi"/>
          <w:bCs/>
          <w:sz w:val="20"/>
          <w:szCs w:val="20"/>
        </w:rPr>
        <w:t>* assuming state government spending is cut by the same amount as</w:t>
      </w:r>
      <w:r>
        <w:rPr>
          <w:rFonts w:asciiTheme="majorHAnsi" w:hAnsiTheme="majorHAnsi"/>
          <w:bCs/>
          <w:sz w:val="20"/>
          <w:szCs w:val="20"/>
        </w:rPr>
        <w:t xml:space="preserve"> the revenue loss due to</w:t>
      </w:r>
      <w:r w:rsidRPr="00304366">
        <w:rPr>
          <w:rFonts w:asciiTheme="majorHAnsi" w:hAnsiTheme="majorHAnsi"/>
          <w:bCs/>
          <w:sz w:val="20"/>
          <w:szCs w:val="20"/>
        </w:rPr>
        <w:t xml:space="preserve"> </w:t>
      </w:r>
      <w:r>
        <w:rPr>
          <w:rFonts w:asciiTheme="majorHAnsi" w:hAnsiTheme="majorHAnsi"/>
          <w:bCs/>
          <w:sz w:val="20"/>
          <w:szCs w:val="20"/>
        </w:rPr>
        <w:t>the sales tax exemption for motor fuels to balance budget</w:t>
      </w:r>
      <w:r w:rsidRPr="00304366">
        <w:rPr>
          <w:rFonts w:asciiTheme="majorHAnsi" w:hAnsiTheme="majorHAnsi"/>
          <w:bCs/>
          <w:sz w:val="20"/>
          <w:szCs w:val="20"/>
        </w:rPr>
        <w:t>.</w:t>
      </w:r>
    </w:p>
    <w:p w14:paraId="5F11C306" w14:textId="77777777" w:rsidR="000D7397" w:rsidRDefault="000D7397" w:rsidP="009A3998">
      <w:pPr>
        <w:rPr>
          <w:rFonts w:asciiTheme="majorHAnsi" w:eastAsiaTheme="majorEastAsia" w:hAnsiTheme="majorHAnsi" w:cstheme="majorBidi"/>
          <w:b/>
          <w:bCs/>
          <w:color w:val="E36C0A" w:themeColor="accent6" w:themeShade="BF"/>
          <w:sz w:val="28"/>
          <w:szCs w:val="28"/>
        </w:rPr>
      </w:pPr>
    </w:p>
    <w:p w14:paraId="4773B67D" w14:textId="77777777" w:rsidR="009A3998" w:rsidRPr="004C3153" w:rsidRDefault="009A3998" w:rsidP="00BB0275">
      <w:pPr>
        <w:spacing w:after="0"/>
        <w:rPr>
          <w:rFonts w:asciiTheme="majorHAnsi" w:eastAsiaTheme="majorEastAsia" w:hAnsiTheme="majorHAnsi" w:cstheme="majorBidi"/>
          <w:b/>
          <w:bCs/>
          <w:color w:val="E36C0A" w:themeColor="accent6" w:themeShade="BF"/>
          <w:sz w:val="28"/>
          <w:szCs w:val="28"/>
        </w:rPr>
      </w:pPr>
      <w:r w:rsidRPr="004C3153">
        <w:rPr>
          <w:rFonts w:asciiTheme="majorHAnsi" w:eastAsiaTheme="majorEastAsia" w:hAnsiTheme="majorHAnsi" w:cstheme="majorBidi"/>
          <w:b/>
          <w:bCs/>
          <w:color w:val="E36C0A" w:themeColor="accent6" w:themeShade="BF"/>
          <w:sz w:val="28"/>
          <w:szCs w:val="28"/>
        </w:rPr>
        <w:t>Similar Tax Expenditures Offered by Other States</w:t>
      </w:r>
    </w:p>
    <w:p w14:paraId="3D2CB62C" w14:textId="77777777" w:rsidR="004E7DD4" w:rsidRDefault="004E7DD4" w:rsidP="004E7DD4">
      <w:pPr>
        <w:tabs>
          <w:tab w:val="left" w:pos="7050"/>
        </w:tabs>
        <w:spacing w:after="0"/>
        <w:rPr>
          <w:rFonts w:asciiTheme="majorHAnsi" w:hAnsiTheme="majorHAnsi"/>
          <w:bCs/>
          <w:sz w:val="24"/>
          <w:szCs w:val="23"/>
        </w:rPr>
      </w:pPr>
      <w:r>
        <w:rPr>
          <w:rFonts w:asciiTheme="majorHAnsi" w:hAnsiTheme="majorHAnsi"/>
          <w:bCs/>
          <w:sz w:val="24"/>
          <w:szCs w:val="23"/>
        </w:rPr>
        <w:t>Different states approach excise tax on motor fuel</w:t>
      </w:r>
      <w:r w:rsidR="00E37E4F">
        <w:rPr>
          <w:rFonts w:asciiTheme="majorHAnsi" w:hAnsiTheme="majorHAnsi"/>
          <w:bCs/>
          <w:sz w:val="24"/>
          <w:szCs w:val="23"/>
        </w:rPr>
        <w:t>s</w:t>
      </w:r>
      <w:r>
        <w:rPr>
          <w:rFonts w:asciiTheme="majorHAnsi" w:hAnsiTheme="majorHAnsi"/>
          <w:bCs/>
          <w:sz w:val="24"/>
          <w:szCs w:val="23"/>
        </w:rPr>
        <w:t xml:space="preserve"> based on their revenue requirements and other tax policy goals. For example, Arkansas adds environmental fee with sales tax on gas; California includes prepaid sales tax in gas excise tax; Florida, Hawaii, Michigan, and West Virginia add additional sales tax on top of gas tax. </w:t>
      </w:r>
    </w:p>
    <w:p w14:paraId="77558AE0" w14:textId="77777777" w:rsidR="004E7DD4" w:rsidRDefault="004E7DD4" w:rsidP="004E7DD4">
      <w:pPr>
        <w:tabs>
          <w:tab w:val="left" w:pos="7050"/>
        </w:tabs>
        <w:spacing w:after="0"/>
        <w:rPr>
          <w:rFonts w:asciiTheme="majorHAnsi" w:hAnsiTheme="majorHAnsi"/>
          <w:bCs/>
          <w:sz w:val="24"/>
          <w:szCs w:val="23"/>
        </w:rPr>
      </w:pPr>
    </w:p>
    <w:p w14:paraId="27BDABDD" w14:textId="77777777" w:rsidR="004E7DD4" w:rsidRDefault="004E7DD4" w:rsidP="004E7DD4">
      <w:pPr>
        <w:tabs>
          <w:tab w:val="left" w:pos="7050"/>
        </w:tabs>
        <w:spacing w:after="0"/>
        <w:rPr>
          <w:rFonts w:asciiTheme="majorHAnsi" w:hAnsiTheme="majorHAnsi"/>
          <w:bCs/>
          <w:sz w:val="24"/>
          <w:szCs w:val="23"/>
        </w:rPr>
      </w:pPr>
      <w:r>
        <w:rPr>
          <w:rFonts w:asciiTheme="majorHAnsi" w:hAnsiTheme="majorHAnsi"/>
          <w:bCs/>
          <w:sz w:val="24"/>
          <w:szCs w:val="23"/>
        </w:rPr>
        <w:t xml:space="preserve">The tables and charts below from </w:t>
      </w:r>
      <w:r w:rsidR="00BC0B03">
        <w:rPr>
          <w:rFonts w:asciiTheme="majorHAnsi" w:hAnsiTheme="majorHAnsi"/>
          <w:bCs/>
          <w:sz w:val="24"/>
          <w:szCs w:val="23"/>
        </w:rPr>
        <w:t xml:space="preserve">the </w:t>
      </w:r>
      <w:r>
        <w:rPr>
          <w:rFonts w:asciiTheme="majorHAnsi" w:hAnsiTheme="majorHAnsi"/>
          <w:bCs/>
          <w:sz w:val="24"/>
          <w:szCs w:val="23"/>
        </w:rPr>
        <w:t>Federation of Tax Administration (</w:t>
      </w:r>
      <w:hyperlink r:id="rId16" w:history="1">
        <w:r w:rsidRPr="00442C9B">
          <w:rPr>
            <w:rStyle w:val="Hyperlink"/>
            <w:rFonts w:asciiTheme="majorHAnsi" w:hAnsiTheme="majorHAnsi" w:cstheme="minorBidi"/>
            <w:bCs/>
            <w:sz w:val="24"/>
            <w:szCs w:val="23"/>
          </w:rPr>
          <w:t>https://www.taxadmin.org/</w:t>
        </w:r>
      </w:hyperlink>
      <w:r>
        <w:rPr>
          <w:rFonts w:asciiTheme="majorHAnsi" w:hAnsiTheme="majorHAnsi"/>
          <w:bCs/>
          <w:sz w:val="24"/>
          <w:szCs w:val="23"/>
        </w:rPr>
        <w:t>) and Tax Foundation (</w:t>
      </w:r>
      <w:hyperlink r:id="rId17" w:history="1">
        <w:r w:rsidRPr="00442C9B">
          <w:rPr>
            <w:rStyle w:val="Hyperlink"/>
            <w:rFonts w:asciiTheme="majorHAnsi" w:hAnsiTheme="majorHAnsi" w:cstheme="minorBidi"/>
            <w:bCs/>
            <w:sz w:val="24"/>
            <w:szCs w:val="23"/>
          </w:rPr>
          <w:t>https://taxfoundation.org/</w:t>
        </w:r>
      </w:hyperlink>
      <w:r>
        <w:rPr>
          <w:rFonts w:asciiTheme="majorHAnsi" w:hAnsiTheme="majorHAnsi"/>
          <w:bCs/>
          <w:sz w:val="24"/>
          <w:szCs w:val="23"/>
        </w:rPr>
        <w:t>)</w:t>
      </w:r>
    </w:p>
    <w:p w14:paraId="3276F3C2" w14:textId="77777777" w:rsidR="004E7DD4" w:rsidRDefault="004E7DD4" w:rsidP="004E7DD4">
      <w:pPr>
        <w:tabs>
          <w:tab w:val="left" w:pos="7050"/>
        </w:tabs>
        <w:spacing w:after="0"/>
        <w:rPr>
          <w:rFonts w:asciiTheme="majorHAnsi" w:hAnsiTheme="majorHAnsi"/>
          <w:bCs/>
          <w:sz w:val="24"/>
          <w:szCs w:val="23"/>
        </w:rPr>
      </w:pPr>
      <w:r>
        <w:rPr>
          <w:rFonts w:asciiTheme="majorHAnsi" w:hAnsiTheme="majorHAnsi"/>
          <w:bCs/>
          <w:sz w:val="24"/>
          <w:szCs w:val="23"/>
        </w:rPr>
        <w:t>may be useful for some additional information on states</w:t>
      </w:r>
      <w:r w:rsidR="00BC0B03">
        <w:rPr>
          <w:rFonts w:asciiTheme="majorHAnsi" w:hAnsiTheme="majorHAnsi"/>
          <w:bCs/>
          <w:sz w:val="24"/>
          <w:szCs w:val="23"/>
        </w:rPr>
        <w:t>’</w:t>
      </w:r>
      <w:r>
        <w:rPr>
          <w:rFonts w:asciiTheme="majorHAnsi" w:hAnsiTheme="majorHAnsi"/>
          <w:bCs/>
          <w:sz w:val="24"/>
          <w:szCs w:val="23"/>
        </w:rPr>
        <w:t xml:space="preserve"> motor fuel tax rates and sales tax exemption comparison.</w:t>
      </w:r>
    </w:p>
    <w:p w14:paraId="18723557" w14:textId="77777777" w:rsidR="004E7DD4" w:rsidRDefault="004E7DD4" w:rsidP="004E7DD4">
      <w:pPr>
        <w:tabs>
          <w:tab w:val="left" w:pos="7050"/>
        </w:tabs>
        <w:spacing w:after="0"/>
        <w:rPr>
          <w:rFonts w:asciiTheme="majorHAnsi" w:hAnsiTheme="majorHAnsi"/>
          <w:bCs/>
          <w:sz w:val="24"/>
          <w:szCs w:val="23"/>
        </w:rPr>
      </w:pPr>
    </w:p>
    <w:p w14:paraId="7075189A" w14:textId="77777777" w:rsidR="004E7DD4" w:rsidRPr="00A91E0D" w:rsidRDefault="004E7DD4" w:rsidP="004E7DD4">
      <w:pPr>
        <w:tabs>
          <w:tab w:val="left" w:pos="7050"/>
        </w:tabs>
        <w:spacing w:after="0"/>
        <w:rPr>
          <w:rFonts w:asciiTheme="majorHAnsi" w:hAnsiTheme="majorHAnsi"/>
          <w:bCs/>
          <w:sz w:val="24"/>
          <w:szCs w:val="23"/>
        </w:rPr>
      </w:pPr>
      <w:r>
        <w:rPr>
          <w:rFonts w:asciiTheme="majorHAnsi" w:hAnsiTheme="majorHAnsi"/>
          <w:bCs/>
          <w:sz w:val="24"/>
          <w:szCs w:val="23"/>
        </w:rPr>
        <w:t xml:space="preserve">In </w:t>
      </w:r>
      <w:r w:rsidR="00E37E4F">
        <w:rPr>
          <w:rFonts w:asciiTheme="majorHAnsi" w:hAnsiTheme="majorHAnsi"/>
          <w:bCs/>
          <w:sz w:val="24"/>
          <w:szCs w:val="23"/>
        </w:rPr>
        <w:t xml:space="preserve">the </w:t>
      </w:r>
      <w:r>
        <w:rPr>
          <w:rFonts w:asciiTheme="majorHAnsi" w:hAnsiTheme="majorHAnsi"/>
          <w:bCs/>
          <w:sz w:val="24"/>
          <w:szCs w:val="23"/>
        </w:rPr>
        <w:t>July 2020 report, Tax Foundation ranked Massachusetts 33</w:t>
      </w:r>
      <w:r w:rsidRPr="00A91E0D">
        <w:rPr>
          <w:rFonts w:asciiTheme="majorHAnsi" w:hAnsiTheme="majorHAnsi"/>
          <w:bCs/>
          <w:sz w:val="24"/>
          <w:szCs w:val="23"/>
          <w:vertAlign w:val="superscript"/>
        </w:rPr>
        <w:t>rd</w:t>
      </w:r>
      <w:r>
        <w:rPr>
          <w:rFonts w:asciiTheme="majorHAnsi" w:hAnsiTheme="majorHAnsi"/>
          <w:bCs/>
          <w:sz w:val="24"/>
          <w:szCs w:val="23"/>
          <w:vertAlign w:val="superscript"/>
        </w:rPr>
        <w:t xml:space="preserve"> </w:t>
      </w:r>
      <w:r w:rsidRPr="00A91E0D">
        <w:rPr>
          <w:rFonts w:asciiTheme="majorHAnsi" w:hAnsiTheme="majorHAnsi"/>
          <w:bCs/>
          <w:sz w:val="24"/>
          <w:szCs w:val="23"/>
        </w:rPr>
        <w:t>with</w:t>
      </w:r>
      <w:r>
        <w:rPr>
          <w:rFonts w:asciiTheme="majorHAnsi" w:hAnsiTheme="majorHAnsi"/>
          <w:bCs/>
          <w:sz w:val="24"/>
          <w:szCs w:val="23"/>
        </w:rPr>
        <w:t xml:space="preserve"> motor fuel tax rate including fees</w:t>
      </w:r>
      <w:r w:rsidR="00BC0B03">
        <w:rPr>
          <w:rFonts w:asciiTheme="majorHAnsi" w:hAnsiTheme="majorHAnsi"/>
          <w:bCs/>
          <w:sz w:val="24"/>
          <w:szCs w:val="23"/>
        </w:rPr>
        <w:t xml:space="preserve"> of</w:t>
      </w:r>
      <w:r w:rsidR="00E37E4F">
        <w:rPr>
          <w:rFonts w:asciiTheme="majorHAnsi" w:hAnsiTheme="majorHAnsi"/>
          <w:bCs/>
          <w:sz w:val="24"/>
          <w:szCs w:val="23"/>
        </w:rPr>
        <w:t xml:space="preserve"> </w:t>
      </w:r>
      <w:r w:rsidR="00BC0B03">
        <w:rPr>
          <w:rFonts w:asciiTheme="majorHAnsi" w:hAnsiTheme="majorHAnsi"/>
          <w:bCs/>
          <w:sz w:val="24"/>
          <w:szCs w:val="23"/>
        </w:rPr>
        <w:t xml:space="preserve">26.54 cents per gallon </w:t>
      </w:r>
      <w:r w:rsidR="00E37E4F">
        <w:rPr>
          <w:rFonts w:asciiTheme="majorHAnsi" w:hAnsiTheme="majorHAnsi"/>
          <w:bCs/>
          <w:sz w:val="24"/>
          <w:szCs w:val="23"/>
        </w:rPr>
        <w:t>(The state with the highest tax rate was ranked 1</w:t>
      </w:r>
      <w:r w:rsidR="00E37E4F" w:rsidRPr="00CD00A0">
        <w:rPr>
          <w:rFonts w:asciiTheme="majorHAnsi" w:hAnsiTheme="majorHAnsi"/>
          <w:bCs/>
          <w:sz w:val="24"/>
          <w:szCs w:val="23"/>
          <w:vertAlign w:val="superscript"/>
        </w:rPr>
        <w:t>st</w:t>
      </w:r>
      <w:r w:rsidR="00E37E4F">
        <w:rPr>
          <w:rFonts w:asciiTheme="majorHAnsi" w:hAnsiTheme="majorHAnsi"/>
          <w:bCs/>
          <w:sz w:val="24"/>
          <w:szCs w:val="23"/>
        </w:rPr>
        <w:t>)</w:t>
      </w:r>
      <w:r>
        <w:rPr>
          <w:rFonts w:asciiTheme="majorHAnsi" w:hAnsiTheme="majorHAnsi"/>
          <w:bCs/>
          <w:sz w:val="24"/>
          <w:szCs w:val="23"/>
        </w:rPr>
        <w:t>.</w:t>
      </w:r>
      <w:r w:rsidRPr="00A91E0D">
        <w:rPr>
          <w:rFonts w:asciiTheme="majorHAnsi" w:hAnsiTheme="majorHAnsi"/>
          <w:bCs/>
          <w:sz w:val="24"/>
          <w:szCs w:val="23"/>
        </w:rPr>
        <w:t xml:space="preserve">  </w:t>
      </w:r>
    </w:p>
    <w:p w14:paraId="573DCF85" w14:textId="77777777" w:rsidR="0098628E" w:rsidRDefault="0098628E" w:rsidP="00257FD0">
      <w:pPr>
        <w:tabs>
          <w:tab w:val="left" w:pos="7050"/>
        </w:tabs>
        <w:spacing w:after="0"/>
        <w:rPr>
          <w:rFonts w:asciiTheme="majorHAnsi" w:hAnsiTheme="majorHAnsi"/>
          <w:bCs/>
          <w:sz w:val="24"/>
          <w:szCs w:val="23"/>
        </w:rPr>
      </w:pPr>
    </w:p>
    <w:p w14:paraId="794EF9A7" w14:textId="77777777" w:rsidR="00257FD0" w:rsidRDefault="00257FD0" w:rsidP="00257FD0">
      <w:pPr>
        <w:tabs>
          <w:tab w:val="left" w:pos="7050"/>
        </w:tabs>
        <w:spacing w:after="0"/>
        <w:rPr>
          <w:rFonts w:asciiTheme="majorHAnsi" w:hAnsiTheme="majorHAnsi"/>
          <w:bCs/>
          <w:sz w:val="24"/>
          <w:szCs w:val="23"/>
        </w:rPr>
      </w:pPr>
    </w:p>
    <w:p w14:paraId="65CC81CA" w14:textId="77777777" w:rsidR="00257FD0" w:rsidRDefault="004E7DD4" w:rsidP="0078316A">
      <w:pPr>
        <w:tabs>
          <w:tab w:val="left" w:pos="7050"/>
        </w:tabs>
        <w:spacing w:after="0"/>
        <w:jc w:val="center"/>
        <w:rPr>
          <w:rFonts w:asciiTheme="majorHAnsi" w:hAnsiTheme="majorHAnsi"/>
          <w:bCs/>
          <w:sz w:val="24"/>
          <w:szCs w:val="23"/>
        </w:rPr>
      </w:pPr>
      <w:r w:rsidRPr="00CC0511">
        <w:rPr>
          <w:noProof/>
        </w:rPr>
        <w:lastRenderedPageBreak/>
        <w:drawing>
          <wp:inline distT="0" distB="0" distL="0" distR="0" wp14:anchorId="17C2136F" wp14:editId="0B70372F">
            <wp:extent cx="5943600" cy="811390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8113906"/>
                    </a:xfrm>
                    <a:prstGeom prst="rect">
                      <a:avLst/>
                    </a:prstGeom>
                    <a:noFill/>
                    <a:ln>
                      <a:noFill/>
                    </a:ln>
                  </pic:spPr>
                </pic:pic>
              </a:graphicData>
            </a:graphic>
          </wp:inline>
        </w:drawing>
      </w:r>
    </w:p>
    <w:p w14:paraId="719C019D" w14:textId="77777777" w:rsidR="009A3998" w:rsidRDefault="004E7DD4" w:rsidP="009A3998">
      <w:pPr>
        <w:tabs>
          <w:tab w:val="left" w:pos="7050"/>
        </w:tabs>
        <w:spacing w:after="0" w:line="240" w:lineRule="auto"/>
        <w:rPr>
          <w:rFonts w:asciiTheme="majorHAnsi" w:hAnsiTheme="majorHAnsi"/>
          <w:b/>
          <w:sz w:val="23"/>
          <w:szCs w:val="23"/>
        </w:rPr>
      </w:pPr>
      <w:r>
        <w:rPr>
          <w:noProof/>
        </w:rPr>
        <w:lastRenderedPageBreak/>
        <w:drawing>
          <wp:inline distT="0" distB="0" distL="0" distR="0" wp14:anchorId="6B01BFD7" wp14:editId="3D299D08">
            <wp:extent cx="5943600" cy="5054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5054600"/>
                    </a:xfrm>
                    <a:prstGeom prst="rect">
                      <a:avLst/>
                    </a:prstGeom>
                    <a:noFill/>
                    <a:ln>
                      <a:noFill/>
                    </a:ln>
                  </pic:spPr>
                </pic:pic>
              </a:graphicData>
            </a:graphic>
          </wp:inline>
        </w:drawing>
      </w:r>
    </w:p>
    <w:p w14:paraId="08F6DF12" w14:textId="77777777" w:rsidR="00257FD0" w:rsidRDefault="00257FD0" w:rsidP="0078316A">
      <w:pPr>
        <w:tabs>
          <w:tab w:val="left" w:pos="7050"/>
        </w:tabs>
        <w:spacing w:after="0" w:line="240" w:lineRule="auto"/>
        <w:jc w:val="center"/>
        <w:rPr>
          <w:rFonts w:asciiTheme="majorHAnsi" w:eastAsiaTheme="majorEastAsia" w:hAnsiTheme="majorHAnsi" w:cstheme="majorBidi"/>
          <w:b/>
          <w:bCs/>
          <w:color w:val="E36C0A" w:themeColor="accent6" w:themeShade="BF"/>
          <w:sz w:val="28"/>
          <w:szCs w:val="28"/>
        </w:rPr>
      </w:pPr>
    </w:p>
    <w:p w14:paraId="01D872E9" w14:textId="77777777" w:rsidR="00257FD0" w:rsidRDefault="00257FD0" w:rsidP="009A3998">
      <w:pPr>
        <w:tabs>
          <w:tab w:val="left" w:pos="7050"/>
        </w:tabs>
        <w:spacing w:after="0" w:line="240" w:lineRule="auto"/>
        <w:rPr>
          <w:rFonts w:asciiTheme="majorHAnsi" w:eastAsiaTheme="majorEastAsia" w:hAnsiTheme="majorHAnsi" w:cstheme="majorBidi"/>
          <w:b/>
          <w:bCs/>
          <w:color w:val="E36C0A" w:themeColor="accent6" w:themeShade="BF"/>
          <w:sz w:val="28"/>
          <w:szCs w:val="28"/>
        </w:rPr>
      </w:pPr>
    </w:p>
    <w:p w14:paraId="67BCFF0D" w14:textId="77777777" w:rsidR="00257FD0" w:rsidRDefault="00257FD0" w:rsidP="009A3998">
      <w:pPr>
        <w:tabs>
          <w:tab w:val="left" w:pos="7050"/>
        </w:tabs>
        <w:spacing w:after="0" w:line="240" w:lineRule="auto"/>
        <w:rPr>
          <w:rFonts w:asciiTheme="majorHAnsi" w:eastAsiaTheme="majorEastAsia" w:hAnsiTheme="majorHAnsi" w:cstheme="majorBidi"/>
          <w:b/>
          <w:bCs/>
          <w:color w:val="E36C0A" w:themeColor="accent6" w:themeShade="BF"/>
          <w:sz w:val="28"/>
          <w:szCs w:val="28"/>
        </w:rPr>
      </w:pPr>
    </w:p>
    <w:p w14:paraId="58918E95" w14:textId="77777777" w:rsidR="00257FD0" w:rsidRDefault="00257FD0" w:rsidP="009A3998">
      <w:pPr>
        <w:tabs>
          <w:tab w:val="left" w:pos="7050"/>
        </w:tabs>
        <w:spacing w:after="0" w:line="240" w:lineRule="auto"/>
        <w:rPr>
          <w:rFonts w:asciiTheme="majorHAnsi" w:eastAsiaTheme="majorEastAsia" w:hAnsiTheme="majorHAnsi" w:cstheme="majorBidi"/>
          <w:b/>
          <w:bCs/>
          <w:color w:val="E36C0A" w:themeColor="accent6" w:themeShade="BF"/>
          <w:sz w:val="28"/>
          <w:szCs w:val="28"/>
        </w:rPr>
      </w:pPr>
    </w:p>
    <w:p w14:paraId="6317DA72" w14:textId="77777777" w:rsidR="00257FD0" w:rsidRDefault="00257FD0" w:rsidP="009A3998">
      <w:pPr>
        <w:tabs>
          <w:tab w:val="left" w:pos="7050"/>
        </w:tabs>
        <w:spacing w:after="0" w:line="240" w:lineRule="auto"/>
        <w:rPr>
          <w:rFonts w:asciiTheme="majorHAnsi" w:eastAsiaTheme="majorEastAsia" w:hAnsiTheme="majorHAnsi" w:cstheme="majorBidi"/>
          <w:b/>
          <w:bCs/>
          <w:color w:val="E36C0A" w:themeColor="accent6" w:themeShade="BF"/>
          <w:sz w:val="28"/>
          <w:szCs w:val="28"/>
        </w:rPr>
      </w:pPr>
    </w:p>
    <w:p w14:paraId="25242BF8" w14:textId="77777777" w:rsidR="00257FD0" w:rsidRDefault="00257FD0" w:rsidP="009A3998">
      <w:pPr>
        <w:tabs>
          <w:tab w:val="left" w:pos="7050"/>
        </w:tabs>
        <w:spacing w:after="0" w:line="240" w:lineRule="auto"/>
        <w:rPr>
          <w:rFonts w:asciiTheme="majorHAnsi" w:eastAsiaTheme="majorEastAsia" w:hAnsiTheme="majorHAnsi" w:cstheme="majorBidi"/>
          <w:b/>
          <w:bCs/>
          <w:color w:val="E36C0A" w:themeColor="accent6" w:themeShade="BF"/>
          <w:sz w:val="28"/>
          <w:szCs w:val="28"/>
        </w:rPr>
      </w:pPr>
    </w:p>
    <w:p w14:paraId="77B799CA" w14:textId="77777777" w:rsidR="0078316A" w:rsidRDefault="0078316A">
      <w:pPr>
        <w:rPr>
          <w:rFonts w:asciiTheme="majorHAnsi" w:eastAsiaTheme="majorEastAsia" w:hAnsiTheme="majorHAnsi" w:cstheme="majorBidi"/>
          <w:b/>
          <w:bCs/>
          <w:color w:val="E36C0A" w:themeColor="accent6" w:themeShade="BF"/>
          <w:sz w:val="28"/>
          <w:szCs w:val="28"/>
        </w:rPr>
      </w:pPr>
      <w:r>
        <w:rPr>
          <w:rFonts w:asciiTheme="majorHAnsi" w:eastAsiaTheme="majorEastAsia" w:hAnsiTheme="majorHAnsi" w:cstheme="majorBidi"/>
          <w:b/>
          <w:bCs/>
          <w:color w:val="E36C0A" w:themeColor="accent6" w:themeShade="BF"/>
          <w:sz w:val="28"/>
          <w:szCs w:val="28"/>
        </w:rPr>
        <w:br w:type="page"/>
      </w:r>
    </w:p>
    <w:p w14:paraId="5993CC46" w14:textId="77777777" w:rsidR="009A3998" w:rsidRPr="00A07439" w:rsidRDefault="009A3998" w:rsidP="009A3998">
      <w:pPr>
        <w:tabs>
          <w:tab w:val="left" w:pos="7050"/>
        </w:tabs>
        <w:spacing w:after="0" w:line="240" w:lineRule="auto"/>
        <w:rPr>
          <w:rFonts w:asciiTheme="majorHAnsi" w:eastAsiaTheme="majorEastAsia" w:hAnsiTheme="majorHAnsi" w:cstheme="majorBidi"/>
          <w:b/>
          <w:bCs/>
          <w:color w:val="E36C0A" w:themeColor="accent6" w:themeShade="BF"/>
          <w:sz w:val="28"/>
          <w:szCs w:val="28"/>
        </w:rPr>
      </w:pPr>
      <w:r>
        <w:rPr>
          <w:rFonts w:asciiTheme="majorHAnsi" w:eastAsiaTheme="majorEastAsia" w:hAnsiTheme="majorHAnsi" w:cstheme="majorBidi"/>
          <w:b/>
          <w:bCs/>
          <w:color w:val="E36C0A" w:themeColor="accent6" w:themeShade="BF"/>
          <w:sz w:val="28"/>
          <w:szCs w:val="28"/>
        </w:rPr>
        <w:lastRenderedPageBreak/>
        <w:t xml:space="preserve">IS THE INCENTIVE </w:t>
      </w:r>
      <w:r w:rsidRPr="00A07439">
        <w:rPr>
          <w:rFonts w:asciiTheme="majorHAnsi" w:eastAsiaTheme="majorEastAsia" w:hAnsiTheme="majorHAnsi" w:cstheme="majorBidi"/>
          <w:b/>
          <w:bCs/>
          <w:color w:val="E36C0A" w:themeColor="accent6" w:themeShade="BF"/>
          <w:sz w:val="28"/>
          <w:szCs w:val="28"/>
        </w:rPr>
        <w:t xml:space="preserve">AS DESIGNED ACCOMPLISHING ITS PURPOSE?  </w:t>
      </w:r>
    </w:p>
    <w:p w14:paraId="161076DE" w14:textId="77777777" w:rsidR="007D40BF" w:rsidRDefault="007D40BF" w:rsidP="007D40BF">
      <w:pPr>
        <w:tabs>
          <w:tab w:val="left" w:pos="7050"/>
        </w:tabs>
        <w:spacing w:after="0" w:line="240" w:lineRule="auto"/>
        <w:rPr>
          <w:rFonts w:asciiTheme="majorHAnsi" w:eastAsiaTheme="majorEastAsia" w:hAnsiTheme="majorHAnsi" w:cstheme="majorBidi"/>
          <w:bCs/>
          <w:color w:val="000000" w:themeColor="text1"/>
          <w:sz w:val="24"/>
          <w:szCs w:val="24"/>
        </w:rPr>
      </w:pPr>
      <w:bookmarkStart w:id="3" w:name="_Hlk51155631"/>
      <w:r>
        <w:rPr>
          <w:rFonts w:asciiTheme="majorHAnsi" w:eastAsiaTheme="majorEastAsia" w:hAnsiTheme="majorHAnsi" w:cstheme="majorBidi"/>
          <w:bCs/>
          <w:color w:val="000000" w:themeColor="text1"/>
          <w:sz w:val="24"/>
          <w:szCs w:val="24"/>
        </w:rPr>
        <w:t>[FOR TERC TO COMPLETE]</w:t>
      </w:r>
      <w:bookmarkEnd w:id="3"/>
    </w:p>
    <w:p w14:paraId="10ACE989" w14:textId="77777777" w:rsidR="00CC0DC2" w:rsidRDefault="00CC0DC2" w:rsidP="009A3998">
      <w:pPr>
        <w:tabs>
          <w:tab w:val="left" w:pos="7050"/>
        </w:tabs>
        <w:spacing w:after="0" w:line="240" w:lineRule="auto"/>
        <w:rPr>
          <w:rFonts w:asciiTheme="majorHAnsi" w:eastAsiaTheme="majorEastAsia" w:hAnsiTheme="majorHAnsi" w:cstheme="majorBidi"/>
          <w:bCs/>
          <w:color w:val="000000" w:themeColor="text1"/>
          <w:sz w:val="24"/>
          <w:szCs w:val="24"/>
        </w:rPr>
      </w:pPr>
    </w:p>
    <w:p w14:paraId="5487D9CD" w14:textId="77777777" w:rsidR="009C33C9" w:rsidRDefault="009C33C9" w:rsidP="009A3998">
      <w:pPr>
        <w:tabs>
          <w:tab w:val="left" w:pos="7050"/>
        </w:tabs>
        <w:spacing w:after="0" w:line="240" w:lineRule="auto"/>
        <w:rPr>
          <w:rFonts w:asciiTheme="majorHAnsi" w:eastAsiaTheme="majorEastAsia" w:hAnsiTheme="majorHAnsi" w:cstheme="majorBidi"/>
          <w:bCs/>
          <w:color w:val="000000" w:themeColor="text1"/>
          <w:sz w:val="24"/>
          <w:szCs w:val="24"/>
        </w:rPr>
      </w:pPr>
    </w:p>
    <w:p w14:paraId="7ABB6DAD" w14:textId="77777777" w:rsidR="00847C6B" w:rsidRDefault="0047015B" w:rsidP="00847C6B">
      <w:pPr>
        <w:pStyle w:val="Bibliography"/>
        <w:ind w:left="720" w:hanging="720"/>
      </w:pPr>
      <w:sdt>
        <w:sdtPr>
          <w:rPr>
            <w:rFonts w:asciiTheme="majorHAnsi" w:hAnsiTheme="majorHAnsi"/>
          </w:rPr>
          <w:id w:val="-619375087"/>
          <w:showingPlcHdr/>
          <w:bibliography/>
        </w:sdtPr>
        <w:sdtEndPr>
          <w:rPr>
            <w:rFonts w:asciiTheme="minorHAnsi" w:hAnsiTheme="minorHAnsi"/>
          </w:rPr>
        </w:sdtEndPr>
        <w:sdtContent>
          <w:r w:rsidR="00847C6B">
            <w:rPr>
              <w:rFonts w:asciiTheme="majorHAnsi" w:hAnsiTheme="majorHAnsi"/>
            </w:rPr>
            <w:t xml:space="preserve">     </w:t>
          </w:r>
        </w:sdtContent>
      </w:sdt>
    </w:p>
    <w:p w14:paraId="036B8EBF" w14:textId="77777777" w:rsidR="00D330CB" w:rsidRDefault="00D330CB">
      <w:pPr>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bCs/>
          <w:color w:val="000000" w:themeColor="text1"/>
          <w:sz w:val="24"/>
          <w:szCs w:val="24"/>
        </w:rPr>
        <w:br w:type="page"/>
      </w:r>
    </w:p>
    <w:p w14:paraId="504FE378" w14:textId="77777777" w:rsidR="00D330CB" w:rsidRPr="008C67C1" w:rsidRDefault="00D330CB" w:rsidP="00D330CB">
      <w:pPr>
        <w:jc w:val="center"/>
        <w:rPr>
          <w:rFonts w:asciiTheme="majorHAnsi" w:hAnsiTheme="majorHAnsi"/>
          <w:b/>
          <w:sz w:val="32"/>
          <w:szCs w:val="32"/>
        </w:rPr>
      </w:pPr>
      <w:r w:rsidRPr="008C67C1">
        <w:rPr>
          <w:rFonts w:asciiTheme="majorHAnsi" w:hAnsiTheme="majorHAnsi"/>
          <w:b/>
          <w:sz w:val="32"/>
          <w:szCs w:val="32"/>
        </w:rPr>
        <w:lastRenderedPageBreak/>
        <w:t xml:space="preserve">Appendix: </w:t>
      </w:r>
      <w:r>
        <w:rPr>
          <w:rFonts w:asciiTheme="majorHAnsi" w:hAnsiTheme="majorHAnsi"/>
          <w:b/>
          <w:sz w:val="32"/>
          <w:szCs w:val="32"/>
        </w:rPr>
        <w:t>Further</w:t>
      </w:r>
      <w:r w:rsidRPr="008C67C1">
        <w:rPr>
          <w:rFonts w:asciiTheme="majorHAnsi" w:hAnsiTheme="majorHAnsi"/>
          <w:b/>
          <w:sz w:val="32"/>
          <w:szCs w:val="32"/>
        </w:rPr>
        <w:t xml:space="preserve"> Discussion on Costs and Benefits</w:t>
      </w:r>
    </w:p>
    <w:p w14:paraId="23D64145" w14:textId="54C8E8BE" w:rsidR="00D330CB" w:rsidRDefault="00D330CB" w:rsidP="00D330CB">
      <w:pPr>
        <w:rPr>
          <w:rFonts w:asciiTheme="majorHAnsi" w:hAnsiTheme="majorHAnsi"/>
          <w:bCs/>
          <w:sz w:val="24"/>
          <w:szCs w:val="24"/>
        </w:rPr>
      </w:pPr>
      <w:r>
        <w:rPr>
          <w:rFonts w:asciiTheme="majorHAnsi" w:hAnsiTheme="majorHAnsi"/>
          <w:bCs/>
          <w:sz w:val="24"/>
          <w:szCs w:val="24"/>
        </w:rPr>
        <w:t xml:space="preserve">The text of the report </w:t>
      </w:r>
      <w:r w:rsidR="00557EAD">
        <w:rPr>
          <w:rFonts w:asciiTheme="majorHAnsi" w:hAnsiTheme="majorHAnsi"/>
          <w:bCs/>
          <w:sz w:val="24"/>
          <w:szCs w:val="24"/>
        </w:rPr>
        <w:t xml:space="preserve">discusses </w:t>
      </w:r>
      <w:r>
        <w:rPr>
          <w:rFonts w:asciiTheme="majorHAnsi" w:hAnsiTheme="majorHAnsi"/>
          <w:bCs/>
          <w:sz w:val="24"/>
          <w:szCs w:val="24"/>
        </w:rPr>
        <w:t>the direct costs (to the Commonwealth, or more specifically, to the Massachusetts residents or businesses who benefit from state expenditures</w:t>
      </w:r>
      <w:r>
        <w:rPr>
          <w:rStyle w:val="FootnoteReference"/>
          <w:rFonts w:asciiTheme="majorHAnsi" w:hAnsiTheme="majorHAnsi"/>
          <w:bCs/>
          <w:sz w:val="24"/>
          <w:szCs w:val="24"/>
        </w:rPr>
        <w:footnoteReference w:id="6"/>
      </w:r>
      <w:r>
        <w:rPr>
          <w:rFonts w:asciiTheme="majorHAnsi" w:hAnsiTheme="majorHAnsi"/>
          <w:bCs/>
          <w:sz w:val="24"/>
          <w:szCs w:val="24"/>
        </w:rPr>
        <w:t xml:space="preserve">) and direct benefits (to </w:t>
      </w:r>
      <w:r w:rsidR="008B0F8A">
        <w:rPr>
          <w:rFonts w:asciiTheme="majorHAnsi" w:hAnsiTheme="majorHAnsi"/>
          <w:bCs/>
          <w:sz w:val="24"/>
          <w:szCs w:val="24"/>
        </w:rPr>
        <w:t xml:space="preserve">buyers and sellers of </w:t>
      </w:r>
      <w:r w:rsidR="00E37E4F">
        <w:rPr>
          <w:rFonts w:asciiTheme="majorHAnsi" w:hAnsiTheme="majorHAnsi"/>
          <w:bCs/>
          <w:sz w:val="24"/>
          <w:szCs w:val="24"/>
        </w:rPr>
        <w:t>motor fuels</w:t>
      </w:r>
      <w:r w:rsidR="008B0F8A">
        <w:rPr>
          <w:rFonts w:asciiTheme="majorHAnsi" w:hAnsiTheme="majorHAnsi"/>
          <w:bCs/>
          <w:sz w:val="24"/>
          <w:szCs w:val="24"/>
        </w:rPr>
        <w:t xml:space="preserve"> at the retail </w:t>
      </w:r>
      <w:r w:rsidR="00C14A91">
        <w:rPr>
          <w:rFonts w:asciiTheme="majorHAnsi" w:hAnsiTheme="majorHAnsi"/>
          <w:bCs/>
          <w:sz w:val="24"/>
          <w:szCs w:val="24"/>
        </w:rPr>
        <w:t>level</w:t>
      </w:r>
      <w:r>
        <w:rPr>
          <w:rFonts w:asciiTheme="majorHAnsi" w:hAnsiTheme="majorHAnsi"/>
          <w:bCs/>
          <w:sz w:val="24"/>
          <w:szCs w:val="24"/>
        </w:rPr>
        <w:t xml:space="preserve">) of this tax expenditure. It also </w:t>
      </w:r>
      <w:r w:rsidR="00557EAD">
        <w:rPr>
          <w:rFonts w:asciiTheme="majorHAnsi" w:hAnsiTheme="majorHAnsi"/>
          <w:bCs/>
          <w:sz w:val="24"/>
          <w:szCs w:val="24"/>
        </w:rPr>
        <w:t xml:space="preserve">summarizes </w:t>
      </w:r>
      <w:r>
        <w:rPr>
          <w:rFonts w:asciiTheme="majorHAnsi" w:hAnsiTheme="majorHAnsi"/>
          <w:bCs/>
          <w:sz w:val="24"/>
          <w:szCs w:val="24"/>
        </w:rPr>
        <w:t>indirect and induced costs and benefits associated with this tax expenditure.  This appendix will discuss the indirect and induced costs and benefits in more detail.</w:t>
      </w:r>
    </w:p>
    <w:p w14:paraId="6D92C343" w14:textId="77777777" w:rsidR="00D330CB" w:rsidRDefault="00D330CB" w:rsidP="00D330CB">
      <w:pPr>
        <w:rPr>
          <w:rFonts w:asciiTheme="majorHAnsi" w:hAnsiTheme="majorHAnsi"/>
          <w:b/>
          <w:sz w:val="24"/>
          <w:szCs w:val="24"/>
        </w:rPr>
      </w:pPr>
      <w:r w:rsidRPr="00782E31">
        <w:rPr>
          <w:rFonts w:asciiTheme="majorHAnsi" w:hAnsiTheme="majorHAnsi"/>
          <w:b/>
          <w:sz w:val="24"/>
          <w:szCs w:val="24"/>
        </w:rPr>
        <w:t>Other costs</w:t>
      </w:r>
      <w:r>
        <w:rPr>
          <w:rFonts w:asciiTheme="majorHAnsi" w:hAnsiTheme="majorHAnsi"/>
          <w:b/>
          <w:sz w:val="24"/>
          <w:szCs w:val="24"/>
        </w:rPr>
        <w:t xml:space="preserve"> and benefits</w:t>
      </w:r>
      <w:r w:rsidRPr="00A046B8">
        <w:rPr>
          <w:rFonts w:asciiTheme="majorHAnsi" w:hAnsiTheme="majorHAnsi"/>
          <w:b/>
          <w:sz w:val="24"/>
          <w:szCs w:val="24"/>
        </w:rPr>
        <w:t>:  Indirect and Induced</w:t>
      </w:r>
    </w:p>
    <w:p w14:paraId="3259E152" w14:textId="77777777" w:rsidR="00D330CB" w:rsidRPr="00EB68D5" w:rsidRDefault="00D330CB" w:rsidP="00D330CB">
      <w:pPr>
        <w:spacing w:after="0"/>
        <w:rPr>
          <w:rFonts w:asciiTheme="majorHAnsi" w:eastAsiaTheme="majorEastAsia" w:hAnsiTheme="majorHAnsi" w:cstheme="majorBidi"/>
          <w:bCs/>
          <w:i/>
          <w:iCs/>
          <w:color w:val="000000" w:themeColor="text1"/>
          <w:sz w:val="24"/>
          <w:szCs w:val="24"/>
        </w:rPr>
      </w:pPr>
      <w:r w:rsidRPr="00EB68D5">
        <w:rPr>
          <w:rFonts w:asciiTheme="majorHAnsi" w:eastAsiaTheme="majorEastAsia" w:hAnsiTheme="majorHAnsi" w:cstheme="majorBidi"/>
          <w:bCs/>
          <w:i/>
          <w:iCs/>
          <w:color w:val="000000" w:themeColor="text1"/>
          <w:sz w:val="24"/>
          <w:szCs w:val="24"/>
        </w:rPr>
        <w:t>Indirect and Induced Costs</w:t>
      </w:r>
    </w:p>
    <w:p w14:paraId="3D25C38E" w14:textId="7A0403D7" w:rsidR="00D330CB" w:rsidRDefault="00D330CB" w:rsidP="00D330CB">
      <w:pPr>
        <w:spacing w:after="0"/>
        <w:rPr>
          <w:rFonts w:asciiTheme="majorHAnsi" w:eastAsiaTheme="majorEastAsia" w:hAnsiTheme="majorHAnsi" w:cstheme="majorBidi"/>
          <w:bCs/>
          <w:color w:val="000000" w:themeColor="text1"/>
          <w:sz w:val="24"/>
          <w:szCs w:val="24"/>
        </w:rPr>
      </w:pPr>
      <w:r w:rsidRPr="00DF1213">
        <w:rPr>
          <w:rFonts w:asciiTheme="majorHAnsi" w:eastAsiaTheme="majorEastAsia" w:hAnsiTheme="majorHAnsi" w:cstheme="majorBidi"/>
          <w:bCs/>
          <w:color w:val="000000" w:themeColor="text1"/>
          <w:sz w:val="24"/>
          <w:szCs w:val="24"/>
        </w:rPr>
        <w:t xml:space="preserve">Regardless of its size, </w:t>
      </w:r>
      <w:r>
        <w:rPr>
          <w:rFonts w:asciiTheme="majorHAnsi" w:eastAsiaTheme="majorEastAsia" w:hAnsiTheme="majorHAnsi" w:cstheme="majorBidi"/>
          <w:bCs/>
          <w:color w:val="000000" w:themeColor="text1"/>
          <w:sz w:val="24"/>
          <w:szCs w:val="24"/>
        </w:rPr>
        <w:t xml:space="preserve">the existence of </w:t>
      </w:r>
      <w:r w:rsidRPr="00DF1213">
        <w:rPr>
          <w:rFonts w:asciiTheme="majorHAnsi" w:eastAsiaTheme="majorEastAsia" w:hAnsiTheme="majorHAnsi" w:cstheme="majorBidi"/>
          <w:bCs/>
          <w:color w:val="000000" w:themeColor="text1"/>
          <w:sz w:val="24"/>
          <w:szCs w:val="24"/>
        </w:rPr>
        <w:t xml:space="preserve">a specific tax incentive means less </w:t>
      </w:r>
      <w:r>
        <w:rPr>
          <w:rFonts w:asciiTheme="majorHAnsi" w:eastAsiaTheme="majorEastAsia" w:hAnsiTheme="majorHAnsi" w:cstheme="majorBidi"/>
          <w:bCs/>
          <w:color w:val="000000" w:themeColor="text1"/>
          <w:sz w:val="24"/>
          <w:szCs w:val="24"/>
        </w:rPr>
        <w:t xml:space="preserve">revenue for other </w:t>
      </w:r>
      <w:r w:rsidRPr="00DF1213">
        <w:rPr>
          <w:rFonts w:asciiTheme="majorHAnsi" w:eastAsiaTheme="majorEastAsia" w:hAnsiTheme="majorHAnsi" w:cstheme="majorBidi"/>
          <w:bCs/>
          <w:color w:val="000000" w:themeColor="text1"/>
          <w:sz w:val="24"/>
          <w:szCs w:val="24"/>
        </w:rPr>
        <w:t xml:space="preserve">spending </w:t>
      </w:r>
      <w:r>
        <w:rPr>
          <w:rFonts w:asciiTheme="majorHAnsi" w:eastAsiaTheme="majorEastAsia" w:hAnsiTheme="majorHAnsi" w:cstheme="majorBidi"/>
          <w:bCs/>
          <w:color w:val="000000" w:themeColor="text1"/>
          <w:sz w:val="24"/>
          <w:szCs w:val="24"/>
        </w:rPr>
        <w:t>given</w:t>
      </w:r>
      <w:r w:rsidRPr="00DF1213">
        <w:rPr>
          <w:rFonts w:asciiTheme="majorHAnsi" w:eastAsiaTheme="majorEastAsia" w:hAnsiTheme="majorHAnsi" w:cstheme="majorBidi"/>
          <w:bCs/>
          <w:color w:val="000000" w:themeColor="text1"/>
          <w:sz w:val="24"/>
          <w:szCs w:val="24"/>
        </w:rPr>
        <w:t xml:space="preserve"> the Commonwealth</w:t>
      </w:r>
      <w:r>
        <w:rPr>
          <w:rFonts w:asciiTheme="majorHAnsi" w:eastAsiaTheme="majorEastAsia" w:hAnsiTheme="majorHAnsi" w:cstheme="majorBidi"/>
          <w:bCs/>
          <w:color w:val="000000" w:themeColor="text1"/>
          <w:sz w:val="24"/>
          <w:szCs w:val="24"/>
        </w:rPr>
        <w:t>’s</w:t>
      </w:r>
      <w:r w:rsidRPr="009A02FB">
        <w:rPr>
          <w:rFonts w:asciiTheme="majorHAnsi" w:eastAsiaTheme="majorEastAsia" w:hAnsiTheme="majorHAnsi" w:cstheme="majorBidi"/>
          <w:bCs/>
          <w:color w:val="000000" w:themeColor="text1"/>
          <w:sz w:val="24"/>
          <w:szCs w:val="24"/>
        </w:rPr>
        <w:t xml:space="preserve"> </w:t>
      </w:r>
      <w:r>
        <w:rPr>
          <w:rFonts w:asciiTheme="majorHAnsi" w:eastAsiaTheme="majorEastAsia" w:hAnsiTheme="majorHAnsi" w:cstheme="majorBidi"/>
          <w:bCs/>
          <w:color w:val="000000" w:themeColor="text1"/>
          <w:sz w:val="24"/>
          <w:szCs w:val="24"/>
        </w:rPr>
        <w:t>balanced budget requirement</w:t>
      </w:r>
      <w:r w:rsidR="00027220">
        <w:rPr>
          <w:rFonts w:asciiTheme="majorHAnsi" w:eastAsiaTheme="majorEastAsia" w:hAnsiTheme="majorHAnsi" w:cstheme="majorBidi"/>
          <w:bCs/>
          <w:color w:val="000000" w:themeColor="text1"/>
          <w:sz w:val="24"/>
          <w:szCs w:val="24"/>
        </w:rPr>
        <w:t>,</w:t>
      </w:r>
      <w:r>
        <w:rPr>
          <w:rFonts w:asciiTheme="majorHAnsi" w:eastAsiaTheme="majorEastAsia" w:hAnsiTheme="majorHAnsi" w:cstheme="majorBidi"/>
          <w:bCs/>
          <w:color w:val="000000" w:themeColor="text1"/>
          <w:sz w:val="24"/>
          <w:szCs w:val="24"/>
        </w:rPr>
        <w:t xml:space="preserve"> assuming no increase in state revenues. R</w:t>
      </w:r>
      <w:r w:rsidRPr="00DF1213">
        <w:rPr>
          <w:rFonts w:asciiTheme="majorHAnsi" w:eastAsiaTheme="majorEastAsia" w:hAnsiTheme="majorHAnsi" w:cstheme="majorBidi"/>
          <w:bCs/>
          <w:color w:val="000000" w:themeColor="text1"/>
          <w:sz w:val="24"/>
          <w:szCs w:val="24"/>
        </w:rPr>
        <w:t xml:space="preserve">educed spending on </w:t>
      </w:r>
      <w:r>
        <w:rPr>
          <w:rFonts w:asciiTheme="majorHAnsi" w:eastAsiaTheme="majorEastAsia" w:hAnsiTheme="majorHAnsi" w:cstheme="majorBidi"/>
          <w:bCs/>
          <w:color w:val="000000" w:themeColor="text1"/>
          <w:sz w:val="24"/>
          <w:szCs w:val="24"/>
        </w:rPr>
        <w:t>other</w:t>
      </w:r>
      <w:r w:rsidRPr="00DF1213">
        <w:rPr>
          <w:rFonts w:asciiTheme="majorHAnsi" w:eastAsiaTheme="majorEastAsia" w:hAnsiTheme="majorHAnsi" w:cstheme="majorBidi"/>
          <w:bCs/>
          <w:color w:val="000000" w:themeColor="text1"/>
          <w:sz w:val="24"/>
          <w:szCs w:val="24"/>
        </w:rPr>
        <w:t xml:space="preserve"> expenditure </w:t>
      </w:r>
      <w:r>
        <w:rPr>
          <w:rFonts w:asciiTheme="majorHAnsi" w:eastAsiaTheme="majorEastAsia" w:hAnsiTheme="majorHAnsi" w:cstheme="majorBidi"/>
          <w:bCs/>
          <w:color w:val="000000" w:themeColor="text1"/>
          <w:sz w:val="24"/>
          <w:szCs w:val="24"/>
        </w:rPr>
        <w:t>items</w:t>
      </w:r>
      <w:r w:rsidRPr="00DF1213">
        <w:rPr>
          <w:rFonts w:asciiTheme="majorHAnsi" w:eastAsiaTheme="majorEastAsia" w:hAnsiTheme="majorHAnsi" w:cstheme="majorBidi"/>
          <w:bCs/>
          <w:color w:val="000000" w:themeColor="text1"/>
          <w:sz w:val="24"/>
          <w:szCs w:val="24"/>
        </w:rPr>
        <w:t xml:space="preserve"> means forgone benefits from </w:t>
      </w:r>
      <w:r>
        <w:rPr>
          <w:rFonts w:asciiTheme="majorHAnsi" w:eastAsiaTheme="majorEastAsia" w:hAnsiTheme="majorHAnsi" w:cstheme="majorBidi"/>
          <w:bCs/>
          <w:color w:val="000000" w:themeColor="text1"/>
          <w:sz w:val="24"/>
          <w:szCs w:val="24"/>
        </w:rPr>
        <w:t>those</w:t>
      </w:r>
      <w:r w:rsidRPr="00DF1213">
        <w:rPr>
          <w:rFonts w:asciiTheme="majorHAnsi" w:eastAsiaTheme="majorEastAsia" w:hAnsiTheme="majorHAnsi" w:cstheme="majorBidi"/>
          <w:bCs/>
          <w:color w:val="000000" w:themeColor="text1"/>
          <w:sz w:val="24"/>
          <w:szCs w:val="24"/>
        </w:rPr>
        <w:t xml:space="preserve"> items. This is an </w:t>
      </w:r>
      <w:r w:rsidR="00115475" w:rsidRPr="003B4056">
        <w:rPr>
          <w:rFonts w:asciiTheme="majorHAnsi" w:eastAsiaTheme="majorEastAsia" w:hAnsiTheme="majorHAnsi" w:cstheme="majorBidi"/>
          <w:b/>
          <w:color w:val="000000" w:themeColor="text1"/>
          <w:sz w:val="24"/>
          <w:szCs w:val="24"/>
        </w:rPr>
        <w:t>“</w:t>
      </w:r>
      <w:r w:rsidRPr="00027220">
        <w:rPr>
          <w:rFonts w:asciiTheme="majorHAnsi" w:eastAsiaTheme="majorEastAsia" w:hAnsiTheme="majorHAnsi" w:cstheme="majorBidi"/>
          <w:b/>
          <w:color w:val="000000" w:themeColor="text1"/>
          <w:sz w:val="24"/>
          <w:szCs w:val="24"/>
        </w:rPr>
        <w:t>opportunity cost</w:t>
      </w:r>
      <w:r w:rsidR="00115475">
        <w:rPr>
          <w:rFonts w:asciiTheme="majorHAnsi" w:eastAsiaTheme="majorEastAsia" w:hAnsiTheme="majorHAnsi" w:cstheme="majorBidi"/>
          <w:b/>
          <w:color w:val="000000" w:themeColor="text1"/>
          <w:sz w:val="24"/>
          <w:szCs w:val="24"/>
        </w:rPr>
        <w:t>”</w:t>
      </w:r>
      <w:r w:rsidRPr="00DF1213">
        <w:rPr>
          <w:rFonts w:asciiTheme="majorHAnsi" w:eastAsiaTheme="majorEastAsia" w:hAnsiTheme="majorHAnsi" w:cstheme="majorBidi"/>
          <w:bCs/>
          <w:color w:val="000000" w:themeColor="text1"/>
          <w:sz w:val="24"/>
          <w:szCs w:val="24"/>
        </w:rPr>
        <w:t xml:space="preserve"> to the Commonwealth. </w:t>
      </w:r>
      <w:r>
        <w:rPr>
          <w:rFonts w:asciiTheme="majorHAnsi" w:eastAsiaTheme="majorEastAsia" w:hAnsiTheme="majorHAnsi" w:cstheme="majorBidi"/>
          <w:bCs/>
          <w:color w:val="000000" w:themeColor="text1"/>
          <w:sz w:val="24"/>
          <w:szCs w:val="24"/>
        </w:rPr>
        <w:t>The opportunity cost to the state include</w:t>
      </w:r>
      <w:r w:rsidR="00E37E4F">
        <w:rPr>
          <w:rFonts w:asciiTheme="majorHAnsi" w:eastAsiaTheme="majorEastAsia" w:hAnsiTheme="majorHAnsi" w:cstheme="majorBidi"/>
          <w:bCs/>
          <w:color w:val="000000" w:themeColor="text1"/>
          <w:sz w:val="24"/>
          <w:szCs w:val="24"/>
        </w:rPr>
        <w:t>s</w:t>
      </w:r>
      <w:r>
        <w:rPr>
          <w:rFonts w:asciiTheme="majorHAnsi" w:eastAsiaTheme="majorEastAsia" w:hAnsiTheme="majorHAnsi" w:cstheme="majorBidi"/>
          <w:bCs/>
          <w:color w:val="000000" w:themeColor="text1"/>
          <w:sz w:val="24"/>
          <w:szCs w:val="24"/>
        </w:rPr>
        <w:t xml:space="preserve"> not only the impact on</w:t>
      </w:r>
      <w:r w:rsidR="00E37E4F">
        <w:rPr>
          <w:rFonts w:asciiTheme="majorHAnsi" w:eastAsiaTheme="majorEastAsia" w:hAnsiTheme="majorHAnsi" w:cstheme="majorBidi"/>
          <w:bCs/>
          <w:color w:val="000000" w:themeColor="text1"/>
          <w:sz w:val="24"/>
          <w:szCs w:val="24"/>
        </w:rPr>
        <w:t xml:space="preserve"> the individuals and</w:t>
      </w:r>
      <w:r>
        <w:rPr>
          <w:rFonts w:asciiTheme="majorHAnsi" w:eastAsiaTheme="majorEastAsia" w:hAnsiTheme="majorHAnsi" w:cstheme="majorBidi"/>
          <w:bCs/>
          <w:color w:val="000000" w:themeColor="text1"/>
          <w:sz w:val="24"/>
          <w:szCs w:val="24"/>
        </w:rPr>
        <w:t xml:space="preserve"> the businesses that directly benefit from those expenditure items (this is called “direct impact”), but also the indirect impact on the chain of businesses that provide intermediate products and services to the directly impacted businesses (this is called “indirect impact”).  In addition, there is the cost to the chain of businesses that benefit when the employees working for the directly impacted businesses spend their wages and salaries to buy goods and services (this is called “induced impact”). The total forgone benefits to the whole economy are larger than the initial forgone benefits. This phenomenon is called the “Multiplier Effect”.</w:t>
      </w:r>
      <w:r>
        <w:rPr>
          <w:rStyle w:val="FootnoteReference"/>
          <w:rFonts w:asciiTheme="majorHAnsi" w:eastAsiaTheme="majorEastAsia" w:hAnsiTheme="majorHAnsi"/>
          <w:bCs/>
          <w:color w:val="000000" w:themeColor="text1"/>
          <w:sz w:val="24"/>
          <w:szCs w:val="24"/>
        </w:rPr>
        <w:footnoteReference w:id="7"/>
      </w:r>
      <w:r>
        <w:rPr>
          <w:rFonts w:asciiTheme="majorHAnsi" w:eastAsiaTheme="majorEastAsia" w:hAnsiTheme="majorHAnsi" w:cstheme="majorBidi"/>
          <w:bCs/>
          <w:color w:val="000000" w:themeColor="text1"/>
          <w:sz w:val="24"/>
          <w:szCs w:val="24"/>
        </w:rPr>
        <w:t xml:space="preserve"> </w:t>
      </w:r>
    </w:p>
    <w:p w14:paraId="6CCC0456" w14:textId="77777777" w:rsidR="00D330CB" w:rsidRDefault="00D330CB" w:rsidP="00D330CB">
      <w:pPr>
        <w:spacing w:after="0"/>
        <w:rPr>
          <w:rFonts w:asciiTheme="majorHAnsi" w:eastAsiaTheme="majorEastAsia" w:hAnsiTheme="majorHAnsi" w:cstheme="majorBidi"/>
          <w:bCs/>
          <w:color w:val="000000" w:themeColor="text1"/>
          <w:sz w:val="24"/>
          <w:szCs w:val="24"/>
        </w:rPr>
      </w:pPr>
    </w:p>
    <w:p w14:paraId="69CF4AB4" w14:textId="751D6501" w:rsidR="00D330CB" w:rsidRDefault="00D330CB" w:rsidP="00D330CB">
      <w:pPr>
        <w:spacing w:after="0"/>
        <w:rPr>
          <w:rFonts w:asciiTheme="majorHAnsi" w:eastAsiaTheme="majorEastAsia" w:hAnsiTheme="majorHAnsi" w:cstheme="majorBidi"/>
          <w:bCs/>
          <w:color w:val="000000" w:themeColor="text1"/>
          <w:sz w:val="24"/>
          <w:szCs w:val="24"/>
        </w:rPr>
      </w:pPr>
      <w:r w:rsidRPr="00DF1213">
        <w:rPr>
          <w:rFonts w:asciiTheme="majorHAnsi" w:eastAsiaTheme="majorEastAsia" w:hAnsiTheme="majorHAnsi" w:cstheme="majorBidi"/>
          <w:bCs/>
          <w:color w:val="000000" w:themeColor="text1"/>
          <w:sz w:val="24"/>
          <w:szCs w:val="24"/>
        </w:rPr>
        <w:t xml:space="preserve">To estimate the </w:t>
      </w:r>
      <w:r>
        <w:rPr>
          <w:rFonts w:asciiTheme="majorHAnsi" w:eastAsiaTheme="majorEastAsia" w:hAnsiTheme="majorHAnsi" w:cstheme="majorBidi"/>
          <w:bCs/>
          <w:color w:val="000000" w:themeColor="text1"/>
          <w:sz w:val="24"/>
          <w:szCs w:val="24"/>
        </w:rPr>
        <w:t xml:space="preserve">total </w:t>
      </w:r>
      <w:r w:rsidRPr="00DF1213">
        <w:rPr>
          <w:rFonts w:asciiTheme="majorHAnsi" w:eastAsiaTheme="majorEastAsia" w:hAnsiTheme="majorHAnsi" w:cstheme="majorBidi"/>
          <w:bCs/>
          <w:color w:val="000000" w:themeColor="text1"/>
          <w:sz w:val="24"/>
          <w:szCs w:val="24"/>
        </w:rPr>
        <w:t xml:space="preserve">forgone </w:t>
      </w:r>
      <w:r>
        <w:rPr>
          <w:rFonts w:asciiTheme="majorHAnsi" w:eastAsiaTheme="majorEastAsia" w:hAnsiTheme="majorHAnsi" w:cstheme="majorBidi"/>
          <w:bCs/>
          <w:color w:val="000000" w:themeColor="text1"/>
          <w:sz w:val="24"/>
          <w:szCs w:val="24"/>
        </w:rPr>
        <w:t>benefits</w:t>
      </w:r>
      <w:r w:rsidRPr="00DF1213">
        <w:rPr>
          <w:rFonts w:asciiTheme="majorHAnsi" w:eastAsiaTheme="majorEastAsia" w:hAnsiTheme="majorHAnsi" w:cstheme="majorBidi"/>
          <w:bCs/>
          <w:color w:val="000000" w:themeColor="text1"/>
          <w:sz w:val="24"/>
          <w:szCs w:val="24"/>
        </w:rPr>
        <w:t xml:space="preserve"> of the reduced spending, we employed Tax-PI</w:t>
      </w:r>
      <w:r>
        <w:rPr>
          <w:rFonts w:asciiTheme="majorHAnsi" w:eastAsiaTheme="majorEastAsia" w:hAnsiTheme="majorHAnsi" w:cstheme="majorBidi"/>
          <w:bCs/>
          <w:color w:val="000000" w:themeColor="text1"/>
          <w:sz w:val="24"/>
          <w:szCs w:val="24"/>
        </w:rPr>
        <w:t xml:space="preserve">, an economic analysis </w:t>
      </w:r>
      <w:r w:rsidRPr="00DF1213">
        <w:rPr>
          <w:rFonts w:asciiTheme="majorHAnsi" w:eastAsiaTheme="majorEastAsia" w:hAnsiTheme="majorHAnsi" w:cstheme="majorBidi"/>
          <w:bCs/>
          <w:color w:val="000000" w:themeColor="text1"/>
          <w:sz w:val="24"/>
          <w:szCs w:val="24"/>
        </w:rPr>
        <w:t>tool for evaluating the total fiscal and economic effects of tax policy changes. Tax-PI is built on over 30 years of experience in modeling the economic effects of tax policy changes, according to MODELS: TAX-PI</w:t>
      </w:r>
      <w:r w:rsidR="00D62DBC">
        <w:rPr>
          <w:rStyle w:val="FootnoteReference"/>
          <w:rFonts w:asciiTheme="majorHAnsi" w:eastAsiaTheme="majorEastAsia" w:hAnsiTheme="majorHAnsi"/>
          <w:bCs/>
          <w:color w:val="000000" w:themeColor="text1"/>
          <w:sz w:val="24"/>
          <w:szCs w:val="24"/>
        </w:rPr>
        <w:footnoteReference w:id="8"/>
      </w:r>
      <w:r w:rsidRPr="00DF1213">
        <w:rPr>
          <w:rFonts w:asciiTheme="majorHAnsi" w:eastAsiaTheme="majorEastAsia" w:hAnsiTheme="majorHAnsi" w:cstheme="majorBidi"/>
          <w:bCs/>
          <w:color w:val="000000" w:themeColor="text1"/>
          <w:sz w:val="24"/>
          <w:szCs w:val="24"/>
        </w:rPr>
        <w:t xml:space="preserve">. The popularity of the model has grown substantially since it was introduced.  Note that while the tax incentive </w:t>
      </w:r>
      <w:r w:rsidR="00C14A91">
        <w:rPr>
          <w:rFonts w:asciiTheme="majorHAnsi" w:eastAsiaTheme="majorEastAsia" w:hAnsiTheme="majorHAnsi" w:cstheme="majorBidi"/>
          <w:bCs/>
          <w:color w:val="000000" w:themeColor="text1"/>
          <w:sz w:val="24"/>
          <w:szCs w:val="24"/>
        </w:rPr>
        <w:t xml:space="preserve">has </w:t>
      </w:r>
      <w:r>
        <w:rPr>
          <w:rFonts w:asciiTheme="majorHAnsi" w:eastAsiaTheme="majorEastAsia" w:hAnsiTheme="majorHAnsi" w:cstheme="majorBidi"/>
          <w:bCs/>
          <w:color w:val="000000" w:themeColor="text1"/>
          <w:sz w:val="24"/>
          <w:szCs w:val="24"/>
        </w:rPr>
        <w:t>a</w:t>
      </w:r>
      <w:r w:rsidRPr="00DF1213">
        <w:rPr>
          <w:rFonts w:asciiTheme="majorHAnsi" w:eastAsiaTheme="majorEastAsia" w:hAnsiTheme="majorHAnsi" w:cstheme="majorBidi"/>
          <w:bCs/>
          <w:color w:val="000000" w:themeColor="text1"/>
          <w:sz w:val="24"/>
          <w:szCs w:val="24"/>
        </w:rPr>
        <w:t xml:space="preserve"> specific</w:t>
      </w:r>
      <w:r>
        <w:rPr>
          <w:rFonts w:asciiTheme="majorHAnsi" w:eastAsiaTheme="majorEastAsia" w:hAnsiTheme="majorHAnsi" w:cstheme="majorBidi"/>
          <w:bCs/>
          <w:color w:val="000000" w:themeColor="text1"/>
          <w:sz w:val="24"/>
          <w:szCs w:val="24"/>
        </w:rPr>
        <w:t xml:space="preserve"> purpose</w:t>
      </w:r>
      <w:r w:rsidRPr="00DF1213">
        <w:rPr>
          <w:rFonts w:asciiTheme="majorHAnsi" w:eastAsiaTheme="majorEastAsia" w:hAnsiTheme="majorHAnsi" w:cstheme="majorBidi"/>
          <w:bCs/>
          <w:color w:val="000000" w:themeColor="text1"/>
          <w:sz w:val="24"/>
          <w:szCs w:val="24"/>
        </w:rPr>
        <w:t xml:space="preserve">, the reduced spending is assumed to be </w:t>
      </w:r>
      <w:r w:rsidR="008F4766">
        <w:rPr>
          <w:rFonts w:asciiTheme="majorHAnsi" w:hAnsiTheme="majorHAnsi"/>
          <w:sz w:val="24"/>
          <w:szCs w:val="24"/>
        </w:rPr>
        <w:t>proportionally</w:t>
      </w:r>
      <w:r w:rsidR="00D62DBC" w:rsidRPr="00097F9B">
        <w:rPr>
          <w:rFonts w:asciiTheme="majorHAnsi" w:hAnsiTheme="majorHAnsi"/>
          <w:sz w:val="24"/>
          <w:szCs w:val="24"/>
        </w:rPr>
        <w:t xml:space="preserve"> distributed across the Commonwealth’s current expenditures</w:t>
      </w:r>
      <w:r w:rsidRPr="00DF1213">
        <w:rPr>
          <w:rFonts w:asciiTheme="majorHAnsi" w:eastAsiaTheme="majorEastAsia" w:hAnsiTheme="majorHAnsi" w:cstheme="majorBidi"/>
          <w:bCs/>
          <w:color w:val="000000" w:themeColor="text1"/>
          <w:sz w:val="24"/>
          <w:szCs w:val="24"/>
        </w:rPr>
        <w:t>.</w:t>
      </w:r>
    </w:p>
    <w:p w14:paraId="5071D825" w14:textId="77777777" w:rsidR="00D330CB" w:rsidRDefault="00D330CB" w:rsidP="00D330CB">
      <w:pPr>
        <w:spacing w:after="0"/>
        <w:rPr>
          <w:rFonts w:asciiTheme="majorHAnsi" w:eastAsiaTheme="majorEastAsia" w:hAnsiTheme="majorHAnsi" w:cstheme="majorBidi"/>
          <w:bCs/>
          <w:color w:val="000000" w:themeColor="text1"/>
          <w:sz w:val="24"/>
          <w:szCs w:val="24"/>
        </w:rPr>
      </w:pPr>
    </w:p>
    <w:p w14:paraId="3A7DEDD7" w14:textId="77777777" w:rsidR="00D330CB" w:rsidRPr="00E0511F" w:rsidRDefault="00D330CB" w:rsidP="00D330CB">
      <w:pPr>
        <w:spacing w:after="0"/>
        <w:rPr>
          <w:rFonts w:asciiTheme="majorHAnsi" w:eastAsiaTheme="majorEastAsia" w:hAnsiTheme="majorHAnsi" w:cstheme="majorBidi"/>
          <w:bCs/>
          <w:i/>
          <w:iCs/>
          <w:color w:val="000000" w:themeColor="text1"/>
          <w:sz w:val="24"/>
          <w:szCs w:val="24"/>
        </w:rPr>
      </w:pPr>
      <w:r w:rsidRPr="00E0511F">
        <w:rPr>
          <w:rFonts w:asciiTheme="majorHAnsi" w:eastAsiaTheme="majorEastAsia" w:hAnsiTheme="majorHAnsi" w:cstheme="majorBidi"/>
          <w:bCs/>
          <w:i/>
          <w:iCs/>
          <w:color w:val="000000" w:themeColor="text1"/>
          <w:sz w:val="24"/>
          <w:szCs w:val="24"/>
        </w:rPr>
        <w:t xml:space="preserve">Quantifying </w:t>
      </w:r>
      <w:r>
        <w:rPr>
          <w:rFonts w:asciiTheme="majorHAnsi" w:eastAsiaTheme="majorEastAsia" w:hAnsiTheme="majorHAnsi" w:cstheme="majorBidi"/>
          <w:bCs/>
          <w:i/>
          <w:iCs/>
          <w:color w:val="000000" w:themeColor="text1"/>
          <w:sz w:val="24"/>
          <w:szCs w:val="24"/>
        </w:rPr>
        <w:t>total</w:t>
      </w:r>
      <w:r w:rsidRPr="00E0511F">
        <w:rPr>
          <w:rFonts w:asciiTheme="majorHAnsi" w:eastAsiaTheme="majorEastAsia" w:hAnsiTheme="majorHAnsi" w:cstheme="majorBidi"/>
          <w:bCs/>
          <w:i/>
          <w:iCs/>
          <w:color w:val="000000" w:themeColor="text1"/>
          <w:sz w:val="24"/>
          <w:szCs w:val="24"/>
        </w:rPr>
        <w:t xml:space="preserve"> costs </w:t>
      </w:r>
      <w:r>
        <w:rPr>
          <w:rFonts w:asciiTheme="majorHAnsi" w:eastAsiaTheme="majorEastAsia" w:hAnsiTheme="majorHAnsi" w:cstheme="majorBidi"/>
          <w:bCs/>
          <w:i/>
          <w:iCs/>
          <w:color w:val="000000" w:themeColor="text1"/>
          <w:sz w:val="24"/>
          <w:szCs w:val="24"/>
        </w:rPr>
        <w:t>(direct, indirect and induced)</w:t>
      </w:r>
    </w:p>
    <w:p w14:paraId="0C1A2840" w14:textId="77777777" w:rsidR="00D330CB" w:rsidRDefault="00D330CB" w:rsidP="00D330CB">
      <w:pPr>
        <w:spacing w:after="0"/>
        <w:rPr>
          <w:rFonts w:asciiTheme="majorHAnsi" w:eastAsiaTheme="majorEastAsia" w:hAnsiTheme="majorHAnsi" w:cstheme="majorBidi"/>
          <w:bCs/>
          <w:color w:val="000000" w:themeColor="text1"/>
          <w:sz w:val="24"/>
          <w:szCs w:val="24"/>
        </w:rPr>
      </w:pPr>
      <w:r w:rsidRPr="00537A8B">
        <w:rPr>
          <w:rFonts w:asciiTheme="majorHAnsi" w:eastAsiaTheme="majorEastAsia" w:hAnsiTheme="majorHAnsi" w:cstheme="majorBidi"/>
          <w:bCs/>
          <w:color w:val="000000" w:themeColor="text1"/>
          <w:sz w:val="24"/>
          <w:szCs w:val="24"/>
        </w:rPr>
        <w:lastRenderedPageBreak/>
        <w:t xml:space="preserve">The period of study is limited to </w:t>
      </w:r>
      <w:r>
        <w:rPr>
          <w:rFonts w:asciiTheme="majorHAnsi" w:eastAsiaTheme="majorEastAsia" w:hAnsiTheme="majorHAnsi" w:cstheme="majorBidi"/>
          <w:bCs/>
          <w:color w:val="000000" w:themeColor="text1"/>
          <w:sz w:val="24"/>
          <w:szCs w:val="24"/>
        </w:rPr>
        <w:t xml:space="preserve">the </w:t>
      </w:r>
      <w:r w:rsidRPr="00537A8B">
        <w:rPr>
          <w:rFonts w:asciiTheme="majorHAnsi" w:eastAsiaTheme="majorEastAsia" w:hAnsiTheme="majorHAnsi" w:cstheme="majorBidi"/>
          <w:bCs/>
          <w:color w:val="000000" w:themeColor="text1"/>
          <w:sz w:val="24"/>
          <w:szCs w:val="24"/>
        </w:rPr>
        <w:t xml:space="preserve">five years from 2018 through 2022, for which we prepared input data to run the model. Tables </w:t>
      </w:r>
      <w:r>
        <w:rPr>
          <w:rFonts w:asciiTheme="majorHAnsi" w:eastAsiaTheme="majorEastAsia" w:hAnsiTheme="majorHAnsi" w:cstheme="majorBidi"/>
          <w:bCs/>
          <w:color w:val="000000" w:themeColor="text1"/>
          <w:sz w:val="24"/>
          <w:szCs w:val="24"/>
        </w:rPr>
        <w:t>A</w:t>
      </w:r>
      <w:r w:rsidR="00D2202B">
        <w:rPr>
          <w:rFonts w:asciiTheme="majorHAnsi" w:eastAsiaTheme="majorEastAsia" w:hAnsiTheme="majorHAnsi" w:cstheme="majorBidi"/>
          <w:bCs/>
          <w:color w:val="000000" w:themeColor="text1"/>
          <w:sz w:val="24"/>
          <w:szCs w:val="24"/>
        </w:rPr>
        <w:t>1</w:t>
      </w:r>
      <w:r w:rsidRPr="00537A8B">
        <w:rPr>
          <w:rFonts w:asciiTheme="majorHAnsi" w:eastAsiaTheme="majorEastAsia" w:hAnsiTheme="majorHAnsi" w:cstheme="majorBidi"/>
          <w:bCs/>
          <w:color w:val="000000" w:themeColor="text1"/>
          <w:sz w:val="24"/>
          <w:szCs w:val="24"/>
        </w:rPr>
        <w:t xml:space="preserve"> and </w:t>
      </w:r>
      <w:r>
        <w:rPr>
          <w:rFonts w:asciiTheme="majorHAnsi" w:eastAsiaTheme="majorEastAsia" w:hAnsiTheme="majorHAnsi" w:cstheme="majorBidi"/>
          <w:bCs/>
          <w:color w:val="000000" w:themeColor="text1"/>
          <w:sz w:val="24"/>
          <w:szCs w:val="24"/>
        </w:rPr>
        <w:t>A</w:t>
      </w:r>
      <w:r w:rsidR="00D2202B">
        <w:rPr>
          <w:rFonts w:asciiTheme="majorHAnsi" w:eastAsiaTheme="majorEastAsia" w:hAnsiTheme="majorHAnsi" w:cstheme="majorBidi"/>
          <w:bCs/>
          <w:color w:val="000000" w:themeColor="text1"/>
          <w:sz w:val="24"/>
          <w:szCs w:val="24"/>
        </w:rPr>
        <w:t>2</w:t>
      </w:r>
      <w:r w:rsidRPr="00537A8B">
        <w:rPr>
          <w:rFonts w:asciiTheme="majorHAnsi" w:eastAsiaTheme="majorEastAsia" w:hAnsiTheme="majorHAnsi" w:cstheme="majorBidi"/>
          <w:bCs/>
          <w:color w:val="000000" w:themeColor="text1"/>
          <w:sz w:val="24"/>
          <w:szCs w:val="24"/>
        </w:rPr>
        <w:t xml:space="preserve"> report </w:t>
      </w:r>
      <w:r>
        <w:rPr>
          <w:rFonts w:asciiTheme="majorHAnsi" w:eastAsiaTheme="majorEastAsia" w:hAnsiTheme="majorHAnsi" w:cstheme="majorBidi"/>
          <w:bCs/>
          <w:color w:val="000000" w:themeColor="text1"/>
          <w:sz w:val="24"/>
          <w:szCs w:val="24"/>
        </w:rPr>
        <w:t xml:space="preserve">the model </w:t>
      </w:r>
      <w:r w:rsidRPr="00537A8B">
        <w:rPr>
          <w:rFonts w:asciiTheme="majorHAnsi" w:eastAsiaTheme="majorEastAsia" w:hAnsiTheme="majorHAnsi" w:cstheme="majorBidi"/>
          <w:bCs/>
          <w:color w:val="000000" w:themeColor="text1"/>
          <w:sz w:val="24"/>
          <w:szCs w:val="24"/>
        </w:rPr>
        <w:t xml:space="preserve">results. </w:t>
      </w:r>
      <w:r w:rsidRPr="001F3681">
        <w:rPr>
          <w:rFonts w:asciiTheme="majorHAnsi" w:eastAsiaTheme="majorEastAsia" w:hAnsiTheme="majorHAnsi" w:cstheme="majorBidi"/>
          <w:bCs/>
          <w:color w:val="000000" w:themeColor="text1"/>
          <w:sz w:val="24"/>
          <w:szCs w:val="24"/>
        </w:rPr>
        <w:t xml:space="preserve">The figures for 2018 and 2019 are estimates of forgone benefits (opportunity costs) that the Massachusetts economy </w:t>
      </w:r>
      <w:r>
        <w:rPr>
          <w:rFonts w:asciiTheme="majorHAnsi" w:eastAsiaTheme="majorEastAsia" w:hAnsiTheme="majorHAnsi" w:cstheme="majorBidi"/>
          <w:bCs/>
          <w:color w:val="000000" w:themeColor="text1"/>
          <w:sz w:val="24"/>
          <w:szCs w:val="24"/>
        </w:rPr>
        <w:t xml:space="preserve">experienced due to having the expenditure, </w:t>
      </w:r>
      <w:r w:rsidRPr="001F3681">
        <w:rPr>
          <w:rFonts w:asciiTheme="majorHAnsi" w:eastAsiaTheme="majorEastAsia" w:hAnsiTheme="majorHAnsi" w:cstheme="majorBidi"/>
          <w:bCs/>
          <w:color w:val="000000" w:themeColor="text1"/>
          <w:sz w:val="24"/>
          <w:szCs w:val="24"/>
        </w:rPr>
        <w:t xml:space="preserve">and those for 2020, 2021 and 2022 are </w:t>
      </w:r>
      <w:r>
        <w:rPr>
          <w:rFonts w:asciiTheme="majorHAnsi" w:eastAsiaTheme="majorEastAsia" w:hAnsiTheme="majorHAnsi" w:cstheme="majorBidi"/>
          <w:bCs/>
          <w:color w:val="000000" w:themeColor="text1"/>
          <w:sz w:val="24"/>
          <w:szCs w:val="24"/>
        </w:rPr>
        <w:t>projections</w:t>
      </w:r>
      <w:r w:rsidRPr="001F3681">
        <w:rPr>
          <w:rFonts w:asciiTheme="majorHAnsi" w:eastAsiaTheme="majorEastAsia" w:hAnsiTheme="majorHAnsi" w:cstheme="majorBidi"/>
          <w:bCs/>
          <w:color w:val="000000" w:themeColor="text1"/>
          <w:sz w:val="24"/>
          <w:szCs w:val="24"/>
        </w:rPr>
        <w:t xml:space="preserve"> of forgone benefits that the Massachusetts economy </w:t>
      </w:r>
      <w:r>
        <w:rPr>
          <w:rFonts w:asciiTheme="majorHAnsi" w:eastAsiaTheme="majorEastAsia" w:hAnsiTheme="majorHAnsi" w:cstheme="majorBidi"/>
          <w:bCs/>
          <w:color w:val="000000" w:themeColor="text1"/>
          <w:sz w:val="24"/>
          <w:szCs w:val="24"/>
        </w:rPr>
        <w:t>will</w:t>
      </w:r>
      <w:r w:rsidRPr="001F3681">
        <w:rPr>
          <w:rFonts w:asciiTheme="majorHAnsi" w:eastAsiaTheme="majorEastAsia" w:hAnsiTheme="majorHAnsi" w:cstheme="majorBidi"/>
          <w:bCs/>
          <w:color w:val="000000" w:themeColor="text1"/>
          <w:sz w:val="24"/>
          <w:szCs w:val="24"/>
        </w:rPr>
        <w:t xml:space="preserve"> experience going forward.  </w:t>
      </w:r>
      <w:r>
        <w:rPr>
          <w:rFonts w:asciiTheme="majorHAnsi" w:eastAsiaTheme="majorEastAsia" w:hAnsiTheme="majorHAnsi" w:cstheme="majorBidi"/>
          <w:bCs/>
          <w:color w:val="000000" w:themeColor="text1"/>
          <w:sz w:val="24"/>
          <w:szCs w:val="24"/>
        </w:rPr>
        <w:t>The effects are displayed as negative numbers as reduced spending has a negative impact on the state economy.</w:t>
      </w:r>
    </w:p>
    <w:p w14:paraId="6286DC3D" w14:textId="77777777" w:rsidR="00D330CB" w:rsidRDefault="00D330CB" w:rsidP="00D330CB">
      <w:pPr>
        <w:spacing w:after="0"/>
        <w:rPr>
          <w:rFonts w:asciiTheme="majorHAnsi" w:hAnsiTheme="majorHAnsi"/>
          <w:bCs/>
          <w:sz w:val="24"/>
          <w:szCs w:val="24"/>
        </w:rPr>
      </w:pPr>
    </w:p>
    <w:p w14:paraId="6ABC0AD1" w14:textId="77777777" w:rsidR="00D330CB" w:rsidRDefault="00D330CB" w:rsidP="00D330CB">
      <w:pPr>
        <w:spacing w:after="0"/>
        <w:rPr>
          <w:rFonts w:asciiTheme="majorHAnsi" w:eastAsiaTheme="majorEastAsia" w:hAnsiTheme="majorHAnsi" w:cstheme="majorBidi"/>
          <w:bCs/>
          <w:color w:val="000000" w:themeColor="text1"/>
          <w:sz w:val="24"/>
          <w:szCs w:val="24"/>
        </w:rPr>
      </w:pPr>
      <w:r w:rsidRPr="00D86973">
        <w:rPr>
          <w:rFonts w:asciiTheme="majorHAnsi" w:eastAsiaTheme="majorEastAsia" w:hAnsiTheme="majorHAnsi" w:cstheme="majorBidi"/>
          <w:bCs/>
          <w:color w:val="000000" w:themeColor="text1"/>
          <w:sz w:val="24"/>
          <w:szCs w:val="24"/>
        </w:rPr>
        <w:t xml:space="preserve">Tables </w:t>
      </w:r>
      <w:r>
        <w:rPr>
          <w:rFonts w:asciiTheme="majorHAnsi" w:eastAsiaTheme="majorEastAsia" w:hAnsiTheme="majorHAnsi" w:cstheme="majorBidi"/>
          <w:bCs/>
          <w:color w:val="000000" w:themeColor="text1"/>
          <w:sz w:val="24"/>
          <w:szCs w:val="24"/>
        </w:rPr>
        <w:t>A</w:t>
      </w:r>
      <w:r w:rsidR="00D2202B">
        <w:rPr>
          <w:rFonts w:asciiTheme="majorHAnsi" w:eastAsiaTheme="majorEastAsia" w:hAnsiTheme="majorHAnsi" w:cstheme="majorBidi"/>
          <w:bCs/>
          <w:color w:val="000000" w:themeColor="text1"/>
          <w:sz w:val="24"/>
          <w:szCs w:val="24"/>
        </w:rPr>
        <w:t>1</w:t>
      </w:r>
      <w:r w:rsidRPr="00D86973">
        <w:rPr>
          <w:rFonts w:asciiTheme="majorHAnsi" w:eastAsiaTheme="majorEastAsia" w:hAnsiTheme="majorHAnsi" w:cstheme="majorBidi"/>
          <w:bCs/>
          <w:color w:val="000000" w:themeColor="text1"/>
          <w:sz w:val="24"/>
          <w:szCs w:val="24"/>
        </w:rPr>
        <w:t xml:space="preserve"> and </w:t>
      </w:r>
      <w:r>
        <w:rPr>
          <w:rFonts w:asciiTheme="majorHAnsi" w:eastAsiaTheme="majorEastAsia" w:hAnsiTheme="majorHAnsi" w:cstheme="majorBidi"/>
          <w:bCs/>
          <w:color w:val="000000" w:themeColor="text1"/>
          <w:sz w:val="24"/>
          <w:szCs w:val="24"/>
        </w:rPr>
        <w:t>A</w:t>
      </w:r>
      <w:r w:rsidR="00D2202B">
        <w:rPr>
          <w:rFonts w:asciiTheme="majorHAnsi" w:eastAsiaTheme="majorEastAsia" w:hAnsiTheme="majorHAnsi" w:cstheme="majorBidi"/>
          <w:bCs/>
          <w:color w:val="000000" w:themeColor="text1"/>
          <w:sz w:val="24"/>
          <w:szCs w:val="24"/>
        </w:rPr>
        <w:t>2</w:t>
      </w:r>
      <w:r w:rsidRPr="00D86973">
        <w:rPr>
          <w:rFonts w:asciiTheme="majorHAnsi" w:eastAsiaTheme="majorEastAsia" w:hAnsiTheme="majorHAnsi" w:cstheme="majorBidi"/>
          <w:bCs/>
          <w:color w:val="000000" w:themeColor="text1"/>
          <w:sz w:val="24"/>
          <w:szCs w:val="24"/>
        </w:rPr>
        <w:t xml:space="preserve"> show that the </w:t>
      </w:r>
      <w:r>
        <w:rPr>
          <w:rFonts w:asciiTheme="majorHAnsi" w:eastAsiaTheme="majorEastAsia" w:hAnsiTheme="majorHAnsi" w:cstheme="majorBidi"/>
          <w:bCs/>
          <w:color w:val="000000" w:themeColor="text1"/>
          <w:sz w:val="24"/>
          <w:szCs w:val="24"/>
        </w:rPr>
        <w:t>reduction</w:t>
      </w:r>
      <w:r w:rsidRPr="00D86973">
        <w:rPr>
          <w:rFonts w:asciiTheme="majorHAnsi" w:eastAsiaTheme="majorEastAsia" w:hAnsiTheme="majorHAnsi" w:cstheme="majorBidi"/>
          <w:bCs/>
          <w:color w:val="000000" w:themeColor="text1"/>
          <w:sz w:val="24"/>
          <w:szCs w:val="24"/>
        </w:rPr>
        <w:t xml:space="preserve"> in state government spending results in lost economic activities, with real state GDP declining </w:t>
      </w:r>
      <w:r>
        <w:rPr>
          <w:rFonts w:asciiTheme="majorHAnsi" w:eastAsiaTheme="majorEastAsia" w:hAnsiTheme="majorHAnsi" w:cstheme="majorBidi"/>
          <w:bCs/>
          <w:color w:val="000000" w:themeColor="text1"/>
          <w:sz w:val="24"/>
          <w:szCs w:val="24"/>
        </w:rPr>
        <w:t xml:space="preserve">by </w:t>
      </w:r>
      <w:r w:rsidRPr="00857C1A">
        <w:rPr>
          <w:rFonts w:asciiTheme="majorHAnsi" w:eastAsiaTheme="majorEastAsia" w:hAnsiTheme="majorHAnsi" w:cstheme="majorBidi"/>
          <w:bCs/>
          <w:color w:val="000000" w:themeColor="text1"/>
          <w:sz w:val="24"/>
          <w:szCs w:val="24"/>
        </w:rPr>
        <w:t>$</w:t>
      </w:r>
      <w:r w:rsidR="00C622CD">
        <w:rPr>
          <w:rFonts w:asciiTheme="majorHAnsi" w:eastAsiaTheme="majorEastAsia" w:hAnsiTheme="majorHAnsi" w:cstheme="majorBidi"/>
          <w:bCs/>
          <w:color w:val="000000" w:themeColor="text1"/>
          <w:sz w:val="24"/>
          <w:szCs w:val="24"/>
        </w:rPr>
        <w:t xml:space="preserve">1,169 </w:t>
      </w:r>
      <w:r w:rsidRPr="00857C1A">
        <w:rPr>
          <w:rFonts w:asciiTheme="majorHAnsi" w:eastAsiaTheme="majorEastAsia" w:hAnsiTheme="majorHAnsi" w:cstheme="majorBidi"/>
          <w:bCs/>
          <w:color w:val="000000" w:themeColor="text1"/>
          <w:sz w:val="24"/>
          <w:szCs w:val="24"/>
        </w:rPr>
        <w:t>million-$</w:t>
      </w:r>
      <w:r w:rsidR="00C622CD">
        <w:rPr>
          <w:rFonts w:asciiTheme="majorHAnsi" w:eastAsiaTheme="majorEastAsia" w:hAnsiTheme="majorHAnsi" w:cstheme="majorBidi"/>
          <w:bCs/>
          <w:color w:val="000000" w:themeColor="text1"/>
          <w:sz w:val="24"/>
          <w:szCs w:val="24"/>
        </w:rPr>
        <w:t>1,316</w:t>
      </w:r>
      <w:r w:rsidR="008B0F8A">
        <w:rPr>
          <w:rFonts w:asciiTheme="majorHAnsi" w:eastAsiaTheme="majorEastAsia" w:hAnsiTheme="majorHAnsi" w:cstheme="majorBidi"/>
          <w:bCs/>
          <w:color w:val="000000" w:themeColor="text1"/>
          <w:sz w:val="24"/>
          <w:szCs w:val="24"/>
        </w:rPr>
        <w:t xml:space="preserve"> </w:t>
      </w:r>
      <w:r w:rsidRPr="00D86973">
        <w:rPr>
          <w:rFonts w:asciiTheme="majorHAnsi" w:eastAsiaTheme="majorEastAsia" w:hAnsiTheme="majorHAnsi" w:cstheme="majorBidi"/>
          <w:bCs/>
          <w:color w:val="000000" w:themeColor="text1"/>
          <w:sz w:val="24"/>
          <w:szCs w:val="24"/>
        </w:rPr>
        <w:t xml:space="preserve">million and total employment declining </w:t>
      </w:r>
      <w:r>
        <w:rPr>
          <w:rFonts w:asciiTheme="majorHAnsi" w:eastAsiaTheme="majorEastAsia" w:hAnsiTheme="majorHAnsi" w:cstheme="majorBidi"/>
          <w:bCs/>
          <w:color w:val="000000" w:themeColor="text1"/>
          <w:sz w:val="24"/>
          <w:szCs w:val="24"/>
        </w:rPr>
        <w:t xml:space="preserve">by </w:t>
      </w:r>
      <w:r w:rsidR="00C622CD">
        <w:rPr>
          <w:rFonts w:asciiTheme="majorHAnsi" w:eastAsiaTheme="majorEastAsia" w:hAnsiTheme="majorHAnsi" w:cstheme="majorBidi"/>
          <w:bCs/>
          <w:color w:val="000000" w:themeColor="text1"/>
          <w:sz w:val="24"/>
          <w:szCs w:val="24"/>
        </w:rPr>
        <w:t>12</w:t>
      </w:r>
      <w:r>
        <w:rPr>
          <w:rFonts w:asciiTheme="majorHAnsi" w:eastAsiaTheme="majorEastAsia" w:hAnsiTheme="majorHAnsi" w:cstheme="majorBidi"/>
          <w:bCs/>
          <w:color w:val="000000" w:themeColor="text1"/>
          <w:sz w:val="24"/>
          <w:szCs w:val="24"/>
        </w:rPr>
        <w:t>,</w:t>
      </w:r>
      <w:r w:rsidR="00C622CD">
        <w:rPr>
          <w:rFonts w:asciiTheme="majorHAnsi" w:eastAsiaTheme="majorEastAsia" w:hAnsiTheme="majorHAnsi" w:cstheme="majorBidi"/>
          <w:bCs/>
          <w:color w:val="000000" w:themeColor="text1"/>
          <w:sz w:val="24"/>
          <w:szCs w:val="24"/>
        </w:rPr>
        <w:t>929</w:t>
      </w:r>
      <w:r>
        <w:rPr>
          <w:rFonts w:asciiTheme="majorHAnsi" w:eastAsiaTheme="majorEastAsia" w:hAnsiTheme="majorHAnsi" w:cstheme="majorBidi"/>
          <w:bCs/>
          <w:color w:val="000000" w:themeColor="text1"/>
          <w:sz w:val="24"/>
          <w:szCs w:val="24"/>
        </w:rPr>
        <w:t xml:space="preserve"> </w:t>
      </w:r>
      <w:r w:rsidRPr="00857C1A">
        <w:rPr>
          <w:rFonts w:asciiTheme="majorHAnsi" w:eastAsiaTheme="majorEastAsia" w:hAnsiTheme="majorHAnsi" w:cstheme="majorBidi"/>
          <w:bCs/>
          <w:color w:val="000000" w:themeColor="text1"/>
          <w:sz w:val="24"/>
          <w:szCs w:val="24"/>
        </w:rPr>
        <w:t>-</w:t>
      </w:r>
      <w:r w:rsidR="00C622CD">
        <w:rPr>
          <w:rFonts w:asciiTheme="majorHAnsi" w:eastAsiaTheme="majorEastAsia" w:hAnsiTheme="majorHAnsi" w:cstheme="majorBidi"/>
          <w:bCs/>
          <w:color w:val="000000" w:themeColor="text1"/>
          <w:sz w:val="24"/>
          <w:szCs w:val="24"/>
        </w:rPr>
        <w:t>15,103</w:t>
      </w:r>
      <w:r w:rsidRPr="00857C1A">
        <w:rPr>
          <w:rFonts w:asciiTheme="majorHAnsi" w:eastAsiaTheme="majorEastAsia" w:hAnsiTheme="majorHAnsi" w:cstheme="majorBidi"/>
          <w:bCs/>
          <w:color w:val="000000" w:themeColor="text1"/>
          <w:sz w:val="24"/>
          <w:szCs w:val="24"/>
        </w:rPr>
        <w:t xml:space="preserve"> </w:t>
      </w:r>
      <w:r>
        <w:rPr>
          <w:rFonts w:asciiTheme="majorHAnsi" w:eastAsiaTheme="majorEastAsia" w:hAnsiTheme="majorHAnsi" w:cstheme="majorBidi"/>
          <w:bCs/>
          <w:color w:val="000000" w:themeColor="text1"/>
          <w:sz w:val="24"/>
          <w:szCs w:val="24"/>
        </w:rPr>
        <w:t xml:space="preserve">jobs </w:t>
      </w:r>
      <w:r w:rsidRPr="00D86973">
        <w:rPr>
          <w:rFonts w:asciiTheme="majorHAnsi" w:eastAsiaTheme="majorEastAsia" w:hAnsiTheme="majorHAnsi" w:cstheme="majorBidi"/>
          <w:bCs/>
          <w:color w:val="000000" w:themeColor="text1"/>
          <w:sz w:val="24"/>
          <w:szCs w:val="24"/>
        </w:rPr>
        <w:t xml:space="preserve">annually. Lost economic activities result in further loss </w:t>
      </w:r>
      <w:r>
        <w:rPr>
          <w:rFonts w:asciiTheme="majorHAnsi" w:eastAsiaTheme="majorEastAsia" w:hAnsiTheme="majorHAnsi" w:cstheme="majorBidi"/>
          <w:bCs/>
          <w:color w:val="000000" w:themeColor="text1"/>
          <w:sz w:val="24"/>
          <w:szCs w:val="24"/>
        </w:rPr>
        <w:t>of</w:t>
      </w:r>
      <w:r w:rsidRPr="00D86973">
        <w:rPr>
          <w:rFonts w:asciiTheme="majorHAnsi" w:eastAsiaTheme="majorEastAsia" w:hAnsiTheme="majorHAnsi" w:cstheme="majorBidi"/>
          <w:bCs/>
          <w:color w:val="000000" w:themeColor="text1"/>
          <w:sz w:val="24"/>
          <w:szCs w:val="24"/>
        </w:rPr>
        <w:t xml:space="preserve"> </w:t>
      </w:r>
      <w:r>
        <w:rPr>
          <w:rFonts w:asciiTheme="majorHAnsi" w:eastAsiaTheme="majorEastAsia" w:hAnsiTheme="majorHAnsi" w:cstheme="majorBidi"/>
          <w:bCs/>
          <w:color w:val="000000" w:themeColor="text1"/>
          <w:sz w:val="24"/>
          <w:szCs w:val="24"/>
        </w:rPr>
        <w:t xml:space="preserve">state </w:t>
      </w:r>
      <w:r w:rsidRPr="00D86973">
        <w:rPr>
          <w:rFonts w:asciiTheme="majorHAnsi" w:eastAsiaTheme="majorEastAsia" w:hAnsiTheme="majorHAnsi" w:cstheme="majorBidi"/>
          <w:bCs/>
          <w:color w:val="000000" w:themeColor="text1"/>
          <w:sz w:val="24"/>
          <w:szCs w:val="24"/>
        </w:rPr>
        <w:t xml:space="preserve">revenues, ranging from </w:t>
      </w:r>
      <w:r w:rsidRPr="00857C1A">
        <w:rPr>
          <w:rFonts w:asciiTheme="majorHAnsi" w:eastAsiaTheme="majorEastAsia" w:hAnsiTheme="majorHAnsi" w:cstheme="majorBidi"/>
          <w:bCs/>
          <w:color w:val="000000" w:themeColor="text1"/>
          <w:sz w:val="24"/>
          <w:szCs w:val="24"/>
        </w:rPr>
        <w:t>$</w:t>
      </w:r>
      <w:r w:rsidR="00C622CD">
        <w:rPr>
          <w:rFonts w:asciiTheme="majorHAnsi" w:eastAsiaTheme="majorEastAsia" w:hAnsiTheme="majorHAnsi" w:cstheme="majorBidi"/>
          <w:bCs/>
          <w:color w:val="000000" w:themeColor="text1"/>
          <w:sz w:val="24"/>
          <w:szCs w:val="24"/>
        </w:rPr>
        <w:t>26.3</w:t>
      </w:r>
      <w:r w:rsidR="008B0F8A">
        <w:rPr>
          <w:rFonts w:asciiTheme="majorHAnsi" w:eastAsiaTheme="majorEastAsia" w:hAnsiTheme="majorHAnsi" w:cstheme="majorBidi"/>
          <w:bCs/>
          <w:color w:val="000000" w:themeColor="text1"/>
          <w:sz w:val="24"/>
          <w:szCs w:val="24"/>
        </w:rPr>
        <w:t xml:space="preserve"> </w:t>
      </w:r>
      <w:r w:rsidRPr="00857C1A">
        <w:rPr>
          <w:rFonts w:asciiTheme="majorHAnsi" w:eastAsiaTheme="majorEastAsia" w:hAnsiTheme="majorHAnsi" w:cstheme="majorBidi"/>
          <w:bCs/>
          <w:color w:val="000000" w:themeColor="text1"/>
          <w:sz w:val="24"/>
          <w:szCs w:val="24"/>
        </w:rPr>
        <w:t>million to $</w:t>
      </w:r>
      <w:r w:rsidR="00C622CD">
        <w:rPr>
          <w:rFonts w:asciiTheme="majorHAnsi" w:eastAsiaTheme="majorEastAsia" w:hAnsiTheme="majorHAnsi" w:cstheme="majorBidi"/>
          <w:bCs/>
          <w:color w:val="000000" w:themeColor="text1"/>
          <w:sz w:val="24"/>
          <w:szCs w:val="24"/>
        </w:rPr>
        <w:t>67.9</w:t>
      </w:r>
      <w:r w:rsidRPr="00857C1A">
        <w:rPr>
          <w:rFonts w:asciiTheme="majorHAnsi" w:eastAsiaTheme="majorEastAsia" w:hAnsiTheme="majorHAnsi" w:cstheme="majorBidi"/>
          <w:bCs/>
          <w:color w:val="000000" w:themeColor="text1"/>
          <w:sz w:val="24"/>
          <w:szCs w:val="24"/>
        </w:rPr>
        <w:t xml:space="preserve"> </w:t>
      </w:r>
      <w:r w:rsidRPr="00D86973">
        <w:rPr>
          <w:rFonts w:asciiTheme="majorHAnsi" w:eastAsiaTheme="majorEastAsia" w:hAnsiTheme="majorHAnsi" w:cstheme="majorBidi"/>
          <w:bCs/>
          <w:color w:val="000000" w:themeColor="text1"/>
          <w:sz w:val="24"/>
          <w:szCs w:val="24"/>
        </w:rPr>
        <w:t xml:space="preserve">million annually. </w:t>
      </w:r>
      <w:r>
        <w:rPr>
          <w:rFonts w:asciiTheme="majorHAnsi" w:eastAsiaTheme="majorEastAsia" w:hAnsiTheme="majorHAnsi" w:cstheme="majorBidi"/>
          <w:bCs/>
          <w:color w:val="000000" w:themeColor="text1"/>
          <w:sz w:val="24"/>
          <w:szCs w:val="24"/>
        </w:rPr>
        <w:t>Note that the revenue impact reported in Table A</w:t>
      </w:r>
      <w:r w:rsidR="00BA27DF">
        <w:rPr>
          <w:rFonts w:asciiTheme="majorHAnsi" w:eastAsiaTheme="majorEastAsia" w:hAnsiTheme="majorHAnsi" w:cstheme="majorBidi"/>
          <w:bCs/>
          <w:color w:val="000000" w:themeColor="text1"/>
          <w:sz w:val="24"/>
          <w:szCs w:val="24"/>
        </w:rPr>
        <w:t>2</w:t>
      </w:r>
      <w:r>
        <w:rPr>
          <w:rFonts w:asciiTheme="majorHAnsi" w:eastAsiaTheme="majorEastAsia" w:hAnsiTheme="majorHAnsi" w:cstheme="majorBidi"/>
          <w:bCs/>
          <w:color w:val="000000" w:themeColor="text1"/>
          <w:sz w:val="24"/>
          <w:szCs w:val="24"/>
        </w:rPr>
        <w:t xml:space="preserve"> does not include the estimated direct impact of the tax expenditure from Table </w:t>
      </w:r>
      <w:r w:rsidR="008576F7">
        <w:rPr>
          <w:rFonts w:asciiTheme="majorHAnsi" w:eastAsiaTheme="majorEastAsia" w:hAnsiTheme="majorHAnsi" w:cstheme="majorBidi"/>
          <w:bCs/>
          <w:color w:val="000000" w:themeColor="text1"/>
          <w:sz w:val="24"/>
          <w:szCs w:val="24"/>
        </w:rPr>
        <w:t>1</w:t>
      </w:r>
      <w:r>
        <w:rPr>
          <w:rFonts w:asciiTheme="majorHAnsi" w:eastAsiaTheme="majorEastAsia" w:hAnsiTheme="majorHAnsi" w:cstheme="majorBidi"/>
          <w:bCs/>
          <w:color w:val="000000" w:themeColor="text1"/>
          <w:sz w:val="24"/>
          <w:szCs w:val="24"/>
        </w:rPr>
        <w:t>, but only the additional indirect/induced impact.</w:t>
      </w:r>
    </w:p>
    <w:p w14:paraId="4AF7DB07" w14:textId="77777777" w:rsidR="00D330CB" w:rsidRDefault="00D330CB" w:rsidP="00D330CB">
      <w:pPr>
        <w:spacing w:after="0"/>
        <w:rPr>
          <w:rFonts w:asciiTheme="majorHAnsi" w:hAnsiTheme="majorHAnsi"/>
          <w:bCs/>
          <w:sz w:val="24"/>
          <w:szCs w:val="24"/>
        </w:rPr>
      </w:pPr>
    </w:p>
    <w:p w14:paraId="219A72FD" w14:textId="77777777" w:rsidR="00D330CB" w:rsidRDefault="00D330CB" w:rsidP="00D330CB">
      <w:pPr>
        <w:spacing w:after="0"/>
        <w:jc w:val="center"/>
        <w:rPr>
          <w:rFonts w:asciiTheme="majorHAnsi" w:eastAsiaTheme="majorEastAsia" w:hAnsiTheme="majorHAnsi" w:cstheme="majorBidi"/>
          <w:b/>
          <w:color w:val="000000" w:themeColor="text1"/>
          <w:sz w:val="24"/>
          <w:szCs w:val="24"/>
        </w:rPr>
      </w:pPr>
      <w:r w:rsidRPr="00366FFC">
        <w:rPr>
          <w:rFonts w:asciiTheme="majorHAnsi" w:eastAsiaTheme="majorEastAsia" w:hAnsiTheme="majorHAnsi" w:cstheme="majorBidi"/>
          <w:b/>
          <w:color w:val="000000" w:themeColor="text1"/>
          <w:sz w:val="24"/>
          <w:szCs w:val="24"/>
        </w:rPr>
        <w:t xml:space="preserve">Table </w:t>
      </w:r>
      <w:r>
        <w:rPr>
          <w:rFonts w:asciiTheme="majorHAnsi" w:eastAsiaTheme="majorEastAsia" w:hAnsiTheme="majorHAnsi" w:cstheme="majorBidi"/>
          <w:b/>
          <w:color w:val="000000" w:themeColor="text1"/>
          <w:sz w:val="24"/>
          <w:szCs w:val="24"/>
        </w:rPr>
        <w:t>A</w:t>
      </w:r>
      <w:r w:rsidR="00CA16D7">
        <w:rPr>
          <w:rFonts w:asciiTheme="majorHAnsi" w:eastAsiaTheme="majorEastAsia" w:hAnsiTheme="majorHAnsi" w:cstheme="majorBidi"/>
          <w:b/>
          <w:color w:val="000000" w:themeColor="text1"/>
          <w:sz w:val="24"/>
          <w:szCs w:val="24"/>
        </w:rPr>
        <w:t>1</w:t>
      </w:r>
      <w:r w:rsidRPr="00366FFC">
        <w:rPr>
          <w:rFonts w:asciiTheme="majorHAnsi" w:eastAsiaTheme="majorEastAsia" w:hAnsiTheme="majorHAnsi" w:cstheme="majorBidi"/>
          <w:b/>
          <w:color w:val="000000" w:themeColor="text1"/>
          <w:sz w:val="24"/>
          <w:szCs w:val="24"/>
        </w:rPr>
        <w:t xml:space="preserve">. </w:t>
      </w:r>
      <w:r>
        <w:rPr>
          <w:rFonts w:asciiTheme="majorHAnsi" w:eastAsiaTheme="majorEastAsia" w:hAnsiTheme="majorHAnsi" w:cstheme="majorBidi"/>
          <w:b/>
          <w:color w:val="000000" w:themeColor="text1"/>
          <w:sz w:val="24"/>
          <w:szCs w:val="24"/>
        </w:rPr>
        <w:t xml:space="preserve">Additional Revenue Impact due to Decreased Government Spending* </w:t>
      </w:r>
    </w:p>
    <w:tbl>
      <w:tblPr>
        <w:tblW w:w="9350" w:type="dxa"/>
        <w:jc w:val="center"/>
        <w:tblLook w:val="04A0" w:firstRow="1" w:lastRow="0" w:firstColumn="1" w:lastColumn="0" w:noHBand="0" w:noVBand="1"/>
      </w:tblPr>
      <w:tblGrid>
        <w:gridCol w:w="3655"/>
        <w:gridCol w:w="1139"/>
        <w:gridCol w:w="1139"/>
        <w:gridCol w:w="1139"/>
        <w:gridCol w:w="1139"/>
        <w:gridCol w:w="1139"/>
      </w:tblGrid>
      <w:tr w:rsidR="00D330CB" w:rsidRPr="008B33E0" w14:paraId="46E52EA6" w14:textId="77777777" w:rsidTr="00A47BE2">
        <w:trPr>
          <w:trHeight w:val="500"/>
          <w:jc w:val="center"/>
        </w:trPr>
        <w:tc>
          <w:tcPr>
            <w:tcW w:w="3655"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14:paraId="3D3A066A" w14:textId="77777777" w:rsidR="00D330CB" w:rsidRPr="008B33E0" w:rsidRDefault="00D330CB" w:rsidP="00A47BE2">
            <w:pPr>
              <w:spacing w:after="0" w:line="240" w:lineRule="auto"/>
              <w:jc w:val="center"/>
              <w:rPr>
                <w:rFonts w:ascii="Cambria" w:eastAsia="Times New Roman" w:hAnsi="Cambria" w:cs="Helvetica"/>
                <w:sz w:val="20"/>
                <w:szCs w:val="20"/>
                <w:lang w:eastAsia="ko-KR"/>
              </w:rPr>
            </w:pPr>
            <w:r w:rsidRPr="008B33E0">
              <w:rPr>
                <w:rFonts w:ascii="Cambria" w:eastAsia="Times New Roman" w:hAnsi="Cambria" w:cs="Helvetica"/>
                <w:sz w:val="20"/>
                <w:szCs w:val="20"/>
                <w:lang w:eastAsia="ko-KR"/>
              </w:rPr>
              <w:t>Fiscal Year</w:t>
            </w:r>
          </w:p>
        </w:tc>
        <w:tc>
          <w:tcPr>
            <w:tcW w:w="1139" w:type="dxa"/>
            <w:tcBorders>
              <w:top w:val="single" w:sz="4" w:space="0" w:color="auto"/>
              <w:left w:val="nil"/>
              <w:bottom w:val="single" w:sz="4" w:space="0" w:color="auto"/>
              <w:right w:val="single" w:sz="4" w:space="0" w:color="auto"/>
            </w:tcBorders>
            <w:shd w:val="clear" w:color="000000" w:fill="B7DEE8"/>
            <w:noWrap/>
            <w:vAlign w:val="center"/>
            <w:hideMark/>
          </w:tcPr>
          <w:p w14:paraId="7614D451" w14:textId="77777777" w:rsidR="00D330CB" w:rsidRPr="008B33E0" w:rsidRDefault="00D330CB" w:rsidP="00A47BE2">
            <w:pPr>
              <w:spacing w:after="0" w:line="240" w:lineRule="auto"/>
              <w:jc w:val="center"/>
              <w:rPr>
                <w:rFonts w:ascii="Cambria" w:eastAsia="Times New Roman" w:hAnsi="Cambria" w:cs="Helvetica"/>
                <w:sz w:val="20"/>
                <w:szCs w:val="20"/>
                <w:lang w:eastAsia="ko-KR"/>
              </w:rPr>
            </w:pPr>
            <w:r w:rsidRPr="008B33E0">
              <w:rPr>
                <w:rFonts w:ascii="Cambria" w:eastAsia="Times New Roman" w:hAnsi="Cambria" w:cs="Helvetica"/>
                <w:sz w:val="20"/>
                <w:szCs w:val="20"/>
                <w:lang w:eastAsia="ko-KR"/>
              </w:rPr>
              <w:t>2018</w:t>
            </w:r>
          </w:p>
        </w:tc>
        <w:tc>
          <w:tcPr>
            <w:tcW w:w="1139" w:type="dxa"/>
            <w:tcBorders>
              <w:top w:val="single" w:sz="4" w:space="0" w:color="auto"/>
              <w:left w:val="nil"/>
              <w:bottom w:val="single" w:sz="4" w:space="0" w:color="auto"/>
              <w:right w:val="single" w:sz="4" w:space="0" w:color="auto"/>
            </w:tcBorders>
            <w:shd w:val="clear" w:color="000000" w:fill="B7DEE8"/>
            <w:noWrap/>
            <w:vAlign w:val="center"/>
            <w:hideMark/>
          </w:tcPr>
          <w:p w14:paraId="18221007" w14:textId="77777777" w:rsidR="00D330CB" w:rsidRPr="008B33E0" w:rsidRDefault="00D330CB" w:rsidP="00A47BE2">
            <w:pPr>
              <w:spacing w:after="0" w:line="240" w:lineRule="auto"/>
              <w:jc w:val="center"/>
              <w:rPr>
                <w:rFonts w:ascii="Cambria" w:eastAsia="Times New Roman" w:hAnsi="Cambria" w:cs="Helvetica"/>
                <w:sz w:val="20"/>
                <w:szCs w:val="20"/>
                <w:lang w:eastAsia="ko-KR"/>
              </w:rPr>
            </w:pPr>
            <w:r w:rsidRPr="008B33E0">
              <w:rPr>
                <w:rFonts w:ascii="Cambria" w:eastAsia="Times New Roman" w:hAnsi="Cambria" w:cs="Helvetica"/>
                <w:sz w:val="20"/>
                <w:szCs w:val="20"/>
                <w:lang w:eastAsia="ko-KR"/>
              </w:rPr>
              <w:t>2019</w:t>
            </w:r>
          </w:p>
        </w:tc>
        <w:tc>
          <w:tcPr>
            <w:tcW w:w="1139" w:type="dxa"/>
            <w:tcBorders>
              <w:top w:val="single" w:sz="4" w:space="0" w:color="auto"/>
              <w:left w:val="nil"/>
              <w:bottom w:val="single" w:sz="4" w:space="0" w:color="auto"/>
              <w:right w:val="single" w:sz="4" w:space="0" w:color="auto"/>
            </w:tcBorders>
            <w:shd w:val="clear" w:color="000000" w:fill="B7DEE8"/>
            <w:noWrap/>
            <w:vAlign w:val="center"/>
            <w:hideMark/>
          </w:tcPr>
          <w:p w14:paraId="6DCDA5E5" w14:textId="77777777" w:rsidR="00D330CB" w:rsidRPr="008B33E0" w:rsidRDefault="00D330CB" w:rsidP="00A47BE2">
            <w:pPr>
              <w:spacing w:after="0" w:line="240" w:lineRule="auto"/>
              <w:jc w:val="center"/>
              <w:rPr>
                <w:rFonts w:ascii="Cambria" w:eastAsia="Times New Roman" w:hAnsi="Cambria" w:cs="Helvetica"/>
                <w:sz w:val="20"/>
                <w:szCs w:val="20"/>
                <w:lang w:eastAsia="ko-KR"/>
              </w:rPr>
            </w:pPr>
            <w:r w:rsidRPr="008B33E0">
              <w:rPr>
                <w:rFonts w:ascii="Cambria" w:eastAsia="Times New Roman" w:hAnsi="Cambria" w:cs="Helvetica"/>
                <w:sz w:val="20"/>
                <w:szCs w:val="20"/>
                <w:lang w:eastAsia="ko-KR"/>
              </w:rPr>
              <w:t>2020</w:t>
            </w:r>
          </w:p>
        </w:tc>
        <w:tc>
          <w:tcPr>
            <w:tcW w:w="1139" w:type="dxa"/>
            <w:tcBorders>
              <w:top w:val="single" w:sz="4" w:space="0" w:color="auto"/>
              <w:left w:val="nil"/>
              <w:bottom w:val="single" w:sz="4" w:space="0" w:color="auto"/>
              <w:right w:val="single" w:sz="4" w:space="0" w:color="auto"/>
            </w:tcBorders>
            <w:shd w:val="clear" w:color="000000" w:fill="B7DEE8"/>
            <w:noWrap/>
            <w:vAlign w:val="center"/>
            <w:hideMark/>
          </w:tcPr>
          <w:p w14:paraId="05623BBB" w14:textId="77777777" w:rsidR="00D330CB" w:rsidRPr="008B33E0" w:rsidRDefault="00D330CB" w:rsidP="00A47BE2">
            <w:pPr>
              <w:spacing w:after="0" w:line="240" w:lineRule="auto"/>
              <w:jc w:val="center"/>
              <w:rPr>
                <w:rFonts w:ascii="Cambria" w:eastAsia="Times New Roman" w:hAnsi="Cambria" w:cs="Helvetica"/>
                <w:sz w:val="20"/>
                <w:szCs w:val="20"/>
                <w:lang w:eastAsia="ko-KR"/>
              </w:rPr>
            </w:pPr>
            <w:r w:rsidRPr="008B33E0">
              <w:rPr>
                <w:rFonts w:ascii="Cambria" w:eastAsia="Times New Roman" w:hAnsi="Cambria" w:cs="Helvetica"/>
                <w:sz w:val="20"/>
                <w:szCs w:val="20"/>
                <w:lang w:eastAsia="ko-KR"/>
              </w:rPr>
              <w:t>2021</w:t>
            </w:r>
          </w:p>
        </w:tc>
        <w:tc>
          <w:tcPr>
            <w:tcW w:w="1139" w:type="dxa"/>
            <w:tcBorders>
              <w:top w:val="single" w:sz="4" w:space="0" w:color="auto"/>
              <w:left w:val="nil"/>
              <w:bottom w:val="single" w:sz="4" w:space="0" w:color="auto"/>
              <w:right w:val="single" w:sz="4" w:space="0" w:color="auto"/>
            </w:tcBorders>
            <w:shd w:val="clear" w:color="000000" w:fill="B7DEE8"/>
            <w:noWrap/>
            <w:vAlign w:val="center"/>
            <w:hideMark/>
          </w:tcPr>
          <w:p w14:paraId="249A1A06" w14:textId="77777777" w:rsidR="00D330CB" w:rsidRPr="008B33E0" w:rsidRDefault="00D330CB" w:rsidP="00A47BE2">
            <w:pPr>
              <w:spacing w:after="0" w:line="240" w:lineRule="auto"/>
              <w:jc w:val="center"/>
              <w:rPr>
                <w:rFonts w:ascii="Cambria" w:eastAsia="Times New Roman" w:hAnsi="Cambria" w:cs="Helvetica"/>
                <w:sz w:val="20"/>
                <w:szCs w:val="20"/>
                <w:lang w:eastAsia="ko-KR"/>
              </w:rPr>
            </w:pPr>
            <w:r w:rsidRPr="008B33E0">
              <w:rPr>
                <w:rFonts w:ascii="Cambria" w:eastAsia="Times New Roman" w:hAnsi="Cambria" w:cs="Helvetica"/>
                <w:sz w:val="20"/>
                <w:szCs w:val="20"/>
                <w:lang w:eastAsia="ko-KR"/>
              </w:rPr>
              <w:t>2022</w:t>
            </w:r>
          </w:p>
        </w:tc>
      </w:tr>
      <w:tr w:rsidR="00895F1C" w:rsidRPr="008B33E0" w14:paraId="02EB6D48" w14:textId="77777777" w:rsidTr="00895F1C">
        <w:trPr>
          <w:trHeight w:val="500"/>
          <w:jc w:val="center"/>
        </w:trPr>
        <w:tc>
          <w:tcPr>
            <w:tcW w:w="3655" w:type="dxa"/>
            <w:tcBorders>
              <w:top w:val="nil"/>
              <w:left w:val="single" w:sz="4" w:space="0" w:color="auto"/>
              <w:bottom w:val="single" w:sz="4" w:space="0" w:color="auto"/>
              <w:right w:val="single" w:sz="4" w:space="0" w:color="auto"/>
            </w:tcBorders>
            <w:shd w:val="clear" w:color="auto" w:fill="auto"/>
            <w:noWrap/>
            <w:vAlign w:val="center"/>
            <w:hideMark/>
          </w:tcPr>
          <w:p w14:paraId="613B614E" w14:textId="77777777" w:rsidR="00895F1C" w:rsidRPr="008B33E0" w:rsidRDefault="00895F1C" w:rsidP="00895F1C">
            <w:pPr>
              <w:spacing w:after="0" w:line="240" w:lineRule="auto"/>
              <w:jc w:val="center"/>
              <w:rPr>
                <w:rFonts w:ascii="Cambria" w:eastAsia="Times New Roman" w:hAnsi="Cambria" w:cs="Helvetica"/>
                <w:sz w:val="20"/>
                <w:szCs w:val="20"/>
                <w:lang w:eastAsia="ko-KR"/>
              </w:rPr>
            </w:pPr>
            <w:r>
              <w:rPr>
                <w:rFonts w:ascii="Cambria" w:eastAsia="Times New Roman" w:hAnsi="Cambria" w:cs="Helvetica"/>
                <w:sz w:val="20"/>
                <w:szCs w:val="20"/>
                <w:lang w:eastAsia="ko-KR"/>
              </w:rPr>
              <w:t>Additional r</w:t>
            </w:r>
            <w:r w:rsidRPr="008B33E0">
              <w:rPr>
                <w:rFonts w:ascii="Cambria" w:eastAsia="Times New Roman" w:hAnsi="Cambria" w:cs="Helvetica"/>
                <w:sz w:val="20"/>
                <w:szCs w:val="20"/>
                <w:lang w:eastAsia="ko-KR"/>
              </w:rPr>
              <w:t xml:space="preserve">evenue </w:t>
            </w:r>
            <w:r>
              <w:rPr>
                <w:rFonts w:ascii="Cambria" w:eastAsia="Times New Roman" w:hAnsi="Cambria" w:cs="Helvetica"/>
                <w:sz w:val="20"/>
                <w:szCs w:val="20"/>
                <w:lang w:eastAsia="ko-KR"/>
              </w:rPr>
              <w:t xml:space="preserve">impact </w:t>
            </w:r>
            <w:r w:rsidRPr="008B33E0">
              <w:rPr>
                <w:rFonts w:ascii="Cambria" w:eastAsia="Times New Roman" w:hAnsi="Cambria" w:cs="Helvetica"/>
                <w:sz w:val="20"/>
                <w:szCs w:val="20"/>
                <w:lang w:eastAsia="ko-KR"/>
              </w:rPr>
              <w:t>($000)</w:t>
            </w:r>
          </w:p>
        </w:tc>
        <w:tc>
          <w:tcPr>
            <w:tcW w:w="11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10E6B8" w14:textId="77777777" w:rsidR="00895F1C" w:rsidRPr="001C52C6" w:rsidRDefault="00895F1C" w:rsidP="00895F1C">
            <w:pPr>
              <w:spacing w:after="0" w:line="240" w:lineRule="auto"/>
              <w:jc w:val="center"/>
              <w:rPr>
                <w:rFonts w:ascii="Cambria" w:hAnsi="Cambria" w:cs="Arial"/>
                <w:sz w:val="19"/>
                <w:szCs w:val="19"/>
              </w:rPr>
            </w:pPr>
            <w:r w:rsidRPr="00895F1C">
              <w:rPr>
                <w:rFonts w:ascii="Cambria" w:hAnsi="Cambria" w:cs="Arial"/>
                <w:sz w:val="19"/>
                <w:szCs w:val="19"/>
              </w:rPr>
              <w:t>-$26,295</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14:paraId="29700493" w14:textId="77777777" w:rsidR="00895F1C" w:rsidRPr="001C52C6" w:rsidRDefault="00895F1C" w:rsidP="00895F1C">
            <w:pPr>
              <w:spacing w:after="0" w:line="240" w:lineRule="auto"/>
              <w:jc w:val="center"/>
              <w:rPr>
                <w:rFonts w:ascii="Cambria" w:hAnsi="Cambria" w:cs="Arial"/>
                <w:sz w:val="19"/>
                <w:szCs w:val="19"/>
              </w:rPr>
            </w:pPr>
            <w:r w:rsidRPr="00895F1C">
              <w:rPr>
                <w:rFonts w:ascii="Cambria" w:hAnsi="Cambria" w:cs="Arial"/>
                <w:sz w:val="19"/>
                <w:szCs w:val="19"/>
              </w:rPr>
              <w:t>-$58,524</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14:paraId="496C4C2D" w14:textId="77777777" w:rsidR="00895F1C" w:rsidRPr="001C52C6" w:rsidRDefault="00895F1C" w:rsidP="00895F1C">
            <w:pPr>
              <w:spacing w:after="0" w:line="240" w:lineRule="auto"/>
              <w:jc w:val="center"/>
              <w:rPr>
                <w:rFonts w:ascii="Cambria" w:hAnsi="Cambria" w:cs="Arial"/>
                <w:sz w:val="19"/>
                <w:szCs w:val="19"/>
              </w:rPr>
            </w:pPr>
            <w:r w:rsidRPr="00895F1C">
              <w:rPr>
                <w:rFonts w:ascii="Cambria" w:hAnsi="Cambria" w:cs="Arial"/>
                <w:sz w:val="19"/>
                <w:szCs w:val="19"/>
              </w:rPr>
              <w:t>-$64,612</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14:paraId="5AB32CD8" w14:textId="77777777" w:rsidR="00895F1C" w:rsidRPr="001C52C6" w:rsidRDefault="00895F1C" w:rsidP="00895F1C">
            <w:pPr>
              <w:spacing w:after="0" w:line="240" w:lineRule="auto"/>
              <w:jc w:val="center"/>
              <w:rPr>
                <w:rFonts w:ascii="Cambria" w:hAnsi="Cambria" w:cs="Arial"/>
                <w:sz w:val="19"/>
                <w:szCs w:val="19"/>
              </w:rPr>
            </w:pPr>
            <w:r w:rsidRPr="00895F1C">
              <w:rPr>
                <w:rFonts w:ascii="Cambria" w:hAnsi="Cambria" w:cs="Arial"/>
                <w:sz w:val="19"/>
                <w:szCs w:val="19"/>
              </w:rPr>
              <w:t>-$67,071</w:t>
            </w:r>
          </w:p>
        </w:tc>
        <w:tc>
          <w:tcPr>
            <w:tcW w:w="1139" w:type="dxa"/>
            <w:tcBorders>
              <w:top w:val="single" w:sz="4" w:space="0" w:color="auto"/>
              <w:left w:val="nil"/>
              <w:bottom w:val="single" w:sz="4" w:space="0" w:color="auto"/>
              <w:right w:val="single" w:sz="4" w:space="0" w:color="auto"/>
            </w:tcBorders>
            <w:shd w:val="clear" w:color="auto" w:fill="auto"/>
            <w:noWrap/>
            <w:vAlign w:val="center"/>
            <w:hideMark/>
          </w:tcPr>
          <w:p w14:paraId="26CC33C9" w14:textId="77777777" w:rsidR="00895F1C" w:rsidRPr="001C52C6" w:rsidRDefault="00895F1C" w:rsidP="00895F1C">
            <w:pPr>
              <w:spacing w:after="0" w:line="240" w:lineRule="auto"/>
              <w:jc w:val="center"/>
              <w:rPr>
                <w:rFonts w:ascii="Cambria" w:hAnsi="Cambria" w:cs="Arial"/>
                <w:sz w:val="19"/>
                <w:szCs w:val="19"/>
              </w:rPr>
            </w:pPr>
            <w:r w:rsidRPr="00895F1C">
              <w:rPr>
                <w:rFonts w:ascii="Cambria" w:hAnsi="Cambria" w:cs="Arial"/>
                <w:sz w:val="19"/>
                <w:szCs w:val="19"/>
              </w:rPr>
              <w:t>-$67,913</w:t>
            </w:r>
          </w:p>
        </w:tc>
      </w:tr>
    </w:tbl>
    <w:p w14:paraId="1CCC0CAB" w14:textId="77777777" w:rsidR="00D330CB" w:rsidRDefault="00D330CB" w:rsidP="00D330CB">
      <w:pPr>
        <w:spacing w:after="0"/>
        <w:rPr>
          <w:rFonts w:asciiTheme="majorHAnsi" w:eastAsiaTheme="majorEastAsia" w:hAnsiTheme="majorHAnsi" w:cstheme="majorBidi"/>
          <w:bCs/>
          <w:color w:val="000000" w:themeColor="text1"/>
          <w:sz w:val="20"/>
          <w:szCs w:val="20"/>
        </w:rPr>
      </w:pPr>
      <w:r w:rsidRPr="00304366">
        <w:rPr>
          <w:rFonts w:asciiTheme="majorHAnsi" w:eastAsiaTheme="majorEastAsia" w:hAnsiTheme="majorHAnsi" w:cstheme="majorBidi"/>
          <w:bCs/>
          <w:color w:val="000000" w:themeColor="text1"/>
          <w:sz w:val="20"/>
          <w:szCs w:val="20"/>
        </w:rPr>
        <w:t>*</w:t>
      </w:r>
      <w:r w:rsidRPr="001E30CF">
        <w:rPr>
          <w:rFonts w:asciiTheme="majorHAnsi" w:eastAsiaTheme="majorEastAsia" w:hAnsiTheme="majorHAnsi" w:cstheme="majorBidi"/>
          <w:bCs/>
          <w:color w:val="000000" w:themeColor="text1"/>
          <w:sz w:val="20"/>
          <w:szCs w:val="20"/>
        </w:rPr>
        <w:t xml:space="preserve"> </w:t>
      </w:r>
      <w:r w:rsidRPr="00304366">
        <w:rPr>
          <w:rFonts w:asciiTheme="majorHAnsi" w:eastAsiaTheme="majorEastAsia" w:hAnsiTheme="majorHAnsi" w:cstheme="majorBidi"/>
          <w:bCs/>
          <w:color w:val="000000" w:themeColor="text1"/>
          <w:sz w:val="20"/>
          <w:szCs w:val="20"/>
        </w:rPr>
        <w:t>This table report</w:t>
      </w:r>
      <w:r>
        <w:rPr>
          <w:rFonts w:asciiTheme="majorHAnsi" w:eastAsiaTheme="majorEastAsia" w:hAnsiTheme="majorHAnsi" w:cstheme="majorBidi"/>
          <w:bCs/>
          <w:color w:val="000000" w:themeColor="text1"/>
          <w:sz w:val="20"/>
          <w:szCs w:val="20"/>
        </w:rPr>
        <w:t>s</w:t>
      </w:r>
      <w:r w:rsidRPr="00304366">
        <w:rPr>
          <w:rFonts w:asciiTheme="majorHAnsi" w:eastAsiaTheme="majorEastAsia" w:hAnsiTheme="majorHAnsi" w:cstheme="majorBidi"/>
          <w:bCs/>
          <w:color w:val="000000" w:themeColor="text1"/>
          <w:sz w:val="20"/>
          <w:szCs w:val="20"/>
        </w:rPr>
        <w:t xml:space="preserve"> the lost revenues from the foregone economic activities as the state </w:t>
      </w:r>
      <w:r>
        <w:rPr>
          <w:rFonts w:asciiTheme="majorHAnsi" w:eastAsiaTheme="majorEastAsia" w:hAnsiTheme="majorHAnsi" w:cstheme="majorBidi"/>
          <w:bCs/>
          <w:color w:val="000000" w:themeColor="text1"/>
          <w:sz w:val="20"/>
          <w:szCs w:val="20"/>
        </w:rPr>
        <w:t>reduced</w:t>
      </w:r>
      <w:r w:rsidRPr="00304366">
        <w:rPr>
          <w:rFonts w:asciiTheme="majorHAnsi" w:eastAsiaTheme="majorEastAsia" w:hAnsiTheme="majorHAnsi" w:cstheme="majorBidi"/>
          <w:bCs/>
          <w:color w:val="000000" w:themeColor="text1"/>
          <w:sz w:val="20"/>
          <w:szCs w:val="20"/>
        </w:rPr>
        <w:t xml:space="preserve"> government spending to finance </w:t>
      </w:r>
      <w:r w:rsidR="001323B1">
        <w:rPr>
          <w:rFonts w:asciiTheme="majorHAnsi" w:eastAsiaTheme="majorEastAsia" w:hAnsiTheme="majorHAnsi" w:cstheme="majorBidi"/>
          <w:bCs/>
          <w:color w:val="000000" w:themeColor="text1"/>
          <w:sz w:val="20"/>
          <w:szCs w:val="20"/>
        </w:rPr>
        <w:t xml:space="preserve">the </w:t>
      </w:r>
      <w:r w:rsidR="008B0F8A">
        <w:rPr>
          <w:rFonts w:asciiTheme="majorHAnsi" w:eastAsiaTheme="majorEastAsia" w:hAnsiTheme="majorHAnsi" w:cstheme="majorBidi"/>
          <w:bCs/>
          <w:color w:val="000000" w:themeColor="text1"/>
          <w:sz w:val="20"/>
          <w:szCs w:val="20"/>
        </w:rPr>
        <w:t xml:space="preserve">sales tax exemption for </w:t>
      </w:r>
      <w:r w:rsidR="00C622CD">
        <w:rPr>
          <w:rFonts w:asciiTheme="majorHAnsi" w:eastAsiaTheme="majorEastAsia" w:hAnsiTheme="majorHAnsi" w:cstheme="majorBidi"/>
          <w:bCs/>
          <w:color w:val="000000" w:themeColor="text1"/>
          <w:sz w:val="20"/>
          <w:szCs w:val="20"/>
        </w:rPr>
        <w:t>motor fuels</w:t>
      </w:r>
      <w:r w:rsidR="008B0F8A">
        <w:rPr>
          <w:rFonts w:asciiTheme="majorHAnsi" w:eastAsiaTheme="majorEastAsia" w:hAnsiTheme="majorHAnsi" w:cstheme="majorBidi"/>
          <w:bCs/>
          <w:color w:val="000000" w:themeColor="text1"/>
          <w:sz w:val="20"/>
          <w:szCs w:val="20"/>
        </w:rPr>
        <w:t>.</w:t>
      </w:r>
    </w:p>
    <w:p w14:paraId="5B0EC7BA" w14:textId="77777777" w:rsidR="008B0F8A" w:rsidRDefault="008B0F8A" w:rsidP="00D330CB">
      <w:pPr>
        <w:spacing w:after="0"/>
        <w:rPr>
          <w:rFonts w:asciiTheme="majorHAnsi" w:eastAsiaTheme="majorEastAsia" w:hAnsiTheme="majorHAnsi" w:cstheme="majorBidi"/>
          <w:bCs/>
          <w:color w:val="000000" w:themeColor="text1"/>
          <w:sz w:val="24"/>
          <w:szCs w:val="24"/>
        </w:rPr>
      </w:pPr>
    </w:p>
    <w:p w14:paraId="6110FF9D" w14:textId="77777777" w:rsidR="00D330CB" w:rsidRDefault="00D330CB" w:rsidP="00D330CB">
      <w:pPr>
        <w:spacing w:after="0"/>
        <w:jc w:val="center"/>
        <w:rPr>
          <w:rFonts w:asciiTheme="majorHAnsi" w:eastAsiaTheme="majorEastAsia" w:hAnsiTheme="majorHAnsi" w:cstheme="majorBidi"/>
          <w:b/>
          <w:color w:val="000000" w:themeColor="text1"/>
          <w:sz w:val="24"/>
          <w:szCs w:val="24"/>
        </w:rPr>
      </w:pPr>
      <w:r w:rsidRPr="00366FFC">
        <w:rPr>
          <w:rFonts w:asciiTheme="majorHAnsi" w:eastAsiaTheme="majorEastAsia" w:hAnsiTheme="majorHAnsi" w:cstheme="majorBidi"/>
          <w:b/>
          <w:color w:val="000000" w:themeColor="text1"/>
          <w:sz w:val="24"/>
          <w:szCs w:val="24"/>
        </w:rPr>
        <w:t xml:space="preserve">Table </w:t>
      </w:r>
      <w:r>
        <w:rPr>
          <w:rFonts w:asciiTheme="majorHAnsi" w:eastAsiaTheme="majorEastAsia" w:hAnsiTheme="majorHAnsi" w:cstheme="majorBidi"/>
          <w:b/>
          <w:color w:val="000000" w:themeColor="text1"/>
          <w:sz w:val="24"/>
          <w:szCs w:val="24"/>
        </w:rPr>
        <w:t>A</w:t>
      </w:r>
      <w:r w:rsidR="00CA16D7">
        <w:rPr>
          <w:rFonts w:asciiTheme="majorHAnsi" w:eastAsiaTheme="majorEastAsia" w:hAnsiTheme="majorHAnsi" w:cstheme="majorBidi"/>
          <w:b/>
          <w:color w:val="000000" w:themeColor="text1"/>
          <w:sz w:val="24"/>
          <w:szCs w:val="24"/>
        </w:rPr>
        <w:t>2</w:t>
      </w:r>
      <w:r w:rsidRPr="00366FFC">
        <w:rPr>
          <w:rFonts w:asciiTheme="majorHAnsi" w:eastAsiaTheme="majorEastAsia" w:hAnsiTheme="majorHAnsi" w:cstheme="majorBidi"/>
          <w:b/>
          <w:color w:val="000000" w:themeColor="text1"/>
          <w:sz w:val="24"/>
          <w:szCs w:val="24"/>
        </w:rPr>
        <w:t xml:space="preserve">. </w:t>
      </w:r>
      <w:r>
        <w:rPr>
          <w:rFonts w:asciiTheme="majorHAnsi" w:eastAsiaTheme="majorEastAsia" w:hAnsiTheme="majorHAnsi" w:cstheme="majorBidi"/>
          <w:b/>
          <w:color w:val="000000" w:themeColor="text1"/>
          <w:sz w:val="24"/>
          <w:szCs w:val="24"/>
        </w:rPr>
        <w:t>Economic Impacts due to Decreased Government Spending by Selected Economic Measure*</w:t>
      </w:r>
    </w:p>
    <w:tbl>
      <w:tblPr>
        <w:tblW w:w="9265" w:type="dxa"/>
        <w:jc w:val="center"/>
        <w:tblLook w:val="04A0" w:firstRow="1" w:lastRow="0" w:firstColumn="1" w:lastColumn="0" w:noHBand="0" w:noVBand="1"/>
      </w:tblPr>
      <w:tblGrid>
        <w:gridCol w:w="2735"/>
        <w:gridCol w:w="1323"/>
        <w:gridCol w:w="1323"/>
        <w:gridCol w:w="1323"/>
        <w:gridCol w:w="1323"/>
        <w:gridCol w:w="1238"/>
      </w:tblGrid>
      <w:tr w:rsidR="00D330CB" w:rsidRPr="00DC336F" w14:paraId="5246B5F1" w14:textId="77777777" w:rsidTr="00A47BE2">
        <w:trPr>
          <w:trHeight w:val="380"/>
          <w:jc w:val="center"/>
        </w:trPr>
        <w:tc>
          <w:tcPr>
            <w:tcW w:w="2735"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14:paraId="642B0A17" w14:textId="77777777" w:rsidR="00D330CB" w:rsidRPr="00DC336F" w:rsidRDefault="00D330CB" w:rsidP="00A47BE2">
            <w:pPr>
              <w:spacing w:after="0" w:line="240" w:lineRule="auto"/>
              <w:jc w:val="center"/>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Calendar Year</w:t>
            </w:r>
          </w:p>
        </w:tc>
        <w:tc>
          <w:tcPr>
            <w:tcW w:w="1323" w:type="dxa"/>
            <w:tcBorders>
              <w:top w:val="single" w:sz="4" w:space="0" w:color="auto"/>
              <w:left w:val="nil"/>
              <w:bottom w:val="single" w:sz="4" w:space="0" w:color="auto"/>
              <w:right w:val="single" w:sz="4" w:space="0" w:color="auto"/>
            </w:tcBorders>
            <w:shd w:val="clear" w:color="000000" w:fill="B7DEE8"/>
            <w:noWrap/>
            <w:vAlign w:val="center"/>
            <w:hideMark/>
          </w:tcPr>
          <w:p w14:paraId="622F0F50" w14:textId="77777777" w:rsidR="00D330CB" w:rsidRPr="00DC336F" w:rsidRDefault="00D330CB" w:rsidP="00A47BE2">
            <w:pPr>
              <w:spacing w:after="0" w:line="240" w:lineRule="auto"/>
              <w:jc w:val="center"/>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2018</w:t>
            </w:r>
          </w:p>
        </w:tc>
        <w:tc>
          <w:tcPr>
            <w:tcW w:w="1323" w:type="dxa"/>
            <w:tcBorders>
              <w:top w:val="single" w:sz="4" w:space="0" w:color="auto"/>
              <w:left w:val="nil"/>
              <w:bottom w:val="single" w:sz="4" w:space="0" w:color="auto"/>
              <w:right w:val="single" w:sz="4" w:space="0" w:color="auto"/>
            </w:tcBorders>
            <w:shd w:val="clear" w:color="000000" w:fill="B7DEE8"/>
            <w:noWrap/>
            <w:vAlign w:val="center"/>
            <w:hideMark/>
          </w:tcPr>
          <w:p w14:paraId="426B4CAD" w14:textId="77777777" w:rsidR="00D330CB" w:rsidRPr="00DC336F" w:rsidRDefault="00D330CB" w:rsidP="00A47BE2">
            <w:pPr>
              <w:spacing w:after="0" w:line="240" w:lineRule="auto"/>
              <w:jc w:val="center"/>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2019</w:t>
            </w:r>
          </w:p>
        </w:tc>
        <w:tc>
          <w:tcPr>
            <w:tcW w:w="1323" w:type="dxa"/>
            <w:tcBorders>
              <w:top w:val="single" w:sz="4" w:space="0" w:color="auto"/>
              <w:left w:val="nil"/>
              <w:bottom w:val="single" w:sz="4" w:space="0" w:color="auto"/>
              <w:right w:val="single" w:sz="4" w:space="0" w:color="auto"/>
            </w:tcBorders>
            <w:shd w:val="clear" w:color="000000" w:fill="B7DEE8"/>
            <w:noWrap/>
            <w:vAlign w:val="center"/>
            <w:hideMark/>
          </w:tcPr>
          <w:p w14:paraId="29694FCE" w14:textId="77777777" w:rsidR="00D330CB" w:rsidRPr="00DC336F" w:rsidRDefault="00D330CB" w:rsidP="00A47BE2">
            <w:pPr>
              <w:spacing w:after="0" w:line="240" w:lineRule="auto"/>
              <w:jc w:val="center"/>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2020</w:t>
            </w:r>
          </w:p>
        </w:tc>
        <w:tc>
          <w:tcPr>
            <w:tcW w:w="1323" w:type="dxa"/>
            <w:tcBorders>
              <w:top w:val="single" w:sz="4" w:space="0" w:color="auto"/>
              <w:left w:val="nil"/>
              <w:bottom w:val="single" w:sz="4" w:space="0" w:color="auto"/>
              <w:right w:val="single" w:sz="4" w:space="0" w:color="auto"/>
            </w:tcBorders>
            <w:shd w:val="clear" w:color="000000" w:fill="B7DEE8"/>
            <w:noWrap/>
            <w:vAlign w:val="center"/>
            <w:hideMark/>
          </w:tcPr>
          <w:p w14:paraId="48276C33" w14:textId="77777777" w:rsidR="00D330CB" w:rsidRPr="00DC336F" w:rsidRDefault="00D330CB" w:rsidP="00A47BE2">
            <w:pPr>
              <w:spacing w:after="0" w:line="240" w:lineRule="auto"/>
              <w:jc w:val="center"/>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2021</w:t>
            </w:r>
          </w:p>
        </w:tc>
        <w:tc>
          <w:tcPr>
            <w:tcW w:w="1238" w:type="dxa"/>
            <w:tcBorders>
              <w:top w:val="single" w:sz="4" w:space="0" w:color="auto"/>
              <w:left w:val="nil"/>
              <w:bottom w:val="single" w:sz="4" w:space="0" w:color="auto"/>
              <w:right w:val="single" w:sz="4" w:space="0" w:color="auto"/>
            </w:tcBorders>
            <w:shd w:val="clear" w:color="000000" w:fill="B7DEE8"/>
            <w:noWrap/>
            <w:vAlign w:val="center"/>
            <w:hideMark/>
          </w:tcPr>
          <w:p w14:paraId="2B6EBC9E" w14:textId="77777777" w:rsidR="00D330CB" w:rsidRPr="00DC336F" w:rsidRDefault="00D330CB" w:rsidP="00A47BE2">
            <w:pPr>
              <w:spacing w:after="0" w:line="240" w:lineRule="auto"/>
              <w:jc w:val="center"/>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2022</w:t>
            </w:r>
          </w:p>
        </w:tc>
      </w:tr>
      <w:tr w:rsidR="00895F1C" w:rsidRPr="00DC336F" w14:paraId="40BFE637" w14:textId="77777777" w:rsidTr="007B1A7A">
        <w:trPr>
          <w:trHeight w:val="540"/>
          <w:jc w:val="center"/>
        </w:trPr>
        <w:tc>
          <w:tcPr>
            <w:tcW w:w="2735" w:type="dxa"/>
            <w:tcBorders>
              <w:top w:val="nil"/>
              <w:left w:val="single" w:sz="4" w:space="0" w:color="auto"/>
              <w:bottom w:val="single" w:sz="4" w:space="0" w:color="auto"/>
              <w:right w:val="single" w:sz="4" w:space="0" w:color="auto"/>
            </w:tcBorders>
            <w:shd w:val="clear" w:color="auto" w:fill="auto"/>
            <w:vAlign w:val="center"/>
            <w:hideMark/>
          </w:tcPr>
          <w:p w14:paraId="7DBEAF65" w14:textId="77777777" w:rsidR="00895F1C" w:rsidRPr="00DC336F" w:rsidRDefault="00895F1C" w:rsidP="00895F1C">
            <w:pPr>
              <w:spacing w:after="0" w:line="240" w:lineRule="auto"/>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Impact on total employment</w:t>
            </w: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5BB586" w14:textId="77777777" w:rsidR="00895F1C" w:rsidRPr="001C52C6" w:rsidRDefault="00895F1C" w:rsidP="00895F1C">
            <w:pPr>
              <w:spacing w:after="0" w:line="240" w:lineRule="auto"/>
              <w:jc w:val="center"/>
              <w:rPr>
                <w:rFonts w:ascii="Cambria" w:hAnsi="Cambria" w:cs="Arial"/>
                <w:sz w:val="19"/>
                <w:szCs w:val="19"/>
              </w:rPr>
            </w:pPr>
            <w:r w:rsidRPr="00895F1C">
              <w:rPr>
                <w:rFonts w:ascii="Cambria" w:hAnsi="Cambria" w:cs="Arial"/>
                <w:sz w:val="19"/>
                <w:szCs w:val="19"/>
              </w:rPr>
              <w:t>-14,496</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14:paraId="344F84A9" w14:textId="77777777" w:rsidR="00895F1C" w:rsidRPr="001C52C6" w:rsidRDefault="00895F1C" w:rsidP="00895F1C">
            <w:pPr>
              <w:spacing w:after="0" w:line="240" w:lineRule="auto"/>
              <w:jc w:val="center"/>
              <w:rPr>
                <w:rFonts w:ascii="Cambria" w:hAnsi="Cambria" w:cs="Arial"/>
                <w:sz w:val="19"/>
                <w:szCs w:val="19"/>
              </w:rPr>
            </w:pPr>
            <w:r w:rsidRPr="00895F1C">
              <w:rPr>
                <w:rFonts w:ascii="Cambria" w:hAnsi="Cambria" w:cs="Arial"/>
                <w:sz w:val="19"/>
                <w:szCs w:val="19"/>
              </w:rPr>
              <w:t>-15,103</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14:paraId="69A11CF6" w14:textId="77777777" w:rsidR="00895F1C" w:rsidRPr="001C52C6" w:rsidRDefault="00895F1C" w:rsidP="00895F1C">
            <w:pPr>
              <w:spacing w:after="0" w:line="240" w:lineRule="auto"/>
              <w:jc w:val="center"/>
              <w:rPr>
                <w:rFonts w:ascii="Cambria" w:hAnsi="Cambria" w:cs="Arial"/>
                <w:sz w:val="19"/>
                <w:szCs w:val="19"/>
              </w:rPr>
            </w:pPr>
            <w:r w:rsidRPr="00895F1C">
              <w:rPr>
                <w:rFonts w:ascii="Cambria" w:hAnsi="Cambria" w:cs="Arial"/>
                <w:sz w:val="19"/>
                <w:szCs w:val="19"/>
              </w:rPr>
              <w:t>-14,543</w:t>
            </w:r>
          </w:p>
        </w:tc>
        <w:tc>
          <w:tcPr>
            <w:tcW w:w="1323" w:type="dxa"/>
            <w:tcBorders>
              <w:top w:val="single" w:sz="4" w:space="0" w:color="auto"/>
              <w:left w:val="nil"/>
              <w:bottom w:val="single" w:sz="4" w:space="0" w:color="auto"/>
              <w:right w:val="single" w:sz="4" w:space="0" w:color="auto"/>
            </w:tcBorders>
            <w:shd w:val="clear" w:color="auto" w:fill="auto"/>
            <w:noWrap/>
            <w:vAlign w:val="center"/>
            <w:hideMark/>
          </w:tcPr>
          <w:p w14:paraId="64E0F3D7" w14:textId="77777777" w:rsidR="00895F1C" w:rsidRPr="001C52C6" w:rsidRDefault="00895F1C" w:rsidP="00895F1C">
            <w:pPr>
              <w:spacing w:after="0" w:line="240" w:lineRule="auto"/>
              <w:jc w:val="center"/>
              <w:rPr>
                <w:rFonts w:ascii="Cambria" w:hAnsi="Cambria" w:cs="Arial"/>
                <w:sz w:val="19"/>
                <w:szCs w:val="19"/>
              </w:rPr>
            </w:pPr>
            <w:r w:rsidRPr="00895F1C">
              <w:rPr>
                <w:rFonts w:ascii="Cambria" w:hAnsi="Cambria" w:cs="Arial"/>
                <w:sz w:val="19"/>
                <w:szCs w:val="19"/>
              </w:rPr>
              <w:t>-13,787</w:t>
            </w: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F75D38" w14:textId="77777777" w:rsidR="00895F1C" w:rsidRPr="001C52C6" w:rsidRDefault="00895F1C" w:rsidP="00895F1C">
            <w:pPr>
              <w:spacing w:after="0" w:line="240" w:lineRule="auto"/>
              <w:jc w:val="center"/>
              <w:rPr>
                <w:rFonts w:ascii="Cambria" w:hAnsi="Cambria" w:cs="Arial"/>
                <w:sz w:val="19"/>
                <w:szCs w:val="19"/>
              </w:rPr>
            </w:pPr>
            <w:r w:rsidRPr="00895F1C">
              <w:rPr>
                <w:rFonts w:ascii="Cambria" w:hAnsi="Cambria" w:cs="Arial"/>
                <w:sz w:val="19"/>
                <w:szCs w:val="19"/>
              </w:rPr>
              <w:t>-12,929</w:t>
            </w:r>
          </w:p>
        </w:tc>
      </w:tr>
      <w:tr w:rsidR="007B1A7A" w:rsidRPr="00DC336F" w14:paraId="07770F1A" w14:textId="77777777" w:rsidTr="007B1A7A">
        <w:trPr>
          <w:trHeight w:val="500"/>
          <w:jc w:val="center"/>
        </w:trPr>
        <w:tc>
          <w:tcPr>
            <w:tcW w:w="2735" w:type="dxa"/>
            <w:tcBorders>
              <w:top w:val="nil"/>
              <w:left w:val="single" w:sz="4" w:space="0" w:color="auto"/>
              <w:bottom w:val="single" w:sz="4" w:space="0" w:color="auto"/>
              <w:right w:val="single" w:sz="4" w:space="0" w:color="auto"/>
            </w:tcBorders>
            <w:shd w:val="clear" w:color="auto" w:fill="auto"/>
            <w:vAlign w:val="center"/>
            <w:hideMark/>
          </w:tcPr>
          <w:p w14:paraId="1CEFA0A7" w14:textId="77777777" w:rsidR="007B1A7A" w:rsidRPr="00DC336F" w:rsidRDefault="007B1A7A" w:rsidP="007B1A7A">
            <w:pPr>
              <w:spacing w:after="0" w:line="240" w:lineRule="auto"/>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Impact on private non-farm employment</w:t>
            </w:r>
          </w:p>
        </w:tc>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2FF2E3E3" w14:textId="77777777" w:rsidR="007B1A7A" w:rsidRPr="001C52C6" w:rsidRDefault="007B1A7A" w:rsidP="007B1A7A">
            <w:pPr>
              <w:spacing w:after="0" w:line="240" w:lineRule="auto"/>
              <w:jc w:val="center"/>
              <w:rPr>
                <w:rFonts w:ascii="Cambria" w:hAnsi="Cambria" w:cs="Arial"/>
                <w:sz w:val="19"/>
                <w:szCs w:val="19"/>
              </w:rPr>
            </w:pPr>
            <w:r w:rsidRPr="007B1A7A">
              <w:rPr>
                <w:rFonts w:ascii="Cambria" w:hAnsi="Cambria" w:cs="Arial"/>
                <w:sz w:val="19"/>
                <w:szCs w:val="19"/>
              </w:rPr>
              <w:t>-7,990</w:t>
            </w:r>
          </w:p>
        </w:tc>
        <w:tc>
          <w:tcPr>
            <w:tcW w:w="1323" w:type="dxa"/>
            <w:tcBorders>
              <w:top w:val="nil"/>
              <w:left w:val="nil"/>
              <w:bottom w:val="single" w:sz="4" w:space="0" w:color="auto"/>
              <w:right w:val="single" w:sz="4" w:space="0" w:color="auto"/>
            </w:tcBorders>
            <w:shd w:val="clear" w:color="auto" w:fill="auto"/>
            <w:noWrap/>
            <w:vAlign w:val="center"/>
            <w:hideMark/>
          </w:tcPr>
          <w:p w14:paraId="141D3E4E" w14:textId="77777777" w:rsidR="007B1A7A" w:rsidRPr="001C52C6" w:rsidRDefault="007B1A7A" w:rsidP="007B1A7A">
            <w:pPr>
              <w:spacing w:after="0" w:line="240" w:lineRule="auto"/>
              <w:jc w:val="center"/>
              <w:rPr>
                <w:rFonts w:ascii="Cambria" w:hAnsi="Cambria" w:cs="Arial"/>
                <w:sz w:val="19"/>
                <w:szCs w:val="19"/>
              </w:rPr>
            </w:pPr>
            <w:r w:rsidRPr="007B1A7A">
              <w:rPr>
                <w:rFonts w:ascii="Cambria" w:hAnsi="Cambria" w:cs="Arial"/>
                <w:sz w:val="19"/>
                <w:szCs w:val="19"/>
              </w:rPr>
              <w:t>-8,323</w:t>
            </w:r>
          </w:p>
        </w:tc>
        <w:tc>
          <w:tcPr>
            <w:tcW w:w="1323" w:type="dxa"/>
            <w:tcBorders>
              <w:top w:val="nil"/>
              <w:left w:val="nil"/>
              <w:bottom w:val="single" w:sz="4" w:space="0" w:color="auto"/>
              <w:right w:val="single" w:sz="4" w:space="0" w:color="auto"/>
            </w:tcBorders>
            <w:shd w:val="clear" w:color="auto" w:fill="auto"/>
            <w:noWrap/>
            <w:vAlign w:val="center"/>
            <w:hideMark/>
          </w:tcPr>
          <w:p w14:paraId="40EBEAB6" w14:textId="77777777" w:rsidR="007B1A7A" w:rsidRPr="001C52C6" w:rsidRDefault="007B1A7A" w:rsidP="007B1A7A">
            <w:pPr>
              <w:spacing w:after="0" w:line="240" w:lineRule="auto"/>
              <w:jc w:val="center"/>
              <w:rPr>
                <w:rFonts w:ascii="Cambria" w:hAnsi="Cambria" w:cs="Arial"/>
                <w:sz w:val="19"/>
                <w:szCs w:val="19"/>
              </w:rPr>
            </w:pPr>
            <w:r w:rsidRPr="007B1A7A">
              <w:rPr>
                <w:rFonts w:ascii="Cambria" w:hAnsi="Cambria" w:cs="Arial"/>
                <w:sz w:val="19"/>
                <w:szCs w:val="19"/>
              </w:rPr>
              <w:t>-8,054</w:t>
            </w:r>
          </w:p>
        </w:tc>
        <w:tc>
          <w:tcPr>
            <w:tcW w:w="1323" w:type="dxa"/>
            <w:tcBorders>
              <w:top w:val="nil"/>
              <w:left w:val="nil"/>
              <w:bottom w:val="single" w:sz="4" w:space="0" w:color="auto"/>
              <w:right w:val="single" w:sz="4" w:space="0" w:color="auto"/>
            </w:tcBorders>
            <w:shd w:val="clear" w:color="auto" w:fill="auto"/>
            <w:noWrap/>
            <w:vAlign w:val="center"/>
            <w:hideMark/>
          </w:tcPr>
          <w:p w14:paraId="359820AF" w14:textId="77777777" w:rsidR="007B1A7A" w:rsidRPr="001C52C6" w:rsidRDefault="007B1A7A" w:rsidP="007B1A7A">
            <w:pPr>
              <w:spacing w:after="0" w:line="240" w:lineRule="auto"/>
              <w:jc w:val="center"/>
              <w:rPr>
                <w:rFonts w:ascii="Cambria" w:hAnsi="Cambria" w:cs="Arial"/>
                <w:sz w:val="19"/>
                <w:szCs w:val="19"/>
              </w:rPr>
            </w:pPr>
            <w:r w:rsidRPr="007B1A7A">
              <w:rPr>
                <w:rFonts w:ascii="Cambria" w:hAnsi="Cambria" w:cs="Arial"/>
                <w:sz w:val="19"/>
                <w:szCs w:val="19"/>
              </w:rPr>
              <w:t>-7,510</w:t>
            </w:r>
          </w:p>
        </w:tc>
        <w:tc>
          <w:tcPr>
            <w:tcW w:w="1238" w:type="dxa"/>
            <w:tcBorders>
              <w:top w:val="nil"/>
              <w:left w:val="single" w:sz="4" w:space="0" w:color="auto"/>
              <w:bottom w:val="single" w:sz="4" w:space="0" w:color="auto"/>
              <w:right w:val="single" w:sz="4" w:space="0" w:color="auto"/>
            </w:tcBorders>
            <w:shd w:val="clear" w:color="auto" w:fill="auto"/>
            <w:noWrap/>
            <w:vAlign w:val="center"/>
            <w:hideMark/>
          </w:tcPr>
          <w:p w14:paraId="282AA7E0" w14:textId="77777777" w:rsidR="007B1A7A" w:rsidRPr="001C52C6" w:rsidRDefault="007B1A7A" w:rsidP="007B1A7A">
            <w:pPr>
              <w:spacing w:after="0" w:line="240" w:lineRule="auto"/>
              <w:jc w:val="center"/>
              <w:rPr>
                <w:rFonts w:ascii="Cambria" w:hAnsi="Cambria" w:cs="Arial"/>
                <w:sz w:val="19"/>
                <w:szCs w:val="19"/>
              </w:rPr>
            </w:pPr>
            <w:r w:rsidRPr="007B1A7A">
              <w:rPr>
                <w:rFonts w:ascii="Cambria" w:hAnsi="Cambria" w:cs="Arial"/>
                <w:sz w:val="19"/>
                <w:szCs w:val="19"/>
              </w:rPr>
              <w:t>-6,852</w:t>
            </w:r>
          </w:p>
        </w:tc>
      </w:tr>
      <w:tr w:rsidR="007B1A7A" w:rsidRPr="00DC336F" w14:paraId="53807BF6" w14:textId="77777777" w:rsidTr="007B1A7A">
        <w:trPr>
          <w:trHeight w:val="500"/>
          <w:jc w:val="center"/>
        </w:trPr>
        <w:tc>
          <w:tcPr>
            <w:tcW w:w="2735" w:type="dxa"/>
            <w:tcBorders>
              <w:top w:val="nil"/>
              <w:left w:val="single" w:sz="4" w:space="0" w:color="auto"/>
              <w:bottom w:val="single" w:sz="4" w:space="0" w:color="auto"/>
              <w:right w:val="single" w:sz="4" w:space="0" w:color="auto"/>
            </w:tcBorders>
            <w:shd w:val="clear" w:color="auto" w:fill="auto"/>
            <w:vAlign w:val="center"/>
            <w:hideMark/>
          </w:tcPr>
          <w:p w14:paraId="7D8AF9EF" w14:textId="77777777" w:rsidR="007B1A7A" w:rsidRPr="00DC336F" w:rsidRDefault="007B1A7A" w:rsidP="007B1A7A">
            <w:pPr>
              <w:spacing w:after="0" w:line="240" w:lineRule="auto"/>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Impact on GDP ($000), real dollars (2012)</w:t>
            </w:r>
          </w:p>
        </w:tc>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57A34D71" w14:textId="77777777" w:rsidR="007B1A7A" w:rsidRPr="001C52C6" w:rsidRDefault="007B1A7A" w:rsidP="007B1A7A">
            <w:pPr>
              <w:spacing w:after="0" w:line="240" w:lineRule="auto"/>
              <w:jc w:val="center"/>
              <w:rPr>
                <w:rFonts w:ascii="Cambria" w:hAnsi="Cambria" w:cs="Arial"/>
                <w:sz w:val="19"/>
                <w:szCs w:val="19"/>
              </w:rPr>
            </w:pPr>
            <w:r w:rsidRPr="007B1A7A">
              <w:rPr>
                <w:rFonts w:ascii="Cambria" w:hAnsi="Cambria" w:cs="Arial"/>
                <w:sz w:val="19"/>
                <w:szCs w:val="19"/>
              </w:rPr>
              <w:t>-$1,253,000</w:t>
            </w:r>
          </w:p>
        </w:tc>
        <w:tc>
          <w:tcPr>
            <w:tcW w:w="1323" w:type="dxa"/>
            <w:tcBorders>
              <w:top w:val="nil"/>
              <w:left w:val="nil"/>
              <w:bottom w:val="single" w:sz="4" w:space="0" w:color="auto"/>
              <w:right w:val="single" w:sz="4" w:space="0" w:color="auto"/>
            </w:tcBorders>
            <w:shd w:val="clear" w:color="auto" w:fill="auto"/>
            <w:noWrap/>
            <w:vAlign w:val="center"/>
            <w:hideMark/>
          </w:tcPr>
          <w:p w14:paraId="2EDEDF90" w14:textId="77777777" w:rsidR="007B1A7A" w:rsidRPr="001C52C6" w:rsidRDefault="007B1A7A" w:rsidP="007B1A7A">
            <w:pPr>
              <w:spacing w:after="0" w:line="240" w:lineRule="auto"/>
              <w:jc w:val="center"/>
              <w:rPr>
                <w:rFonts w:ascii="Cambria" w:hAnsi="Cambria" w:cs="Arial"/>
                <w:sz w:val="19"/>
                <w:szCs w:val="19"/>
              </w:rPr>
            </w:pPr>
            <w:r w:rsidRPr="007B1A7A">
              <w:rPr>
                <w:rFonts w:ascii="Cambria" w:hAnsi="Cambria" w:cs="Arial"/>
                <w:sz w:val="19"/>
                <w:szCs w:val="19"/>
              </w:rPr>
              <w:t>-$1,316,000</w:t>
            </w:r>
          </w:p>
        </w:tc>
        <w:tc>
          <w:tcPr>
            <w:tcW w:w="1323" w:type="dxa"/>
            <w:tcBorders>
              <w:top w:val="nil"/>
              <w:left w:val="nil"/>
              <w:bottom w:val="single" w:sz="4" w:space="0" w:color="auto"/>
              <w:right w:val="single" w:sz="4" w:space="0" w:color="auto"/>
            </w:tcBorders>
            <w:shd w:val="clear" w:color="auto" w:fill="auto"/>
            <w:noWrap/>
            <w:vAlign w:val="center"/>
            <w:hideMark/>
          </w:tcPr>
          <w:p w14:paraId="3733664A" w14:textId="77777777" w:rsidR="007B1A7A" w:rsidRPr="001C52C6" w:rsidRDefault="007B1A7A" w:rsidP="007B1A7A">
            <w:pPr>
              <w:spacing w:after="0" w:line="240" w:lineRule="auto"/>
              <w:jc w:val="center"/>
              <w:rPr>
                <w:rFonts w:ascii="Cambria" w:hAnsi="Cambria" w:cs="Arial"/>
                <w:sz w:val="19"/>
                <w:szCs w:val="19"/>
              </w:rPr>
            </w:pPr>
            <w:r w:rsidRPr="007B1A7A">
              <w:rPr>
                <w:rFonts w:ascii="Cambria" w:hAnsi="Cambria" w:cs="Arial"/>
                <w:sz w:val="19"/>
                <w:szCs w:val="19"/>
              </w:rPr>
              <w:t>-$1,280,000</w:t>
            </w:r>
          </w:p>
        </w:tc>
        <w:tc>
          <w:tcPr>
            <w:tcW w:w="1323" w:type="dxa"/>
            <w:tcBorders>
              <w:top w:val="nil"/>
              <w:left w:val="nil"/>
              <w:bottom w:val="single" w:sz="4" w:space="0" w:color="auto"/>
              <w:right w:val="single" w:sz="4" w:space="0" w:color="auto"/>
            </w:tcBorders>
            <w:shd w:val="clear" w:color="auto" w:fill="auto"/>
            <w:noWrap/>
            <w:vAlign w:val="center"/>
            <w:hideMark/>
          </w:tcPr>
          <w:p w14:paraId="49E7E997" w14:textId="77777777" w:rsidR="007B1A7A" w:rsidRPr="001C52C6" w:rsidRDefault="007B1A7A" w:rsidP="007B1A7A">
            <w:pPr>
              <w:spacing w:after="0" w:line="240" w:lineRule="auto"/>
              <w:jc w:val="center"/>
              <w:rPr>
                <w:rFonts w:ascii="Cambria" w:hAnsi="Cambria" w:cs="Arial"/>
                <w:sz w:val="19"/>
                <w:szCs w:val="19"/>
              </w:rPr>
            </w:pPr>
            <w:r w:rsidRPr="007B1A7A">
              <w:rPr>
                <w:rFonts w:ascii="Cambria" w:hAnsi="Cambria" w:cs="Arial"/>
                <w:sz w:val="19"/>
                <w:szCs w:val="19"/>
              </w:rPr>
              <w:t>-$1,230,000</w:t>
            </w:r>
          </w:p>
        </w:tc>
        <w:tc>
          <w:tcPr>
            <w:tcW w:w="1238" w:type="dxa"/>
            <w:tcBorders>
              <w:top w:val="nil"/>
              <w:left w:val="single" w:sz="4" w:space="0" w:color="auto"/>
              <w:bottom w:val="single" w:sz="4" w:space="0" w:color="auto"/>
              <w:right w:val="single" w:sz="4" w:space="0" w:color="auto"/>
            </w:tcBorders>
            <w:shd w:val="clear" w:color="auto" w:fill="auto"/>
            <w:noWrap/>
            <w:vAlign w:val="center"/>
            <w:hideMark/>
          </w:tcPr>
          <w:p w14:paraId="60F93559" w14:textId="77777777" w:rsidR="007B1A7A" w:rsidRPr="001C52C6" w:rsidRDefault="007B1A7A" w:rsidP="007B1A7A">
            <w:pPr>
              <w:spacing w:after="0" w:line="240" w:lineRule="auto"/>
              <w:jc w:val="center"/>
              <w:rPr>
                <w:rFonts w:ascii="Cambria" w:hAnsi="Cambria" w:cs="Arial"/>
                <w:sz w:val="19"/>
                <w:szCs w:val="19"/>
              </w:rPr>
            </w:pPr>
            <w:r w:rsidRPr="007B1A7A">
              <w:rPr>
                <w:rFonts w:ascii="Cambria" w:hAnsi="Cambria" w:cs="Arial"/>
                <w:sz w:val="19"/>
                <w:szCs w:val="19"/>
              </w:rPr>
              <w:t>-$1,169,000</w:t>
            </w:r>
          </w:p>
        </w:tc>
      </w:tr>
      <w:tr w:rsidR="007B1A7A" w:rsidRPr="00DC336F" w14:paraId="58C40F7F" w14:textId="77777777" w:rsidTr="007B1A7A">
        <w:trPr>
          <w:trHeight w:val="500"/>
          <w:jc w:val="center"/>
        </w:trPr>
        <w:tc>
          <w:tcPr>
            <w:tcW w:w="2735" w:type="dxa"/>
            <w:tcBorders>
              <w:top w:val="nil"/>
              <w:left w:val="single" w:sz="4" w:space="0" w:color="auto"/>
              <w:bottom w:val="single" w:sz="4" w:space="0" w:color="auto"/>
              <w:right w:val="single" w:sz="4" w:space="0" w:color="auto"/>
            </w:tcBorders>
            <w:shd w:val="clear" w:color="auto" w:fill="auto"/>
            <w:vAlign w:val="center"/>
            <w:hideMark/>
          </w:tcPr>
          <w:p w14:paraId="0320640A" w14:textId="77777777" w:rsidR="007B1A7A" w:rsidRPr="00DC336F" w:rsidRDefault="007B1A7A" w:rsidP="007B1A7A">
            <w:pPr>
              <w:spacing w:after="0" w:line="240" w:lineRule="auto"/>
              <w:rPr>
                <w:rFonts w:ascii="Cambria" w:eastAsia="Times New Roman" w:hAnsi="Cambria" w:cs="Helvetica"/>
                <w:sz w:val="20"/>
                <w:szCs w:val="20"/>
                <w:lang w:eastAsia="ko-KR"/>
              </w:rPr>
            </w:pPr>
            <w:r w:rsidRPr="00DC336F">
              <w:rPr>
                <w:rFonts w:ascii="Cambria" w:eastAsia="Times New Roman" w:hAnsi="Cambria" w:cs="Helvetica"/>
                <w:sz w:val="20"/>
                <w:szCs w:val="20"/>
                <w:lang w:eastAsia="ko-KR"/>
              </w:rPr>
              <w:t>Impact on personal income ($000)</w:t>
            </w:r>
          </w:p>
        </w:tc>
        <w:tc>
          <w:tcPr>
            <w:tcW w:w="1323" w:type="dxa"/>
            <w:tcBorders>
              <w:top w:val="nil"/>
              <w:left w:val="single" w:sz="4" w:space="0" w:color="auto"/>
              <w:bottom w:val="single" w:sz="4" w:space="0" w:color="auto"/>
              <w:right w:val="single" w:sz="4" w:space="0" w:color="auto"/>
            </w:tcBorders>
            <w:shd w:val="clear" w:color="auto" w:fill="auto"/>
            <w:noWrap/>
            <w:vAlign w:val="center"/>
            <w:hideMark/>
          </w:tcPr>
          <w:p w14:paraId="0CAA74AE" w14:textId="77777777" w:rsidR="007B1A7A" w:rsidRPr="001C52C6" w:rsidRDefault="007B1A7A" w:rsidP="007B1A7A">
            <w:pPr>
              <w:spacing w:after="0" w:line="240" w:lineRule="auto"/>
              <w:jc w:val="center"/>
              <w:rPr>
                <w:rFonts w:ascii="Cambria" w:hAnsi="Cambria" w:cs="Arial"/>
                <w:sz w:val="19"/>
                <w:szCs w:val="19"/>
              </w:rPr>
            </w:pPr>
            <w:r w:rsidRPr="007B1A7A">
              <w:rPr>
                <w:rFonts w:ascii="Cambria" w:hAnsi="Cambria" w:cs="Arial"/>
                <w:sz w:val="19"/>
                <w:szCs w:val="19"/>
              </w:rPr>
              <w:t>-$1,044,000</w:t>
            </w:r>
          </w:p>
        </w:tc>
        <w:tc>
          <w:tcPr>
            <w:tcW w:w="1323" w:type="dxa"/>
            <w:tcBorders>
              <w:top w:val="nil"/>
              <w:left w:val="nil"/>
              <w:bottom w:val="single" w:sz="4" w:space="0" w:color="auto"/>
              <w:right w:val="single" w:sz="4" w:space="0" w:color="auto"/>
            </w:tcBorders>
            <w:shd w:val="clear" w:color="auto" w:fill="auto"/>
            <w:noWrap/>
            <w:vAlign w:val="center"/>
            <w:hideMark/>
          </w:tcPr>
          <w:p w14:paraId="024AEEAA" w14:textId="77777777" w:rsidR="007B1A7A" w:rsidRPr="001C52C6" w:rsidRDefault="007B1A7A" w:rsidP="007B1A7A">
            <w:pPr>
              <w:spacing w:after="0" w:line="240" w:lineRule="auto"/>
              <w:jc w:val="center"/>
              <w:rPr>
                <w:rFonts w:ascii="Cambria" w:hAnsi="Cambria" w:cs="Arial"/>
                <w:sz w:val="19"/>
                <w:szCs w:val="19"/>
              </w:rPr>
            </w:pPr>
            <w:r w:rsidRPr="007B1A7A">
              <w:rPr>
                <w:rFonts w:ascii="Cambria" w:hAnsi="Cambria" w:cs="Arial"/>
                <w:sz w:val="19"/>
                <w:szCs w:val="19"/>
              </w:rPr>
              <w:t>-$1,206,000</w:t>
            </w:r>
          </w:p>
        </w:tc>
        <w:tc>
          <w:tcPr>
            <w:tcW w:w="1323" w:type="dxa"/>
            <w:tcBorders>
              <w:top w:val="nil"/>
              <w:left w:val="nil"/>
              <w:bottom w:val="single" w:sz="4" w:space="0" w:color="auto"/>
              <w:right w:val="single" w:sz="4" w:space="0" w:color="auto"/>
            </w:tcBorders>
            <w:shd w:val="clear" w:color="auto" w:fill="auto"/>
            <w:noWrap/>
            <w:vAlign w:val="center"/>
            <w:hideMark/>
          </w:tcPr>
          <w:p w14:paraId="0FB2A3C1" w14:textId="77777777" w:rsidR="007B1A7A" w:rsidRPr="001C52C6" w:rsidRDefault="007B1A7A" w:rsidP="007B1A7A">
            <w:pPr>
              <w:spacing w:after="0" w:line="240" w:lineRule="auto"/>
              <w:jc w:val="center"/>
              <w:rPr>
                <w:rFonts w:ascii="Cambria" w:hAnsi="Cambria" w:cs="Arial"/>
                <w:sz w:val="19"/>
                <w:szCs w:val="19"/>
              </w:rPr>
            </w:pPr>
            <w:r w:rsidRPr="007B1A7A">
              <w:rPr>
                <w:rFonts w:ascii="Cambria" w:hAnsi="Cambria" w:cs="Arial"/>
                <w:sz w:val="19"/>
                <w:szCs w:val="19"/>
              </w:rPr>
              <w:t>-$1,272,000</w:t>
            </w:r>
          </w:p>
        </w:tc>
        <w:tc>
          <w:tcPr>
            <w:tcW w:w="1323" w:type="dxa"/>
            <w:tcBorders>
              <w:top w:val="nil"/>
              <w:left w:val="nil"/>
              <w:bottom w:val="single" w:sz="4" w:space="0" w:color="auto"/>
              <w:right w:val="single" w:sz="4" w:space="0" w:color="auto"/>
            </w:tcBorders>
            <w:shd w:val="clear" w:color="auto" w:fill="auto"/>
            <w:noWrap/>
            <w:vAlign w:val="center"/>
            <w:hideMark/>
          </w:tcPr>
          <w:p w14:paraId="5340C995" w14:textId="77777777" w:rsidR="007B1A7A" w:rsidRPr="001C52C6" w:rsidRDefault="007B1A7A" w:rsidP="007B1A7A">
            <w:pPr>
              <w:spacing w:after="0" w:line="240" w:lineRule="auto"/>
              <w:jc w:val="center"/>
              <w:rPr>
                <w:rFonts w:ascii="Cambria" w:hAnsi="Cambria" w:cs="Arial"/>
                <w:sz w:val="19"/>
                <w:szCs w:val="19"/>
              </w:rPr>
            </w:pPr>
            <w:r w:rsidRPr="007B1A7A">
              <w:rPr>
                <w:rFonts w:ascii="Cambria" w:hAnsi="Cambria" w:cs="Arial"/>
                <w:sz w:val="19"/>
                <w:szCs w:val="19"/>
              </w:rPr>
              <w:t>-$1,304,000</w:t>
            </w:r>
          </w:p>
        </w:tc>
        <w:tc>
          <w:tcPr>
            <w:tcW w:w="1238" w:type="dxa"/>
            <w:tcBorders>
              <w:top w:val="nil"/>
              <w:left w:val="single" w:sz="4" w:space="0" w:color="auto"/>
              <w:bottom w:val="single" w:sz="4" w:space="0" w:color="auto"/>
              <w:right w:val="single" w:sz="4" w:space="0" w:color="auto"/>
            </w:tcBorders>
            <w:shd w:val="clear" w:color="auto" w:fill="auto"/>
            <w:noWrap/>
            <w:vAlign w:val="center"/>
            <w:hideMark/>
          </w:tcPr>
          <w:p w14:paraId="778231F9" w14:textId="77777777" w:rsidR="007B1A7A" w:rsidRPr="001C52C6" w:rsidRDefault="007B1A7A" w:rsidP="007B1A7A">
            <w:pPr>
              <w:spacing w:after="0" w:line="240" w:lineRule="auto"/>
              <w:jc w:val="center"/>
              <w:rPr>
                <w:rFonts w:ascii="Cambria" w:hAnsi="Cambria" w:cs="Arial"/>
                <w:sz w:val="19"/>
                <w:szCs w:val="19"/>
              </w:rPr>
            </w:pPr>
            <w:r w:rsidRPr="007B1A7A">
              <w:rPr>
                <w:rFonts w:ascii="Cambria" w:hAnsi="Cambria" w:cs="Arial"/>
                <w:sz w:val="19"/>
                <w:szCs w:val="19"/>
              </w:rPr>
              <w:t>-$1,310,000</w:t>
            </w:r>
          </w:p>
        </w:tc>
      </w:tr>
    </w:tbl>
    <w:p w14:paraId="749366A8" w14:textId="77777777" w:rsidR="008B0F8A" w:rsidRDefault="00D330CB" w:rsidP="008B0F8A">
      <w:pPr>
        <w:spacing w:after="0"/>
        <w:rPr>
          <w:rFonts w:asciiTheme="majorHAnsi" w:eastAsiaTheme="majorEastAsia" w:hAnsiTheme="majorHAnsi" w:cstheme="majorBidi"/>
          <w:bCs/>
          <w:color w:val="000000" w:themeColor="text1"/>
          <w:sz w:val="20"/>
          <w:szCs w:val="20"/>
        </w:rPr>
      </w:pPr>
      <w:r w:rsidRPr="008A3AB7">
        <w:rPr>
          <w:rFonts w:asciiTheme="majorHAnsi" w:eastAsiaTheme="majorEastAsia" w:hAnsiTheme="majorHAnsi" w:cstheme="majorBidi"/>
          <w:bCs/>
          <w:color w:val="000000" w:themeColor="text1"/>
          <w:sz w:val="20"/>
          <w:szCs w:val="20"/>
        </w:rPr>
        <w:t>*This table report</w:t>
      </w:r>
      <w:r>
        <w:rPr>
          <w:rFonts w:asciiTheme="majorHAnsi" w:eastAsiaTheme="majorEastAsia" w:hAnsiTheme="majorHAnsi" w:cstheme="majorBidi"/>
          <w:bCs/>
          <w:color w:val="000000" w:themeColor="text1"/>
          <w:sz w:val="20"/>
          <w:szCs w:val="20"/>
        </w:rPr>
        <w:t>s</w:t>
      </w:r>
      <w:r w:rsidRPr="008A3AB7">
        <w:rPr>
          <w:rFonts w:asciiTheme="majorHAnsi" w:eastAsiaTheme="majorEastAsia" w:hAnsiTheme="majorHAnsi" w:cstheme="majorBidi"/>
          <w:bCs/>
          <w:color w:val="000000" w:themeColor="text1"/>
          <w:sz w:val="20"/>
          <w:szCs w:val="20"/>
        </w:rPr>
        <w:t xml:space="preserve"> the </w:t>
      </w:r>
      <w:r>
        <w:rPr>
          <w:rFonts w:asciiTheme="majorHAnsi" w:eastAsiaTheme="majorEastAsia" w:hAnsiTheme="majorHAnsi" w:cstheme="majorBidi"/>
          <w:bCs/>
          <w:color w:val="000000" w:themeColor="text1"/>
          <w:sz w:val="20"/>
          <w:szCs w:val="20"/>
        </w:rPr>
        <w:t>lost</w:t>
      </w:r>
      <w:r w:rsidRPr="008A3AB7">
        <w:rPr>
          <w:rFonts w:asciiTheme="majorHAnsi" w:eastAsiaTheme="majorEastAsia" w:hAnsiTheme="majorHAnsi" w:cstheme="majorBidi"/>
          <w:bCs/>
          <w:color w:val="000000" w:themeColor="text1"/>
          <w:sz w:val="20"/>
          <w:szCs w:val="20"/>
        </w:rPr>
        <w:t xml:space="preserve"> economic activities as the state </w:t>
      </w:r>
      <w:r>
        <w:rPr>
          <w:rFonts w:asciiTheme="majorHAnsi" w:eastAsiaTheme="majorEastAsia" w:hAnsiTheme="majorHAnsi" w:cstheme="majorBidi"/>
          <w:bCs/>
          <w:color w:val="000000" w:themeColor="text1"/>
          <w:sz w:val="20"/>
          <w:szCs w:val="20"/>
        </w:rPr>
        <w:t>reduced</w:t>
      </w:r>
      <w:r w:rsidRPr="008A3AB7">
        <w:rPr>
          <w:rFonts w:asciiTheme="majorHAnsi" w:eastAsiaTheme="majorEastAsia" w:hAnsiTheme="majorHAnsi" w:cstheme="majorBidi"/>
          <w:bCs/>
          <w:color w:val="000000" w:themeColor="text1"/>
          <w:sz w:val="20"/>
          <w:szCs w:val="20"/>
        </w:rPr>
        <w:t xml:space="preserve"> government spending to </w:t>
      </w:r>
      <w:r w:rsidR="001323B1" w:rsidRPr="00304366">
        <w:rPr>
          <w:rFonts w:asciiTheme="majorHAnsi" w:eastAsiaTheme="majorEastAsia" w:hAnsiTheme="majorHAnsi" w:cstheme="majorBidi"/>
          <w:bCs/>
          <w:color w:val="000000" w:themeColor="text1"/>
          <w:sz w:val="20"/>
          <w:szCs w:val="20"/>
        </w:rPr>
        <w:t xml:space="preserve">finance </w:t>
      </w:r>
      <w:r w:rsidR="008B0F8A">
        <w:rPr>
          <w:rFonts w:asciiTheme="majorHAnsi" w:eastAsiaTheme="majorEastAsia" w:hAnsiTheme="majorHAnsi" w:cstheme="majorBidi"/>
          <w:bCs/>
          <w:color w:val="000000" w:themeColor="text1"/>
          <w:sz w:val="20"/>
          <w:szCs w:val="20"/>
        </w:rPr>
        <w:t xml:space="preserve">the sales tax exemption for </w:t>
      </w:r>
      <w:r w:rsidR="00C622CD">
        <w:rPr>
          <w:rFonts w:asciiTheme="majorHAnsi" w:eastAsiaTheme="majorEastAsia" w:hAnsiTheme="majorHAnsi" w:cstheme="majorBidi"/>
          <w:bCs/>
          <w:color w:val="000000" w:themeColor="text1"/>
          <w:sz w:val="20"/>
          <w:szCs w:val="20"/>
        </w:rPr>
        <w:t>motor fuels</w:t>
      </w:r>
      <w:r w:rsidR="008B0F8A">
        <w:rPr>
          <w:rFonts w:asciiTheme="majorHAnsi" w:eastAsiaTheme="majorEastAsia" w:hAnsiTheme="majorHAnsi" w:cstheme="majorBidi"/>
          <w:bCs/>
          <w:color w:val="000000" w:themeColor="text1"/>
          <w:sz w:val="20"/>
          <w:szCs w:val="20"/>
        </w:rPr>
        <w:t>.</w:t>
      </w:r>
    </w:p>
    <w:p w14:paraId="55D62DF8" w14:textId="77777777" w:rsidR="008B0F8A" w:rsidRDefault="008B0F8A" w:rsidP="008B0F8A">
      <w:pPr>
        <w:spacing w:after="0"/>
        <w:rPr>
          <w:rFonts w:asciiTheme="majorHAnsi" w:eastAsiaTheme="majorEastAsia" w:hAnsiTheme="majorHAnsi" w:cstheme="majorBidi"/>
          <w:bCs/>
          <w:color w:val="000000" w:themeColor="text1"/>
          <w:sz w:val="24"/>
          <w:szCs w:val="24"/>
        </w:rPr>
      </w:pPr>
    </w:p>
    <w:p w14:paraId="14AE7583" w14:textId="77777777" w:rsidR="00D330CB" w:rsidRDefault="00D330CB" w:rsidP="008B0F8A">
      <w:pPr>
        <w:spacing w:after="0"/>
        <w:rPr>
          <w:rFonts w:asciiTheme="majorHAnsi" w:hAnsiTheme="majorHAnsi"/>
          <w:bCs/>
          <w:sz w:val="24"/>
          <w:szCs w:val="24"/>
        </w:rPr>
      </w:pPr>
    </w:p>
    <w:p w14:paraId="03DEE415" w14:textId="77777777" w:rsidR="00D330CB" w:rsidRPr="00782E31" w:rsidRDefault="00D330CB" w:rsidP="00D330CB">
      <w:pPr>
        <w:rPr>
          <w:rFonts w:asciiTheme="majorHAnsi" w:hAnsiTheme="majorHAnsi"/>
          <w:b/>
          <w:sz w:val="24"/>
          <w:szCs w:val="24"/>
        </w:rPr>
      </w:pPr>
      <w:r w:rsidRPr="00924C01">
        <w:rPr>
          <w:rFonts w:asciiTheme="majorHAnsi" w:eastAsiaTheme="majorEastAsia" w:hAnsiTheme="majorHAnsi" w:cstheme="majorBidi"/>
          <w:bCs/>
          <w:i/>
          <w:iCs/>
          <w:color w:val="000000" w:themeColor="text1"/>
          <w:sz w:val="24"/>
          <w:szCs w:val="24"/>
        </w:rPr>
        <w:t xml:space="preserve">Indirect and Induced </w:t>
      </w:r>
      <w:r w:rsidRPr="00EB68D5">
        <w:rPr>
          <w:rFonts w:asciiTheme="majorHAnsi" w:eastAsiaTheme="majorEastAsia" w:hAnsiTheme="majorHAnsi" w:cstheme="majorBidi"/>
          <w:bCs/>
          <w:i/>
          <w:iCs/>
          <w:color w:val="000000" w:themeColor="text1"/>
          <w:sz w:val="24"/>
          <w:szCs w:val="24"/>
        </w:rPr>
        <w:t>Benefits</w:t>
      </w:r>
    </w:p>
    <w:p w14:paraId="18E0A3AB" w14:textId="1C66C23E" w:rsidR="00D330CB" w:rsidRDefault="00D330CB" w:rsidP="00D330CB">
      <w:pPr>
        <w:spacing w:after="0"/>
        <w:rPr>
          <w:rFonts w:asciiTheme="majorHAnsi" w:eastAsiaTheme="majorEastAsia" w:hAnsiTheme="majorHAnsi" w:cstheme="majorBidi"/>
          <w:bCs/>
          <w:color w:val="000000" w:themeColor="text1"/>
          <w:sz w:val="24"/>
          <w:szCs w:val="24"/>
        </w:rPr>
      </w:pPr>
      <w:r>
        <w:rPr>
          <w:rFonts w:asciiTheme="majorHAnsi" w:eastAsiaTheme="majorEastAsia" w:hAnsiTheme="majorHAnsi" w:cstheme="majorBidi"/>
          <w:bCs/>
          <w:color w:val="000000" w:themeColor="text1"/>
          <w:sz w:val="24"/>
          <w:szCs w:val="24"/>
        </w:rPr>
        <w:t xml:space="preserve">The </w:t>
      </w:r>
      <w:r w:rsidR="006941B4">
        <w:rPr>
          <w:rFonts w:asciiTheme="majorHAnsi" w:eastAsiaTheme="majorEastAsia" w:hAnsiTheme="majorHAnsi" w:cstheme="majorBidi"/>
          <w:bCs/>
          <w:color w:val="000000" w:themeColor="text1"/>
          <w:sz w:val="24"/>
          <w:szCs w:val="24"/>
        </w:rPr>
        <w:t>tax</w:t>
      </w:r>
      <w:r>
        <w:rPr>
          <w:rFonts w:asciiTheme="majorHAnsi" w:eastAsiaTheme="majorEastAsia" w:hAnsiTheme="majorHAnsi" w:cstheme="majorBidi"/>
          <w:bCs/>
          <w:color w:val="000000" w:themeColor="text1"/>
          <w:sz w:val="24"/>
          <w:szCs w:val="24"/>
        </w:rPr>
        <w:t xml:space="preserve"> savings </w:t>
      </w:r>
      <w:r w:rsidR="006941B4">
        <w:rPr>
          <w:rFonts w:asciiTheme="majorHAnsi" w:eastAsiaTheme="majorEastAsia" w:hAnsiTheme="majorHAnsi" w:cstheme="majorBidi"/>
          <w:bCs/>
          <w:color w:val="000000" w:themeColor="text1"/>
          <w:sz w:val="24"/>
          <w:szCs w:val="24"/>
        </w:rPr>
        <w:t xml:space="preserve">to buyers and sellers of </w:t>
      </w:r>
      <w:r w:rsidR="00DA1587">
        <w:rPr>
          <w:rFonts w:asciiTheme="majorHAnsi" w:eastAsiaTheme="majorEastAsia" w:hAnsiTheme="majorHAnsi" w:cstheme="majorBidi"/>
          <w:bCs/>
          <w:color w:val="000000" w:themeColor="text1"/>
          <w:sz w:val="24"/>
          <w:szCs w:val="24"/>
        </w:rPr>
        <w:t>motor fuels</w:t>
      </w:r>
      <w:r w:rsidR="008576F7">
        <w:rPr>
          <w:rFonts w:asciiTheme="majorHAnsi" w:eastAsiaTheme="majorEastAsia" w:hAnsiTheme="majorHAnsi" w:cstheme="majorBidi"/>
          <w:bCs/>
          <w:color w:val="000000" w:themeColor="text1"/>
          <w:sz w:val="24"/>
          <w:szCs w:val="24"/>
        </w:rPr>
        <w:t xml:space="preserve"> </w:t>
      </w:r>
      <w:r w:rsidR="006941B4">
        <w:rPr>
          <w:rFonts w:asciiTheme="majorHAnsi" w:eastAsiaTheme="majorEastAsia" w:hAnsiTheme="majorHAnsi" w:cstheme="majorBidi"/>
          <w:bCs/>
          <w:color w:val="000000" w:themeColor="text1"/>
          <w:sz w:val="24"/>
          <w:szCs w:val="24"/>
        </w:rPr>
        <w:t xml:space="preserve">at the retail </w:t>
      </w:r>
      <w:r w:rsidR="00B00293">
        <w:rPr>
          <w:rFonts w:asciiTheme="majorHAnsi" w:eastAsiaTheme="majorEastAsia" w:hAnsiTheme="majorHAnsi" w:cstheme="majorBidi"/>
          <w:bCs/>
          <w:color w:val="000000" w:themeColor="text1"/>
          <w:sz w:val="24"/>
          <w:szCs w:val="24"/>
        </w:rPr>
        <w:t>level</w:t>
      </w:r>
      <w:r w:rsidR="006941B4">
        <w:rPr>
          <w:rFonts w:asciiTheme="majorHAnsi" w:eastAsiaTheme="majorEastAsia" w:hAnsiTheme="majorHAnsi" w:cstheme="majorBidi"/>
          <w:bCs/>
          <w:color w:val="000000" w:themeColor="text1"/>
          <w:sz w:val="24"/>
          <w:szCs w:val="24"/>
        </w:rPr>
        <w:t xml:space="preserve"> </w:t>
      </w:r>
      <w:r>
        <w:rPr>
          <w:rFonts w:asciiTheme="majorHAnsi" w:eastAsiaTheme="majorEastAsia" w:hAnsiTheme="majorHAnsi" w:cstheme="majorBidi"/>
          <w:bCs/>
          <w:color w:val="000000" w:themeColor="text1"/>
          <w:sz w:val="24"/>
          <w:szCs w:val="24"/>
        </w:rPr>
        <w:t xml:space="preserve">encourages directly affected </w:t>
      </w:r>
      <w:r w:rsidR="006941B4">
        <w:rPr>
          <w:rFonts w:asciiTheme="majorHAnsi" w:eastAsiaTheme="majorEastAsia" w:hAnsiTheme="majorHAnsi" w:cstheme="majorBidi"/>
          <w:bCs/>
          <w:color w:val="000000" w:themeColor="text1"/>
          <w:sz w:val="24"/>
          <w:szCs w:val="24"/>
        </w:rPr>
        <w:t xml:space="preserve">consumers to buy more </w:t>
      </w:r>
      <w:r w:rsidR="00B00293">
        <w:rPr>
          <w:rFonts w:asciiTheme="majorHAnsi" w:eastAsiaTheme="majorEastAsia" w:hAnsiTheme="majorHAnsi" w:cstheme="majorBidi"/>
          <w:bCs/>
          <w:color w:val="000000" w:themeColor="text1"/>
          <w:sz w:val="24"/>
          <w:szCs w:val="24"/>
        </w:rPr>
        <w:t xml:space="preserve">of </w:t>
      </w:r>
      <w:r w:rsidR="006941B4">
        <w:rPr>
          <w:rFonts w:asciiTheme="majorHAnsi" w:eastAsiaTheme="majorEastAsia" w:hAnsiTheme="majorHAnsi" w:cstheme="majorBidi"/>
          <w:bCs/>
          <w:color w:val="000000" w:themeColor="text1"/>
          <w:sz w:val="24"/>
          <w:szCs w:val="24"/>
        </w:rPr>
        <w:t xml:space="preserve">other products and services and directly affected </w:t>
      </w:r>
      <w:r>
        <w:rPr>
          <w:rFonts w:asciiTheme="majorHAnsi" w:eastAsiaTheme="majorEastAsia" w:hAnsiTheme="majorHAnsi" w:cstheme="majorBidi"/>
          <w:bCs/>
          <w:color w:val="000000" w:themeColor="text1"/>
          <w:sz w:val="24"/>
          <w:szCs w:val="24"/>
        </w:rPr>
        <w:t>businesses to</w:t>
      </w:r>
      <w:r w:rsidR="006941B4">
        <w:rPr>
          <w:rFonts w:asciiTheme="majorHAnsi" w:eastAsiaTheme="majorEastAsia" w:hAnsiTheme="majorHAnsi" w:cstheme="majorBidi"/>
          <w:bCs/>
          <w:color w:val="000000" w:themeColor="text1"/>
          <w:sz w:val="24"/>
          <w:szCs w:val="24"/>
        </w:rPr>
        <w:t xml:space="preserve"> </w:t>
      </w:r>
      <w:r>
        <w:rPr>
          <w:rFonts w:asciiTheme="majorHAnsi" w:eastAsiaTheme="majorEastAsia" w:hAnsiTheme="majorHAnsi" w:cstheme="majorBidi"/>
          <w:bCs/>
          <w:color w:val="000000" w:themeColor="text1"/>
          <w:sz w:val="24"/>
          <w:szCs w:val="24"/>
        </w:rPr>
        <w:t xml:space="preserve">invest, expand, hire additional workers, etc. Such decisions would increase </w:t>
      </w:r>
      <w:r>
        <w:rPr>
          <w:rFonts w:asciiTheme="majorHAnsi" w:eastAsiaTheme="majorEastAsia" w:hAnsiTheme="majorHAnsi" w:cstheme="majorBidi"/>
          <w:bCs/>
          <w:color w:val="000000" w:themeColor="text1"/>
          <w:sz w:val="24"/>
          <w:szCs w:val="24"/>
        </w:rPr>
        <w:lastRenderedPageBreak/>
        <w:t>demand for goods and services provided by other individuals and businesses</w:t>
      </w:r>
      <w:r w:rsidR="006941B4">
        <w:rPr>
          <w:rFonts w:asciiTheme="majorHAnsi" w:eastAsiaTheme="majorEastAsia" w:hAnsiTheme="majorHAnsi" w:cstheme="majorBidi"/>
          <w:bCs/>
          <w:color w:val="000000" w:themeColor="text1"/>
          <w:sz w:val="24"/>
          <w:szCs w:val="24"/>
        </w:rPr>
        <w:t xml:space="preserve"> in the economy (including wholesalers, importers, and producers of </w:t>
      </w:r>
      <w:r w:rsidR="00DA1587">
        <w:rPr>
          <w:rFonts w:asciiTheme="majorHAnsi" w:eastAsiaTheme="majorEastAsia" w:hAnsiTheme="majorHAnsi" w:cstheme="majorBidi"/>
          <w:bCs/>
          <w:color w:val="000000" w:themeColor="text1"/>
          <w:sz w:val="24"/>
          <w:szCs w:val="24"/>
        </w:rPr>
        <w:t>motor fuels</w:t>
      </w:r>
      <w:r w:rsidR="006941B4">
        <w:rPr>
          <w:rFonts w:asciiTheme="majorHAnsi" w:eastAsiaTheme="majorEastAsia" w:hAnsiTheme="majorHAnsi" w:cstheme="majorBidi"/>
          <w:bCs/>
          <w:color w:val="000000" w:themeColor="text1"/>
          <w:sz w:val="24"/>
          <w:szCs w:val="24"/>
        </w:rPr>
        <w:t>)</w:t>
      </w:r>
      <w:r>
        <w:rPr>
          <w:rFonts w:asciiTheme="majorHAnsi" w:eastAsiaTheme="majorEastAsia" w:hAnsiTheme="majorHAnsi" w:cstheme="majorBidi"/>
          <w:bCs/>
          <w:color w:val="000000" w:themeColor="text1"/>
          <w:sz w:val="24"/>
          <w:szCs w:val="24"/>
        </w:rPr>
        <w:t xml:space="preserve">, or put another way, generate a “Multiplier Effect” (see discussion in the previous section) from the initial or direct benefits as reported in the text. As a result, the total benefits of the </w:t>
      </w:r>
      <w:r w:rsidR="006941B4">
        <w:rPr>
          <w:rFonts w:asciiTheme="majorHAnsi" w:eastAsiaTheme="majorEastAsia" w:hAnsiTheme="majorHAnsi" w:cstheme="majorBidi"/>
          <w:bCs/>
          <w:color w:val="000000" w:themeColor="text1"/>
          <w:sz w:val="24"/>
          <w:szCs w:val="24"/>
        </w:rPr>
        <w:t xml:space="preserve">sales tax exemption for </w:t>
      </w:r>
      <w:r w:rsidR="00DA1587">
        <w:rPr>
          <w:rFonts w:asciiTheme="majorHAnsi" w:eastAsiaTheme="majorEastAsia" w:hAnsiTheme="majorHAnsi" w:cstheme="majorBidi"/>
          <w:bCs/>
          <w:color w:val="000000" w:themeColor="text1"/>
          <w:sz w:val="24"/>
          <w:szCs w:val="24"/>
        </w:rPr>
        <w:t>motor fuels</w:t>
      </w:r>
      <w:r w:rsidR="008576F7">
        <w:rPr>
          <w:rFonts w:asciiTheme="majorHAnsi" w:eastAsiaTheme="majorEastAsia" w:hAnsiTheme="majorHAnsi" w:cstheme="majorBidi"/>
          <w:bCs/>
          <w:color w:val="000000" w:themeColor="text1"/>
          <w:sz w:val="24"/>
          <w:szCs w:val="24"/>
        </w:rPr>
        <w:t xml:space="preserve"> </w:t>
      </w:r>
      <w:r>
        <w:rPr>
          <w:rFonts w:asciiTheme="majorHAnsi" w:eastAsiaTheme="majorEastAsia" w:hAnsiTheme="majorHAnsi" w:cstheme="majorBidi"/>
          <w:bCs/>
          <w:color w:val="000000" w:themeColor="text1"/>
          <w:sz w:val="24"/>
          <w:szCs w:val="24"/>
        </w:rPr>
        <w:t>would be larger than the initial or direct benefits.</w:t>
      </w:r>
    </w:p>
    <w:p w14:paraId="7CF386C6" w14:textId="77777777" w:rsidR="00D330CB" w:rsidRDefault="00D330CB" w:rsidP="00D330CB">
      <w:pPr>
        <w:spacing w:after="0"/>
        <w:rPr>
          <w:rFonts w:asciiTheme="majorHAnsi" w:eastAsiaTheme="majorEastAsia" w:hAnsiTheme="majorHAnsi" w:cstheme="majorBidi"/>
          <w:bCs/>
          <w:color w:val="000000" w:themeColor="text1"/>
          <w:sz w:val="24"/>
          <w:szCs w:val="24"/>
        </w:rPr>
      </w:pPr>
    </w:p>
    <w:p w14:paraId="258647DA" w14:textId="77777777" w:rsidR="00D330CB" w:rsidRDefault="00D330CB" w:rsidP="00D330CB">
      <w:pPr>
        <w:spacing w:after="0"/>
        <w:rPr>
          <w:rFonts w:asciiTheme="majorHAnsi" w:eastAsiaTheme="majorEastAsia" w:hAnsiTheme="majorHAnsi" w:cstheme="majorBidi"/>
          <w:bCs/>
          <w:color w:val="000000" w:themeColor="text1"/>
          <w:sz w:val="24"/>
          <w:szCs w:val="24"/>
        </w:rPr>
      </w:pPr>
      <w:r w:rsidRPr="00E0511F">
        <w:rPr>
          <w:rFonts w:asciiTheme="majorHAnsi" w:eastAsiaTheme="majorEastAsia" w:hAnsiTheme="majorHAnsi" w:cstheme="majorBidi"/>
          <w:bCs/>
          <w:i/>
          <w:iCs/>
          <w:color w:val="000000" w:themeColor="text1"/>
          <w:sz w:val="24"/>
          <w:szCs w:val="24"/>
        </w:rPr>
        <w:t>Quantifying t</w:t>
      </w:r>
      <w:r>
        <w:rPr>
          <w:rFonts w:asciiTheme="majorHAnsi" w:eastAsiaTheme="majorEastAsia" w:hAnsiTheme="majorHAnsi" w:cstheme="majorBidi"/>
          <w:bCs/>
          <w:i/>
          <w:iCs/>
          <w:color w:val="000000" w:themeColor="text1"/>
          <w:sz w:val="24"/>
          <w:szCs w:val="24"/>
        </w:rPr>
        <w:t>otal</w:t>
      </w:r>
      <w:r w:rsidRPr="00E0511F">
        <w:rPr>
          <w:rFonts w:asciiTheme="majorHAnsi" w:eastAsiaTheme="majorEastAsia" w:hAnsiTheme="majorHAnsi" w:cstheme="majorBidi"/>
          <w:bCs/>
          <w:i/>
          <w:iCs/>
          <w:color w:val="000000" w:themeColor="text1"/>
          <w:sz w:val="24"/>
          <w:szCs w:val="24"/>
        </w:rPr>
        <w:t xml:space="preserve"> </w:t>
      </w:r>
      <w:r>
        <w:rPr>
          <w:rFonts w:asciiTheme="majorHAnsi" w:eastAsiaTheme="majorEastAsia" w:hAnsiTheme="majorHAnsi" w:cstheme="majorBidi"/>
          <w:bCs/>
          <w:i/>
          <w:iCs/>
          <w:color w:val="000000" w:themeColor="text1"/>
          <w:sz w:val="24"/>
          <w:szCs w:val="24"/>
        </w:rPr>
        <w:t>benefits (direct, indirect and induced)</w:t>
      </w:r>
    </w:p>
    <w:p w14:paraId="2B7F3BA8" w14:textId="77777777" w:rsidR="00D330CB" w:rsidRDefault="00D330CB" w:rsidP="00D330CB">
      <w:pPr>
        <w:spacing w:after="0"/>
        <w:rPr>
          <w:rFonts w:asciiTheme="majorHAnsi" w:eastAsiaTheme="majorEastAsia" w:hAnsiTheme="majorHAnsi" w:cstheme="majorBidi"/>
          <w:noProof/>
          <w:color w:val="000000" w:themeColor="text1"/>
          <w:sz w:val="24"/>
          <w:szCs w:val="24"/>
        </w:rPr>
      </w:pPr>
      <w:r>
        <w:rPr>
          <w:rFonts w:asciiTheme="majorHAnsi" w:eastAsiaTheme="majorEastAsia" w:hAnsiTheme="majorHAnsi" w:cstheme="majorBidi"/>
          <w:bCs/>
          <w:color w:val="000000" w:themeColor="text1"/>
          <w:sz w:val="24"/>
          <w:szCs w:val="24"/>
        </w:rPr>
        <w:t xml:space="preserve">To quantify the total benefits, including indirect/induced benefits, we again employed Tax-PI.  A summary of the revenue impact of the </w:t>
      </w:r>
      <w:r w:rsidR="006941B4">
        <w:rPr>
          <w:rFonts w:asciiTheme="majorHAnsi" w:eastAsiaTheme="majorEastAsia" w:hAnsiTheme="majorHAnsi" w:cstheme="majorBidi"/>
          <w:bCs/>
          <w:color w:val="000000" w:themeColor="text1"/>
          <w:sz w:val="24"/>
          <w:szCs w:val="24"/>
        </w:rPr>
        <w:t xml:space="preserve">sales tax exemption for </w:t>
      </w:r>
      <w:r w:rsidR="00DA1587">
        <w:rPr>
          <w:rFonts w:asciiTheme="majorHAnsi" w:eastAsiaTheme="majorEastAsia" w:hAnsiTheme="majorHAnsi" w:cstheme="majorBidi"/>
          <w:bCs/>
          <w:color w:val="000000" w:themeColor="text1"/>
          <w:sz w:val="24"/>
          <w:szCs w:val="24"/>
        </w:rPr>
        <w:t>motor fuels</w:t>
      </w:r>
      <w:r w:rsidR="006941B4">
        <w:rPr>
          <w:rFonts w:asciiTheme="majorHAnsi" w:eastAsiaTheme="majorEastAsia" w:hAnsiTheme="majorHAnsi" w:cstheme="majorBidi"/>
          <w:noProof/>
          <w:color w:val="000000" w:themeColor="text1"/>
          <w:sz w:val="24"/>
          <w:szCs w:val="24"/>
        </w:rPr>
        <w:t xml:space="preserve"> </w:t>
      </w:r>
      <w:r>
        <w:rPr>
          <w:rFonts w:asciiTheme="majorHAnsi" w:eastAsiaTheme="majorEastAsia" w:hAnsiTheme="majorHAnsi" w:cstheme="majorBidi"/>
          <w:noProof/>
          <w:color w:val="000000" w:themeColor="text1"/>
          <w:sz w:val="24"/>
          <w:szCs w:val="24"/>
        </w:rPr>
        <w:t>is reported in Table A</w:t>
      </w:r>
      <w:r w:rsidR="00D328A3">
        <w:rPr>
          <w:rFonts w:asciiTheme="majorHAnsi" w:eastAsiaTheme="majorEastAsia" w:hAnsiTheme="majorHAnsi" w:cstheme="majorBidi"/>
          <w:noProof/>
          <w:color w:val="000000" w:themeColor="text1"/>
          <w:sz w:val="24"/>
          <w:szCs w:val="24"/>
        </w:rPr>
        <w:t>3</w:t>
      </w:r>
      <w:r>
        <w:rPr>
          <w:rFonts w:asciiTheme="majorHAnsi" w:eastAsiaTheme="majorEastAsia" w:hAnsiTheme="majorHAnsi" w:cstheme="majorBidi"/>
          <w:noProof/>
          <w:color w:val="000000" w:themeColor="text1"/>
          <w:sz w:val="24"/>
          <w:szCs w:val="24"/>
        </w:rPr>
        <w:t xml:space="preserve">, and the economic benefit from the </w:t>
      </w:r>
      <w:r w:rsidR="006941B4">
        <w:rPr>
          <w:rFonts w:asciiTheme="majorHAnsi" w:eastAsiaTheme="majorEastAsia" w:hAnsiTheme="majorHAnsi" w:cstheme="majorBidi"/>
          <w:bCs/>
          <w:color w:val="000000" w:themeColor="text1"/>
          <w:sz w:val="24"/>
          <w:szCs w:val="24"/>
        </w:rPr>
        <w:t xml:space="preserve">sales tax exemption for </w:t>
      </w:r>
      <w:r w:rsidR="00DA1587">
        <w:rPr>
          <w:rFonts w:asciiTheme="majorHAnsi" w:eastAsiaTheme="majorEastAsia" w:hAnsiTheme="majorHAnsi" w:cstheme="majorBidi"/>
          <w:bCs/>
          <w:color w:val="000000" w:themeColor="text1"/>
          <w:sz w:val="24"/>
          <w:szCs w:val="24"/>
        </w:rPr>
        <w:t>motor fuels</w:t>
      </w:r>
      <w:r w:rsidR="00DA1587">
        <w:rPr>
          <w:rFonts w:asciiTheme="majorHAnsi" w:eastAsiaTheme="majorEastAsia" w:hAnsiTheme="majorHAnsi" w:cstheme="majorBidi"/>
          <w:noProof/>
          <w:color w:val="000000" w:themeColor="text1"/>
          <w:sz w:val="24"/>
          <w:szCs w:val="24"/>
        </w:rPr>
        <w:t xml:space="preserve"> </w:t>
      </w:r>
      <w:r>
        <w:rPr>
          <w:rFonts w:asciiTheme="majorHAnsi" w:eastAsiaTheme="majorEastAsia" w:hAnsiTheme="majorHAnsi" w:cstheme="majorBidi"/>
          <w:noProof/>
          <w:color w:val="000000" w:themeColor="text1"/>
          <w:sz w:val="24"/>
          <w:szCs w:val="24"/>
        </w:rPr>
        <w:t>is reflected in Table A</w:t>
      </w:r>
      <w:r w:rsidR="00D328A3">
        <w:rPr>
          <w:rFonts w:asciiTheme="majorHAnsi" w:eastAsiaTheme="majorEastAsia" w:hAnsiTheme="majorHAnsi" w:cstheme="majorBidi"/>
          <w:noProof/>
          <w:color w:val="000000" w:themeColor="text1"/>
          <w:sz w:val="24"/>
          <w:szCs w:val="24"/>
        </w:rPr>
        <w:t>4</w:t>
      </w:r>
      <w:r>
        <w:rPr>
          <w:rFonts w:asciiTheme="majorHAnsi" w:eastAsiaTheme="majorEastAsia" w:hAnsiTheme="majorHAnsi" w:cstheme="majorBidi"/>
          <w:noProof/>
          <w:color w:val="000000" w:themeColor="text1"/>
          <w:sz w:val="24"/>
          <w:szCs w:val="24"/>
        </w:rPr>
        <w:t xml:space="preserve"> below. The figures for 2018 and 2019 are estimates of benefits that the Massachusetts economy experienced and those for 2020, 2021 and 2022 are projections of the benefits that the Massachusetts economy will experience going forward.  </w:t>
      </w:r>
    </w:p>
    <w:p w14:paraId="4B205E1E" w14:textId="77777777" w:rsidR="00D330CB" w:rsidRDefault="00D330CB" w:rsidP="00D330CB">
      <w:pPr>
        <w:spacing w:after="0"/>
        <w:rPr>
          <w:rFonts w:asciiTheme="majorHAnsi" w:eastAsiaTheme="majorEastAsia" w:hAnsiTheme="majorHAnsi" w:cstheme="majorBidi"/>
          <w:bCs/>
          <w:color w:val="000000" w:themeColor="text1"/>
          <w:sz w:val="24"/>
          <w:szCs w:val="24"/>
        </w:rPr>
      </w:pPr>
    </w:p>
    <w:p w14:paraId="33C786AE" w14:textId="77777777" w:rsidR="00D330CB" w:rsidRDefault="00D330CB" w:rsidP="00D330CB">
      <w:pPr>
        <w:spacing w:after="0"/>
        <w:rPr>
          <w:rFonts w:asciiTheme="majorHAnsi" w:eastAsiaTheme="majorEastAsia" w:hAnsiTheme="majorHAnsi" w:cstheme="majorBidi"/>
          <w:bCs/>
          <w:color w:val="000000" w:themeColor="text1"/>
          <w:sz w:val="24"/>
          <w:szCs w:val="24"/>
        </w:rPr>
      </w:pPr>
      <w:r w:rsidRPr="009E0158">
        <w:rPr>
          <w:rFonts w:asciiTheme="majorHAnsi" w:eastAsiaTheme="majorEastAsia" w:hAnsiTheme="majorHAnsi" w:cstheme="majorBidi"/>
          <w:bCs/>
          <w:color w:val="000000" w:themeColor="text1"/>
          <w:sz w:val="24"/>
          <w:szCs w:val="24"/>
        </w:rPr>
        <w:t xml:space="preserve">Tables </w:t>
      </w:r>
      <w:r>
        <w:rPr>
          <w:rFonts w:asciiTheme="majorHAnsi" w:eastAsiaTheme="majorEastAsia" w:hAnsiTheme="majorHAnsi" w:cstheme="majorBidi"/>
          <w:bCs/>
          <w:color w:val="000000" w:themeColor="text1"/>
          <w:sz w:val="24"/>
          <w:szCs w:val="24"/>
        </w:rPr>
        <w:t>A</w:t>
      </w:r>
      <w:r w:rsidR="00D328A3">
        <w:rPr>
          <w:rFonts w:asciiTheme="majorHAnsi" w:eastAsiaTheme="majorEastAsia" w:hAnsiTheme="majorHAnsi" w:cstheme="majorBidi"/>
          <w:bCs/>
          <w:color w:val="000000" w:themeColor="text1"/>
          <w:sz w:val="24"/>
          <w:szCs w:val="24"/>
        </w:rPr>
        <w:t xml:space="preserve">3 </w:t>
      </w:r>
      <w:r w:rsidRPr="009E0158">
        <w:rPr>
          <w:rFonts w:asciiTheme="majorHAnsi" w:eastAsiaTheme="majorEastAsia" w:hAnsiTheme="majorHAnsi" w:cstheme="majorBidi"/>
          <w:bCs/>
          <w:color w:val="000000" w:themeColor="text1"/>
          <w:sz w:val="24"/>
          <w:szCs w:val="24"/>
        </w:rPr>
        <w:t xml:space="preserve">and </w:t>
      </w:r>
      <w:r>
        <w:rPr>
          <w:rFonts w:asciiTheme="majorHAnsi" w:eastAsiaTheme="majorEastAsia" w:hAnsiTheme="majorHAnsi" w:cstheme="majorBidi"/>
          <w:bCs/>
          <w:color w:val="000000" w:themeColor="text1"/>
          <w:sz w:val="24"/>
          <w:szCs w:val="24"/>
        </w:rPr>
        <w:t>A</w:t>
      </w:r>
      <w:r w:rsidR="00D328A3">
        <w:rPr>
          <w:rFonts w:asciiTheme="majorHAnsi" w:eastAsiaTheme="majorEastAsia" w:hAnsiTheme="majorHAnsi" w:cstheme="majorBidi"/>
          <w:bCs/>
          <w:color w:val="000000" w:themeColor="text1"/>
          <w:sz w:val="24"/>
          <w:szCs w:val="24"/>
        </w:rPr>
        <w:t>4</w:t>
      </w:r>
      <w:r w:rsidRPr="009E0158">
        <w:rPr>
          <w:rFonts w:asciiTheme="majorHAnsi" w:eastAsiaTheme="majorEastAsia" w:hAnsiTheme="majorHAnsi" w:cstheme="majorBidi"/>
          <w:bCs/>
          <w:color w:val="000000" w:themeColor="text1"/>
          <w:sz w:val="24"/>
          <w:szCs w:val="24"/>
        </w:rPr>
        <w:t xml:space="preserve"> show that, the </w:t>
      </w:r>
      <w:r w:rsidR="006941B4">
        <w:rPr>
          <w:rFonts w:asciiTheme="majorHAnsi" w:eastAsiaTheme="majorEastAsia" w:hAnsiTheme="majorHAnsi" w:cstheme="majorBidi"/>
          <w:bCs/>
          <w:color w:val="000000" w:themeColor="text1"/>
          <w:sz w:val="24"/>
          <w:szCs w:val="24"/>
        </w:rPr>
        <w:t xml:space="preserve">sales tax exemption for </w:t>
      </w:r>
      <w:r w:rsidR="00DA1587">
        <w:rPr>
          <w:rFonts w:asciiTheme="majorHAnsi" w:eastAsiaTheme="majorEastAsia" w:hAnsiTheme="majorHAnsi" w:cstheme="majorBidi"/>
          <w:bCs/>
          <w:color w:val="000000" w:themeColor="text1"/>
          <w:sz w:val="24"/>
          <w:szCs w:val="24"/>
        </w:rPr>
        <w:t>motor fuels</w:t>
      </w:r>
      <w:r w:rsidR="00DA1587">
        <w:rPr>
          <w:rFonts w:asciiTheme="majorHAnsi" w:eastAsiaTheme="majorEastAsia" w:hAnsiTheme="majorHAnsi" w:cstheme="majorBidi"/>
          <w:noProof/>
          <w:color w:val="000000" w:themeColor="text1"/>
          <w:sz w:val="24"/>
          <w:szCs w:val="24"/>
        </w:rPr>
        <w:t xml:space="preserve"> </w:t>
      </w:r>
      <w:r w:rsidRPr="009E0158">
        <w:rPr>
          <w:rFonts w:asciiTheme="majorHAnsi" w:eastAsiaTheme="majorEastAsia" w:hAnsiTheme="majorHAnsi" w:cstheme="majorBidi"/>
          <w:bCs/>
          <w:color w:val="000000" w:themeColor="text1"/>
          <w:sz w:val="24"/>
          <w:szCs w:val="24"/>
        </w:rPr>
        <w:t xml:space="preserve">results in more economic activities, with real state GDP increasing </w:t>
      </w:r>
      <w:r>
        <w:rPr>
          <w:rFonts w:asciiTheme="majorHAnsi" w:eastAsiaTheme="majorEastAsia" w:hAnsiTheme="majorHAnsi" w:cstheme="majorBidi"/>
          <w:bCs/>
          <w:color w:val="000000" w:themeColor="text1"/>
          <w:sz w:val="24"/>
          <w:szCs w:val="24"/>
        </w:rPr>
        <w:t xml:space="preserve">by </w:t>
      </w:r>
      <w:r w:rsidRPr="009E0158">
        <w:rPr>
          <w:rFonts w:asciiTheme="majorHAnsi" w:eastAsiaTheme="majorEastAsia" w:hAnsiTheme="majorHAnsi" w:cstheme="majorBidi"/>
          <w:bCs/>
          <w:color w:val="000000" w:themeColor="text1"/>
          <w:sz w:val="24"/>
          <w:szCs w:val="24"/>
        </w:rPr>
        <w:t>$</w:t>
      </w:r>
      <w:r w:rsidR="00DA1587">
        <w:rPr>
          <w:rFonts w:asciiTheme="majorHAnsi" w:eastAsiaTheme="majorEastAsia" w:hAnsiTheme="majorHAnsi" w:cstheme="majorBidi"/>
          <w:bCs/>
          <w:color w:val="000000" w:themeColor="text1"/>
          <w:sz w:val="24"/>
          <w:szCs w:val="24"/>
        </w:rPr>
        <w:t>870</w:t>
      </w:r>
      <w:r w:rsidRPr="009E0158">
        <w:rPr>
          <w:rFonts w:asciiTheme="majorHAnsi" w:eastAsiaTheme="majorEastAsia" w:hAnsiTheme="majorHAnsi" w:cstheme="majorBidi"/>
          <w:bCs/>
          <w:color w:val="000000" w:themeColor="text1"/>
          <w:sz w:val="24"/>
          <w:szCs w:val="24"/>
        </w:rPr>
        <w:t xml:space="preserve"> million</w:t>
      </w:r>
      <w:r>
        <w:rPr>
          <w:rFonts w:asciiTheme="majorHAnsi" w:eastAsiaTheme="majorEastAsia" w:hAnsiTheme="majorHAnsi" w:cstheme="majorBidi"/>
          <w:bCs/>
          <w:color w:val="000000" w:themeColor="text1"/>
          <w:sz w:val="24"/>
          <w:szCs w:val="24"/>
        </w:rPr>
        <w:t xml:space="preserve"> </w:t>
      </w:r>
      <w:r w:rsidRPr="009E0158">
        <w:rPr>
          <w:rFonts w:asciiTheme="majorHAnsi" w:eastAsiaTheme="majorEastAsia" w:hAnsiTheme="majorHAnsi" w:cstheme="majorBidi"/>
          <w:bCs/>
          <w:color w:val="000000" w:themeColor="text1"/>
          <w:sz w:val="24"/>
          <w:szCs w:val="24"/>
        </w:rPr>
        <w:t>-</w:t>
      </w:r>
      <w:r>
        <w:rPr>
          <w:rFonts w:asciiTheme="majorHAnsi" w:eastAsiaTheme="majorEastAsia" w:hAnsiTheme="majorHAnsi" w:cstheme="majorBidi"/>
          <w:bCs/>
          <w:color w:val="000000" w:themeColor="text1"/>
          <w:sz w:val="24"/>
          <w:szCs w:val="24"/>
        </w:rPr>
        <w:t xml:space="preserve"> </w:t>
      </w:r>
      <w:r w:rsidRPr="009E0158">
        <w:rPr>
          <w:rFonts w:asciiTheme="majorHAnsi" w:eastAsiaTheme="majorEastAsia" w:hAnsiTheme="majorHAnsi" w:cstheme="majorBidi"/>
          <w:bCs/>
          <w:color w:val="000000" w:themeColor="text1"/>
          <w:sz w:val="24"/>
          <w:szCs w:val="24"/>
        </w:rPr>
        <w:t>$</w:t>
      </w:r>
      <w:r w:rsidR="006941B4">
        <w:rPr>
          <w:rFonts w:asciiTheme="majorHAnsi" w:eastAsiaTheme="majorEastAsia" w:hAnsiTheme="majorHAnsi" w:cstheme="majorBidi"/>
          <w:bCs/>
          <w:color w:val="000000" w:themeColor="text1"/>
          <w:sz w:val="24"/>
          <w:szCs w:val="24"/>
        </w:rPr>
        <w:t>1</w:t>
      </w:r>
      <w:r w:rsidR="00DA1587">
        <w:rPr>
          <w:rFonts w:asciiTheme="majorHAnsi" w:eastAsiaTheme="majorEastAsia" w:hAnsiTheme="majorHAnsi" w:cstheme="majorBidi"/>
          <w:bCs/>
          <w:color w:val="000000" w:themeColor="text1"/>
          <w:sz w:val="24"/>
          <w:szCs w:val="24"/>
        </w:rPr>
        <w:t>,</w:t>
      </w:r>
      <w:r w:rsidR="006941B4">
        <w:rPr>
          <w:rFonts w:asciiTheme="majorHAnsi" w:eastAsiaTheme="majorEastAsia" w:hAnsiTheme="majorHAnsi" w:cstheme="majorBidi"/>
          <w:bCs/>
          <w:color w:val="000000" w:themeColor="text1"/>
          <w:sz w:val="24"/>
          <w:szCs w:val="24"/>
        </w:rPr>
        <w:t>2</w:t>
      </w:r>
      <w:r w:rsidR="00DA1587">
        <w:rPr>
          <w:rFonts w:asciiTheme="majorHAnsi" w:eastAsiaTheme="majorEastAsia" w:hAnsiTheme="majorHAnsi" w:cstheme="majorBidi"/>
          <w:bCs/>
          <w:color w:val="000000" w:themeColor="text1"/>
          <w:sz w:val="24"/>
          <w:szCs w:val="24"/>
        </w:rPr>
        <w:t>27</w:t>
      </w:r>
      <w:r w:rsidRPr="009E0158">
        <w:rPr>
          <w:rFonts w:asciiTheme="majorHAnsi" w:eastAsiaTheme="majorEastAsia" w:hAnsiTheme="majorHAnsi" w:cstheme="majorBidi"/>
          <w:bCs/>
          <w:color w:val="000000" w:themeColor="text1"/>
          <w:sz w:val="24"/>
          <w:szCs w:val="24"/>
        </w:rPr>
        <w:t xml:space="preserve"> million and total employment increasing </w:t>
      </w:r>
      <w:r>
        <w:rPr>
          <w:rFonts w:asciiTheme="majorHAnsi" w:eastAsiaTheme="majorEastAsia" w:hAnsiTheme="majorHAnsi" w:cstheme="majorBidi"/>
          <w:bCs/>
          <w:color w:val="000000" w:themeColor="text1"/>
          <w:sz w:val="24"/>
          <w:szCs w:val="24"/>
        </w:rPr>
        <w:t xml:space="preserve">by </w:t>
      </w:r>
      <w:r w:rsidR="006941B4">
        <w:rPr>
          <w:rFonts w:asciiTheme="majorHAnsi" w:eastAsiaTheme="majorEastAsia" w:hAnsiTheme="majorHAnsi" w:cstheme="majorBidi"/>
          <w:bCs/>
          <w:color w:val="000000" w:themeColor="text1"/>
          <w:sz w:val="24"/>
          <w:szCs w:val="24"/>
        </w:rPr>
        <w:t>1</w:t>
      </w:r>
      <w:r w:rsidR="00DA1587">
        <w:rPr>
          <w:rFonts w:asciiTheme="majorHAnsi" w:eastAsiaTheme="majorEastAsia" w:hAnsiTheme="majorHAnsi" w:cstheme="majorBidi"/>
          <w:bCs/>
          <w:color w:val="000000" w:themeColor="text1"/>
          <w:sz w:val="24"/>
          <w:szCs w:val="24"/>
        </w:rPr>
        <w:t>0</w:t>
      </w:r>
      <w:r w:rsidR="006941B4">
        <w:rPr>
          <w:rFonts w:asciiTheme="majorHAnsi" w:eastAsiaTheme="majorEastAsia" w:hAnsiTheme="majorHAnsi" w:cstheme="majorBidi"/>
          <w:bCs/>
          <w:color w:val="000000" w:themeColor="text1"/>
          <w:sz w:val="24"/>
          <w:szCs w:val="24"/>
        </w:rPr>
        <w:t>,</w:t>
      </w:r>
      <w:r w:rsidR="00DA1587">
        <w:rPr>
          <w:rFonts w:asciiTheme="majorHAnsi" w:eastAsiaTheme="majorEastAsia" w:hAnsiTheme="majorHAnsi" w:cstheme="majorBidi"/>
          <w:bCs/>
          <w:color w:val="000000" w:themeColor="text1"/>
          <w:sz w:val="24"/>
          <w:szCs w:val="24"/>
        </w:rPr>
        <w:t>203</w:t>
      </w:r>
      <w:r w:rsidRPr="009E0158">
        <w:rPr>
          <w:rFonts w:asciiTheme="majorHAnsi" w:eastAsiaTheme="majorEastAsia" w:hAnsiTheme="majorHAnsi" w:cstheme="majorBidi"/>
          <w:bCs/>
          <w:color w:val="000000" w:themeColor="text1"/>
          <w:sz w:val="24"/>
          <w:szCs w:val="24"/>
        </w:rPr>
        <w:t>-</w:t>
      </w:r>
      <w:r w:rsidR="006941B4">
        <w:rPr>
          <w:rFonts w:asciiTheme="majorHAnsi" w:eastAsiaTheme="majorEastAsia" w:hAnsiTheme="majorHAnsi" w:cstheme="majorBidi"/>
          <w:bCs/>
          <w:color w:val="000000" w:themeColor="text1"/>
          <w:sz w:val="24"/>
          <w:szCs w:val="24"/>
        </w:rPr>
        <w:t>1</w:t>
      </w:r>
      <w:r w:rsidR="00DA1587">
        <w:rPr>
          <w:rFonts w:asciiTheme="majorHAnsi" w:eastAsiaTheme="majorEastAsia" w:hAnsiTheme="majorHAnsi" w:cstheme="majorBidi"/>
          <w:bCs/>
          <w:color w:val="000000" w:themeColor="text1"/>
          <w:sz w:val="24"/>
          <w:szCs w:val="24"/>
        </w:rPr>
        <w:t>3</w:t>
      </w:r>
      <w:r w:rsidR="006941B4">
        <w:rPr>
          <w:rFonts w:asciiTheme="majorHAnsi" w:eastAsiaTheme="majorEastAsia" w:hAnsiTheme="majorHAnsi" w:cstheme="majorBidi"/>
          <w:bCs/>
          <w:color w:val="000000" w:themeColor="text1"/>
          <w:sz w:val="24"/>
          <w:szCs w:val="24"/>
        </w:rPr>
        <w:t>,</w:t>
      </w:r>
      <w:r w:rsidR="00DA1587">
        <w:rPr>
          <w:rFonts w:asciiTheme="majorHAnsi" w:eastAsiaTheme="majorEastAsia" w:hAnsiTheme="majorHAnsi" w:cstheme="majorBidi"/>
          <w:bCs/>
          <w:color w:val="000000" w:themeColor="text1"/>
          <w:sz w:val="24"/>
          <w:szCs w:val="24"/>
        </w:rPr>
        <w:t>786</w:t>
      </w:r>
      <w:r w:rsidRPr="009E0158">
        <w:rPr>
          <w:rFonts w:asciiTheme="majorHAnsi" w:eastAsiaTheme="majorEastAsia" w:hAnsiTheme="majorHAnsi" w:cstheme="majorBidi"/>
          <w:bCs/>
          <w:color w:val="000000" w:themeColor="text1"/>
          <w:sz w:val="24"/>
          <w:szCs w:val="24"/>
        </w:rPr>
        <w:t xml:space="preserve"> </w:t>
      </w:r>
      <w:r>
        <w:rPr>
          <w:rFonts w:asciiTheme="majorHAnsi" w:eastAsiaTheme="majorEastAsia" w:hAnsiTheme="majorHAnsi" w:cstheme="majorBidi"/>
          <w:bCs/>
          <w:color w:val="000000" w:themeColor="text1"/>
          <w:sz w:val="24"/>
          <w:szCs w:val="24"/>
        </w:rPr>
        <w:t xml:space="preserve">jobs </w:t>
      </w:r>
      <w:r w:rsidRPr="009E0158">
        <w:rPr>
          <w:rFonts w:asciiTheme="majorHAnsi" w:eastAsiaTheme="majorEastAsia" w:hAnsiTheme="majorHAnsi" w:cstheme="majorBidi"/>
          <w:bCs/>
          <w:color w:val="000000" w:themeColor="text1"/>
          <w:sz w:val="24"/>
          <w:szCs w:val="24"/>
        </w:rPr>
        <w:t xml:space="preserve">annually. More economic activities result in more </w:t>
      </w:r>
      <w:r>
        <w:rPr>
          <w:rFonts w:asciiTheme="majorHAnsi" w:eastAsiaTheme="majorEastAsia" w:hAnsiTheme="majorHAnsi" w:cstheme="majorBidi"/>
          <w:bCs/>
          <w:color w:val="000000" w:themeColor="text1"/>
          <w:sz w:val="24"/>
          <w:szCs w:val="24"/>
        </w:rPr>
        <w:t xml:space="preserve">state </w:t>
      </w:r>
      <w:r w:rsidRPr="009E0158">
        <w:rPr>
          <w:rFonts w:asciiTheme="majorHAnsi" w:eastAsiaTheme="majorEastAsia" w:hAnsiTheme="majorHAnsi" w:cstheme="majorBidi"/>
          <w:bCs/>
          <w:color w:val="000000" w:themeColor="text1"/>
          <w:sz w:val="24"/>
          <w:szCs w:val="24"/>
        </w:rPr>
        <w:t>revenues, ranging from $</w:t>
      </w:r>
      <w:r w:rsidR="00DA1587">
        <w:rPr>
          <w:rFonts w:asciiTheme="majorHAnsi" w:eastAsiaTheme="majorEastAsia" w:hAnsiTheme="majorHAnsi" w:cstheme="majorBidi"/>
          <w:bCs/>
          <w:color w:val="000000" w:themeColor="text1"/>
          <w:sz w:val="24"/>
          <w:szCs w:val="24"/>
        </w:rPr>
        <w:t>5</w:t>
      </w:r>
      <w:r w:rsidR="006941B4">
        <w:rPr>
          <w:rFonts w:asciiTheme="majorHAnsi" w:eastAsiaTheme="majorEastAsia" w:hAnsiTheme="majorHAnsi" w:cstheme="majorBidi"/>
          <w:bCs/>
          <w:color w:val="000000" w:themeColor="text1"/>
          <w:sz w:val="24"/>
          <w:szCs w:val="24"/>
        </w:rPr>
        <w:t>3.</w:t>
      </w:r>
      <w:r w:rsidR="00DA1587">
        <w:rPr>
          <w:rFonts w:asciiTheme="majorHAnsi" w:eastAsiaTheme="majorEastAsia" w:hAnsiTheme="majorHAnsi" w:cstheme="majorBidi"/>
          <w:bCs/>
          <w:color w:val="000000" w:themeColor="text1"/>
          <w:sz w:val="24"/>
          <w:szCs w:val="24"/>
        </w:rPr>
        <w:t>6</w:t>
      </w:r>
      <w:r w:rsidRPr="009E0158">
        <w:rPr>
          <w:rFonts w:asciiTheme="majorHAnsi" w:eastAsiaTheme="majorEastAsia" w:hAnsiTheme="majorHAnsi" w:cstheme="majorBidi"/>
          <w:bCs/>
          <w:color w:val="000000" w:themeColor="text1"/>
          <w:sz w:val="24"/>
          <w:szCs w:val="24"/>
        </w:rPr>
        <w:t xml:space="preserve"> million to $</w:t>
      </w:r>
      <w:r>
        <w:rPr>
          <w:rFonts w:asciiTheme="majorHAnsi" w:eastAsiaTheme="majorEastAsia" w:hAnsiTheme="majorHAnsi" w:cstheme="majorBidi"/>
          <w:bCs/>
          <w:color w:val="000000" w:themeColor="text1"/>
          <w:sz w:val="24"/>
          <w:szCs w:val="24"/>
        </w:rPr>
        <w:t>1</w:t>
      </w:r>
      <w:r w:rsidR="00DA1587">
        <w:rPr>
          <w:rFonts w:asciiTheme="majorHAnsi" w:eastAsiaTheme="majorEastAsia" w:hAnsiTheme="majorHAnsi" w:cstheme="majorBidi"/>
          <w:bCs/>
          <w:color w:val="000000" w:themeColor="text1"/>
          <w:sz w:val="24"/>
          <w:szCs w:val="24"/>
        </w:rPr>
        <w:t>37</w:t>
      </w:r>
      <w:r w:rsidRPr="009E0158">
        <w:rPr>
          <w:rFonts w:asciiTheme="majorHAnsi" w:eastAsiaTheme="majorEastAsia" w:hAnsiTheme="majorHAnsi" w:cstheme="majorBidi"/>
          <w:bCs/>
          <w:color w:val="000000" w:themeColor="text1"/>
          <w:sz w:val="24"/>
          <w:szCs w:val="24"/>
        </w:rPr>
        <w:t>.</w:t>
      </w:r>
      <w:r w:rsidR="00DA1587">
        <w:rPr>
          <w:rFonts w:asciiTheme="majorHAnsi" w:eastAsiaTheme="majorEastAsia" w:hAnsiTheme="majorHAnsi" w:cstheme="majorBidi"/>
          <w:bCs/>
          <w:color w:val="000000" w:themeColor="text1"/>
          <w:sz w:val="24"/>
          <w:szCs w:val="24"/>
        </w:rPr>
        <w:t xml:space="preserve">1 </w:t>
      </w:r>
      <w:r w:rsidRPr="009E0158">
        <w:rPr>
          <w:rFonts w:asciiTheme="majorHAnsi" w:eastAsiaTheme="majorEastAsia" w:hAnsiTheme="majorHAnsi" w:cstheme="majorBidi"/>
          <w:bCs/>
          <w:color w:val="000000" w:themeColor="text1"/>
          <w:sz w:val="24"/>
          <w:szCs w:val="24"/>
        </w:rPr>
        <w:t>million annually, which partially offset</w:t>
      </w:r>
      <w:r>
        <w:rPr>
          <w:rFonts w:asciiTheme="majorHAnsi" w:eastAsiaTheme="majorEastAsia" w:hAnsiTheme="majorHAnsi" w:cstheme="majorBidi"/>
          <w:bCs/>
          <w:color w:val="000000" w:themeColor="text1"/>
          <w:sz w:val="24"/>
          <w:szCs w:val="24"/>
        </w:rPr>
        <w:t>s</w:t>
      </w:r>
      <w:r w:rsidRPr="009E0158">
        <w:rPr>
          <w:rFonts w:asciiTheme="majorHAnsi" w:eastAsiaTheme="majorEastAsia" w:hAnsiTheme="majorHAnsi" w:cstheme="majorBidi"/>
          <w:bCs/>
          <w:color w:val="000000" w:themeColor="text1"/>
          <w:sz w:val="24"/>
          <w:szCs w:val="24"/>
        </w:rPr>
        <w:t xml:space="preserve"> the </w:t>
      </w:r>
      <w:r>
        <w:rPr>
          <w:rFonts w:asciiTheme="majorHAnsi" w:eastAsiaTheme="majorEastAsia" w:hAnsiTheme="majorHAnsi" w:cstheme="majorBidi"/>
          <w:bCs/>
          <w:color w:val="000000" w:themeColor="text1"/>
          <w:sz w:val="24"/>
          <w:szCs w:val="24"/>
        </w:rPr>
        <w:t xml:space="preserve">cost of </w:t>
      </w:r>
      <w:r w:rsidRPr="009E0158">
        <w:rPr>
          <w:rFonts w:asciiTheme="majorHAnsi" w:eastAsiaTheme="majorEastAsia" w:hAnsiTheme="majorHAnsi" w:cstheme="majorBidi"/>
          <w:bCs/>
          <w:color w:val="000000" w:themeColor="text1"/>
          <w:sz w:val="24"/>
          <w:szCs w:val="24"/>
        </w:rPr>
        <w:t>this tax incentive.</w:t>
      </w:r>
    </w:p>
    <w:p w14:paraId="08869CA1" w14:textId="77777777" w:rsidR="00D330CB" w:rsidRDefault="00D330CB" w:rsidP="00D330CB">
      <w:pPr>
        <w:spacing w:after="0"/>
        <w:rPr>
          <w:rFonts w:asciiTheme="majorHAnsi" w:eastAsiaTheme="majorEastAsia" w:hAnsiTheme="majorHAnsi" w:cstheme="majorBidi"/>
          <w:bCs/>
          <w:color w:val="000000" w:themeColor="text1"/>
          <w:sz w:val="24"/>
          <w:szCs w:val="24"/>
        </w:rPr>
      </w:pPr>
    </w:p>
    <w:p w14:paraId="2F3370AE" w14:textId="77777777" w:rsidR="006941B4" w:rsidRDefault="00D330CB" w:rsidP="00D330CB">
      <w:pPr>
        <w:spacing w:after="0"/>
        <w:jc w:val="center"/>
        <w:rPr>
          <w:rFonts w:asciiTheme="majorHAnsi" w:eastAsiaTheme="majorEastAsia" w:hAnsiTheme="majorHAnsi" w:cstheme="majorBidi"/>
          <w:b/>
          <w:color w:val="000000" w:themeColor="text1"/>
          <w:sz w:val="24"/>
          <w:szCs w:val="24"/>
        </w:rPr>
      </w:pPr>
      <w:r w:rsidRPr="00366FFC">
        <w:rPr>
          <w:rFonts w:asciiTheme="majorHAnsi" w:eastAsiaTheme="majorEastAsia" w:hAnsiTheme="majorHAnsi" w:cstheme="majorBidi"/>
          <w:b/>
          <w:color w:val="000000" w:themeColor="text1"/>
          <w:sz w:val="24"/>
          <w:szCs w:val="24"/>
        </w:rPr>
        <w:t xml:space="preserve">Table </w:t>
      </w:r>
      <w:r>
        <w:rPr>
          <w:rFonts w:asciiTheme="majorHAnsi" w:eastAsiaTheme="majorEastAsia" w:hAnsiTheme="majorHAnsi" w:cstheme="majorBidi"/>
          <w:b/>
          <w:color w:val="000000" w:themeColor="text1"/>
          <w:sz w:val="24"/>
          <w:szCs w:val="24"/>
        </w:rPr>
        <w:t>A</w:t>
      </w:r>
      <w:r w:rsidR="00D328A3">
        <w:rPr>
          <w:rFonts w:asciiTheme="majorHAnsi" w:eastAsiaTheme="majorEastAsia" w:hAnsiTheme="majorHAnsi" w:cstheme="majorBidi"/>
          <w:b/>
          <w:color w:val="000000" w:themeColor="text1"/>
          <w:sz w:val="24"/>
          <w:szCs w:val="24"/>
        </w:rPr>
        <w:t>3</w:t>
      </w:r>
      <w:r w:rsidRPr="00366FFC">
        <w:rPr>
          <w:rFonts w:asciiTheme="majorHAnsi" w:eastAsiaTheme="majorEastAsia" w:hAnsiTheme="majorHAnsi" w:cstheme="majorBidi"/>
          <w:b/>
          <w:color w:val="000000" w:themeColor="text1"/>
          <w:sz w:val="24"/>
          <w:szCs w:val="24"/>
        </w:rPr>
        <w:t xml:space="preserve">. </w:t>
      </w:r>
      <w:r>
        <w:rPr>
          <w:rFonts w:asciiTheme="majorHAnsi" w:eastAsiaTheme="majorEastAsia" w:hAnsiTheme="majorHAnsi" w:cstheme="majorBidi"/>
          <w:b/>
          <w:color w:val="000000" w:themeColor="text1"/>
          <w:sz w:val="24"/>
          <w:szCs w:val="24"/>
        </w:rPr>
        <w:t xml:space="preserve"> Additional Revenue Impact of </w:t>
      </w:r>
      <w:r w:rsidR="006941B4">
        <w:rPr>
          <w:rFonts w:asciiTheme="majorHAnsi" w:eastAsiaTheme="majorEastAsia" w:hAnsiTheme="majorHAnsi" w:cstheme="majorBidi"/>
          <w:b/>
          <w:color w:val="000000" w:themeColor="text1"/>
          <w:sz w:val="24"/>
          <w:szCs w:val="24"/>
        </w:rPr>
        <w:t>S</w:t>
      </w:r>
      <w:r w:rsidR="006941B4" w:rsidRPr="006941B4">
        <w:rPr>
          <w:rFonts w:asciiTheme="majorHAnsi" w:eastAsiaTheme="majorEastAsia" w:hAnsiTheme="majorHAnsi" w:cstheme="majorBidi"/>
          <w:b/>
          <w:color w:val="000000" w:themeColor="text1"/>
          <w:sz w:val="24"/>
          <w:szCs w:val="24"/>
        </w:rPr>
        <w:t xml:space="preserve">ales </w:t>
      </w:r>
      <w:r w:rsidR="006941B4">
        <w:rPr>
          <w:rFonts w:asciiTheme="majorHAnsi" w:eastAsiaTheme="majorEastAsia" w:hAnsiTheme="majorHAnsi" w:cstheme="majorBidi"/>
          <w:b/>
          <w:color w:val="000000" w:themeColor="text1"/>
          <w:sz w:val="24"/>
          <w:szCs w:val="24"/>
        </w:rPr>
        <w:t>T</w:t>
      </w:r>
      <w:r w:rsidR="006941B4" w:rsidRPr="006941B4">
        <w:rPr>
          <w:rFonts w:asciiTheme="majorHAnsi" w:eastAsiaTheme="majorEastAsia" w:hAnsiTheme="majorHAnsi" w:cstheme="majorBidi"/>
          <w:b/>
          <w:color w:val="000000" w:themeColor="text1"/>
          <w:sz w:val="24"/>
          <w:szCs w:val="24"/>
        </w:rPr>
        <w:t xml:space="preserve">ax </w:t>
      </w:r>
      <w:r w:rsidR="006941B4">
        <w:rPr>
          <w:rFonts w:asciiTheme="majorHAnsi" w:eastAsiaTheme="majorEastAsia" w:hAnsiTheme="majorHAnsi" w:cstheme="majorBidi"/>
          <w:b/>
          <w:color w:val="000000" w:themeColor="text1"/>
          <w:sz w:val="24"/>
          <w:szCs w:val="24"/>
        </w:rPr>
        <w:t>E</w:t>
      </w:r>
      <w:r w:rsidR="006941B4" w:rsidRPr="006941B4">
        <w:rPr>
          <w:rFonts w:asciiTheme="majorHAnsi" w:eastAsiaTheme="majorEastAsia" w:hAnsiTheme="majorHAnsi" w:cstheme="majorBidi"/>
          <w:b/>
          <w:color w:val="000000" w:themeColor="text1"/>
          <w:sz w:val="24"/>
          <w:szCs w:val="24"/>
        </w:rPr>
        <w:t xml:space="preserve">xemption </w:t>
      </w:r>
    </w:p>
    <w:p w14:paraId="637692C8" w14:textId="77777777" w:rsidR="00D330CB" w:rsidRDefault="006941B4" w:rsidP="00D330CB">
      <w:pPr>
        <w:spacing w:after="0"/>
        <w:jc w:val="center"/>
        <w:rPr>
          <w:rFonts w:asciiTheme="majorHAnsi" w:eastAsiaTheme="majorEastAsia" w:hAnsiTheme="majorHAnsi" w:cstheme="majorBidi"/>
          <w:b/>
          <w:color w:val="000000" w:themeColor="text1"/>
          <w:sz w:val="24"/>
          <w:szCs w:val="24"/>
        </w:rPr>
      </w:pPr>
      <w:r w:rsidRPr="006941B4">
        <w:rPr>
          <w:rFonts w:asciiTheme="majorHAnsi" w:eastAsiaTheme="majorEastAsia" w:hAnsiTheme="majorHAnsi" w:cstheme="majorBidi"/>
          <w:b/>
          <w:color w:val="000000" w:themeColor="text1"/>
          <w:sz w:val="24"/>
          <w:szCs w:val="24"/>
        </w:rPr>
        <w:t xml:space="preserve">for </w:t>
      </w:r>
      <w:r w:rsidR="00D328A3">
        <w:rPr>
          <w:rFonts w:asciiTheme="majorHAnsi" w:eastAsiaTheme="majorEastAsia" w:hAnsiTheme="majorHAnsi" w:cstheme="majorBidi"/>
          <w:b/>
          <w:color w:val="000000" w:themeColor="text1"/>
          <w:sz w:val="24"/>
          <w:szCs w:val="24"/>
        </w:rPr>
        <w:t>Motor Fuels</w:t>
      </w:r>
    </w:p>
    <w:tbl>
      <w:tblPr>
        <w:tblW w:w="9265" w:type="dxa"/>
        <w:tblLook w:val="04A0" w:firstRow="1" w:lastRow="0" w:firstColumn="1" w:lastColumn="0" w:noHBand="0" w:noVBand="1"/>
      </w:tblPr>
      <w:tblGrid>
        <w:gridCol w:w="3505"/>
        <w:gridCol w:w="1152"/>
        <w:gridCol w:w="1152"/>
        <w:gridCol w:w="1152"/>
        <w:gridCol w:w="1152"/>
        <w:gridCol w:w="1152"/>
      </w:tblGrid>
      <w:tr w:rsidR="00D330CB" w:rsidRPr="006809CE" w14:paraId="0D3E8803" w14:textId="77777777" w:rsidTr="00A47BE2">
        <w:trPr>
          <w:trHeight w:val="500"/>
        </w:trPr>
        <w:tc>
          <w:tcPr>
            <w:tcW w:w="3505"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14:paraId="56E9FF1C" w14:textId="77777777" w:rsidR="00D330CB" w:rsidRPr="006809CE" w:rsidRDefault="00D330CB" w:rsidP="00A47BE2">
            <w:pPr>
              <w:spacing w:after="0" w:line="240" w:lineRule="auto"/>
              <w:jc w:val="center"/>
              <w:rPr>
                <w:rFonts w:ascii="Cambria" w:eastAsia="Times New Roman" w:hAnsi="Cambria" w:cs="Helvetica"/>
                <w:sz w:val="20"/>
                <w:szCs w:val="20"/>
                <w:lang w:eastAsia="ko-KR"/>
              </w:rPr>
            </w:pPr>
            <w:r>
              <w:rPr>
                <w:rFonts w:ascii="Cambria" w:eastAsia="Times New Roman" w:hAnsi="Cambria" w:cs="Helvetica"/>
                <w:sz w:val="20"/>
                <w:szCs w:val="20"/>
                <w:lang w:eastAsia="ko-KR"/>
              </w:rPr>
              <w:t xml:space="preserve">Fiscal </w:t>
            </w:r>
            <w:r w:rsidRPr="006809CE">
              <w:rPr>
                <w:rFonts w:ascii="Cambria" w:eastAsia="Times New Roman" w:hAnsi="Cambria" w:cs="Helvetica"/>
                <w:sz w:val="20"/>
                <w:szCs w:val="20"/>
                <w:lang w:eastAsia="ko-KR"/>
              </w:rPr>
              <w:t>Year</w:t>
            </w:r>
          </w:p>
        </w:tc>
        <w:tc>
          <w:tcPr>
            <w:tcW w:w="1152" w:type="dxa"/>
            <w:tcBorders>
              <w:top w:val="single" w:sz="4" w:space="0" w:color="auto"/>
              <w:left w:val="nil"/>
              <w:bottom w:val="single" w:sz="4" w:space="0" w:color="auto"/>
              <w:right w:val="single" w:sz="4" w:space="0" w:color="auto"/>
            </w:tcBorders>
            <w:shd w:val="clear" w:color="000000" w:fill="B7DEE8"/>
            <w:noWrap/>
            <w:vAlign w:val="center"/>
            <w:hideMark/>
          </w:tcPr>
          <w:p w14:paraId="69ECCA0F" w14:textId="77777777" w:rsidR="00D330CB" w:rsidRPr="006809CE" w:rsidRDefault="00D330CB" w:rsidP="00A47BE2">
            <w:pPr>
              <w:spacing w:after="0" w:line="240" w:lineRule="auto"/>
              <w:jc w:val="center"/>
              <w:rPr>
                <w:rFonts w:ascii="Cambria" w:eastAsia="Times New Roman" w:hAnsi="Cambria" w:cs="Helvetica"/>
                <w:sz w:val="20"/>
                <w:szCs w:val="20"/>
                <w:lang w:eastAsia="ko-KR"/>
              </w:rPr>
            </w:pPr>
            <w:r w:rsidRPr="006809CE">
              <w:rPr>
                <w:rFonts w:ascii="Cambria" w:eastAsia="Times New Roman" w:hAnsi="Cambria" w:cs="Helvetica"/>
                <w:sz w:val="20"/>
                <w:szCs w:val="20"/>
                <w:lang w:eastAsia="ko-KR"/>
              </w:rPr>
              <w:t>2018</w:t>
            </w:r>
          </w:p>
        </w:tc>
        <w:tc>
          <w:tcPr>
            <w:tcW w:w="1152" w:type="dxa"/>
            <w:tcBorders>
              <w:top w:val="single" w:sz="4" w:space="0" w:color="auto"/>
              <w:left w:val="nil"/>
              <w:bottom w:val="single" w:sz="4" w:space="0" w:color="auto"/>
              <w:right w:val="single" w:sz="4" w:space="0" w:color="auto"/>
            </w:tcBorders>
            <w:shd w:val="clear" w:color="000000" w:fill="B7DEE8"/>
            <w:noWrap/>
            <w:vAlign w:val="center"/>
            <w:hideMark/>
          </w:tcPr>
          <w:p w14:paraId="3C108913" w14:textId="77777777" w:rsidR="00D330CB" w:rsidRPr="006809CE" w:rsidRDefault="00D330CB" w:rsidP="00A47BE2">
            <w:pPr>
              <w:spacing w:after="0" w:line="240" w:lineRule="auto"/>
              <w:jc w:val="center"/>
              <w:rPr>
                <w:rFonts w:ascii="Cambria" w:eastAsia="Times New Roman" w:hAnsi="Cambria" w:cs="Helvetica"/>
                <w:sz w:val="20"/>
                <w:szCs w:val="20"/>
                <w:lang w:eastAsia="ko-KR"/>
              </w:rPr>
            </w:pPr>
            <w:r w:rsidRPr="006809CE">
              <w:rPr>
                <w:rFonts w:ascii="Cambria" w:eastAsia="Times New Roman" w:hAnsi="Cambria" w:cs="Helvetica"/>
                <w:sz w:val="20"/>
                <w:szCs w:val="20"/>
                <w:lang w:eastAsia="ko-KR"/>
              </w:rPr>
              <w:t>2019</w:t>
            </w:r>
          </w:p>
        </w:tc>
        <w:tc>
          <w:tcPr>
            <w:tcW w:w="1152" w:type="dxa"/>
            <w:tcBorders>
              <w:top w:val="single" w:sz="4" w:space="0" w:color="auto"/>
              <w:left w:val="nil"/>
              <w:bottom w:val="single" w:sz="4" w:space="0" w:color="auto"/>
              <w:right w:val="single" w:sz="4" w:space="0" w:color="auto"/>
            </w:tcBorders>
            <w:shd w:val="clear" w:color="000000" w:fill="B7DEE8"/>
            <w:noWrap/>
            <w:vAlign w:val="center"/>
            <w:hideMark/>
          </w:tcPr>
          <w:p w14:paraId="61677FC2" w14:textId="77777777" w:rsidR="00D330CB" w:rsidRPr="006809CE" w:rsidRDefault="00D330CB" w:rsidP="00A47BE2">
            <w:pPr>
              <w:spacing w:after="0" w:line="240" w:lineRule="auto"/>
              <w:jc w:val="center"/>
              <w:rPr>
                <w:rFonts w:ascii="Cambria" w:eastAsia="Times New Roman" w:hAnsi="Cambria" w:cs="Helvetica"/>
                <w:sz w:val="20"/>
                <w:szCs w:val="20"/>
                <w:lang w:eastAsia="ko-KR"/>
              </w:rPr>
            </w:pPr>
            <w:r w:rsidRPr="006809CE">
              <w:rPr>
                <w:rFonts w:ascii="Cambria" w:eastAsia="Times New Roman" w:hAnsi="Cambria" w:cs="Helvetica"/>
                <w:sz w:val="20"/>
                <w:szCs w:val="20"/>
                <w:lang w:eastAsia="ko-KR"/>
              </w:rPr>
              <w:t>2020</w:t>
            </w:r>
          </w:p>
        </w:tc>
        <w:tc>
          <w:tcPr>
            <w:tcW w:w="1152" w:type="dxa"/>
            <w:tcBorders>
              <w:top w:val="single" w:sz="4" w:space="0" w:color="auto"/>
              <w:left w:val="nil"/>
              <w:bottom w:val="single" w:sz="4" w:space="0" w:color="auto"/>
              <w:right w:val="single" w:sz="4" w:space="0" w:color="auto"/>
            </w:tcBorders>
            <w:shd w:val="clear" w:color="000000" w:fill="B7DEE8"/>
            <w:noWrap/>
            <w:vAlign w:val="center"/>
            <w:hideMark/>
          </w:tcPr>
          <w:p w14:paraId="5A9D17DB" w14:textId="77777777" w:rsidR="00D330CB" w:rsidRPr="006809CE" w:rsidRDefault="00D330CB" w:rsidP="00A47BE2">
            <w:pPr>
              <w:spacing w:after="0" w:line="240" w:lineRule="auto"/>
              <w:jc w:val="center"/>
              <w:rPr>
                <w:rFonts w:ascii="Cambria" w:eastAsia="Times New Roman" w:hAnsi="Cambria" w:cs="Helvetica"/>
                <w:sz w:val="20"/>
                <w:szCs w:val="20"/>
                <w:lang w:eastAsia="ko-KR"/>
              </w:rPr>
            </w:pPr>
            <w:r w:rsidRPr="006809CE">
              <w:rPr>
                <w:rFonts w:ascii="Cambria" w:eastAsia="Times New Roman" w:hAnsi="Cambria" w:cs="Helvetica"/>
                <w:sz w:val="20"/>
                <w:szCs w:val="20"/>
                <w:lang w:eastAsia="ko-KR"/>
              </w:rPr>
              <w:t>2021</w:t>
            </w:r>
          </w:p>
        </w:tc>
        <w:tc>
          <w:tcPr>
            <w:tcW w:w="1152" w:type="dxa"/>
            <w:tcBorders>
              <w:top w:val="single" w:sz="4" w:space="0" w:color="auto"/>
              <w:left w:val="nil"/>
              <w:bottom w:val="single" w:sz="4" w:space="0" w:color="auto"/>
              <w:right w:val="single" w:sz="4" w:space="0" w:color="auto"/>
            </w:tcBorders>
            <w:shd w:val="clear" w:color="000000" w:fill="B7DEE8"/>
            <w:noWrap/>
            <w:vAlign w:val="center"/>
            <w:hideMark/>
          </w:tcPr>
          <w:p w14:paraId="57A9195A" w14:textId="77777777" w:rsidR="00D330CB" w:rsidRPr="006809CE" w:rsidRDefault="00D330CB" w:rsidP="00A47BE2">
            <w:pPr>
              <w:spacing w:after="0" w:line="240" w:lineRule="auto"/>
              <w:jc w:val="center"/>
              <w:rPr>
                <w:rFonts w:ascii="Cambria" w:eastAsia="Times New Roman" w:hAnsi="Cambria" w:cs="Helvetica"/>
                <w:sz w:val="20"/>
                <w:szCs w:val="20"/>
                <w:lang w:eastAsia="ko-KR"/>
              </w:rPr>
            </w:pPr>
            <w:r w:rsidRPr="006809CE">
              <w:rPr>
                <w:rFonts w:ascii="Cambria" w:eastAsia="Times New Roman" w:hAnsi="Cambria" w:cs="Helvetica"/>
                <w:sz w:val="20"/>
                <w:szCs w:val="20"/>
                <w:lang w:eastAsia="ko-KR"/>
              </w:rPr>
              <w:t>2022</w:t>
            </w:r>
          </w:p>
        </w:tc>
      </w:tr>
      <w:tr w:rsidR="007B1A7A" w:rsidRPr="006809CE" w14:paraId="5408B52A" w14:textId="77777777" w:rsidTr="007B1A7A">
        <w:trPr>
          <w:trHeight w:val="500"/>
        </w:trPr>
        <w:tc>
          <w:tcPr>
            <w:tcW w:w="3505" w:type="dxa"/>
            <w:tcBorders>
              <w:top w:val="nil"/>
              <w:left w:val="single" w:sz="4" w:space="0" w:color="auto"/>
              <w:bottom w:val="single" w:sz="4" w:space="0" w:color="auto"/>
              <w:right w:val="single" w:sz="4" w:space="0" w:color="auto"/>
            </w:tcBorders>
            <w:shd w:val="clear" w:color="auto" w:fill="auto"/>
            <w:vAlign w:val="center"/>
            <w:hideMark/>
          </w:tcPr>
          <w:p w14:paraId="32F4874C" w14:textId="77777777" w:rsidR="007B1A7A" w:rsidRPr="006809CE" w:rsidRDefault="007B1A7A" w:rsidP="007B1A7A">
            <w:pPr>
              <w:spacing w:after="0" w:line="240" w:lineRule="auto"/>
              <w:jc w:val="center"/>
              <w:rPr>
                <w:rFonts w:ascii="Cambria" w:eastAsia="Times New Roman" w:hAnsi="Cambria" w:cs="Helvetica"/>
                <w:sz w:val="20"/>
                <w:szCs w:val="20"/>
                <w:lang w:eastAsia="ko-KR"/>
              </w:rPr>
            </w:pPr>
            <w:r>
              <w:rPr>
                <w:rFonts w:ascii="Cambria" w:eastAsia="Times New Roman" w:hAnsi="Cambria" w:cs="Helvetica"/>
                <w:sz w:val="20"/>
                <w:szCs w:val="20"/>
                <w:lang w:eastAsia="ko-KR"/>
              </w:rPr>
              <w:t>A</w:t>
            </w:r>
            <w:r w:rsidRPr="006809CE">
              <w:rPr>
                <w:rFonts w:ascii="Cambria" w:eastAsia="Times New Roman" w:hAnsi="Cambria" w:cs="Helvetica"/>
                <w:sz w:val="20"/>
                <w:szCs w:val="20"/>
                <w:lang w:eastAsia="ko-KR"/>
              </w:rPr>
              <w:t>dditional revenue impact ($000)</w:t>
            </w:r>
          </w:p>
        </w:tc>
        <w:tc>
          <w:tcPr>
            <w:tcW w:w="11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F74EE4" w14:textId="77777777" w:rsidR="007B1A7A" w:rsidRPr="001C52C6" w:rsidRDefault="007B1A7A" w:rsidP="007B1A7A">
            <w:pPr>
              <w:spacing w:after="0" w:line="240" w:lineRule="auto"/>
              <w:jc w:val="center"/>
              <w:rPr>
                <w:rFonts w:ascii="Cambria" w:hAnsi="Cambria" w:cs="Arial"/>
                <w:sz w:val="20"/>
                <w:szCs w:val="20"/>
              </w:rPr>
            </w:pPr>
            <w:r w:rsidRPr="007B1A7A">
              <w:rPr>
                <w:rFonts w:ascii="Cambria" w:hAnsi="Cambria" w:cs="Arial"/>
                <w:sz w:val="20"/>
                <w:szCs w:val="20"/>
              </w:rPr>
              <w:t>$53,629</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14:paraId="4F9A6A54" w14:textId="77777777" w:rsidR="007B1A7A" w:rsidRPr="001C52C6" w:rsidRDefault="007B1A7A" w:rsidP="007B1A7A">
            <w:pPr>
              <w:spacing w:after="0" w:line="240" w:lineRule="auto"/>
              <w:jc w:val="center"/>
              <w:rPr>
                <w:rFonts w:ascii="Cambria" w:hAnsi="Cambria" w:cs="Arial"/>
                <w:sz w:val="20"/>
                <w:szCs w:val="20"/>
              </w:rPr>
            </w:pPr>
            <w:r w:rsidRPr="007B1A7A">
              <w:rPr>
                <w:rFonts w:ascii="Cambria" w:hAnsi="Cambria" w:cs="Arial"/>
                <w:sz w:val="20"/>
                <w:szCs w:val="20"/>
              </w:rPr>
              <w:t>$118,759</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14:paraId="71EDE8C3" w14:textId="77777777" w:rsidR="007B1A7A" w:rsidRPr="001C52C6" w:rsidRDefault="007B1A7A" w:rsidP="007B1A7A">
            <w:pPr>
              <w:spacing w:after="0" w:line="240" w:lineRule="auto"/>
              <w:jc w:val="center"/>
              <w:rPr>
                <w:rFonts w:ascii="Cambria" w:hAnsi="Cambria" w:cs="Arial"/>
                <w:sz w:val="20"/>
                <w:szCs w:val="20"/>
              </w:rPr>
            </w:pPr>
            <w:r w:rsidRPr="007B1A7A">
              <w:rPr>
                <w:rFonts w:ascii="Cambria" w:hAnsi="Cambria" w:cs="Arial"/>
                <w:sz w:val="20"/>
                <w:szCs w:val="20"/>
              </w:rPr>
              <w:t>$132,714</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14:paraId="4F076F49" w14:textId="77777777" w:rsidR="007B1A7A" w:rsidRPr="001C52C6" w:rsidRDefault="007B1A7A" w:rsidP="007B1A7A">
            <w:pPr>
              <w:spacing w:after="0" w:line="240" w:lineRule="auto"/>
              <w:jc w:val="center"/>
              <w:rPr>
                <w:rFonts w:ascii="Cambria" w:hAnsi="Cambria" w:cs="Arial"/>
                <w:sz w:val="20"/>
                <w:szCs w:val="20"/>
              </w:rPr>
            </w:pPr>
            <w:r w:rsidRPr="007B1A7A">
              <w:rPr>
                <w:rFonts w:ascii="Cambria" w:hAnsi="Cambria" w:cs="Arial"/>
                <w:sz w:val="20"/>
                <w:szCs w:val="20"/>
              </w:rPr>
              <w:t>$136,874</w:t>
            </w:r>
          </w:p>
        </w:tc>
        <w:tc>
          <w:tcPr>
            <w:tcW w:w="1152" w:type="dxa"/>
            <w:tcBorders>
              <w:top w:val="single" w:sz="4" w:space="0" w:color="auto"/>
              <w:left w:val="nil"/>
              <w:bottom w:val="single" w:sz="4" w:space="0" w:color="auto"/>
              <w:right w:val="single" w:sz="4" w:space="0" w:color="auto"/>
            </w:tcBorders>
            <w:shd w:val="clear" w:color="auto" w:fill="auto"/>
            <w:noWrap/>
            <w:vAlign w:val="center"/>
            <w:hideMark/>
          </w:tcPr>
          <w:p w14:paraId="6B451377" w14:textId="77777777" w:rsidR="007B1A7A" w:rsidRPr="001C52C6" w:rsidRDefault="007B1A7A" w:rsidP="007B1A7A">
            <w:pPr>
              <w:spacing w:after="0" w:line="240" w:lineRule="auto"/>
              <w:jc w:val="center"/>
              <w:rPr>
                <w:rFonts w:ascii="Cambria" w:hAnsi="Cambria" w:cs="Arial"/>
                <w:sz w:val="20"/>
                <w:szCs w:val="20"/>
              </w:rPr>
            </w:pPr>
            <w:r w:rsidRPr="007B1A7A">
              <w:rPr>
                <w:rFonts w:ascii="Cambria" w:hAnsi="Cambria" w:cs="Arial"/>
                <w:sz w:val="20"/>
                <w:szCs w:val="20"/>
              </w:rPr>
              <w:t>$137,080</w:t>
            </w:r>
          </w:p>
        </w:tc>
      </w:tr>
    </w:tbl>
    <w:p w14:paraId="6D1AECB0" w14:textId="77777777" w:rsidR="00D330CB" w:rsidRDefault="00D330CB" w:rsidP="00D330CB">
      <w:pPr>
        <w:tabs>
          <w:tab w:val="left" w:pos="7050"/>
        </w:tabs>
        <w:spacing w:after="0"/>
        <w:rPr>
          <w:rFonts w:asciiTheme="majorHAnsi" w:hAnsiTheme="majorHAnsi"/>
          <w:sz w:val="24"/>
          <w:szCs w:val="24"/>
        </w:rPr>
      </w:pPr>
    </w:p>
    <w:p w14:paraId="3CF71360" w14:textId="77777777" w:rsidR="006941B4" w:rsidRDefault="00D330CB" w:rsidP="006941B4">
      <w:pPr>
        <w:spacing w:after="0"/>
        <w:jc w:val="center"/>
        <w:rPr>
          <w:rFonts w:asciiTheme="majorHAnsi" w:eastAsiaTheme="majorEastAsia" w:hAnsiTheme="majorHAnsi" w:cstheme="majorBidi"/>
          <w:b/>
          <w:color w:val="000000" w:themeColor="text1"/>
          <w:sz w:val="24"/>
          <w:szCs w:val="24"/>
        </w:rPr>
      </w:pPr>
      <w:r w:rsidRPr="00366FFC">
        <w:rPr>
          <w:rFonts w:asciiTheme="majorHAnsi" w:eastAsiaTheme="majorEastAsia" w:hAnsiTheme="majorHAnsi" w:cstheme="majorBidi"/>
          <w:b/>
          <w:color w:val="000000" w:themeColor="text1"/>
          <w:sz w:val="24"/>
          <w:szCs w:val="24"/>
        </w:rPr>
        <w:t xml:space="preserve">Table </w:t>
      </w:r>
      <w:r>
        <w:rPr>
          <w:rFonts w:asciiTheme="majorHAnsi" w:eastAsiaTheme="majorEastAsia" w:hAnsiTheme="majorHAnsi" w:cstheme="majorBidi"/>
          <w:b/>
          <w:color w:val="000000" w:themeColor="text1"/>
          <w:sz w:val="24"/>
          <w:szCs w:val="24"/>
        </w:rPr>
        <w:t>A</w:t>
      </w:r>
      <w:r w:rsidR="00D328A3">
        <w:rPr>
          <w:rFonts w:asciiTheme="majorHAnsi" w:eastAsiaTheme="majorEastAsia" w:hAnsiTheme="majorHAnsi" w:cstheme="majorBidi"/>
          <w:b/>
          <w:color w:val="000000" w:themeColor="text1"/>
          <w:sz w:val="24"/>
          <w:szCs w:val="24"/>
        </w:rPr>
        <w:t>4</w:t>
      </w:r>
      <w:r w:rsidRPr="00366FFC">
        <w:rPr>
          <w:rFonts w:asciiTheme="majorHAnsi" w:eastAsiaTheme="majorEastAsia" w:hAnsiTheme="majorHAnsi" w:cstheme="majorBidi"/>
          <w:b/>
          <w:color w:val="000000" w:themeColor="text1"/>
          <w:sz w:val="24"/>
          <w:szCs w:val="24"/>
        </w:rPr>
        <w:t xml:space="preserve">. </w:t>
      </w:r>
      <w:r>
        <w:rPr>
          <w:rFonts w:asciiTheme="majorHAnsi" w:eastAsiaTheme="majorEastAsia" w:hAnsiTheme="majorHAnsi" w:cstheme="majorBidi"/>
          <w:b/>
          <w:color w:val="000000" w:themeColor="text1"/>
          <w:sz w:val="24"/>
          <w:szCs w:val="24"/>
        </w:rPr>
        <w:t xml:space="preserve">Economic Impacts of </w:t>
      </w:r>
      <w:r w:rsidR="006941B4">
        <w:rPr>
          <w:rFonts w:asciiTheme="majorHAnsi" w:eastAsiaTheme="majorEastAsia" w:hAnsiTheme="majorHAnsi" w:cstheme="majorBidi"/>
          <w:b/>
          <w:color w:val="000000" w:themeColor="text1"/>
          <w:sz w:val="24"/>
          <w:szCs w:val="24"/>
        </w:rPr>
        <w:t>S</w:t>
      </w:r>
      <w:r w:rsidR="006941B4" w:rsidRPr="006941B4">
        <w:rPr>
          <w:rFonts w:asciiTheme="majorHAnsi" w:eastAsiaTheme="majorEastAsia" w:hAnsiTheme="majorHAnsi" w:cstheme="majorBidi"/>
          <w:b/>
          <w:color w:val="000000" w:themeColor="text1"/>
          <w:sz w:val="24"/>
          <w:szCs w:val="24"/>
        </w:rPr>
        <w:t xml:space="preserve">ales </w:t>
      </w:r>
      <w:r w:rsidR="006941B4">
        <w:rPr>
          <w:rFonts w:asciiTheme="majorHAnsi" w:eastAsiaTheme="majorEastAsia" w:hAnsiTheme="majorHAnsi" w:cstheme="majorBidi"/>
          <w:b/>
          <w:color w:val="000000" w:themeColor="text1"/>
          <w:sz w:val="24"/>
          <w:szCs w:val="24"/>
        </w:rPr>
        <w:t>T</w:t>
      </w:r>
      <w:r w:rsidR="006941B4" w:rsidRPr="006941B4">
        <w:rPr>
          <w:rFonts w:asciiTheme="majorHAnsi" w:eastAsiaTheme="majorEastAsia" w:hAnsiTheme="majorHAnsi" w:cstheme="majorBidi"/>
          <w:b/>
          <w:color w:val="000000" w:themeColor="text1"/>
          <w:sz w:val="24"/>
          <w:szCs w:val="24"/>
        </w:rPr>
        <w:t xml:space="preserve">ax </w:t>
      </w:r>
      <w:r w:rsidR="006941B4">
        <w:rPr>
          <w:rFonts w:asciiTheme="majorHAnsi" w:eastAsiaTheme="majorEastAsia" w:hAnsiTheme="majorHAnsi" w:cstheme="majorBidi"/>
          <w:b/>
          <w:color w:val="000000" w:themeColor="text1"/>
          <w:sz w:val="24"/>
          <w:szCs w:val="24"/>
        </w:rPr>
        <w:t>E</w:t>
      </w:r>
      <w:r w:rsidR="006941B4" w:rsidRPr="006941B4">
        <w:rPr>
          <w:rFonts w:asciiTheme="majorHAnsi" w:eastAsiaTheme="majorEastAsia" w:hAnsiTheme="majorHAnsi" w:cstheme="majorBidi"/>
          <w:b/>
          <w:color w:val="000000" w:themeColor="text1"/>
          <w:sz w:val="24"/>
          <w:szCs w:val="24"/>
        </w:rPr>
        <w:t xml:space="preserve">xemption </w:t>
      </w:r>
    </w:p>
    <w:p w14:paraId="6DAF1207" w14:textId="77777777" w:rsidR="00D330CB" w:rsidRDefault="006941B4" w:rsidP="00D330CB">
      <w:pPr>
        <w:spacing w:after="0"/>
        <w:jc w:val="center"/>
        <w:rPr>
          <w:rFonts w:asciiTheme="majorHAnsi" w:eastAsiaTheme="majorEastAsia" w:hAnsiTheme="majorHAnsi" w:cstheme="majorBidi"/>
          <w:b/>
          <w:color w:val="000000" w:themeColor="text1"/>
          <w:sz w:val="24"/>
          <w:szCs w:val="24"/>
        </w:rPr>
      </w:pPr>
      <w:r w:rsidRPr="006941B4">
        <w:rPr>
          <w:rFonts w:asciiTheme="majorHAnsi" w:eastAsiaTheme="majorEastAsia" w:hAnsiTheme="majorHAnsi" w:cstheme="majorBidi"/>
          <w:b/>
          <w:color w:val="000000" w:themeColor="text1"/>
          <w:sz w:val="24"/>
          <w:szCs w:val="24"/>
        </w:rPr>
        <w:t xml:space="preserve">for </w:t>
      </w:r>
      <w:r w:rsidR="00D328A3">
        <w:rPr>
          <w:rFonts w:asciiTheme="majorHAnsi" w:eastAsiaTheme="majorEastAsia" w:hAnsiTheme="majorHAnsi" w:cstheme="majorBidi"/>
          <w:b/>
          <w:color w:val="000000" w:themeColor="text1"/>
          <w:sz w:val="24"/>
          <w:szCs w:val="24"/>
        </w:rPr>
        <w:t>Motor Fuels</w:t>
      </w:r>
      <w:r>
        <w:rPr>
          <w:rFonts w:asciiTheme="majorHAnsi" w:eastAsiaTheme="majorEastAsia" w:hAnsiTheme="majorHAnsi" w:cstheme="majorBidi"/>
          <w:b/>
          <w:color w:val="000000" w:themeColor="text1"/>
          <w:sz w:val="24"/>
          <w:szCs w:val="24"/>
        </w:rPr>
        <w:t xml:space="preserve"> </w:t>
      </w:r>
      <w:r w:rsidR="00D330CB">
        <w:rPr>
          <w:rFonts w:asciiTheme="majorHAnsi" w:eastAsiaTheme="majorEastAsia" w:hAnsiTheme="majorHAnsi" w:cstheme="majorBidi"/>
          <w:b/>
          <w:color w:val="000000" w:themeColor="text1"/>
          <w:sz w:val="24"/>
          <w:szCs w:val="24"/>
        </w:rPr>
        <w:t>by Selected Economic Measure</w:t>
      </w:r>
    </w:p>
    <w:tbl>
      <w:tblPr>
        <w:tblW w:w="9350" w:type="dxa"/>
        <w:tblLook w:val="04A0" w:firstRow="1" w:lastRow="0" w:firstColumn="1" w:lastColumn="0" w:noHBand="0" w:noVBand="1"/>
      </w:tblPr>
      <w:tblGrid>
        <w:gridCol w:w="3234"/>
        <w:gridCol w:w="1224"/>
        <w:gridCol w:w="1223"/>
        <w:gridCol w:w="1223"/>
        <w:gridCol w:w="1223"/>
        <w:gridCol w:w="1223"/>
      </w:tblGrid>
      <w:tr w:rsidR="00D330CB" w:rsidRPr="00A94F48" w14:paraId="74CD87BF" w14:textId="77777777" w:rsidTr="00D330CB">
        <w:trPr>
          <w:trHeight w:val="380"/>
        </w:trPr>
        <w:tc>
          <w:tcPr>
            <w:tcW w:w="3234"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14:paraId="705393AC" w14:textId="77777777" w:rsidR="00D330CB" w:rsidRPr="00A94F48" w:rsidRDefault="00D330CB" w:rsidP="00A47BE2">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Calendar Year</w:t>
            </w:r>
          </w:p>
        </w:tc>
        <w:tc>
          <w:tcPr>
            <w:tcW w:w="1224" w:type="dxa"/>
            <w:tcBorders>
              <w:top w:val="single" w:sz="4" w:space="0" w:color="auto"/>
              <w:left w:val="nil"/>
              <w:bottom w:val="single" w:sz="4" w:space="0" w:color="auto"/>
              <w:right w:val="single" w:sz="4" w:space="0" w:color="auto"/>
            </w:tcBorders>
            <w:shd w:val="clear" w:color="000000" w:fill="B7DEE8"/>
            <w:noWrap/>
            <w:vAlign w:val="center"/>
            <w:hideMark/>
          </w:tcPr>
          <w:p w14:paraId="51551483" w14:textId="77777777" w:rsidR="00D330CB" w:rsidRPr="00A94F48" w:rsidRDefault="00D330CB" w:rsidP="00A47BE2">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2018</w:t>
            </w:r>
          </w:p>
        </w:tc>
        <w:tc>
          <w:tcPr>
            <w:tcW w:w="1223" w:type="dxa"/>
            <w:tcBorders>
              <w:top w:val="single" w:sz="4" w:space="0" w:color="auto"/>
              <w:left w:val="nil"/>
              <w:bottom w:val="single" w:sz="4" w:space="0" w:color="auto"/>
              <w:right w:val="single" w:sz="4" w:space="0" w:color="auto"/>
            </w:tcBorders>
            <w:shd w:val="clear" w:color="000000" w:fill="B7DEE8"/>
            <w:noWrap/>
            <w:vAlign w:val="center"/>
            <w:hideMark/>
          </w:tcPr>
          <w:p w14:paraId="4800B623" w14:textId="77777777" w:rsidR="00D330CB" w:rsidRPr="00A94F48" w:rsidRDefault="00D330CB" w:rsidP="00A47BE2">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2019</w:t>
            </w:r>
          </w:p>
        </w:tc>
        <w:tc>
          <w:tcPr>
            <w:tcW w:w="1223" w:type="dxa"/>
            <w:tcBorders>
              <w:top w:val="single" w:sz="4" w:space="0" w:color="auto"/>
              <w:left w:val="nil"/>
              <w:bottom w:val="single" w:sz="4" w:space="0" w:color="auto"/>
              <w:right w:val="single" w:sz="4" w:space="0" w:color="auto"/>
            </w:tcBorders>
            <w:shd w:val="clear" w:color="000000" w:fill="B7DEE8"/>
            <w:noWrap/>
            <w:vAlign w:val="center"/>
            <w:hideMark/>
          </w:tcPr>
          <w:p w14:paraId="5E5840AB" w14:textId="77777777" w:rsidR="00D330CB" w:rsidRPr="00A94F48" w:rsidRDefault="00D330CB" w:rsidP="00A47BE2">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2020</w:t>
            </w:r>
          </w:p>
        </w:tc>
        <w:tc>
          <w:tcPr>
            <w:tcW w:w="1223" w:type="dxa"/>
            <w:tcBorders>
              <w:top w:val="single" w:sz="4" w:space="0" w:color="auto"/>
              <w:left w:val="nil"/>
              <w:bottom w:val="single" w:sz="4" w:space="0" w:color="auto"/>
              <w:right w:val="single" w:sz="4" w:space="0" w:color="auto"/>
            </w:tcBorders>
            <w:shd w:val="clear" w:color="000000" w:fill="B7DEE8"/>
            <w:noWrap/>
            <w:vAlign w:val="center"/>
            <w:hideMark/>
          </w:tcPr>
          <w:p w14:paraId="7AB5C5CC" w14:textId="77777777" w:rsidR="00D330CB" w:rsidRPr="00A94F48" w:rsidRDefault="00D330CB" w:rsidP="00A47BE2">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2021</w:t>
            </w:r>
          </w:p>
        </w:tc>
        <w:tc>
          <w:tcPr>
            <w:tcW w:w="1223" w:type="dxa"/>
            <w:tcBorders>
              <w:top w:val="single" w:sz="4" w:space="0" w:color="auto"/>
              <w:left w:val="nil"/>
              <w:bottom w:val="single" w:sz="4" w:space="0" w:color="auto"/>
              <w:right w:val="single" w:sz="4" w:space="0" w:color="auto"/>
            </w:tcBorders>
            <w:shd w:val="clear" w:color="000000" w:fill="B7DEE8"/>
            <w:noWrap/>
            <w:vAlign w:val="center"/>
            <w:hideMark/>
          </w:tcPr>
          <w:p w14:paraId="2A720F9B" w14:textId="77777777" w:rsidR="00D330CB" w:rsidRPr="00A94F48" w:rsidRDefault="00D330CB" w:rsidP="00A47BE2">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2022</w:t>
            </w:r>
          </w:p>
        </w:tc>
      </w:tr>
      <w:tr w:rsidR="007B1A7A" w:rsidRPr="00A94F48" w14:paraId="5C11549C" w14:textId="77777777" w:rsidTr="007B1A7A">
        <w:trPr>
          <w:trHeight w:val="410"/>
        </w:trPr>
        <w:tc>
          <w:tcPr>
            <w:tcW w:w="3234" w:type="dxa"/>
            <w:tcBorders>
              <w:top w:val="nil"/>
              <w:left w:val="single" w:sz="4" w:space="0" w:color="auto"/>
              <w:bottom w:val="single" w:sz="4" w:space="0" w:color="auto"/>
              <w:right w:val="single" w:sz="4" w:space="0" w:color="auto"/>
            </w:tcBorders>
            <w:shd w:val="clear" w:color="auto" w:fill="auto"/>
            <w:vAlign w:val="center"/>
            <w:hideMark/>
          </w:tcPr>
          <w:p w14:paraId="0BDD8D72" w14:textId="77777777" w:rsidR="007B1A7A" w:rsidRPr="00A94F48" w:rsidRDefault="007B1A7A" w:rsidP="007B1A7A">
            <w:pPr>
              <w:spacing w:after="0" w:line="240" w:lineRule="auto"/>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Impact on total employment</w:t>
            </w:r>
          </w:p>
        </w:tc>
        <w:tc>
          <w:tcPr>
            <w:tcW w:w="12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806FC" w14:textId="77777777" w:rsidR="007B1A7A" w:rsidRPr="001C52C6" w:rsidRDefault="007B1A7A" w:rsidP="007B1A7A">
            <w:pPr>
              <w:spacing w:after="0" w:line="240" w:lineRule="auto"/>
              <w:jc w:val="center"/>
              <w:rPr>
                <w:rFonts w:ascii="Cambria" w:hAnsi="Cambria" w:cs="Arial"/>
                <w:sz w:val="19"/>
                <w:szCs w:val="19"/>
              </w:rPr>
            </w:pPr>
            <w:r w:rsidRPr="007B1A7A">
              <w:rPr>
                <w:rFonts w:ascii="Cambria" w:hAnsi="Cambria" w:cs="Arial"/>
                <w:sz w:val="19"/>
                <w:szCs w:val="19"/>
              </w:rPr>
              <w:t>10,203</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14:paraId="7680D0B4" w14:textId="77777777" w:rsidR="007B1A7A" w:rsidRPr="001C52C6" w:rsidRDefault="007B1A7A" w:rsidP="007B1A7A">
            <w:pPr>
              <w:spacing w:after="0" w:line="240" w:lineRule="auto"/>
              <w:jc w:val="center"/>
              <w:rPr>
                <w:rFonts w:ascii="Cambria" w:hAnsi="Cambria" w:cs="Arial"/>
                <w:sz w:val="19"/>
                <w:szCs w:val="19"/>
              </w:rPr>
            </w:pPr>
            <w:r w:rsidRPr="007B1A7A">
              <w:rPr>
                <w:rFonts w:ascii="Cambria" w:hAnsi="Cambria" w:cs="Arial"/>
                <w:sz w:val="19"/>
                <w:szCs w:val="19"/>
              </w:rPr>
              <w:t>13,261</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14:paraId="46D37D74" w14:textId="77777777" w:rsidR="007B1A7A" w:rsidRPr="001C52C6" w:rsidRDefault="007B1A7A" w:rsidP="007B1A7A">
            <w:pPr>
              <w:spacing w:after="0" w:line="240" w:lineRule="auto"/>
              <w:jc w:val="center"/>
              <w:rPr>
                <w:rFonts w:ascii="Cambria" w:hAnsi="Cambria" w:cs="Arial"/>
                <w:sz w:val="19"/>
                <w:szCs w:val="19"/>
              </w:rPr>
            </w:pPr>
            <w:r w:rsidRPr="007B1A7A">
              <w:rPr>
                <w:rFonts w:ascii="Cambria" w:hAnsi="Cambria" w:cs="Arial"/>
                <w:sz w:val="19"/>
                <w:szCs w:val="19"/>
              </w:rPr>
              <w:t>13,786</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14:paraId="3A80B2EB" w14:textId="77777777" w:rsidR="007B1A7A" w:rsidRPr="001C52C6" w:rsidRDefault="007B1A7A" w:rsidP="007B1A7A">
            <w:pPr>
              <w:spacing w:after="0" w:line="240" w:lineRule="auto"/>
              <w:jc w:val="center"/>
              <w:rPr>
                <w:rFonts w:ascii="Cambria" w:hAnsi="Cambria" w:cs="Arial"/>
                <w:sz w:val="19"/>
                <w:szCs w:val="19"/>
              </w:rPr>
            </w:pPr>
            <w:r w:rsidRPr="007B1A7A">
              <w:rPr>
                <w:rFonts w:ascii="Cambria" w:hAnsi="Cambria" w:cs="Arial"/>
                <w:sz w:val="19"/>
                <w:szCs w:val="19"/>
              </w:rPr>
              <w:t>13,078</w:t>
            </w:r>
          </w:p>
        </w:tc>
        <w:tc>
          <w:tcPr>
            <w:tcW w:w="12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5CAACC" w14:textId="77777777" w:rsidR="007B1A7A" w:rsidRPr="001C52C6" w:rsidRDefault="007B1A7A" w:rsidP="007B1A7A">
            <w:pPr>
              <w:spacing w:after="0" w:line="240" w:lineRule="auto"/>
              <w:jc w:val="center"/>
              <w:rPr>
                <w:rFonts w:ascii="Cambria" w:hAnsi="Cambria" w:cs="Arial"/>
                <w:sz w:val="19"/>
                <w:szCs w:val="19"/>
              </w:rPr>
            </w:pPr>
            <w:r w:rsidRPr="007B1A7A">
              <w:rPr>
                <w:rFonts w:ascii="Cambria" w:hAnsi="Cambria" w:cs="Arial"/>
                <w:sz w:val="19"/>
                <w:szCs w:val="19"/>
              </w:rPr>
              <w:t>11,755</w:t>
            </w:r>
          </w:p>
        </w:tc>
      </w:tr>
      <w:tr w:rsidR="007B1A7A" w:rsidRPr="00A94F48" w14:paraId="5FB43BD0" w14:textId="77777777" w:rsidTr="007B1A7A">
        <w:trPr>
          <w:trHeight w:val="500"/>
        </w:trPr>
        <w:tc>
          <w:tcPr>
            <w:tcW w:w="3234" w:type="dxa"/>
            <w:tcBorders>
              <w:top w:val="nil"/>
              <w:left w:val="single" w:sz="4" w:space="0" w:color="auto"/>
              <w:bottom w:val="single" w:sz="4" w:space="0" w:color="auto"/>
              <w:right w:val="single" w:sz="4" w:space="0" w:color="auto"/>
            </w:tcBorders>
            <w:shd w:val="clear" w:color="auto" w:fill="auto"/>
            <w:vAlign w:val="center"/>
            <w:hideMark/>
          </w:tcPr>
          <w:p w14:paraId="1FE7D24B" w14:textId="77777777" w:rsidR="007B1A7A" w:rsidRPr="00A94F48" w:rsidRDefault="007B1A7A" w:rsidP="007B1A7A">
            <w:pPr>
              <w:spacing w:after="0" w:line="240" w:lineRule="auto"/>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Impact on private non-farm employment</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14:paraId="1B7B571F" w14:textId="77777777" w:rsidR="007B1A7A" w:rsidRPr="001C52C6" w:rsidRDefault="007B1A7A" w:rsidP="007B1A7A">
            <w:pPr>
              <w:spacing w:after="0" w:line="240" w:lineRule="auto"/>
              <w:jc w:val="center"/>
              <w:rPr>
                <w:rFonts w:ascii="Cambria" w:hAnsi="Cambria" w:cs="Arial"/>
                <w:sz w:val="19"/>
                <w:szCs w:val="19"/>
              </w:rPr>
            </w:pPr>
            <w:r w:rsidRPr="007B1A7A">
              <w:rPr>
                <w:rFonts w:ascii="Cambria" w:hAnsi="Cambria" w:cs="Arial"/>
                <w:sz w:val="19"/>
                <w:szCs w:val="19"/>
              </w:rPr>
              <w:t>9,705</w:t>
            </w:r>
          </w:p>
        </w:tc>
        <w:tc>
          <w:tcPr>
            <w:tcW w:w="1223" w:type="dxa"/>
            <w:tcBorders>
              <w:top w:val="nil"/>
              <w:left w:val="nil"/>
              <w:bottom w:val="single" w:sz="4" w:space="0" w:color="auto"/>
              <w:right w:val="single" w:sz="4" w:space="0" w:color="auto"/>
            </w:tcBorders>
            <w:shd w:val="clear" w:color="auto" w:fill="auto"/>
            <w:noWrap/>
            <w:vAlign w:val="center"/>
            <w:hideMark/>
          </w:tcPr>
          <w:p w14:paraId="65CA0BDD" w14:textId="77777777" w:rsidR="007B1A7A" w:rsidRPr="001C52C6" w:rsidRDefault="007B1A7A" w:rsidP="007B1A7A">
            <w:pPr>
              <w:spacing w:after="0" w:line="240" w:lineRule="auto"/>
              <w:jc w:val="center"/>
              <w:rPr>
                <w:rFonts w:ascii="Cambria" w:hAnsi="Cambria" w:cs="Arial"/>
                <w:sz w:val="19"/>
                <w:szCs w:val="19"/>
              </w:rPr>
            </w:pPr>
            <w:r w:rsidRPr="007B1A7A">
              <w:rPr>
                <w:rFonts w:ascii="Cambria" w:hAnsi="Cambria" w:cs="Arial"/>
                <w:sz w:val="19"/>
                <w:szCs w:val="19"/>
              </w:rPr>
              <w:t>12,407</w:t>
            </w:r>
          </w:p>
        </w:tc>
        <w:tc>
          <w:tcPr>
            <w:tcW w:w="1223" w:type="dxa"/>
            <w:tcBorders>
              <w:top w:val="nil"/>
              <w:left w:val="nil"/>
              <w:bottom w:val="single" w:sz="4" w:space="0" w:color="auto"/>
              <w:right w:val="single" w:sz="4" w:space="0" w:color="auto"/>
            </w:tcBorders>
            <w:shd w:val="clear" w:color="auto" w:fill="auto"/>
            <w:noWrap/>
            <w:vAlign w:val="center"/>
            <w:hideMark/>
          </w:tcPr>
          <w:p w14:paraId="133601B1" w14:textId="77777777" w:rsidR="007B1A7A" w:rsidRPr="001C52C6" w:rsidRDefault="007B1A7A" w:rsidP="007B1A7A">
            <w:pPr>
              <w:spacing w:after="0" w:line="240" w:lineRule="auto"/>
              <w:jc w:val="center"/>
              <w:rPr>
                <w:rFonts w:ascii="Cambria" w:hAnsi="Cambria" w:cs="Arial"/>
                <w:sz w:val="19"/>
                <w:szCs w:val="19"/>
              </w:rPr>
            </w:pPr>
            <w:r w:rsidRPr="007B1A7A">
              <w:rPr>
                <w:rFonts w:ascii="Cambria" w:hAnsi="Cambria" w:cs="Arial"/>
                <w:sz w:val="19"/>
                <w:szCs w:val="19"/>
              </w:rPr>
              <w:t>12,729</w:t>
            </w:r>
          </w:p>
        </w:tc>
        <w:tc>
          <w:tcPr>
            <w:tcW w:w="1223" w:type="dxa"/>
            <w:tcBorders>
              <w:top w:val="nil"/>
              <w:left w:val="nil"/>
              <w:bottom w:val="single" w:sz="4" w:space="0" w:color="auto"/>
              <w:right w:val="single" w:sz="4" w:space="0" w:color="auto"/>
            </w:tcBorders>
            <w:shd w:val="clear" w:color="auto" w:fill="auto"/>
            <w:noWrap/>
            <w:vAlign w:val="center"/>
            <w:hideMark/>
          </w:tcPr>
          <w:p w14:paraId="19EBA611" w14:textId="77777777" w:rsidR="007B1A7A" w:rsidRPr="001C52C6" w:rsidRDefault="007B1A7A" w:rsidP="007B1A7A">
            <w:pPr>
              <w:spacing w:after="0" w:line="240" w:lineRule="auto"/>
              <w:jc w:val="center"/>
              <w:rPr>
                <w:rFonts w:ascii="Cambria" w:hAnsi="Cambria" w:cs="Arial"/>
                <w:sz w:val="19"/>
                <w:szCs w:val="19"/>
              </w:rPr>
            </w:pPr>
            <w:r w:rsidRPr="007B1A7A">
              <w:rPr>
                <w:rFonts w:ascii="Cambria" w:hAnsi="Cambria" w:cs="Arial"/>
                <w:sz w:val="19"/>
                <w:szCs w:val="19"/>
              </w:rPr>
              <w:t>11,929</w:t>
            </w:r>
          </w:p>
        </w:tc>
        <w:tc>
          <w:tcPr>
            <w:tcW w:w="1223" w:type="dxa"/>
            <w:tcBorders>
              <w:top w:val="nil"/>
              <w:left w:val="single" w:sz="4" w:space="0" w:color="auto"/>
              <w:bottom w:val="single" w:sz="4" w:space="0" w:color="auto"/>
              <w:right w:val="single" w:sz="4" w:space="0" w:color="auto"/>
            </w:tcBorders>
            <w:shd w:val="clear" w:color="auto" w:fill="auto"/>
            <w:noWrap/>
            <w:vAlign w:val="center"/>
            <w:hideMark/>
          </w:tcPr>
          <w:p w14:paraId="004E8796" w14:textId="77777777" w:rsidR="007B1A7A" w:rsidRPr="001C52C6" w:rsidRDefault="007B1A7A" w:rsidP="007B1A7A">
            <w:pPr>
              <w:spacing w:after="0" w:line="240" w:lineRule="auto"/>
              <w:jc w:val="center"/>
              <w:rPr>
                <w:rFonts w:ascii="Cambria" w:hAnsi="Cambria" w:cs="Arial"/>
                <w:sz w:val="19"/>
                <w:szCs w:val="19"/>
              </w:rPr>
            </w:pPr>
            <w:r w:rsidRPr="007B1A7A">
              <w:rPr>
                <w:rFonts w:ascii="Cambria" w:hAnsi="Cambria" w:cs="Arial"/>
                <w:sz w:val="19"/>
                <w:szCs w:val="19"/>
              </w:rPr>
              <w:t>10,591</w:t>
            </w:r>
          </w:p>
        </w:tc>
      </w:tr>
      <w:tr w:rsidR="007B1A7A" w:rsidRPr="00A94F48" w14:paraId="76533ADC" w14:textId="77777777" w:rsidTr="007B1A7A">
        <w:trPr>
          <w:trHeight w:val="500"/>
        </w:trPr>
        <w:tc>
          <w:tcPr>
            <w:tcW w:w="3234" w:type="dxa"/>
            <w:tcBorders>
              <w:top w:val="nil"/>
              <w:left w:val="single" w:sz="4" w:space="0" w:color="auto"/>
              <w:bottom w:val="single" w:sz="4" w:space="0" w:color="auto"/>
              <w:right w:val="single" w:sz="4" w:space="0" w:color="auto"/>
            </w:tcBorders>
            <w:shd w:val="clear" w:color="auto" w:fill="auto"/>
            <w:vAlign w:val="center"/>
            <w:hideMark/>
          </w:tcPr>
          <w:p w14:paraId="20678EDB" w14:textId="77777777" w:rsidR="007B1A7A" w:rsidRPr="00A94F48" w:rsidRDefault="007B1A7A" w:rsidP="007B1A7A">
            <w:pPr>
              <w:spacing w:after="0" w:line="240" w:lineRule="auto"/>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Impact on GDP ($000), real dollars (2012)</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14:paraId="3FE025D3" w14:textId="77777777" w:rsidR="007B1A7A" w:rsidRPr="001C52C6" w:rsidRDefault="007B1A7A" w:rsidP="007B1A7A">
            <w:pPr>
              <w:spacing w:after="0" w:line="240" w:lineRule="auto"/>
              <w:jc w:val="center"/>
              <w:rPr>
                <w:rFonts w:ascii="Cambria" w:hAnsi="Cambria" w:cs="Arial"/>
                <w:sz w:val="20"/>
                <w:szCs w:val="20"/>
              </w:rPr>
            </w:pPr>
            <w:r w:rsidRPr="007B1A7A">
              <w:rPr>
                <w:rFonts w:ascii="Cambria" w:hAnsi="Cambria" w:cs="Arial"/>
                <w:sz w:val="20"/>
                <w:szCs w:val="20"/>
              </w:rPr>
              <w:t>$870,000</w:t>
            </w:r>
          </w:p>
        </w:tc>
        <w:tc>
          <w:tcPr>
            <w:tcW w:w="1223" w:type="dxa"/>
            <w:tcBorders>
              <w:top w:val="nil"/>
              <w:left w:val="nil"/>
              <w:bottom w:val="single" w:sz="4" w:space="0" w:color="auto"/>
              <w:right w:val="single" w:sz="4" w:space="0" w:color="auto"/>
            </w:tcBorders>
            <w:shd w:val="clear" w:color="auto" w:fill="auto"/>
            <w:noWrap/>
            <w:vAlign w:val="center"/>
            <w:hideMark/>
          </w:tcPr>
          <w:p w14:paraId="1517E752" w14:textId="77777777" w:rsidR="007B1A7A" w:rsidRPr="001C52C6" w:rsidRDefault="007B1A7A" w:rsidP="007B1A7A">
            <w:pPr>
              <w:spacing w:after="0" w:line="240" w:lineRule="auto"/>
              <w:jc w:val="center"/>
              <w:rPr>
                <w:rFonts w:ascii="Cambria" w:hAnsi="Cambria" w:cs="Arial"/>
                <w:sz w:val="20"/>
                <w:szCs w:val="20"/>
              </w:rPr>
            </w:pPr>
            <w:r w:rsidRPr="007B1A7A">
              <w:rPr>
                <w:rFonts w:ascii="Cambria" w:hAnsi="Cambria" w:cs="Arial"/>
                <w:sz w:val="20"/>
                <w:szCs w:val="20"/>
              </w:rPr>
              <w:t>$1,159,000</w:t>
            </w:r>
          </w:p>
        </w:tc>
        <w:tc>
          <w:tcPr>
            <w:tcW w:w="1223" w:type="dxa"/>
            <w:tcBorders>
              <w:top w:val="nil"/>
              <w:left w:val="nil"/>
              <w:bottom w:val="single" w:sz="4" w:space="0" w:color="auto"/>
              <w:right w:val="single" w:sz="4" w:space="0" w:color="auto"/>
            </w:tcBorders>
            <w:shd w:val="clear" w:color="auto" w:fill="auto"/>
            <w:noWrap/>
            <w:vAlign w:val="center"/>
            <w:hideMark/>
          </w:tcPr>
          <w:p w14:paraId="5111FC32" w14:textId="77777777" w:rsidR="007B1A7A" w:rsidRPr="001C52C6" w:rsidRDefault="007B1A7A" w:rsidP="007B1A7A">
            <w:pPr>
              <w:spacing w:after="0" w:line="240" w:lineRule="auto"/>
              <w:jc w:val="center"/>
              <w:rPr>
                <w:rFonts w:ascii="Cambria" w:hAnsi="Cambria" w:cs="Arial"/>
                <w:sz w:val="20"/>
                <w:szCs w:val="20"/>
              </w:rPr>
            </w:pPr>
            <w:r w:rsidRPr="007B1A7A">
              <w:rPr>
                <w:rFonts w:ascii="Cambria" w:hAnsi="Cambria" w:cs="Arial"/>
                <w:sz w:val="20"/>
                <w:szCs w:val="20"/>
              </w:rPr>
              <w:t>$1,227,000</w:t>
            </w:r>
          </w:p>
        </w:tc>
        <w:tc>
          <w:tcPr>
            <w:tcW w:w="1223" w:type="dxa"/>
            <w:tcBorders>
              <w:top w:val="nil"/>
              <w:left w:val="nil"/>
              <w:bottom w:val="single" w:sz="4" w:space="0" w:color="auto"/>
              <w:right w:val="single" w:sz="4" w:space="0" w:color="auto"/>
            </w:tcBorders>
            <w:shd w:val="clear" w:color="auto" w:fill="auto"/>
            <w:noWrap/>
            <w:vAlign w:val="center"/>
            <w:hideMark/>
          </w:tcPr>
          <w:p w14:paraId="3A04E7FA" w14:textId="77777777" w:rsidR="007B1A7A" w:rsidRPr="001C52C6" w:rsidRDefault="007B1A7A" w:rsidP="007B1A7A">
            <w:pPr>
              <w:spacing w:after="0" w:line="240" w:lineRule="auto"/>
              <w:jc w:val="center"/>
              <w:rPr>
                <w:rFonts w:ascii="Cambria" w:hAnsi="Cambria" w:cs="Arial"/>
                <w:sz w:val="20"/>
                <w:szCs w:val="20"/>
              </w:rPr>
            </w:pPr>
            <w:r w:rsidRPr="007B1A7A">
              <w:rPr>
                <w:rFonts w:ascii="Cambria" w:hAnsi="Cambria" w:cs="Arial"/>
                <w:sz w:val="20"/>
                <w:szCs w:val="20"/>
              </w:rPr>
              <w:t>$1,187,000</w:t>
            </w:r>
          </w:p>
        </w:tc>
        <w:tc>
          <w:tcPr>
            <w:tcW w:w="1223" w:type="dxa"/>
            <w:tcBorders>
              <w:top w:val="nil"/>
              <w:left w:val="single" w:sz="4" w:space="0" w:color="auto"/>
              <w:bottom w:val="single" w:sz="4" w:space="0" w:color="auto"/>
              <w:right w:val="single" w:sz="4" w:space="0" w:color="auto"/>
            </w:tcBorders>
            <w:shd w:val="clear" w:color="auto" w:fill="auto"/>
            <w:noWrap/>
            <w:vAlign w:val="center"/>
            <w:hideMark/>
          </w:tcPr>
          <w:p w14:paraId="6944252E" w14:textId="77777777" w:rsidR="007B1A7A" w:rsidRPr="001C52C6" w:rsidRDefault="007B1A7A" w:rsidP="007B1A7A">
            <w:pPr>
              <w:spacing w:after="0" w:line="240" w:lineRule="auto"/>
              <w:jc w:val="center"/>
              <w:rPr>
                <w:rFonts w:ascii="Cambria" w:hAnsi="Cambria" w:cs="Arial"/>
                <w:sz w:val="20"/>
                <w:szCs w:val="20"/>
              </w:rPr>
            </w:pPr>
            <w:r w:rsidRPr="007B1A7A">
              <w:rPr>
                <w:rFonts w:ascii="Cambria" w:hAnsi="Cambria" w:cs="Arial"/>
                <w:sz w:val="20"/>
                <w:szCs w:val="20"/>
              </w:rPr>
              <w:t>$1,088,000</w:t>
            </w:r>
          </w:p>
        </w:tc>
      </w:tr>
      <w:tr w:rsidR="007B1A7A" w:rsidRPr="00A94F48" w14:paraId="2E8200D7" w14:textId="77777777" w:rsidTr="007B1A7A">
        <w:trPr>
          <w:trHeight w:val="500"/>
        </w:trPr>
        <w:tc>
          <w:tcPr>
            <w:tcW w:w="3234" w:type="dxa"/>
            <w:tcBorders>
              <w:top w:val="nil"/>
              <w:left w:val="single" w:sz="4" w:space="0" w:color="auto"/>
              <w:bottom w:val="single" w:sz="4" w:space="0" w:color="auto"/>
              <w:right w:val="single" w:sz="4" w:space="0" w:color="auto"/>
            </w:tcBorders>
            <w:shd w:val="clear" w:color="auto" w:fill="auto"/>
            <w:vAlign w:val="center"/>
            <w:hideMark/>
          </w:tcPr>
          <w:p w14:paraId="7206125D" w14:textId="77777777" w:rsidR="007B1A7A" w:rsidRPr="00A94F48" w:rsidRDefault="007B1A7A" w:rsidP="007B1A7A">
            <w:pPr>
              <w:spacing w:after="0" w:line="240" w:lineRule="auto"/>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Impact on personal income ($000)</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14:paraId="6DFB7125" w14:textId="77777777" w:rsidR="007B1A7A" w:rsidRPr="001C52C6" w:rsidRDefault="007B1A7A" w:rsidP="007B1A7A">
            <w:pPr>
              <w:spacing w:after="0" w:line="240" w:lineRule="auto"/>
              <w:jc w:val="center"/>
              <w:rPr>
                <w:rFonts w:ascii="Cambria" w:hAnsi="Cambria" w:cs="Arial"/>
                <w:sz w:val="20"/>
                <w:szCs w:val="20"/>
              </w:rPr>
            </w:pPr>
            <w:r w:rsidRPr="007B1A7A">
              <w:rPr>
                <w:rFonts w:ascii="Cambria" w:hAnsi="Cambria" w:cs="Arial"/>
                <w:sz w:val="20"/>
                <w:szCs w:val="20"/>
              </w:rPr>
              <w:t>$880,000</w:t>
            </w:r>
          </w:p>
        </w:tc>
        <w:tc>
          <w:tcPr>
            <w:tcW w:w="1223" w:type="dxa"/>
            <w:tcBorders>
              <w:top w:val="nil"/>
              <w:left w:val="nil"/>
              <w:bottom w:val="single" w:sz="4" w:space="0" w:color="auto"/>
              <w:right w:val="single" w:sz="4" w:space="0" w:color="auto"/>
            </w:tcBorders>
            <w:shd w:val="clear" w:color="auto" w:fill="auto"/>
            <w:noWrap/>
            <w:vAlign w:val="center"/>
            <w:hideMark/>
          </w:tcPr>
          <w:p w14:paraId="62307FEA" w14:textId="77777777" w:rsidR="007B1A7A" w:rsidRPr="001C52C6" w:rsidRDefault="007B1A7A" w:rsidP="007B1A7A">
            <w:pPr>
              <w:spacing w:after="0" w:line="240" w:lineRule="auto"/>
              <w:jc w:val="center"/>
              <w:rPr>
                <w:rFonts w:ascii="Cambria" w:hAnsi="Cambria" w:cs="Arial"/>
                <w:sz w:val="20"/>
                <w:szCs w:val="20"/>
              </w:rPr>
            </w:pPr>
            <w:r w:rsidRPr="007B1A7A">
              <w:rPr>
                <w:rFonts w:ascii="Cambria" w:hAnsi="Cambria" w:cs="Arial"/>
                <w:sz w:val="20"/>
                <w:szCs w:val="20"/>
              </w:rPr>
              <w:t>$1,222,000</w:t>
            </w:r>
          </w:p>
        </w:tc>
        <w:tc>
          <w:tcPr>
            <w:tcW w:w="1223" w:type="dxa"/>
            <w:tcBorders>
              <w:top w:val="nil"/>
              <w:left w:val="nil"/>
              <w:bottom w:val="single" w:sz="4" w:space="0" w:color="auto"/>
              <w:right w:val="single" w:sz="4" w:space="0" w:color="auto"/>
            </w:tcBorders>
            <w:shd w:val="clear" w:color="auto" w:fill="auto"/>
            <w:noWrap/>
            <w:vAlign w:val="center"/>
            <w:hideMark/>
          </w:tcPr>
          <w:p w14:paraId="79A82E5D" w14:textId="77777777" w:rsidR="007B1A7A" w:rsidRPr="001C52C6" w:rsidRDefault="007B1A7A" w:rsidP="007B1A7A">
            <w:pPr>
              <w:spacing w:after="0" w:line="240" w:lineRule="auto"/>
              <w:jc w:val="center"/>
              <w:rPr>
                <w:rFonts w:ascii="Cambria" w:hAnsi="Cambria" w:cs="Arial"/>
                <w:sz w:val="20"/>
                <w:szCs w:val="20"/>
              </w:rPr>
            </w:pPr>
            <w:r w:rsidRPr="007B1A7A">
              <w:rPr>
                <w:rFonts w:ascii="Cambria" w:hAnsi="Cambria" w:cs="Arial"/>
                <w:sz w:val="20"/>
                <w:szCs w:val="20"/>
              </w:rPr>
              <w:t>$1,382,000</w:t>
            </w:r>
          </w:p>
        </w:tc>
        <w:tc>
          <w:tcPr>
            <w:tcW w:w="1223" w:type="dxa"/>
            <w:tcBorders>
              <w:top w:val="nil"/>
              <w:left w:val="nil"/>
              <w:bottom w:val="single" w:sz="4" w:space="0" w:color="auto"/>
              <w:right w:val="single" w:sz="4" w:space="0" w:color="auto"/>
            </w:tcBorders>
            <w:shd w:val="clear" w:color="auto" w:fill="auto"/>
            <w:noWrap/>
            <w:vAlign w:val="center"/>
            <w:hideMark/>
          </w:tcPr>
          <w:p w14:paraId="44079760" w14:textId="77777777" w:rsidR="007B1A7A" w:rsidRPr="001C52C6" w:rsidRDefault="007B1A7A" w:rsidP="007B1A7A">
            <w:pPr>
              <w:spacing w:after="0" w:line="240" w:lineRule="auto"/>
              <w:jc w:val="center"/>
              <w:rPr>
                <w:rFonts w:ascii="Cambria" w:hAnsi="Cambria" w:cs="Arial"/>
                <w:sz w:val="20"/>
                <w:szCs w:val="20"/>
              </w:rPr>
            </w:pPr>
            <w:r w:rsidRPr="007B1A7A">
              <w:rPr>
                <w:rFonts w:ascii="Cambria" w:hAnsi="Cambria" w:cs="Arial"/>
                <w:sz w:val="20"/>
                <w:szCs w:val="20"/>
              </w:rPr>
              <w:t>$1,436,000</w:t>
            </w:r>
          </w:p>
        </w:tc>
        <w:tc>
          <w:tcPr>
            <w:tcW w:w="1223" w:type="dxa"/>
            <w:tcBorders>
              <w:top w:val="nil"/>
              <w:left w:val="single" w:sz="4" w:space="0" w:color="auto"/>
              <w:bottom w:val="single" w:sz="4" w:space="0" w:color="auto"/>
              <w:right w:val="single" w:sz="4" w:space="0" w:color="auto"/>
            </w:tcBorders>
            <w:shd w:val="clear" w:color="auto" w:fill="auto"/>
            <w:noWrap/>
            <w:vAlign w:val="center"/>
            <w:hideMark/>
          </w:tcPr>
          <w:p w14:paraId="724725CC" w14:textId="77777777" w:rsidR="007B1A7A" w:rsidRPr="001C52C6" w:rsidRDefault="007B1A7A" w:rsidP="007B1A7A">
            <w:pPr>
              <w:spacing w:after="0" w:line="240" w:lineRule="auto"/>
              <w:jc w:val="center"/>
              <w:rPr>
                <w:rFonts w:ascii="Cambria" w:hAnsi="Cambria" w:cs="Arial"/>
                <w:sz w:val="20"/>
                <w:szCs w:val="20"/>
              </w:rPr>
            </w:pPr>
            <w:r w:rsidRPr="007B1A7A">
              <w:rPr>
                <w:rFonts w:ascii="Cambria" w:hAnsi="Cambria" w:cs="Arial"/>
                <w:sz w:val="20"/>
                <w:szCs w:val="20"/>
              </w:rPr>
              <w:t>$1,412,000</w:t>
            </w:r>
          </w:p>
        </w:tc>
      </w:tr>
    </w:tbl>
    <w:p w14:paraId="4C670A27" w14:textId="77777777" w:rsidR="009F1361" w:rsidRDefault="009F1361" w:rsidP="00D330CB">
      <w:pPr>
        <w:rPr>
          <w:rFonts w:asciiTheme="majorHAnsi" w:hAnsiTheme="majorHAnsi"/>
          <w:b/>
          <w:sz w:val="24"/>
          <w:szCs w:val="24"/>
        </w:rPr>
      </w:pPr>
    </w:p>
    <w:p w14:paraId="27FD500A" w14:textId="77777777" w:rsidR="00D328A3" w:rsidRDefault="00D328A3" w:rsidP="00D330CB">
      <w:pPr>
        <w:rPr>
          <w:rFonts w:asciiTheme="majorHAnsi" w:hAnsiTheme="majorHAnsi"/>
          <w:b/>
          <w:sz w:val="24"/>
          <w:szCs w:val="24"/>
        </w:rPr>
      </w:pPr>
    </w:p>
    <w:p w14:paraId="3BF44941" w14:textId="77777777" w:rsidR="00D328A3" w:rsidRDefault="00D328A3" w:rsidP="00D330CB">
      <w:pPr>
        <w:rPr>
          <w:rFonts w:asciiTheme="majorHAnsi" w:hAnsiTheme="majorHAnsi"/>
          <w:b/>
          <w:sz w:val="24"/>
          <w:szCs w:val="24"/>
        </w:rPr>
      </w:pPr>
    </w:p>
    <w:p w14:paraId="25AB103E" w14:textId="77777777" w:rsidR="00D330CB" w:rsidRDefault="00D330CB" w:rsidP="00D330CB">
      <w:pPr>
        <w:rPr>
          <w:rFonts w:asciiTheme="majorHAnsi" w:hAnsiTheme="majorHAnsi"/>
          <w:b/>
          <w:sz w:val="24"/>
          <w:szCs w:val="24"/>
        </w:rPr>
      </w:pPr>
      <w:r w:rsidRPr="00782E31">
        <w:rPr>
          <w:rFonts w:asciiTheme="majorHAnsi" w:hAnsiTheme="majorHAnsi"/>
          <w:b/>
          <w:sz w:val="24"/>
          <w:szCs w:val="24"/>
        </w:rPr>
        <w:lastRenderedPageBreak/>
        <w:t>Comparison of costs and benefits</w:t>
      </w:r>
    </w:p>
    <w:p w14:paraId="2E9AD4E5" w14:textId="113D1107" w:rsidR="00D330CB" w:rsidRDefault="00D62DBC" w:rsidP="00D330CB">
      <w:pPr>
        <w:tabs>
          <w:tab w:val="left" w:pos="7050"/>
        </w:tabs>
        <w:spacing w:after="0"/>
        <w:rPr>
          <w:rFonts w:asciiTheme="majorHAnsi" w:hAnsiTheme="majorHAnsi"/>
          <w:bCs/>
          <w:sz w:val="24"/>
          <w:szCs w:val="23"/>
        </w:rPr>
      </w:pPr>
      <w:r>
        <w:rPr>
          <w:rFonts w:asciiTheme="majorHAnsi" w:hAnsiTheme="majorHAnsi"/>
          <w:bCs/>
          <w:sz w:val="24"/>
          <w:szCs w:val="23"/>
        </w:rPr>
        <w:t>Ignoring the opportunity cost of the tax incentive</w:t>
      </w:r>
      <w:r w:rsidR="00D330CB">
        <w:rPr>
          <w:rFonts w:asciiTheme="majorHAnsi" w:hAnsiTheme="majorHAnsi"/>
          <w:bCs/>
          <w:sz w:val="24"/>
          <w:szCs w:val="23"/>
        </w:rPr>
        <w:t xml:space="preserve">, total benefits are greater than costs. Considering the opportunity cost means asking what benefits would </w:t>
      </w:r>
      <w:r>
        <w:rPr>
          <w:rFonts w:asciiTheme="majorHAnsi" w:hAnsiTheme="majorHAnsi"/>
          <w:bCs/>
          <w:sz w:val="24"/>
          <w:szCs w:val="23"/>
        </w:rPr>
        <w:t>be reaped</w:t>
      </w:r>
      <w:r w:rsidR="00D330CB">
        <w:rPr>
          <w:rFonts w:asciiTheme="majorHAnsi" w:hAnsiTheme="majorHAnsi"/>
          <w:bCs/>
          <w:sz w:val="24"/>
          <w:szCs w:val="23"/>
        </w:rPr>
        <w:t xml:space="preserve"> if the Commonwealth </w:t>
      </w:r>
      <w:r>
        <w:rPr>
          <w:rFonts w:asciiTheme="majorHAnsi" w:hAnsiTheme="majorHAnsi"/>
          <w:bCs/>
          <w:sz w:val="24"/>
          <w:szCs w:val="23"/>
        </w:rPr>
        <w:t>used the dollars spent on the tax incentive for other purposes</w:t>
      </w:r>
      <w:r w:rsidR="00D330CB">
        <w:rPr>
          <w:rFonts w:asciiTheme="majorHAnsi" w:hAnsiTheme="majorHAnsi"/>
          <w:bCs/>
          <w:sz w:val="24"/>
          <w:szCs w:val="23"/>
        </w:rPr>
        <w:t xml:space="preserve">. </w:t>
      </w:r>
      <w:r w:rsidR="004E260A">
        <w:rPr>
          <w:rFonts w:asciiTheme="majorHAnsi" w:hAnsiTheme="majorHAnsi"/>
          <w:bCs/>
          <w:sz w:val="24"/>
          <w:szCs w:val="23"/>
        </w:rPr>
        <w:t xml:space="preserve">Those dollars could be spent in many other </w:t>
      </w:r>
      <w:proofErr w:type="gramStart"/>
      <w:r w:rsidR="004E260A">
        <w:rPr>
          <w:rFonts w:asciiTheme="majorHAnsi" w:hAnsiTheme="majorHAnsi"/>
          <w:bCs/>
          <w:sz w:val="24"/>
          <w:szCs w:val="23"/>
        </w:rPr>
        <w:t xml:space="preserve">ways, </w:t>
      </w:r>
      <w:r w:rsidR="00D330CB">
        <w:rPr>
          <w:rFonts w:asciiTheme="majorHAnsi" w:hAnsiTheme="majorHAnsi"/>
          <w:bCs/>
          <w:sz w:val="24"/>
          <w:szCs w:val="23"/>
        </w:rPr>
        <w:t>and</w:t>
      </w:r>
      <w:proofErr w:type="gramEnd"/>
      <w:r w:rsidR="00D330CB">
        <w:rPr>
          <w:rFonts w:asciiTheme="majorHAnsi" w:hAnsiTheme="majorHAnsi"/>
          <w:bCs/>
          <w:sz w:val="24"/>
          <w:szCs w:val="23"/>
        </w:rPr>
        <w:t xml:space="preserve"> examining them is beyond the scope of the current evaluation report.  Nonetheless, we reported net impacts of the tax incentive in Tables A</w:t>
      </w:r>
      <w:r w:rsidR="00D328A3">
        <w:rPr>
          <w:rFonts w:asciiTheme="majorHAnsi" w:hAnsiTheme="majorHAnsi"/>
          <w:bCs/>
          <w:sz w:val="24"/>
          <w:szCs w:val="23"/>
        </w:rPr>
        <w:t>5</w:t>
      </w:r>
      <w:r w:rsidR="00D330CB">
        <w:rPr>
          <w:rFonts w:asciiTheme="majorHAnsi" w:hAnsiTheme="majorHAnsi"/>
          <w:bCs/>
          <w:sz w:val="24"/>
          <w:szCs w:val="23"/>
        </w:rPr>
        <w:t xml:space="preserve"> and A</w:t>
      </w:r>
      <w:r w:rsidR="00D328A3">
        <w:rPr>
          <w:rFonts w:asciiTheme="majorHAnsi" w:hAnsiTheme="majorHAnsi"/>
          <w:bCs/>
          <w:sz w:val="24"/>
          <w:szCs w:val="23"/>
        </w:rPr>
        <w:t>6</w:t>
      </w:r>
      <w:r w:rsidR="00D330CB">
        <w:rPr>
          <w:rFonts w:asciiTheme="majorHAnsi" w:hAnsiTheme="majorHAnsi"/>
          <w:bCs/>
          <w:sz w:val="24"/>
          <w:szCs w:val="23"/>
        </w:rPr>
        <w:t xml:space="preserve"> below under the balanced budget requirement, which are the combined effects in Tables A</w:t>
      </w:r>
      <w:r w:rsidR="00D328A3">
        <w:rPr>
          <w:rFonts w:asciiTheme="majorHAnsi" w:hAnsiTheme="majorHAnsi"/>
          <w:bCs/>
          <w:sz w:val="24"/>
          <w:szCs w:val="23"/>
        </w:rPr>
        <w:t>1</w:t>
      </w:r>
      <w:r w:rsidR="00D330CB">
        <w:rPr>
          <w:rFonts w:asciiTheme="majorHAnsi" w:hAnsiTheme="majorHAnsi"/>
          <w:bCs/>
          <w:sz w:val="24"/>
          <w:szCs w:val="23"/>
        </w:rPr>
        <w:t>-A</w:t>
      </w:r>
      <w:r w:rsidR="00D328A3">
        <w:rPr>
          <w:rFonts w:asciiTheme="majorHAnsi" w:hAnsiTheme="majorHAnsi"/>
          <w:bCs/>
          <w:sz w:val="24"/>
          <w:szCs w:val="23"/>
        </w:rPr>
        <w:t>4</w:t>
      </w:r>
      <w:r w:rsidR="00D330CB">
        <w:rPr>
          <w:rFonts w:asciiTheme="majorHAnsi" w:hAnsiTheme="majorHAnsi"/>
          <w:bCs/>
          <w:sz w:val="24"/>
          <w:szCs w:val="23"/>
        </w:rPr>
        <w:t xml:space="preserve">. </w:t>
      </w:r>
    </w:p>
    <w:p w14:paraId="04E61BC7" w14:textId="77777777" w:rsidR="00D330CB" w:rsidRDefault="00D330CB" w:rsidP="00D330CB">
      <w:pPr>
        <w:tabs>
          <w:tab w:val="left" w:pos="7050"/>
        </w:tabs>
        <w:spacing w:after="0"/>
        <w:rPr>
          <w:rFonts w:asciiTheme="majorHAnsi" w:hAnsiTheme="majorHAnsi"/>
          <w:bCs/>
          <w:sz w:val="24"/>
          <w:szCs w:val="23"/>
        </w:rPr>
      </w:pPr>
    </w:p>
    <w:p w14:paraId="0AC458D2" w14:textId="4A41C580" w:rsidR="00EE3B0B" w:rsidRDefault="00D330CB" w:rsidP="00EE3B0B">
      <w:pPr>
        <w:tabs>
          <w:tab w:val="left" w:pos="7050"/>
        </w:tabs>
        <w:spacing w:after="0"/>
        <w:rPr>
          <w:rFonts w:asciiTheme="majorHAnsi" w:hAnsiTheme="majorHAnsi"/>
          <w:bCs/>
          <w:sz w:val="24"/>
          <w:szCs w:val="23"/>
        </w:rPr>
      </w:pPr>
      <w:r w:rsidRPr="00A76DAE">
        <w:rPr>
          <w:rFonts w:asciiTheme="majorHAnsi" w:hAnsiTheme="majorHAnsi"/>
          <w:bCs/>
          <w:sz w:val="24"/>
          <w:szCs w:val="23"/>
        </w:rPr>
        <w:t xml:space="preserve">Tables </w:t>
      </w:r>
      <w:r>
        <w:rPr>
          <w:rFonts w:asciiTheme="majorHAnsi" w:hAnsiTheme="majorHAnsi"/>
          <w:bCs/>
          <w:sz w:val="24"/>
          <w:szCs w:val="23"/>
        </w:rPr>
        <w:t>A</w:t>
      </w:r>
      <w:r w:rsidR="00D328A3">
        <w:rPr>
          <w:rFonts w:asciiTheme="majorHAnsi" w:hAnsiTheme="majorHAnsi"/>
          <w:bCs/>
          <w:sz w:val="24"/>
          <w:szCs w:val="23"/>
        </w:rPr>
        <w:t>5</w:t>
      </w:r>
      <w:r w:rsidRPr="00A76DAE">
        <w:rPr>
          <w:rFonts w:asciiTheme="majorHAnsi" w:hAnsiTheme="majorHAnsi"/>
          <w:bCs/>
          <w:sz w:val="24"/>
          <w:szCs w:val="23"/>
        </w:rPr>
        <w:t xml:space="preserve"> and </w:t>
      </w:r>
      <w:r>
        <w:rPr>
          <w:rFonts w:asciiTheme="majorHAnsi" w:hAnsiTheme="majorHAnsi"/>
          <w:bCs/>
          <w:sz w:val="24"/>
          <w:szCs w:val="23"/>
        </w:rPr>
        <w:t>A</w:t>
      </w:r>
      <w:r w:rsidR="00D328A3">
        <w:rPr>
          <w:rFonts w:asciiTheme="majorHAnsi" w:hAnsiTheme="majorHAnsi"/>
          <w:bCs/>
          <w:sz w:val="24"/>
          <w:szCs w:val="23"/>
        </w:rPr>
        <w:t>6</w:t>
      </w:r>
      <w:r w:rsidRPr="00A76DAE">
        <w:rPr>
          <w:rFonts w:asciiTheme="majorHAnsi" w:hAnsiTheme="majorHAnsi"/>
          <w:bCs/>
          <w:sz w:val="24"/>
          <w:szCs w:val="23"/>
        </w:rPr>
        <w:t xml:space="preserve"> show that the </w:t>
      </w:r>
      <w:r w:rsidR="006941B4">
        <w:rPr>
          <w:rFonts w:asciiTheme="majorHAnsi" w:eastAsiaTheme="majorEastAsia" w:hAnsiTheme="majorHAnsi" w:cstheme="majorBidi"/>
          <w:bCs/>
          <w:color w:val="000000" w:themeColor="text1"/>
          <w:sz w:val="24"/>
          <w:szCs w:val="24"/>
        </w:rPr>
        <w:t xml:space="preserve">sales tax exemption for </w:t>
      </w:r>
      <w:r w:rsidR="00DA1587">
        <w:rPr>
          <w:rFonts w:asciiTheme="majorHAnsi" w:eastAsiaTheme="majorEastAsia" w:hAnsiTheme="majorHAnsi" w:cstheme="majorBidi"/>
          <w:bCs/>
          <w:color w:val="000000" w:themeColor="text1"/>
          <w:sz w:val="24"/>
          <w:szCs w:val="24"/>
        </w:rPr>
        <w:t>motor fuels</w:t>
      </w:r>
      <w:r w:rsidR="00DA1587">
        <w:rPr>
          <w:rFonts w:asciiTheme="majorHAnsi" w:eastAsiaTheme="majorEastAsia" w:hAnsiTheme="majorHAnsi" w:cstheme="majorBidi"/>
          <w:noProof/>
          <w:color w:val="000000" w:themeColor="text1"/>
          <w:sz w:val="24"/>
          <w:szCs w:val="24"/>
        </w:rPr>
        <w:t xml:space="preserve"> </w:t>
      </w:r>
      <w:r w:rsidRPr="00A76DAE">
        <w:rPr>
          <w:rFonts w:asciiTheme="majorHAnsi" w:hAnsiTheme="majorHAnsi"/>
          <w:bCs/>
          <w:sz w:val="24"/>
          <w:szCs w:val="23"/>
        </w:rPr>
        <w:t xml:space="preserve">combined with a cut in state government spending results in less economic </w:t>
      </w:r>
      <w:r w:rsidR="004E260A" w:rsidRPr="00A76DAE">
        <w:rPr>
          <w:rFonts w:asciiTheme="majorHAnsi" w:hAnsiTheme="majorHAnsi"/>
          <w:bCs/>
          <w:sz w:val="24"/>
          <w:szCs w:val="23"/>
        </w:rPr>
        <w:t>activit</w:t>
      </w:r>
      <w:r w:rsidR="004E260A">
        <w:rPr>
          <w:rFonts w:asciiTheme="majorHAnsi" w:hAnsiTheme="majorHAnsi"/>
          <w:bCs/>
          <w:sz w:val="24"/>
          <w:szCs w:val="23"/>
        </w:rPr>
        <w:t>y</w:t>
      </w:r>
      <w:r w:rsidRPr="00A76DAE">
        <w:rPr>
          <w:rFonts w:asciiTheme="majorHAnsi" w:hAnsiTheme="majorHAnsi"/>
          <w:bCs/>
          <w:sz w:val="24"/>
          <w:szCs w:val="23"/>
        </w:rPr>
        <w:t xml:space="preserve">, with </w:t>
      </w:r>
      <w:r w:rsidR="00EE3B0B" w:rsidRPr="00A76DAE">
        <w:rPr>
          <w:rFonts w:asciiTheme="majorHAnsi" w:hAnsiTheme="majorHAnsi"/>
          <w:bCs/>
          <w:sz w:val="24"/>
          <w:szCs w:val="23"/>
        </w:rPr>
        <w:t>real state GDP decreasing</w:t>
      </w:r>
      <w:r w:rsidR="00EE3B0B">
        <w:rPr>
          <w:rFonts w:asciiTheme="majorHAnsi" w:hAnsiTheme="majorHAnsi"/>
          <w:bCs/>
          <w:sz w:val="24"/>
          <w:szCs w:val="23"/>
        </w:rPr>
        <w:t xml:space="preserve"> by $</w:t>
      </w:r>
      <w:r w:rsidR="00DA1587">
        <w:rPr>
          <w:rFonts w:asciiTheme="majorHAnsi" w:hAnsiTheme="majorHAnsi"/>
          <w:bCs/>
          <w:sz w:val="24"/>
          <w:szCs w:val="23"/>
        </w:rPr>
        <w:t>45</w:t>
      </w:r>
      <w:r w:rsidR="00EE3B0B">
        <w:rPr>
          <w:rFonts w:asciiTheme="majorHAnsi" w:hAnsiTheme="majorHAnsi"/>
          <w:bCs/>
          <w:sz w:val="24"/>
          <w:szCs w:val="23"/>
        </w:rPr>
        <w:t xml:space="preserve"> million-</w:t>
      </w:r>
      <w:r w:rsidR="00EE3B0B" w:rsidRPr="00A76DAE">
        <w:rPr>
          <w:rFonts w:asciiTheme="majorHAnsi" w:hAnsiTheme="majorHAnsi"/>
          <w:bCs/>
          <w:sz w:val="24"/>
          <w:szCs w:val="23"/>
        </w:rPr>
        <w:t>$</w:t>
      </w:r>
      <w:r w:rsidR="00DA1587">
        <w:rPr>
          <w:rFonts w:asciiTheme="majorHAnsi" w:hAnsiTheme="majorHAnsi"/>
          <w:bCs/>
          <w:sz w:val="24"/>
          <w:szCs w:val="23"/>
        </w:rPr>
        <w:t>385</w:t>
      </w:r>
      <w:r w:rsidR="00EE3B0B" w:rsidRPr="00A76DAE">
        <w:rPr>
          <w:rFonts w:asciiTheme="majorHAnsi" w:hAnsiTheme="majorHAnsi"/>
          <w:bCs/>
          <w:sz w:val="24"/>
          <w:szCs w:val="23"/>
        </w:rPr>
        <w:t xml:space="preserve"> million. The net impact on total employment is negative</w:t>
      </w:r>
      <w:r w:rsidR="00EE3B0B">
        <w:rPr>
          <w:rFonts w:asciiTheme="majorHAnsi" w:hAnsiTheme="majorHAnsi"/>
          <w:bCs/>
          <w:sz w:val="24"/>
          <w:szCs w:val="23"/>
        </w:rPr>
        <w:t>,</w:t>
      </w:r>
      <w:r w:rsidR="00EE3B0B" w:rsidRPr="00A76DAE">
        <w:rPr>
          <w:rFonts w:asciiTheme="majorHAnsi" w:hAnsiTheme="majorHAnsi"/>
          <w:bCs/>
          <w:sz w:val="24"/>
          <w:szCs w:val="23"/>
        </w:rPr>
        <w:t xml:space="preserve"> decreasing </w:t>
      </w:r>
      <w:r w:rsidR="00EE3B0B">
        <w:rPr>
          <w:rFonts w:asciiTheme="majorHAnsi" w:hAnsiTheme="majorHAnsi"/>
          <w:bCs/>
          <w:sz w:val="24"/>
          <w:szCs w:val="23"/>
        </w:rPr>
        <w:t xml:space="preserve">by </w:t>
      </w:r>
      <w:r w:rsidR="00DA1587">
        <w:rPr>
          <w:rFonts w:asciiTheme="majorHAnsi" w:hAnsiTheme="majorHAnsi"/>
          <w:bCs/>
          <w:sz w:val="24"/>
          <w:szCs w:val="23"/>
        </w:rPr>
        <w:t>738</w:t>
      </w:r>
      <w:r w:rsidR="00EE3B0B">
        <w:rPr>
          <w:rFonts w:asciiTheme="majorHAnsi" w:hAnsiTheme="majorHAnsi"/>
          <w:bCs/>
          <w:sz w:val="24"/>
          <w:szCs w:val="23"/>
        </w:rPr>
        <w:t xml:space="preserve"> – </w:t>
      </w:r>
      <w:r w:rsidR="00DA1587">
        <w:rPr>
          <w:rFonts w:asciiTheme="majorHAnsi" w:hAnsiTheme="majorHAnsi"/>
          <w:bCs/>
          <w:sz w:val="24"/>
          <w:szCs w:val="23"/>
        </w:rPr>
        <w:t>4</w:t>
      </w:r>
      <w:r w:rsidR="00EE3B0B">
        <w:rPr>
          <w:rFonts w:asciiTheme="majorHAnsi" w:hAnsiTheme="majorHAnsi"/>
          <w:bCs/>
          <w:sz w:val="24"/>
          <w:szCs w:val="23"/>
        </w:rPr>
        <w:t>,</w:t>
      </w:r>
      <w:r w:rsidR="00DA1587">
        <w:rPr>
          <w:rFonts w:asciiTheme="majorHAnsi" w:hAnsiTheme="majorHAnsi"/>
          <w:bCs/>
          <w:sz w:val="24"/>
          <w:szCs w:val="23"/>
        </w:rPr>
        <w:t>323</w:t>
      </w:r>
      <w:r w:rsidR="00EE3B0B" w:rsidRPr="000C715E">
        <w:rPr>
          <w:rFonts w:asciiTheme="majorHAnsi" w:hAnsiTheme="majorHAnsi"/>
          <w:bCs/>
          <w:sz w:val="24"/>
          <w:szCs w:val="23"/>
        </w:rPr>
        <w:t xml:space="preserve"> </w:t>
      </w:r>
      <w:r w:rsidR="00EE3B0B">
        <w:rPr>
          <w:rFonts w:asciiTheme="majorHAnsi" w:hAnsiTheme="majorHAnsi"/>
          <w:bCs/>
          <w:sz w:val="24"/>
          <w:szCs w:val="23"/>
        </w:rPr>
        <w:t xml:space="preserve">jobs </w:t>
      </w:r>
      <w:r w:rsidR="00EE3B0B" w:rsidRPr="00A76DAE">
        <w:rPr>
          <w:rFonts w:asciiTheme="majorHAnsi" w:hAnsiTheme="majorHAnsi"/>
          <w:bCs/>
          <w:sz w:val="24"/>
          <w:szCs w:val="23"/>
        </w:rPr>
        <w:t xml:space="preserve">annually. The </w:t>
      </w:r>
      <w:r w:rsidR="00EE3B0B">
        <w:rPr>
          <w:rFonts w:asciiTheme="majorHAnsi" w:hAnsiTheme="majorHAnsi"/>
          <w:bCs/>
          <w:sz w:val="24"/>
          <w:szCs w:val="23"/>
        </w:rPr>
        <w:t xml:space="preserve">net additional </w:t>
      </w:r>
      <w:r w:rsidR="00EE3B0B" w:rsidRPr="00A76DAE">
        <w:rPr>
          <w:rFonts w:asciiTheme="majorHAnsi" w:hAnsiTheme="majorHAnsi"/>
          <w:bCs/>
          <w:sz w:val="24"/>
          <w:szCs w:val="23"/>
        </w:rPr>
        <w:t xml:space="preserve">impact on </w:t>
      </w:r>
      <w:r w:rsidR="00EE3B0B">
        <w:rPr>
          <w:rFonts w:asciiTheme="majorHAnsi" w:hAnsiTheme="majorHAnsi"/>
          <w:bCs/>
          <w:sz w:val="24"/>
          <w:szCs w:val="23"/>
        </w:rPr>
        <w:t xml:space="preserve">state </w:t>
      </w:r>
      <w:r w:rsidR="00EE3B0B" w:rsidRPr="00A76DAE">
        <w:rPr>
          <w:rFonts w:asciiTheme="majorHAnsi" w:hAnsiTheme="majorHAnsi"/>
          <w:bCs/>
          <w:sz w:val="24"/>
          <w:szCs w:val="23"/>
        </w:rPr>
        <w:t xml:space="preserve">revenues is </w:t>
      </w:r>
      <w:r w:rsidR="00DA1587">
        <w:rPr>
          <w:rFonts w:asciiTheme="majorHAnsi" w:hAnsiTheme="majorHAnsi"/>
          <w:bCs/>
          <w:sz w:val="24"/>
          <w:szCs w:val="23"/>
        </w:rPr>
        <w:t>posi</w:t>
      </w:r>
      <w:r w:rsidR="00EE3B0B" w:rsidRPr="00A76DAE">
        <w:rPr>
          <w:rFonts w:asciiTheme="majorHAnsi" w:hAnsiTheme="majorHAnsi"/>
          <w:bCs/>
          <w:sz w:val="24"/>
          <w:szCs w:val="23"/>
        </w:rPr>
        <w:t xml:space="preserve">tive, </w:t>
      </w:r>
      <w:r w:rsidR="00DA1587">
        <w:rPr>
          <w:rFonts w:asciiTheme="majorHAnsi" w:hAnsiTheme="majorHAnsi"/>
          <w:bCs/>
          <w:sz w:val="24"/>
          <w:szCs w:val="23"/>
        </w:rPr>
        <w:t>in</w:t>
      </w:r>
      <w:r w:rsidR="00EE3B0B" w:rsidRPr="00A76DAE">
        <w:rPr>
          <w:rFonts w:asciiTheme="majorHAnsi" w:hAnsiTheme="majorHAnsi"/>
          <w:bCs/>
          <w:sz w:val="24"/>
          <w:szCs w:val="23"/>
        </w:rPr>
        <w:t xml:space="preserve">creasing </w:t>
      </w:r>
      <w:r w:rsidR="00EE3B0B">
        <w:rPr>
          <w:rFonts w:asciiTheme="majorHAnsi" w:hAnsiTheme="majorHAnsi"/>
          <w:bCs/>
          <w:sz w:val="24"/>
          <w:szCs w:val="23"/>
        </w:rPr>
        <w:t>by</w:t>
      </w:r>
      <w:r w:rsidR="00EE3B0B" w:rsidRPr="00A76DAE">
        <w:rPr>
          <w:rFonts w:asciiTheme="majorHAnsi" w:hAnsiTheme="majorHAnsi"/>
          <w:bCs/>
          <w:sz w:val="24"/>
          <w:szCs w:val="23"/>
        </w:rPr>
        <w:t xml:space="preserve"> </w:t>
      </w:r>
      <w:r w:rsidR="00EE3B0B" w:rsidRPr="000C715E">
        <w:rPr>
          <w:rFonts w:asciiTheme="majorHAnsi" w:hAnsiTheme="majorHAnsi"/>
          <w:bCs/>
          <w:sz w:val="24"/>
          <w:szCs w:val="23"/>
        </w:rPr>
        <w:t>$</w:t>
      </w:r>
      <w:r w:rsidR="00EE3B0B">
        <w:rPr>
          <w:rFonts w:asciiTheme="majorHAnsi" w:hAnsiTheme="majorHAnsi"/>
          <w:bCs/>
          <w:sz w:val="24"/>
          <w:szCs w:val="23"/>
        </w:rPr>
        <w:t>2</w:t>
      </w:r>
      <w:r w:rsidR="00DA1587">
        <w:rPr>
          <w:rFonts w:asciiTheme="majorHAnsi" w:hAnsiTheme="majorHAnsi"/>
          <w:bCs/>
          <w:sz w:val="24"/>
          <w:szCs w:val="23"/>
        </w:rPr>
        <w:t>7</w:t>
      </w:r>
      <w:r w:rsidR="00EE3B0B">
        <w:rPr>
          <w:rFonts w:asciiTheme="majorHAnsi" w:hAnsiTheme="majorHAnsi"/>
          <w:bCs/>
          <w:sz w:val="24"/>
          <w:szCs w:val="23"/>
        </w:rPr>
        <w:t>.</w:t>
      </w:r>
      <w:r w:rsidR="00DA1587">
        <w:rPr>
          <w:rFonts w:asciiTheme="majorHAnsi" w:hAnsiTheme="majorHAnsi"/>
          <w:bCs/>
          <w:sz w:val="24"/>
          <w:szCs w:val="23"/>
        </w:rPr>
        <w:t>2</w:t>
      </w:r>
      <w:r w:rsidR="00EE3B0B" w:rsidRPr="000C715E">
        <w:rPr>
          <w:rFonts w:asciiTheme="majorHAnsi" w:hAnsiTheme="majorHAnsi"/>
          <w:bCs/>
          <w:sz w:val="24"/>
          <w:szCs w:val="23"/>
        </w:rPr>
        <w:t xml:space="preserve"> million to $</w:t>
      </w:r>
      <w:r w:rsidR="00DA1587">
        <w:rPr>
          <w:rFonts w:asciiTheme="majorHAnsi" w:hAnsiTheme="majorHAnsi"/>
          <w:bCs/>
          <w:sz w:val="24"/>
          <w:szCs w:val="23"/>
        </w:rPr>
        <w:t>69</w:t>
      </w:r>
      <w:r w:rsidR="00EE3B0B">
        <w:rPr>
          <w:rFonts w:asciiTheme="majorHAnsi" w:hAnsiTheme="majorHAnsi"/>
          <w:bCs/>
          <w:sz w:val="24"/>
          <w:szCs w:val="23"/>
        </w:rPr>
        <w:t>.</w:t>
      </w:r>
      <w:r w:rsidR="00DA1587">
        <w:rPr>
          <w:rFonts w:asciiTheme="majorHAnsi" w:hAnsiTheme="majorHAnsi"/>
          <w:bCs/>
          <w:sz w:val="24"/>
          <w:szCs w:val="23"/>
        </w:rPr>
        <w:t>5</w:t>
      </w:r>
      <w:r w:rsidR="00EE3B0B" w:rsidRPr="000C715E">
        <w:rPr>
          <w:rFonts w:asciiTheme="majorHAnsi" w:hAnsiTheme="majorHAnsi"/>
          <w:bCs/>
          <w:sz w:val="24"/>
          <w:szCs w:val="23"/>
        </w:rPr>
        <w:t xml:space="preserve"> </w:t>
      </w:r>
      <w:r w:rsidR="00EE3B0B" w:rsidRPr="00A76DAE">
        <w:rPr>
          <w:rFonts w:asciiTheme="majorHAnsi" w:hAnsiTheme="majorHAnsi"/>
          <w:bCs/>
          <w:sz w:val="24"/>
          <w:szCs w:val="23"/>
        </w:rPr>
        <w:t>million annually.</w:t>
      </w:r>
    </w:p>
    <w:p w14:paraId="29901442" w14:textId="77777777" w:rsidR="00EE3B0B" w:rsidRDefault="00EE3B0B" w:rsidP="00EE3B0B">
      <w:pPr>
        <w:tabs>
          <w:tab w:val="left" w:pos="7050"/>
        </w:tabs>
        <w:spacing w:after="0"/>
        <w:rPr>
          <w:rFonts w:asciiTheme="majorHAnsi" w:hAnsiTheme="majorHAnsi"/>
          <w:bCs/>
          <w:sz w:val="24"/>
          <w:szCs w:val="23"/>
        </w:rPr>
      </w:pPr>
    </w:p>
    <w:p w14:paraId="66A66D84" w14:textId="77777777" w:rsidR="00D62DBC" w:rsidRDefault="00D62DBC" w:rsidP="00D62DBC">
      <w:pPr>
        <w:tabs>
          <w:tab w:val="left" w:pos="7050"/>
        </w:tabs>
        <w:spacing w:after="0"/>
        <w:rPr>
          <w:rFonts w:asciiTheme="majorHAnsi" w:hAnsiTheme="majorHAnsi"/>
          <w:bCs/>
          <w:sz w:val="24"/>
          <w:szCs w:val="23"/>
        </w:rPr>
      </w:pPr>
      <w:r>
        <w:rPr>
          <w:rFonts w:asciiTheme="majorHAnsi" w:hAnsiTheme="majorHAnsi"/>
          <w:bCs/>
          <w:sz w:val="24"/>
          <w:szCs w:val="23"/>
        </w:rPr>
        <w:t xml:space="preserve">Note that because the tax expenditure has a specific purpose </w:t>
      </w:r>
      <w:r w:rsidRPr="00387AE1">
        <w:rPr>
          <w:rFonts w:asciiTheme="majorHAnsi" w:hAnsiTheme="majorHAnsi"/>
          <w:bCs/>
          <w:sz w:val="24"/>
          <w:szCs w:val="24"/>
        </w:rPr>
        <w:t>(</w:t>
      </w:r>
      <w:r>
        <w:rPr>
          <w:rFonts w:asciiTheme="majorHAnsi" w:eastAsiaTheme="majorEastAsia" w:hAnsiTheme="majorHAnsi" w:cstheme="majorBidi"/>
          <w:bCs/>
          <w:color w:val="000000" w:themeColor="text1"/>
          <w:sz w:val="24"/>
          <w:szCs w:val="24"/>
        </w:rPr>
        <w:t>in this case, the</w:t>
      </w:r>
      <w:r>
        <w:rPr>
          <w:rFonts w:asciiTheme="majorHAnsi" w:hAnsiTheme="majorHAnsi"/>
          <w:bCs/>
          <w:sz w:val="24"/>
          <w:szCs w:val="23"/>
        </w:rPr>
        <w:t xml:space="preserve"> </w:t>
      </w:r>
      <w:r>
        <w:rPr>
          <w:rFonts w:asciiTheme="majorHAnsi" w:eastAsiaTheme="majorEastAsia" w:hAnsiTheme="majorHAnsi" w:cstheme="majorBidi"/>
          <w:bCs/>
          <w:color w:val="000000" w:themeColor="text1"/>
          <w:sz w:val="24"/>
        </w:rPr>
        <w:t>avoidance of double taxation of motor fuels</w:t>
      </w:r>
      <w:r w:rsidRPr="00387AE1">
        <w:rPr>
          <w:rFonts w:asciiTheme="majorHAnsi" w:eastAsiaTheme="majorEastAsia" w:hAnsiTheme="majorHAnsi" w:cstheme="majorBidi"/>
          <w:bCs/>
          <w:color w:val="000000" w:themeColor="text1"/>
          <w:sz w:val="24"/>
          <w:szCs w:val="24"/>
        </w:rPr>
        <w:t>)</w:t>
      </w:r>
      <w:r>
        <w:rPr>
          <w:rFonts w:asciiTheme="majorHAnsi" w:hAnsiTheme="majorHAnsi"/>
          <w:bCs/>
          <w:sz w:val="24"/>
          <w:szCs w:val="23"/>
        </w:rPr>
        <w:t xml:space="preserve">, the net negative impacts on economic activity (real state GDP) do not necessarily imply that the tax expenditure is not desirable. </w:t>
      </w:r>
    </w:p>
    <w:p w14:paraId="3AB4B666" w14:textId="77777777" w:rsidR="00EE3B0B" w:rsidRDefault="00EE3B0B" w:rsidP="00EE3B0B">
      <w:pPr>
        <w:tabs>
          <w:tab w:val="left" w:pos="7050"/>
        </w:tabs>
        <w:spacing w:after="0"/>
        <w:rPr>
          <w:rFonts w:asciiTheme="majorHAnsi" w:hAnsiTheme="majorHAnsi"/>
          <w:bCs/>
          <w:sz w:val="24"/>
          <w:szCs w:val="23"/>
        </w:rPr>
      </w:pPr>
    </w:p>
    <w:p w14:paraId="41C63475" w14:textId="77777777" w:rsidR="006F5610" w:rsidRDefault="00D330CB" w:rsidP="006F5610">
      <w:pPr>
        <w:spacing w:after="0"/>
        <w:jc w:val="center"/>
        <w:rPr>
          <w:rFonts w:asciiTheme="majorHAnsi" w:eastAsiaTheme="majorEastAsia" w:hAnsiTheme="majorHAnsi" w:cstheme="majorBidi"/>
          <w:b/>
          <w:color w:val="000000" w:themeColor="text1"/>
          <w:sz w:val="24"/>
          <w:szCs w:val="24"/>
        </w:rPr>
      </w:pPr>
      <w:r w:rsidRPr="00366FFC">
        <w:rPr>
          <w:rFonts w:asciiTheme="majorHAnsi" w:eastAsiaTheme="majorEastAsia" w:hAnsiTheme="majorHAnsi" w:cstheme="majorBidi"/>
          <w:b/>
          <w:color w:val="000000" w:themeColor="text1"/>
          <w:sz w:val="24"/>
          <w:szCs w:val="24"/>
        </w:rPr>
        <w:t xml:space="preserve">Table </w:t>
      </w:r>
      <w:r>
        <w:rPr>
          <w:rFonts w:asciiTheme="majorHAnsi" w:eastAsiaTheme="majorEastAsia" w:hAnsiTheme="majorHAnsi" w:cstheme="majorBidi"/>
          <w:b/>
          <w:color w:val="000000" w:themeColor="text1"/>
          <w:sz w:val="24"/>
          <w:szCs w:val="24"/>
        </w:rPr>
        <w:t>A</w:t>
      </w:r>
      <w:r w:rsidR="00814CB1">
        <w:rPr>
          <w:rFonts w:asciiTheme="majorHAnsi" w:eastAsiaTheme="majorEastAsia" w:hAnsiTheme="majorHAnsi" w:cstheme="majorBidi"/>
          <w:b/>
          <w:color w:val="000000" w:themeColor="text1"/>
          <w:sz w:val="24"/>
          <w:szCs w:val="24"/>
        </w:rPr>
        <w:t>5</w:t>
      </w:r>
      <w:r w:rsidRPr="00366FFC">
        <w:rPr>
          <w:rFonts w:asciiTheme="majorHAnsi" w:eastAsiaTheme="majorEastAsia" w:hAnsiTheme="majorHAnsi" w:cstheme="majorBidi"/>
          <w:b/>
          <w:color w:val="000000" w:themeColor="text1"/>
          <w:sz w:val="24"/>
          <w:szCs w:val="24"/>
        </w:rPr>
        <w:t xml:space="preserve">. </w:t>
      </w:r>
      <w:r>
        <w:rPr>
          <w:rFonts w:asciiTheme="majorHAnsi" w:eastAsiaTheme="majorEastAsia" w:hAnsiTheme="majorHAnsi" w:cstheme="majorBidi"/>
          <w:b/>
          <w:color w:val="000000" w:themeColor="text1"/>
          <w:sz w:val="24"/>
          <w:szCs w:val="24"/>
        </w:rPr>
        <w:t xml:space="preserve"> Net Additional Revenue Impact of </w:t>
      </w:r>
      <w:r w:rsidR="006F5610">
        <w:rPr>
          <w:rFonts w:asciiTheme="majorHAnsi" w:eastAsiaTheme="majorEastAsia" w:hAnsiTheme="majorHAnsi" w:cstheme="majorBidi"/>
          <w:b/>
          <w:color w:val="000000" w:themeColor="text1"/>
          <w:sz w:val="24"/>
          <w:szCs w:val="24"/>
        </w:rPr>
        <w:t>S</w:t>
      </w:r>
      <w:r w:rsidR="006F5610" w:rsidRPr="006941B4">
        <w:rPr>
          <w:rFonts w:asciiTheme="majorHAnsi" w:eastAsiaTheme="majorEastAsia" w:hAnsiTheme="majorHAnsi" w:cstheme="majorBidi"/>
          <w:b/>
          <w:color w:val="000000" w:themeColor="text1"/>
          <w:sz w:val="24"/>
          <w:szCs w:val="24"/>
        </w:rPr>
        <w:t xml:space="preserve">ales </w:t>
      </w:r>
      <w:r w:rsidR="006F5610">
        <w:rPr>
          <w:rFonts w:asciiTheme="majorHAnsi" w:eastAsiaTheme="majorEastAsia" w:hAnsiTheme="majorHAnsi" w:cstheme="majorBidi"/>
          <w:b/>
          <w:color w:val="000000" w:themeColor="text1"/>
          <w:sz w:val="24"/>
          <w:szCs w:val="24"/>
        </w:rPr>
        <w:t>T</w:t>
      </w:r>
      <w:r w:rsidR="006F5610" w:rsidRPr="006941B4">
        <w:rPr>
          <w:rFonts w:asciiTheme="majorHAnsi" w:eastAsiaTheme="majorEastAsia" w:hAnsiTheme="majorHAnsi" w:cstheme="majorBidi"/>
          <w:b/>
          <w:color w:val="000000" w:themeColor="text1"/>
          <w:sz w:val="24"/>
          <w:szCs w:val="24"/>
        </w:rPr>
        <w:t xml:space="preserve">ax </w:t>
      </w:r>
      <w:r w:rsidR="006F5610">
        <w:rPr>
          <w:rFonts w:asciiTheme="majorHAnsi" w:eastAsiaTheme="majorEastAsia" w:hAnsiTheme="majorHAnsi" w:cstheme="majorBidi"/>
          <w:b/>
          <w:color w:val="000000" w:themeColor="text1"/>
          <w:sz w:val="24"/>
          <w:szCs w:val="24"/>
        </w:rPr>
        <w:t>E</w:t>
      </w:r>
      <w:r w:rsidR="006F5610" w:rsidRPr="006941B4">
        <w:rPr>
          <w:rFonts w:asciiTheme="majorHAnsi" w:eastAsiaTheme="majorEastAsia" w:hAnsiTheme="majorHAnsi" w:cstheme="majorBidi"/>
          <w:b/>
          <w:color w:val="000000" w:themeColor="text1"/>
          <w:sz w:val="24"/>
          <w:szCs w:val="24"/>
        </w:rPr>
        <w:t xml:space="preserve">xemption </w:t>
      </w:r>
    </w:p>
    <w:p w14:paraId="6BD73854" w14:textId="77777777" w:rsidR="00D330CB" w:rsidRDefault="006F5610" w:rsidP="006F5610">
      <w:pPr>
        <w:spacing w:after="0"/>
        <w:jc w:val="center"/>
        <w:rPr>
          <w:rFonts w:asciiTheme="majorHAnsi" w:eastAsiaTheme="majorEastAsia" w:hAnsiTheme="majorHAnsi" w:cstheme="majorBidi"/>
          <w:b/>
          <w:color w:val="000000" w:themeColor="text1"/>
          <w:sz w:val="24"/>
          <w:szCs w:val="24"/>
        </w:rPr>
      </w:pPr>
      <w:r w:rsidRPr="006941B4">
        <w:rPr>
          <w:rFonts w:asciiTheme="majorHAnsi" w:eastAsiaTheme="majorEastAsia" w:hAnsiTheme="majorHAnsi" w:cstheme="majorBidi"/>
          <w:b/>
          <w:color w:val="000000" w:themeColor="text1"/>
          <w:sz w:val="24"/>
          <w:szCs w:val="24"/>
        </w:rPr>
        <w:t>for</w:t>
      </w:r>
      <w:r>
        <w:rPr>
          <w:rFonts w:asciiTheme="majorHAnsi" w:eastAsiaTheme="majorEastAsia" w:hAnsiTheme="majorHAnsi" w:cstheme="majorBidi"/>
          <w:b/>
          <w:color w:val="000000" w:themeColor="text1"/>
          <w:sz w:val="24"/>
          <w:szCs w:val="24"/>
        </w:rPr>
        <w:t xml:space="preserve"> Motor Fuels</w:t>
      </w:r>
      <w:r w:rsidR="001323B1">
        <w:rPr>
          <w:rFonts w:asciiTheme="majorHAnsi" w:eastAsiaTheme="majorEastAsia" w:hAnsiTheme="majorHAnsi" w:cstheme="majorBidi"/>
          <w:b/>
          <w:color w:val="000000" w:themeColor="text1"/>
          <w:sz w:val="24"/>
          <w:szCs w:val="24"/>
        </w:rPr>
        <w:t>*</w:t>
      </w:r>
    </w:p>
    <w:tbl>
      <w:tblPr>
        <w:tblW w:w="9350" w:type="dxa"/>
        <w:tblLook w:val="04A0" w:firstRow="1" w:lastRow="0" w:firstColumn="1" w:lastColumn="0" w:noHBand="0" w:noVBand="1"/>
      </w:tblPr>
      <w:tblGrid>
        <w:gridCol w:w="3835"/>
        <w:gridCol w:w="1103"/>
        <w:gridCol w:w="1103"/>
        <w:gridCol w:w="1103"/>
        <w:gridCol w:w="1103"/>
        <w:gridCol w:w="1103"/>
      </w:tblGrid>
      <w:tr w:rsidR="00D330CB" w:rsidRPr="00E072E2" w14:paraId="59410CE9" w14:textId="77777777" w:rsidTr="00A47BE2">
        <w:trPr>
          <w:trHeight w:val="500"/>
        </w:trPr>
        <w:tc>
          <w:tcPr>
            <w:tcW w:w="3835"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14:paraId="3A98E7D3" w14:textId="77777777" w:rsidR="00D330CB" w:rsidRPr="00E072E2" w:rsidRDefault="00D330CB" w:rsidP="00A47BE2">
            <w:pPr>
              <w:spacing w:after="0" w:line="240" w:lineRule="auto"/>
              <w:jc w:val="center"/>
              <w:rPr>
                <w:rFonts w:ascii="Cambria" w:eastAsia="Times New Roman" w:hAnsi="Cambria" w:cs="Helvetica"/>
                <w:sz w:val="20"/>
                <w:szCs w:val="20"/>
                <w:lang w:eastAsia="ko-KR"/>
              </w:rPr>
            </w:pPr>
            <w:r w:rsidRPr="00E072E2">
              <w:rPr>
                <w:rFonts w:ascii="Cambria" w:eastAsia="Times New Roman" w:hAnsi="Cambria" w:cs="Helvetica"/>
                <w:sz w:val="20"/>
                <w:szCs w:val="20"/>
                <w:lang w:eastAsia="ko-KR"/>
              </w:rPr>
              <w:t>Fiscal Year</w:t>
            </w:r>
          </w:p>
        </w:tc>
        <w:tc>
          <w:tcPr>
            <w:tcW w:w="1103" w:type="dxa"/>
            <w:tcBorders>
              <w:top w:val="single" w:sz="4" w:space="0" w:color="auto"/>
              <w:left w:val="nil"/>
              <w:bottom w:val="single" w:sz="4" w:space="0" w:color="auto"/>
              <w:right w:val="single" w:sz="4" w:space="0" w:color="auto"/>
            </w:tcBorders>
            <w:shd w:val="clear" w:color="000000" w:fill="B7DEE8"/>
            <w:noWrap/>
            <w:vAlign w:val="center"/>
            <w:hideMark/>
          </w:tcPr>
          <w:p w14:paraId="1702667E" w14:textId="77777777" w:rsidR="00D330CB" w:rsidRPr="00E072E2" w:rsidRDefault="00D330CB" w:rsidP="00A47BE2">
            <w:pPr>
              <w:spacing w:after="0" w:line="240" w:lineRule="auto"/>
              <w:jc w:val="center"/>
              <w:rPr>
                <w:rFonts w:ascii="Cambria" w:eastAsia="Times New Roman" w:hAnsi="Cambria" w:cs="Helvetica"/>
                <w:sz w:val="20"/>
                <w:szCs w:val="20"/>
                <w:lang w:eastAsia="ko-KR"/>
              </w:rPr>
            </w:pPr>
            <w:r w:rsidRPr="00E072E2">
              <w:rPr>
                <w:rFonts w:ascii="Cambria" w:eastAsia="Times New Roman" w:hAnsi="Cambria" w:cs="Helvetica"/>
                <w:sz w:val="20"/>
                <w:szCs w:val="20"/>
                <w:lang w:eastAsia="ko-KR"/>
              </w:rPr>
              <w:t>2018</w:t>
            </w:r>
          </w:p>
        </w:tc>
        <w:tc>
          <w:tcPr>
            <w:tcW w:w="1103" w:type="dxa"/>
            <w:tcBorders>
              <w:top w:val="single" w:sz="4" w:space="0" w:color="auto"/>
              <w:left w:val="nil"/>
              <w:bottom w:val="single" w:sz="4" w:space="0" w:color="auto"/>
              <w:right w:val="single" w:sz="4" w:space="0" w:color="auto"/>
            </w:tcBorders>
            <w:shd w:val="clear" w:color="000000" w:fill="B7DEE8"/>
            <w:noWrap/>
            <w:vAlign w:val="center"/>
            <w:hideMark/>
          </w:tcPr>
          <w:p w14:paraId="5222A545" w14:textId="77777777" w:rsidR="00D330CB" w:rsidRPr="00E072E2" w:rsidRDefault="00D330CB" w:rsidP="00A47BE2">
            <w:pPr>
              <w:spacing w:after="0" w:line="240" w:lineRule="auto"/>
              <w:jc w:val="center"/>
              <w:rPr>
                <w:rFonts w:ascii="Cambria" w:eastAsia="Times New Roman" w:hAnsi="Cambria" w:cs="Helvetica"/>
                <w:sz w:val="20"/>
                <w:szCs w:val="20"/>
                <w:lang w:eastAsia="ko-KR"/>
              </w:rPr>
            </w:pPr>
            <w:r w:rsidRPr="00E072E2">
              <w:rPr>
                <w:rFonts w:ascii="Cambria" w:eastAsia="Times New Roman" w:hAnsi="Cambria" w:cs="Helvetica"/>
                <w:sz w:val="20"/>
                <w:szCs w:val="20"/>
                <w:lang w:eastAsia="ko-KR"/>
              </w:rPr>
              <w:t>2019</w:t>
            </w:r>
          </w:p>
        </w:tc>
        <w:tc>
          <w:tcPr>
            <w:tcW w:w="1103" w:type="dxa"/>
            <w:tcBorders>
              <w:top w:val="single" w:sz="4" w:space="0" w:color="auto"/>
              <w:left w:val="nil"/>
              <w:bottom w:val="single" w:sz="4" w:space="0" w:color="auto"/>
              <w:right w:val="single" w:sz="4" w:space="0" w:color="auto"/>
            </w:tcBorders>
            <w:shd w:val="clear" w:color="000000" w:fill="B7DEE8"/>
            <w:noWrap/>
            <w:vAlign w:val="center"/>
            <w:hideMark/>
          </w:tcPr>
          <w:p w14:paraId="162B3C6F" w14:textId="77777777" w:rsidR="00D330CB" w:rsidRPr="00E072E2" w:rsidRDefault="00D330CB" w:rsidP="00A47BE2">
            <w:pPr>
              <w:spacing w:after="0" w:line="240" w:lineRule="auto"/>
              <w:jc w:val="center"/>
              <w:rPr>
                <w:rFonts w:ascii="Cambria" w:eastAsia="Times New Roman" w:hAnsi="Cambria" w:cs="Helvetica"/>
                <w:sz w:val="20"/>
                <w:szCs w:val="20"/>
                <w:lang w:eastAsia="ko-KR"/>
              </w:rPr>
            </w:pPr>
            <w:r w:rsidRPr="00E072E2">
              <w:rPr>
                <w:rFonts w:ascii="Cambria" w:eastAsia="Times New Roman" w:hAnsi="Cambria" w:cs="Helvetica"/>
                <w:sz w:val="20"/>
                <w:szCs w:val="20"/>
                <w:lang w:eastAsia="ko-KR"/>
              </w:rPr>
              <w:t>2020</w:t>
            </w:r>
          </w:p>
        </w:tc>
        <w:tc>
          <w:tcPr>
            <w:tcW w:w="1103" w:type="dxa"/>
            <w:tcBorders>
              <w:top w:val="single" w:sz="4" w:space="0" w:color="auto"/>
              <w:left w:val="nil"/>
              <w:bottom w:val="single" w:sz="4" w:space="0" w:color="auto"/>
              <w:right w:val="single" w:sz="4" w:space="0" w:color="auto"/>
            </w:tcBorders>
            <w:shd w:val="clear" w:color="000000" w:fill="B7DEE8"/>
            <w:noWrap/>
            <w:vAlign w:val="center"/>
            <w:hideMark/>
          </w:tcPr>
          <w:p w14:paraId="13BA252D" w14:textId="77777777" w:rsidR="00D330CB" w:rsidRPr="00E072E2" w:rsidRDefault="00D330CB" w:rsidP="00A47BE2">
            <w:pPr>
              <w:spacing w:after="0" w:line="240" w:lineRule="auto"/>
              <w:jc w:val="center"/>
              <w:rPr>
                <w:rFonts w:ascii="Cambria" w:eastAsia="Times New Roman" w:hAnsi="Cambria" w:cs="Helvetica"/>
                <w:sz w:val="20"/>
                <w:szCs w:val="20"/>
                <w:lang w:eastAsia="ko-KR"/>
              </w:rPr>
            </w:pPr>
            <w:r w:rsidRPr="00E072E2">
              <w:rPr>
                <w:rFonts w:ascii="Cambria" w:eastAsia="Times New Roman" w:hAnsi="Cambria" w:cs="Helvetica"/>
                <w:sz w:val="20"/>
                <w:szCs w:val="20"/>
                <w:lang w:eastAsia="ko-KR"/>
              </w:rPr>
              <w:t>2021</w:t>
            </w:r>
          </w:p>
        </w:tc>
        <w:tc>
          <w:tcPr>
            <w:tcW w:w="1103" w:type="dxa"/>
            <w:tcBorders>
              <w:top w:val="single" w:sz="4" w:space="0" w:color="auto"/>
              <w:left w:val="nil"/>
              <w:bottom w:val="single" w:sz="4" w:space="0" w:color="auto"/>
              <w:right w:val="single" w:sz="4" w:space="0" w:color="auto"/>
            </w:tcBorders>
            <w:shd w:val="clear" w:color="000000" w:fill="B7DEE8"/>
            <w:noWrap/>
            <w:vAlign w:val="center"/>
            <w:hideMark/>
          </w:tcPr>
          <w:p w14:paraId="6730E153" w14:textId="77777777" w:rsidR="00D330CB" w:rsidRPr="00E072E2" w:rsidRDefault="00D330CB" w:rsidP="00A47BE2">
            <w:pPr>
              <w:spacing w:after="0" w:line="240" w:lineRule="auto"/>
              <w:jc w:val="center"/>
              <w:rPr>
                <w:rFonts w:ascii="Cambria" w:eastAsia="Times New Roman" w:hAnsi="Cambria" w:cs="Helvetica"/>
                <w:sz w:val="20"/>
                <w:szCs w:val="20"/>
                <w:lang w:eastAsia="ko-KR"/>
              </w:rPr>
            </w:pPr>
            <w:r w:rsidRPr="00E072E2">
              <w:rPr>
                <w:rFonts w:ascii="Cambria" w:eastAsia="Times New Roman" w:hAnsi="Cambria" w:cs="Helvetica"/>
                <w:sz w:val="20"/>
                <w:szCs w:val="20"/>
                <w:lang w:eastAsia="ko-KR"/>
              </w:rPr>
              <w:t>2022</w:t>
            </w:r>
          </w:p>
        </w:tc>
      </w:tr>
      <w:tr w:rsidR="007B1A7A" w:rsidRPr="00E072E2" w14:paraId="14447F2C" w14:textId="77777777" w:rsidTr="007B1A7A">
        <w:trPr>
          <w:trHeight w:val="500"/>
        </w:trPr>
        <w:tc>
          <w:tcPr>
            <w:tcW w:w="3835" w:type="dxa"/>
            <w:tcBorders>
              <w:top w:val="nil"/>
              <w:left w:val="single" w:sz="4" w:space="0" w:color="auto"/>
              <w:bottom w:val="single" w:sz="4" w:space="0" w:color="auto"/>
              <w:right w:val="single" w:sz="4" w:space="0" w:color="auto"/>
            </w:tcBorders>
            <w:shd w:val="clear" w:color="auto" w:fill="auto"/>
            <w:vAlign w:val="center"/>
            <w:hideMark/>
          </w:tcPr>
          <w:p w14:paraId="2F9925BB" w14:textId="77777777" w:rsidR="007B1A7A" w:rsidRPr="00E072E2" w:rsidRDefault="007B1A7A" w:rsidP="007B1A7A">
            <w:pPr>
              <w:spacing w:after="0" w:line="240" w:lineRule="auto"/>
              <w:rPr>
                <w:rFonts w:ascii="Cambria" w:eastAsia="Times New Roman" w:hAnsi="Cambria" w:cs="Helvetica"/>
                <w:sz w:val="20"/>
                <w:szCs w:val="20"/>
                <w:lang w:eastAsia="ko-KR"/>
              </w:rPr>
            </w:pPr>
            <w:r w:rsidRPr="00E072E2">
              <w:rPr>
                <w:rFonts w:ascii="Cambria" w:eastAsia="Times New Roman" w:hAnsi="Cambria" w:cs="Helvetica"/>
                <w:sz w:val="20"/>
                <w:szCs w:val="20"/>
                <w:lang w:eastAsia="ko-KR"/>
              </w:rPr>
              <w:t>Net additional revenue impact ($000)</w:t>
            </w: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493DAB" w14:textId="77777777" w:rsidR="007B1A7A" w:rsidRPr="007B1A7A" w:rsidRDefault="007B1A7A" w:rsidP="007B1A7A">
            <w:pPr>
              <w:spacing w:after="0" w:line="240" w:lineRule="auto"/>
              <w:jc w:val="center"/>
              <w:rPr>
                <w:rFonts w:ascii="Cambria" w:eastAsia="Times New Roman" w:hAnsi="Cambria" w:cs="Arial"/>
                <w:sz w:val="20"/>
                <w:szCs w:val="20"/>
                <w:lang w:eastAsia="ko-KR"/>
              </w:rPr>
            </w:pPr>
            <w:r w:rsidRPr="007B1A7A">
              <w:rPr>
                <w:rFonts w:ascii="Cambria" w:eastAsia="Times New Roman" w:hAnsi="Cambria" w:cs="Arial"/>
                <w:sz w:val="20"/>
                <w:szCs w:val="20"/>
                <w:lang w:eastAsia="ko-KR"/>
              </w:rPr>
              <w:t>$27,201</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14:paraId="11CF8E95" w14:textId="77777777" w:rsidR="007B1A7A" w:rsidRPr="007B1A7A" w:rsidRDefault="007B1A7A" w:rsidP="007B1A7A">
            <w:pPr>
              <w:spacing w:after="0" w:line="240" w:lineRule="auto"/>
              <w:jc w:val="center"/>
              <w:rPr>
                <w:rFonts w:ascii="Cambria" w:eastAsia="Times New Roman" w:hAnsi="Cambria" w:cs="Arial"/>
                <w:sz w:val="20"/>
                <w:szCs w:val="20"/>
                <w:lang w:eastAsia="ko-KR"/>
              </w:rPr>
            </w:pPr>
            <w:r w:rsidRPr="007B1A7A">
              <w:rPr>
                <w:rFonts w:ascii="Cambria" w:eastAsia="Times New Roman" w:hAnsi="Cambria" w:cs="Arial"/>
                <w:sz w:val="20"/>
                <w:szCs w:val="20"/>
                <w:lang w:eastAsia="ko-KR"/>
              </w:rPr>
              <w:t>$59,966</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14:paraId="629DAC37" w14:textId="77777777" w:rsidR="007B1A7A" w:rsidRPr="007B1A7A" w:rsidRDefault="007B1A7A" w:rsidP="007B1A7A">
            <w:pPr>
              <w:spacing w:after="0" w:line="240" w:lineRule="auto"/>
              <w:jc w:val="center"/>
              <w:rPr>
                <w:rFonts w:ascii="Cambria" w:eastAsia="Times New Roman" w:hAnsi="Cambria" w:cs="Arial"/>
                <w:sz w:val="20"/>
                <w:szCs w:val="20"/>
                <w:lang w:eastAsia="ko-KR"/>
              </w:rPr>
            </w:pPr>
            <w:r w:rsidRPr="007B1A7A">
              <w:rPr>
                <w:rFonts w:ascii="Cambria" w:eastAsia="Times New Roman" w:hAnsi="Cambria" w:cs="Arial"/>
                <w:sz w:val="20"/>
                <w:szCs w:val="20"/>
                <w:lang w:eastAsia="ko-KR"/>
              </w:rPr>
              <w:t>$67,808</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14:paraId="55E49BC3" w14:textId="77777777" w:rsidR="007B1A7A" w:rsidRPr="007B1A7A" w:rsidRDefault="007B1A7A" w:rsidP="007B1A7A">
            <w:pPr>
              <w:spacing w:after="0" w:line="240" w:lineRule="auto"/>
              <w:jc w:val="center"/>
              <w:rPr>
                <w:rFonts w:ascii="Cambria" w:eastAsia="Times New Roman" w:hAnsi="Cambria" w:cs="Arial"/>
                <w:sz w:val="20"/>
                <w:szCs w:val="20"/>
                <w:lang w:eastAsia="ko-KR"/>
              </w:rPr>
            </w:pPr>
            <w:r w:rsidRPr="007B1A7A">
              <w:rPr>
                <w:rFonts w:ascii="Cambria" w:eastAsia="Times New Roman" w:hAnsi="Cambria" w:cs="Arial"/>
                <w:sz w:val="20"/>
                <w:szCs w:val="20"/>
                <w:lang w:eastAsia="ko-KR"/>
              </w:rPr>
              <w:t>$69,477</w:t>
            </w:r>
          </w:p>
        </w:tc>
        <w:tc>
          <w:tcPr>
            <w:tcW w:w="1103" w:type="dxa"/>
            <w:tcBorders>
              <w:top w:val="single" w:sz="4" w:space="0" w:color="auto"/>
              <w:left w:val="nil"/>
              <w:bottom w:val="single" w:sz="4" w:space="0" w:color="auto"/>
              <w:right w:val="single" w:sz="4" w:space="0" w:color="auto"/>
            </w:tcBorders>
            <w:shd w:val="clear" w:color="auto" w:fill="auto"/>
            <w:noWrap/>
            <w:vAlign w:val="center"/>
            <w:hideMark/>
          </w:tcPr>
          <w:p w14:paraId="3E386341" w14:textId="77777777" w:rsidR="007B1A7A" w:rsidRPr="007B1A7A" w:rsidRDefault="007B1A7A" w:rsidP="007B1A7A">
            <w:pPr>
              <w:spacing w:after="0" w:line="240" w:lineRule="auto"/>
              <w:jc w:val="center"/>
              <w:rPr>
                <w:rFonts w:ascii="Cambria" w:eastAsia="Times New Roman" w:hAnsi="Cambria" w:cs="Arial"/>
                <w:sz w:val="20"/>
                <w:szCs w:val="20"/>
                <w:lang w:eastAsia="ko-KR"/>
              </w:rPr>
            </w:pPr>
            <w:r w:rsidRPr="007B1A7A">
              <w:rPr>
                <w:rFonts w:ascii="Cambria" w:eastAsia="Times New Roman" w:hAnsi="Cambria" w:cs="Arial"/>
                <w:sz w:val="20"/>
                <w:szCs w:val="20"/>
                <w:lang w:eastAsia="ko-KR"/>
              </w:rPr>
              <w:t>$68,908</w:t>
            </w:r>
          </w:p>
        </w:tc>
      </w:tr>
    </w:tbl>
    <w:p w14:paraId="22CF6432" w14:textId="77777777" w:rsidR="006F5610" w:rsidRDefault="001323B1" w:rsidP="006F5610">
      <w:pPr>
        <w:tabs>
          <w:tab w:val="left" w:pos="7050"/>
        </w:tabs>
        <w:spacing w:after="0"/>
        <w:rPr>
          <w:rFonts w:asciiTheme="majorHAnsi" w:hAnsiTheme="majorHAnsi"/>
          <w:b/>
          <w:sz w:val="24"/>
          <w:szCs w:val="24"/>
        </w:rPr>
      </w:pPr>
      <w:r w:rsidRPr="00304366">
        <w:rPr>
          <w:rFonts w:asciiTheme="majorHAnsi" w:hAnsiTheme="majorHAnsi"/>
          <w:bCs/>
          <w:sz w:val="20"/>
          <w:szCs w:val="20"/>
        </w:rPr>
        <w:t>* assuming state government spending is cut by the same amount as</w:t>
      </w:r>
      <w:r>
        <w:rPr>
          <w:rFonts w:asciiTheme="majorHAnsi" w:hAnsiTheme="majorHAnsi"/>
          <w:bCs/>
          <w:sz w:val="20"/>
          <w:szCs w:val="20"/>
        </w:rPr>
        <w:t xml:space="preserve"> </w:t>
      </w:r>
      <w:r w:rsidR="00B10AC9">
        <w:rPr>
          <w:rFonts w:asciiTheme="majorHAnsi" w:hAnsiTheme="majorHAnsi"/>
          <w:bCs/>
          <w:sz w:val="20"/>
          <w:szCs w:val="20"/>
        </w:rPr>
        <w:t>the revenue loss due to</w:t>
      </w:r>
      <w:r w:rsidR="00B10AC9" w:rsidRPr="00304366">
        <w:rPr>
          <w:rFonts w:asciiTheme="majorHAnsi" w:hAnsiTheme="majorHAnsi"/>
          <w:bCs/>
          <w:sz w:val="20"/>
          <w:szCs w:val="20"/>
        </w:rPr>
        <w:t xml:space="preserve"> </w:t>
      </w:r>
      <w:r>
        <w:rPr>
          <w:rFonts w:asciiTheme="majorHAnsi" w:hAnsiTheme="majorHAnsi"/>
          <w:bCs/>
          <w:sz w:val="20"/>
          <w:szCs w:val="20"/>
        </w:rPr>
        <w:t xml:space="preserve">the </w:t>
      </w:r>
      <w:r w:rsidR="006F5610">
        <w:rPr>
          <w:rFonts w:asciiTheme="majorHAnsi" w:hAnsiTheme="majorHAnsi"/>
          <w:bCs/>
          <w:sz w:val="20"/>
          <w:szCs w:val="20"/>
        </w:rPr>
        <w:t>sales tax exemption for motor fuels to balance budget</w:t>
      </w:r>
      <w:r w:rsidR="006F5610" w:rsidRPr="00304366">
        <w:rPr>
          <w:rFonts w:asciiTheme="majorHAnsi" w:hAnsiTheme="majorHAnsi"/>
          <w:bCs/>
          <w:sz w:val="20"/>
          <w:szCs w:val="20"/>
        </w:rPr>
        <w:t>.</w:t>
      </w:r>
    </w:p>
    <w:p w14:paraId="0943A843" w14:textId="77777777" w:rsidR="00D330CB" w:rsidRDefault="00D330CB" w:rsidP="00D330CB">
      <w:pPr>
        <w:tabs>
          <w:tab w:val="left" w:pos="7050"/>
        </w:tabs>
        <w:spacing w:after="0"/>
        <w:rPr>
          <w:rFonts w:asciiTheme="majorHAnsi" w:hAnsiTheme="majorHAnsi"/>
          <w:sz w:val="24"/>
          <w:szCs w:val="24"/>
        </w:rPr>
      </w:pPr>
    </w:p>
    <w:p w14:paraId="039ABA81" w14:textId="77777777" w:rsidR="006F5610" w:rsidRDefault="00D330CB" w:rsidP="006F5610">
      <w:pPr>
        <w:spacing w:after="0"/>
        <w:jc w:val="center"/>
        <w:rPr>
          <w:rFonts w:asciiTheme="majorHAnsi" w:eastAsiaTheme="majorEastAsia" w:hAnsiTheme="majorHAnsi" w:cstheme="majorBidi"/>
          <w:b/>
          <w:color w:val="000000" w:themeColor="text1"/>
          <w:sz w:val="24"/>
          <w:szCs w:val="24"/>
        </w:rPr>
      </w:pPr>
      <w:r w:rsidRPr="00366FFC">
        <w:rPr>
          <w:rFonts w:asciiTheme="majorHAnsi" w:eastAsiaTheme="majorEastAsia" w:hAnsiTheme="majorHAnsi" w:cstheme="majorBidi"/>
          <w:b/>
          <w:color w:val="000000" w:themeColor="text1"/>
          <w:sz w:val="24"/>
          <w:szCs w:val="24"/>
        </w:rPr>
        <w:t xml:space="preserve">Table </w:t>
      </w:r>
      <w:r>
        <w:rPr>
          <w:rFonts w:asciiTheme="majorHAnsi" w:eastAsiaTheme="majorEastAsia" w:hAnsiTheme="majorHAnsi" w:cstheme="majorBidi"/>
          <w:b/>
          <w:color w:val="000000" w:themeColor="text1"/>
          <w:sz w:val="24"/>
          <w:szCs w:val="24"/>
        </w:rPr>
        <w:t>A</w:t>
      </w:r>
      <w:r w:rsidR="00814CB1">
        <w:rPr>
          <w:rFonts w:asciiTheme="majorHAnsi" w:eastAsiaTheme="majorEastAsia" w:hAnsiTheme="majorHAnsi" w:cstheme="majorBidi"/>
          <w:b/>
          <w:color w:val="000000" w:themeColor="text1"/>
          <w:sz w:val="24"/>
          <w:szCs w:val="24"/>
        </w:rPr>
        <w:t>6</w:t>
      </w:r>
      <w:r w:rsidRPr="00366FFC">
        <w:rPr>
          <w:rFonts w:asciiTheme="majorHAnsi" w:eastAsiaTheme="majorEastAsia" w:hAnsiTheme="majorHAnsi" w:cstheme="majorBidi"/>
          <w:b/>
          <w:color w:val="000000" w:themeColor="text1"/>
          <w:sz w:val="24"/>
          <w:szCs w:val="24"/>
        </w:rPr>
        <w:t xml:space="preserve">. </w:t>
      </w:r>
      <w:r w:rsidR="001323B1">
        <w:rPr>
          <w:rFonts w:asciiTheme="majorHAnsi" w:eastAsiaTheme="majorEastAsia" w:hAnsiTheme="majorHAnsi" w:cstheme="majorBidi"/>
          <w:b/>
          <w:color w:val="000000" w:themeColor="text1"/>
          <w:sz w:val="24"/>
          <w:szCs w:val="24"/>
        </w:rPr>
        <w:t xml:space="preserve">Net Economic Impacts of </w:t>
      </w:r>
      <w:r w:rsidR="006F5610">
        <w:rPr>
          <w:rFonts w:asciiTheme="majorHAnsi" w:eastAsiaTheme="majorEastAsia" w:hAnsiTheme="majorHAnsi" w:cstheme="majorBidi"/>
          <w:b/>
          <w:color w:val="000000" w:themeColor="text1"/>
          <w:sz w:val="24"/>
          <w:szCs w:val="24"/>
        </w:rPr>
        <w:t>S</w:t>
      </w:r>
      <w:r w:rsidR="006F5610" w:rsidRPr="006941B4">
        <w:rPr>
          <w:rFonts w:asciiTheme="majorHAnsi" w:eastAsiaTheme="majorEastAsia" w:hAnsiTheme="majorHAnsi" w:cstheme="majorBidi"/>
          <w:b/>
          <w:color w:val="000000" w:themeColor="text1"/>
          <w:sz w:val="24"/>
          <w:szCs w:val="24"/>
        </w:rPr>
        <w:t xml:space="preserve">ales </w:t>
      </w:r>
      <w:r w:rsidR="006F5610">
        <w:rPr>
          <w:rFonts w:asciiTheme="majorHAnsi" w:eastAsiaTheme="majorEastAsia" w:hAnsiTheme="majorHAnsi" w:cstheme="majorBidi"/>
          <w:b/>
          <w:color w:val="000000" w:themeColor="text1"/>
          <w:sz w:val="24"/>
          <w:szCs w:val="24"/>
        </w:rPr>
        <w:t>T</w:t>
      </w:r>
      <w:r w:rsidR="006F5610" w:rsidRPr="006941B4">
        <w:rPr>
          <w:rFonts w:asciiTheme="majorHAnsi" w:eastAsiaTheme="majorEastAsia" w:hAnsiTheme="majorHAnsi" w:cstheme="majorBidi"/>
          <w:b/>
          <w:color w:val="000000" w:themeColor="text1"/>
          <w:sz w:val="24"/>
          <w:szCs w:val="24"/>
        </w:rPr>
        <w:t xml:space="preserve">ax </w:t>
      </w:r>
      <w:r w:rsidR="006F5610">
        <w:rPr>
          <w:rFonts w:asciiTheme="majorHAnsi" w:eastAsiaTheme="majorEastAsia" w:hAnsiTheme="majorHAnsi" w:cstheme="majorBidi"/>
          <w:b/>
          <w:color w:val="000000" w:themeColor="text1"/>
          <w:sz w:val="24"/>
          <w:szCs w:val="24"/>
        </w:rPr>
        <w:t>E</w:t>
      </w:r>
      <w:r w:rsidR="006F5610" w:rsidRPr="006941B4">
        <w:rPr>
          <w:rFonts w:asciiTheme="majorHAnsi" w:eastAsiaTheme="majorEastAsia" w:hAnsiTheme="majorHAnsi" w:cstheme="majorBidi"/>
          <w:b/>
          <w:color w:val="000000" w:themeColor="text1"/>
          <w:sz w:val="24"/>
          <w:szCs w:val="24"/>
        </w:rPr>
        <w:t xml:space="preserve">xemption </w:t>
      </w:r>
    </w:p>
    <w:p w14:paraId="61F1A820" w14:textId="77777777" w:rsidR="00D330CB" w:rsidRDefault="006F5610" w:rsidP="00D330CB">
      <w:pPr>
        <w:spacing w:after="0"/>
        <w:jc w:val="center"/>
        <w:rPr>
          <w:rFonts w:asciiTheme="majorHAnsi" w:eastAsiaTheme="majorEastAsia" w:hAnsiTheme="majorHAnsi" w:cstheme="majorBidi"/>
          <w:b/>
          <w:color w:val="000000" w:themeColor="text1"/>
          <w:sz w:val="24"/>
          <w:szCs w:val="24"/>
        </w:rPr>
      </w:pPr>
      <w:r w:rsidRPr="006941B4">
        <w:rPr>
          <w:rFonts w:asciiTheme="majorHAnsi" w:eastAsiaTheme="majorEastAsia" w:hAnsiTheme="majorHAnsi" w:cstheme="majorBidi"/>
          <w:b/>
          <w:color w:val="000000" w:themeColor="text1"/>
          <w:sz w:val="24"/>
          <w:szCs w:val="24"/>
        </w:rPr>
        <w:t>for</w:t>
      </w:r>
      <w:r>
        <w:rPr>
          <w:rFonts w:asciiTheme="majorHAnsi" w:eastAsiaTheme="majorEastAsia" w:hAnsiTheme="majorHAnsi" w:cstheme="majorBidi"/>
          <w:b/>
          <w:color w:val="000000" w:themeColor="text1"/>
          <w:sz w:val="24"/>
          <w:szCs w:val="24"/>
        </w:rPr>
        <w:t xml:space="preserve"> Motor Fuels </w:t>
      </w:r>
      <w:r w:rsidR="001323B1">
        <w:rPr>
          <w:rFonts w:asciiTheme="majorHAnsi" w:eastAsiaTheme="majorEastAsia" w:hAnsiTheme="majorHAnsi" w:cstheme="majorBidi"/>
          <w:b/>
          <w:color w:val="000000" w:themeColor="text1"/>
          <w:sz w:val="24"/>
          <w:szCs w:val="24"/>
        </w:rPr>
        <w:t>by Selected Economic Measure*</w:t>
      </w:r>
    </w:p>
    <w:tbl>
      <w:tblPr>
        <w:tblW w:w="9350" w:type="dxa"/>
        <w:tblLook w:val="04A0" w:firstRow="1" w:lastRow="0" w:firstColumn="1" w:lastColumn="0" w:noHBand="0" w:noVBand="1"/>
      </w:tblPr>
      <w:tblGrid>
        <w:gridCol w:w="3365"/>
        <w:gridCol w:w="1197"/>
        <w:gridCol w:w="1197"/>
        <w:gridCol w:w="1197"/>
        <w:gridCol w:w="1197"/>
        <w:gridCol w:w="1197"/>
      </w:tblGrid>
      <w:tr w:rsidR="00D330CB" w:rsidRPr="00A94F48" w14:paraId="7F26F977" w14:textId="77777777" w:rsidTr="00A47BE2">
        <w:trPr>
          <w:trHeight w:val="380"/>
        </w:trPr>
        <w:tc>
          <w:tcPr>
            <w:tcW w:w="3365" w:type="dxa"/>
            <w:tcBorders>
              <w:top w:val="single" w:sz="4" w:space="0" w:color="auto"/>
              <w:left w:val="single" w:sz="4" w:space="0" w:color="auto"/>
              <w:bottom w:val="single" w:sz="4" w:space="0" w:color="auto"/>
              <w:right w:val="single" w:sz="4" w:space="0" w:color="auto"/>
            </w:tcBorders>
            <w:shd w:val="clear" w:color="000000" w:fill="B7DEE8"/>
            <w:noWrap/>
            <w:vAlign w:val="center"/>
            <w:hideMark/>
          </w:tcPr>
          <w:p w14:paraId="0ECBB57C" w14:textId="77777777" w:rsidR="00D330CB" w:rsidRPr="00A94F48" w:rsidRDefault="00D330CB" w:rsidP="00A47BE2">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Calendar Year</w:t>
            </w:r>
          </w:p>
        </w:tc>
        <w:tc>
          <w:tcPr>
            <w:tcW w:w="1197" w:type="dxa"/>
            <w:tcBorders>
              <w:top w:val="single" w:sz="4" w:space="0" w:color="auto"/>
              <w:left w:val="nil"/>
              <w:bottom w:val="single" w:sz="4" w:space="0" w:color="auto"/>
              <w:right w:val="single" w:sz="4" w:space="0" w:color="auto"/>
            </w:tcBorders>
            <w:shd w:val="clear" w:color="000000" w:fill="B7DEE8"/>
            <w:noWrap/>
            <w:vAlign w:val="center"/>
            <w:hideMark/>
          </w:tcPr>
          <w:p w14:paraId="37FE1211" w14:textId="77777777" w:rsidR="00D330CB" w:rsidRPr="00A94F48" w:rsidRDefault="00D330CB" w:rsidP="00A47BE2">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2018</w:t>
            </w:r>
          </w:p>
        </w:tc>
        <w:tc>
          <w:tcPr>
            <w:tcW w:w="1197" w:type="dxa"/>
            <w:tcBorders>
              <w:top w:val="single" w:sz="4" w:space="0" w:color="auto"/>
              <w:left w:val="nil"/>
              <w:bottom w:val="single" w:sz="4" w:space="0" w:color="auto"/>
              <w:right w:val="single" w:sz="4" w:space="0" w:color="auto"/>
            </w:tcBorders>
            <w:shd w:val="clear" w:color="000000" w:fill="B7DEE8"/>
            <w:noWrap/>
            <w:vAlign w:val="center"/>
            <w:hideMark/>
          </w:tcPr>
          <w:p w14:paraId="2907DC9C" w14:textId="77777777" w:rsidR="00D330CB" w:rsidRPr="00A94F48" w:rsidRDefault="00D330CB" w:rsidP="00A47BE2">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2019</w:t>
            </w:r>
          </w:p>
        </w:tc>
        <w:tc>
          <w:tcPr>
            <w:tcW w:w="1197" w:type="dxa"/>
            <w:tcBorders>
              <w:top w:val="single" w:sz="4" w:space="0" w:color="auto"/>
              <w:left w:val="nil"/>
              <w:bottom w:val="single" w:sz="4" w:space="0" w:color="auto"/>
              <w:right w:val="single" w:sz="4" w:space="0" w:color="auto"/>
            </w:tcBorders>
            <w:shd w:val="clear" w:color="000000" w:fill="B7DEE8"/>
            <w:noWrap/>
            <w:vAlign w:val="center"/>
            <w:hideMark/>
          </w:tcPr>
          <w:p w14:paraId="2DA71C9F" w14:textId="77777777" w:rsidR="00D330CB" w:rsidRPr="00A94F48" w:rsidRDefault="00D330CB" w:rsidP="00A47BE2">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2020</w:t>
            </w:r>
          </w:p>
        </w:tc>
        <w:tc>
          <w:tcPr>
            <w:tcW w:w="1197" w:type="dxa"/>
            <w:tcBorders>
              <w:top w:val="single" w:sz="4" w:space="0" w:color="auto"/>
              <w:left w:val="nil"/>
              <w:bottom w:val="single" w:sz="4" w:space="0" w:color="auto"/>
              <w:right w:val="single" w:sz="4" w:space="0" w:color="auto"/>
            </w:tcBorders>
            <w:shd w:val="clear" w:color="000000" w:fill="B7DEE8"/>
            <w:noWrap/>
            <w:vAlign w:val="center"/>
            <w:hideMark/>
          </w:tcPr>
          <w:p w14:paraId="7F01D254" w14:textId="77777777" w:rsidR="00D330CB" w:rsidRPr="00A94F48" w:rsidRDefault="00D330CB" w:rsidP="00A47BE2">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2021</w:t>
            </w:r>
          </w:p>
        </w:tc>
        <w:tc>
          <w:tcPr>
            <w:tcW w:w="1197" w:type="dxa"/>
            <w:tcBorders>
              <w:top w:val="single" w:sz="4" w:space="0" w:color="auto"/>
              <w:left w:val="nil"/>
              <w:bottom w:val="single" w:sz="4" w:space="0" w:color="auto"/>
              <w:right w:val="single" w:sz="4" w:space="0" w:color="auto"/>
            </w:tcBorders>
            <w:shd w:val="clear" w:color="000000" w:fill="B7DEE8"/>
            <w:noWrap/>
            <w:vAlign w:val="center"/>
            <w:hideMark/>
          </w:tcPr>
          <w:p w14:paraId="03EEE72A" w14:textId="77777777" w:rsidR="00D330CB" w:rsidRPr="00A94F48" w:rsidRDefault="00D330CB" w:rsidP="00A47BE2">
            <w:pPr>
              <w:spacing w:after="0" w:line="240" w:lineRule="auto"/>
              <w:jc w:val="center"/>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2022</w:t>
            </w:r>
          </w:p>
        </w:tc>
      </w:tr>
      <w:tr w:rsidR="007B1A7A" w:rsidRPr="00A94F48" w14:paraId="5DB6D815" w14:textId="77777777" w:rsidTr="007B1A7A">
        <w:trPr>
          <w:trHeight w:val="580"/>
        </w:trPr>
        <w:tc>
          <w:tcPr>
            <w:tcW w:w="3365" w:type="dxa"/>
            <w:tcBorders>
              <w:top w:val="nil"/>
              <w:left w:val="single" w:sz="4" w:space="0" w:color="auto"/>
              <w:bottom w:val="single" w:sz="4" w:space="0" w:color="auto"/>
              <w:right w:val="single" w:sz="4" w:space="0" w:color="auto"/>
            </w:tcBorders>
            <w:shd w:val="clear" w:color="auto" w:fill="auto"/>
            <w:vAlign w:val="center"/>
            <w:hideMark/>
          </w:tcPr>
          <w:p w14:paraId="153D47D0" w14:textId="77777777" w:rsidR="007B1A7A" w:rsidRPr="00A94F48" w:rsidRDefault="007B1A7A" w:rsidP="007B1A7A">
            <w:pPr>
              <w:spacing w:after="0" w:line="240" w:lineRule="auto"/>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Impact on total employment</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F8BA85" w14:textId="77777777" w:rsidR="007B1A7A" w:rsidRPr="007B1A7A" w:rsidRDefault="007B1A7A" w:rsidP="007B1A7A">
            <w:pPr>
              <w:spacing w:after="0" w:line="240" w:lineRule="auto"/>
              <w:jc w:val="center"/>
              <w:rPr>
                <w:rFonts w:asciiTheme="majorHAnsi" w:hAnsiTheme="majorHAnsi" w:cs="Calibri"/>
                <w:color w:val="000000"/>
                <w:sz w:val="20"/>
                <w:szCs w:val="20"/>
              </w:rPr>
            </w:pPr>
            <w:r w:rsidRPr="007B1A7A">
              <w:rPr>
                <w:rFonts w:asciiTheme="majorHAnsi" w:hAnsiTheme="majorHAnsi" w:cs="Calibri"/>
                <w:color w:val="000000"/>
                <w:sz w:val="20"/>
                <w:szCs w:val="20"/>
              </w:rPr>
              <w:t>-4,323</w:t>
            </w:r>
          </w:p>
        </w:tc>
        <w:tc>
          <w:tcPr>
            <w:tcW w:w="1197" w:type="dxa"/>
            <w:tcBorders>
              <w:top w:val="single" w:sz="4" w:space="0" w:color="auto"/>
              <w:left w:val="nil"/>
              <w:bottom w:val="single" w:sz="4" w:space="0" w:color="auto"/>
              <w:right w:val="single" w:sz="4" w:space="0" w:color="auto"/>
            </w:tcBorders>
            <w:shd w:val="clear" w:color="auto" w:fill="auto"/>
            <w:noWrap/>
            <w:vAlign w:val="center"/>
            <w:hideMark/>
          </w:tcPr>
          <w:p w14:paraId="631876DA" w14:textId="77777777" w:rsidR="007B1A7A" w:rsidRPr="007B1A7A" w:rsidRDefault="007B1A7A" w:rsidP="007B1A7A">
            <w:pPr>
              <w:spacing w:after="0" w:line="240" w:lineRule="auto"/>
              <w:jc w:val="center"/>
              <w:rPr>
                <w:rFonts w:asciiTheme="majorHAnsi" w:hAnsiTheme="majorHAnsi" w:cs="Calibri"/>
                <w:color w:val="000000"/>
                <w:sz w:val="20"/>
                <w:szCs w:val="20"/>
              </w:rPr>
            </w:pPr>
            <w:r w:rsidRPr="007B1A7A">
              <w:rPr>
                <w:rFonts w:asciiTheme="majorHAnsi" w:hAnsiTheme="majorHAnsi" w:cs="Calibri"/>
                <w:color w:val="000000"/>
                <w:sz w:val="20"/>
                <w:szCs w:val="20"/>
              </w:rPr>
              <w:t>-1,868</w:t>
            </w:r>
          </w:p>
        </w:tc>
        <w:tc>
          <w:tcPr>
            <w:tcW w:w="1197" w:type="dxa"/>
            <w:tcBorders>
              <w:top w:val="single" w:sz="4" w:space="0" w:color="auto"/>
              <w:left w:val="nil"/>
              <w:bottom w:val="single" w:sz="4" w:space="0" w:color="auto"/>
              <w:right w:val="single" w:sz="4" w:space="0" w:color="auto"/>
            </w:tcBorders>
            <w:shd w:val="clear" w:color="auto" w:fill="auto"/>
            <w:noWrap/>
            <w:vAlign w:val="center"/>
            <w:hideMark/>
          </w:tcPr>
          <w:p w14:paraId="3C9470D2" w14:textId="77777777" w:rsidR="007B1A7A" w:rsidRPr="007B1A7A" w:rsidRDefault="007B1A7A" w:rsidP="007B1A7A">
            <w:pPr>
              <w:spacing w:after="0" w:line="240" w:lineRule="auto"/>
              <w:jc w:val="center"/>
              <w:rPr>
                <w:rFonts w:asciiTheme="majorHAnsi" w:hAnsiTheme="majorHAnsi" w:cs="Calibri"/>
                <w:color w:val="000000"/>
                <w:sz w:val="20"/>
                <w:szCs w:val="20"/>
              </w:rPr>
            </w:pPr>
            <w:r w:rsidRPr="007B1A7A">
              <w:rPr>
                <w:rFonts w:asciiTheme="majorHAnsi" w:hAnsiTheme="majorHAnsi" w:cs="Calibri"/>
                <w:color w:val="000000"/>
                <w:sz w:val="20"/>
                <w:szCs w:val="20"/>
              </w:rPr>
              <w:t>-787</w:t>
            </w:r>
          </w:p>
        </w:tc>
        <w:tc>
          <w:tcPr>
            <w:tcW w:w="1197" w:type="dxa"/>
            <w:tcBorders>
              <w:top w:val="single" w:sz="4" w:space="0" w:color="auto"/>
              <w:left w:val="nil"/>
              <w:bottom w:val="single" w:sz="4" w:space="0" w:color="auto"/>
              <w:right w:val="single" w:sz="4" w:space="0" w:color="auto"/>
            </w:tcBorders>
            <w:shd w:val="clear" w:color="auto" w:fill="auto"/>
            <w:noWrap/>
            <w:vAlign w:val="center"/>
            <w:hideMark/>
          </w:tcPr>
          <w:p w14:paraId="25B90A26" w14:textId="77777777" w:rsidR="007B1A7A" w:rsidRPr="007B1A7A" w:rsidRDefault="007B1A7A" w:rsidP="007B1A7A">
            <w:pPr>
              <w:spacing w:after="0" w:line="240" w:lineRule="auto"/>
              <w:jc w:val="center"/>
              <w:rPr>
                <w:rFonts w:asciiTheme="majorHAnsi" w:hAnsiTheme="majorHAnsi" w:cs="Calibri"/>
                <w:color w:val="000000"/>
                <w:sz w:val="20"/>
                <w:szCs w:val="20"/>
              </w:rPr>
            </w:pPr>
            <w:r w:rsidRPr="007B1A7A">
              <w:rPr>
                <w:rFonts w:asciiTheme="majorHAnsi" w:hAnsiTheme="majorHAnsi" w:cs="Calibri"/>
                <w:color w:val="000000"/>
                <w:sz w:val="20"/>
                <w:szCs w:val="20"/>
              </w:rPr>
              <w:t>-738</w:t>
            </w:r>
          </w:p>
        </w:tc>
        <w:tc>
          <w:tcPr>
            <w:tcW w:w="11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C70FD2" w14:textId="77777777" w:rsidR="007B1A7A" w:rsidRPr="007B1A7A" w:rsidRDefault="007B1A7A" w:rsidP="007B1A7A">
            <w:pPr>
              <w:spacing w:after="0" w:line="240" w:lineRule="auto"/>
              <w:jc w:val="center"/>
              <w:rPr>
                <w:rFonts w:asciiTheme="majorHAnsi" w:hAnsiTheme="majorHAnsi" w:cs="Calibri"/>
                <w:color w:val="000000"/>
                <w:sz w:val="20"/>
                <w:szCs w:val="20"/>
              </w:rPr>
            </w:pPr>
            <w:r w:rsidRPr="007B1A7A">
              <w:rPr>
                <w:rFonts w:asciiTheme="majorHAnsi" w:hAnsiTheme="majorHAnsi" w:cs="Calibri"/>
                <w:color w:val="000000"/>
                <w:sz w:val="20"/>
                <w:szCs w:val="20"/>
              </w:rPr>
              <w:t>-1,186</w:t>
            </w:r>
          </w:p>
        </w:tc>
      </w:tr>
      <w:tr w:rsidR="007B1A7A" w:rsidRPr="00A94F48" w14:paraId="78C16DA8" w14:textId="77777777" w:rsidTr="007B1A7A">
        <w:trPr>
          <w:trHeight w:val="500"/>
        </w:trPr>
        <w:tc>
          <w:tcPr>
            <w:tcW w:w="3365" w:type="dxa"/>
            <w:tcBorders>
              <w:top w:val="nil"/>
              <w:left w:val="single" w:sz="4" w:space="0" w:color="auto"/>
              <w:bottom w:val="single" w:sz="4" w:space="0" w:color="auto"/>
              <w:right w:val="single" w:sz="4" w:space="0" w:color="auto"/>
            </w:tcBorders>
            <w:shd w:val="clear" w:color="auto" w:fill="auto"/>
            <w:vAlign w:val="center"/>
            <w:hideMark/>
          </w:tcPr>
          <w:p w14:paraId="4A8C93F1" w14:textId="77777777" w:rsidR="007B1A7A" w:rsidRPr="00A94F48" w:rsidRDefault="007B1A7A" w:rsidP="007B1A7A">
            <w:pPr>
              <w:spacing w:after="0" w:line="240" w:lineRule="auto"/>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Impact on private non-farm employment</w:t>
            </w:r>
          </w:p>
        </w:tc>
        <w:tc>
          <w:tcPr>
            <w:tcW w:w="1197" w:type="dxa"/>
            <w:tcBorders>
              <w:top w:val="nil"/>
              <w:left w:val="single" w:sz="4" w:space="0" w:color="auto"/>
              <w:bottom w:val="single" w:sz="4" w:space="0" w:color="auto"/>
              <w:right w:val="single" w:sz="4" w:space="0" w:color="auto"/>
            </w:tcBorders>
            <w:shd w:val="clear" w:color="auto" w:fill="auto"/>
            <w:noWrap/>
            <w:vAlign w:val="center"/>
            <w:hideMark/>
          </w:tcPr>
          <w:p w14:paraId="0E145720" w14:textId="77777777" w:rsidR="007B1A7A" w:rsidRPr="007B1A7A" w:rsidRDefault="007B1A7A" w:rsidP="007B1A7A">
            <w:pPr>
              <w:spacing w:after="0" w:line="240" w:lineRule="auto"/>
              <w:jc w:val="center"/>
              <w:rPr>
                <w:rFonts w:asciiTheme="majorHAnsi" w:hAnsiTheme="majorHAnsi" w:cs="Calibri"/>
                <w:color w:val="000000"/>
                <w:sz w:val="20"/>
                <w:szCs w:val="20"/>
              </w:rPr>
            </w:pPr>
            <w:r w:rsidRPr="007B1A7A">
              <w:rPr>
                <w:rFonts w:asciiTheme="majorHAnsi" w:hAnsiTheme="majorHAnsi" w:cs="Calibri"/>
                <w:color w:val="000000"/>
                <w:sz w:val="20"/>
                <w:szCs w:val="20"/>
              </w:rPr>
              <w:t>1,687</w:t>
            </w:r>
          </w:p>
        </w:tc>
        <w:tc>
          <w:tcPr>
            <w:tcW w:w="1197" w:type="dxa"/>
            <w:tcBorders>
              <w:top w:val="nil"/>
              <w:left w:val="nil"/>
              <w:bottom w:val="single" w:sz="4" w:space="0" w:color="auto"/>
              <w:right w:val="single" w:sz="4" w:space="0" w:color="auto"/>
            </w:tcBorders>
            <w:shd w:val="clear" w:color="auto" w:fill="auto"/>
            <w:noWrap/>
            <w:vAlign w:val="center"/>
            <w:hideMark/>
          </w:tcPr>
          <w:p w14:paraId="3D5F208C" w14:textId="77777777" w:rsidR="007B1A7A" w:rsidRPr="007B1A7A" w:rsidRDefault="007B1A7A" w:rsidP="007B1A7A">
            <w:pPr>
              <w:spacing w:after="0" w:line="240" w:lineRule="auto"/>
              <w:jc w:val="center"/>
              <w:rPr>
                <w:rFonts w:asciiTheme="majorHAnsi" w:hAnsiTheme="majorHAnsi" w:cs="Calibri"/>
                <w:color w:val="000000"/>
                <w:sz w:val="20"/>
                <w:szCs w:val="20"/>
              </w:rPr>
            </w:pPr>
            <w:r w:rsidRPr="007B1A7A">
              <w:rPr>
                <w:rFonts w:asciiTheme="majorHAnsi" w:hAnsiTheme="majorHAnsi" w:cs="Calibri"/>
                <w:color w:val="000000"/>
                <w:sz w:val="20"/>
                <w:szCs w:val="20"/>
              </w:rPr>
              <w:t>4,060</w:t>
            </w:r>
          </w:p>
        </w:tc>
        <w:tc>
          <w:tcPr>
            <w:tcW w:w="1197" w:type="dxa"/>
            <w:tcBorders>
              <w:top w:val="nil"/>
              <w:left w:val="nil"/>
              <w:bottom w:val="single" w:sz="4" w:space="0" w:color="auto"/>
              <w:right w:val="single" w:sz="4" w:space="0" w:color="auto"/>
            </w:tcBorders>
            <w:shd w:val="clear" w:color="auto" w:fill="auto"/>
            <w:noWrap/>
            <w:vAlign w:val="center"/>
            <w:hideMark/>
          </w:tcPr>
          <w:p w14:paraId="05705E00" w14:textId="77777777" w:rsidR="007B1A7A" w:rsidRPr="007B1A7A" w:rsidRDefault="007B1A7A" w:rsidP="007B1A7A">
            <w:pPr>
              <w:spacing w:after="0" w:line="240" w:lineRule="auto"/>
              <w:jc w:val="center"/>
              <w:rPr>
                <w:rFonts w:asciiTheme="majorHAnsi" w:hAnsiTheme="majorHAnsi" w:cs="Calibri"/>
                <w:color w:val="000000"/>
                <w:sz w:val="20"/>
                <w:szCs w:val="20"/>
              </w:rPr>
            </w:pPr>
            <w:r w:rsidRPr="007B1A7A">
              <w:rPr>
                <w:rFonts w:asciiTheme="majorHAnsi" w:hAnsiTheme="majorHAnsi" w:cs="Calibri"/>
                <w:color w:val="000000"/>
                <w:sz w:val="20"/>
                <w:szCs w:val="20"/>
              </w:rPr>
              <w:t>4,648</w:t>
            </w:r>
          </w:p>
        </w:tc>
        <w:tc>
          <w:tcPr>
            <w:tcW w:w="1197" w:type="dxa"/>
            <w:tcBorders>
              <w:top w:val="nil"/>
              <w:left w:val="nil"/>
              <w:bottom w:val="single" w:sz="4" w:space="0" w:color="auto"/>
              <w:right w:val="single" w:sz="4" w:space="0" w:color="auto"/>
            </w:tcBorders>
            <w:shd w:val="clear" w:color="auto" w:fill="auto"/>
            <w:noWrap/>
            <w:vAlign w:val="center"/>
            <w:hideMark/>
          </w:tcPr>
          <w:p w14:paraId="42D2CFE3" w14:textId="77777777" w:rsidR="007B1A7A" w:rsidRPr="007B1A7A" w:rsidRDefault="007B1A7A" w:rsidP="007B1A7A">
            <w:pPr>
              <w:spacing w:after="0" w:line="240" w:lineRule="auto"/>
              <w:jc w:val="center"/>
              <w:rPr>
                <w:rFonts w:asciiTheme="majorHAnsi" w:hAnsiTheme="majorHAnsi" w:cs="Calibri"/>
                <w:color w:val="000000"/>
                <w:sz w:val="20"/>
                <w:szCs w:val="20"/>
              </w:rPr>
            </w:pPr>
            <w:r w:rsidRPr="007B1A7A">
              <w:rPr>
                <w:rFonts w:asciiTheme="majorHAnsi" w:hAnsiTheme="majorHAnsi" w:cs="Calibri"/>
                <w:color w:val="000000"/>
                <w:sz w:val="20"/>
                <w:szCs w:val="20"/>
              </w:rPr>
              <w:t>4,392</w:t>
            </w:r>
          </w:p>
        </w:tc>
        <w:tc>
          <w:tcPr>
            <w:tcW w:w="1197" w:type="dxa"/>
            <w:tcBorders>
              <w:top w:val="nil"/>
              <w:left w:val="single" w:sz="4" w:space="0" w:color="auto"/>
              <w:bottom w:val="single" w:sz="4" w:space="0" w:color="auto"/>
              <w:right w:val="single" w:sz="4" w:space="0" w:color="auto"/>
            </w:tcBorders>
            <w:shd w:val="clear" w:color="auto" w:fill="auto"/>
            <w:noWrap/>
            <w:vAlign w:val="center"/>
            <w:hideMark/>
          </w:tcPr>
          <w:p w14:paraId="2C7DFF8C" w14:textId="77777777" w:rsidR="007B1A7A" w:rsidRPr="007B1A7A" w:rsidRDefault="007B1A7A" w:rsidP="007B1A7A">
            <w:pPr>
              <w:spacing w:after="0" w:line="240" w:lineRule="auto"/>
              <w:jc w:val="center"/>
              <w:rPr>
                <w:rFonts w:asciiTheme="majorHAnsi" w:hAnsiTheme="majorHAnsi" w:cs="Calibri"/>
                <w:color w:val="000000"/>
                <w:sz w:val="20"/>
                <w:szCs w:val="20"/>
              </w:rPr>
            </w:pPr>
            <w:r w:rsidRPr="007B1A7A">
              <w:rPr>
                <w:rFonts w:asciiTheme="majorHAnsi" w:hAnsiTheme="majorHAnsi" w:cs="Calibri"/>
                <w:color w:val="000000"/>
                <w:sz w:val="20"/>
                <w:szCs w:val="20"/>
              </w:rPr>
              <w:t>3,729</w:t>
            </w:r>
          </w:p>
        </w:tc>
      </w:tr>
      <w:tr w:rsidR="007B1A7A" w:rsidRPr="00A94F48" w14:paraId="300AB865" w14:textId="77777777" w:rsidTr="007B1A7A">
        <w:trPr>
          <w:trHeight w:val="500"/>
        </w:trPr>
        <w:tc>
          <w:tcPr>
            <w:tcW w:w="3365" w:type="dxa"/>
            <w:tcBorders>
              <w:top w:val="nil"/>
              <w:left w:val="single" w:sz="4" w:space="0" w:color="auto"/>
              <w:bottom w:val="single" w:sz="4" w:space="0" w:color="auto"/>
              <w:right w:val="single" w:sz="4" w:space="0" w:color="auto"/>
            </w:tcBorders>
            <w:shd w:val="clear" w:color="auto" w:fill="auto"/>
            <w:vAlign w:val="center"/>
            <w:hideMark/>
          </w:tcPr>
          <w:p w14:paraId="2F98B108" w14:textId="77777777" w:rsidR="007B1A7A" w:rsidRPr="00A94F48" w:rsidRDefault="007B1A7A" w:rsidP="007B1A7A">
            <w:pPr>
              <w:spacing w:after="0" w:line="240" w:lineRule="auto"/>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Impact on GDP ($000), real dollars (2012)</w:t>
            </w:r>
          </w:p>
        </w:tc>
        <w:tc>
          <w:tcPr>
            <w:tcW w:w="1197" w:type="dxa"/>
            <w:tcBorders>
              <w:top w:val="nil"/>
              <w:left w:val="single" w:sz="4" w:space="0" w:color="auto"/>
              <w:bottom w:val="single" w:sz="4" w:space="0" w:color="auto"/>
              <w:right w:val="single" w:sz="4" w:space="0" w:color="auto"/>
            </w:tcBorders>
            <w:shd w:val="clear" w:color="auto" w:fill="auto"/>
            <w:noWrap/>
            <w:vAlign w:val="center"/>
            <w:hideMark/>
          </w:tcPr>
          <w:p w14:paraId="0FCC4212" w14:textId="77777777" w:rsidR="007B1A7A" w:rsidRPr="007B1A7A" w:rsidRDefault="007B1A7A" w:rsidP="007B1A7A">
            <w:pPr>
              <w:spacing w:after="0" w:line="240" w:lineRule="auto"/>
              <w:jc w:val="center"/>
              <w:rPr>
                <w:rFonts w:ascii="Cambria" w:eastAsia="Times New Roman" w:hAnsi="Cambria" w:cs="Arial"/>
                <w:sz w:val="20"/>
                <w:szCs w:val="20"/>
                <w:lang w:eastAsia="ko-KR"/>
              </w:rPr>
            </w:pPr>
            <w:r w:rsidRPr="007B1A7A">
              <w:rPr>
                <w:rFonts w:ascii="Cambria" w:eastAsia="Times New Roman" w:hAnsi="Cambria" w:cs="Arial"/>
                <w:sz w:val="20"/>
                <w:szCs w:val="20"/>
                <w:lang w:eastAsia="ko-KR"/>
              </w:rPr>
              <w:t>-$385,000</w:t>
            </w:r>
          </w:p>
        </w:tc>
        <w:tc>
          <w:tcPr>
            <w:tcW w:w="1197" w:type="dxa"/>
            <w:tcBorders>
              <w:top w:val="nil"/>
              <w:left w:val="nil"/>
              <w:bottom w:val="single" w:sz="4" w:space="0" w:color="auto"/>
              <w:right w:val="single" w:sz="4" w:space="0" w:color="auto"/>
            </w:tcBorders>
            <w:shd w:val="clear" w:color="auto" w:fill="auto"/>
            <w:noWrap/>
            <w:vAlign w:val="center"/>
            <w:hideMark/>
          </w:tcPr>
          <w:p w14:paraId="2A0F6EED" w14:textId="77777777" w:rsidR="007B1A7A" w:rsidRPr="007B1A7A" w:rsidRDefault="007B1A7A" w:rsidP="007B1A7A">
            <w:pPr>
              <w:spacing w:after="0" w:line="240" w:lineRule="auto"/>
              <w:jc w:val="center"/>
              <w:rPr>
                <w:rFonts w:ascii="Cambria" w:eastAsia="Times New Roman" w:hAnsi="Cambria" w:cs="Arial"/>
                <w:sz w:val="20"/>
                <w:szCs w:val="20"/>
                <w:lang w:eastAsia="ko-KR"/>
              </w:rPr>
            </w:pPr>
            <w:r w:rsidRPr="007B1A7A">
              <w:rPr>
                <w:rFonts w:ascii="Cambria" w:eastAsia="Times New Roman" w:hAnsi="Cambria" w:cs="Arial"/>
                <w:sz w:val="20"/>
                <w:szCs w:val="20"/>
                <w:lang w:eastAsia="ko-KR"/>
              </w:rPr>
              <w:t>-$160,000</w:t>
            </w:r>
          </w:p>
        </w:tc>
        <w:tc>
          <w:tcPr>
            <w:tcW w:w="1197" w:type="dxa"/>
            <w:tcBorders>
              <w:top w:val="nil"/>
              <w:left w:val="nil"/>
              <w:bottom w:val="single" w:sz="4" w:space="0" w:color="auto"/>
              <w:right w:val="single" w:sz="4" w:space="0" w:color="auto"/>
            </w:tcBorders>
            <w:shd w:val="clear" w:color="auto" w:fill="auto"/>
            <w:noWrap/>
            <w:vAlign w:val="center"/>
            <w:hideMark/>
          </w:tcPr>
          <w:p w14:paraId="2D1F5164" w14:textId="77777777" w:rsidR="007B1A7A" w:rsidRPr="007B1A7A" w:rsidRDefault="007B1A7A" w:rsidP="007B1A7A">
            <w:pPr>
              <w:spacing w:after="0" w:line="240" w:lineRule="auto"/>
              <w:jc w:val="center"/>
              <w:rPr>
                <w:rFonts w:ascii="Cambria" w:eastAsia="Times New Roman" w:hAnsi="Cambria" w:cs="Arial"/>
                <w:sz w:val="20"/>
                <w:szCs w:val="20"/>
                <w:lang w:eastAsia="ko-KR"/>
              </w:rPr>
            </w:pPr>
            <w:r w:rsidRPr="007B1A7A">
              <w:rPr>
                <w:rFonts w:ascii="Cambria" w:eastAsia="Times New Roman" w:hAnsi="Cambria" w:cs="Arial"/>
                <w:sz w:val="20"/>
                <w:szCs w:val="20"/>
                <w:lang w:eastAsia="ko-KR"/>
              </w:rPr>
              <w:t>-$56,000</w:t>
            </w:r>
          </w:p>
        </w:tc>
        <w:tc>
          <w:tcPr>
            <w:tcW w:w="1197" w:type="dxa"/>
            <w:tcBorders>
              <w:top w:val="nil"/>
              <w:left w:val="nil"/>
              <w:bottom w:val="single" w:sz="4" w:space="0" w:color="auto"/>
              <w:right w:val="single" w:sz="4" w:space="0" w:color="auto"/>
            </w:tcBorders>
            <w:shd w:val="clear" w:color="auto" w:fill="auto"/>
            <w:noWrap/>
            <w:vAlign w:val="center"/>
            <w:hideMark/>
          </w:tcPr>
          <w:p w14:paraId="25823442" w14:textId="77777777" w:rsidR="007B1A7A" w:rsidRPr="007B1A7A" w:rsidRDefault="007B1A7A" w:rsidP="007B1A7A">
            <w:pPr>
              <w:spacing w:after="0" w:line="240" w:lineRule="auto"/>
              <w:jc w:val="center"/>
              <w:rPr>
                <w:rFonts w:ascii="Cambria" w:eastAsia="Times New Roman" w:hAnsi="Cambria" w:cs="Arial"/>
                <w:sz w:val="20"/>
                <w:szCs w:val="20"/>
                <w:lang w:eastAsia="ko-KR"/>
              </w:rPr>
            </w:pPr>
            <w:r w:rsidRPr="007B1A7A">
              <w:rPr>
                <w:rFonts w:ascii="Cambria" w:eastAsia="Times New Roman" w:hAnsi="Cambria" w:cs="Arial"/>
                <w:sz w:val="20"/>
                <w:szCs w:val="20"/>
                <w:lang w:eastAsia="ko-KR"/>
              </w:rPr>
              <w:t>-$45,000</w:t>
            </w:r>
          </w:p>
        </w:tc>
        <w:tc>
          <w:tcPr>
            <w:tcW w:w="1197" w:type="dxa"/>
            <w:tcBorders>
              <w:top w:val="nil"/>
              <w:left w:val="single" w:sz="4" w:space="0" w:color="auto"/>
              <w:bottom w:val="single" w:sz="4" w:space="0" w:color="auto"/>
              <w:right w:val="single" w:sz="4" w:space="0" w:color="auto"/>
            </w:tcBorders>
            <w:shd w:val="clear" w:color="auto" w:fill="auto"/>
            <w:noWrap/>
            <w:vAlign w:val="center"/>
            <w:hideMark/>
          </w:tcPr>
          <w:p w14:paraId="0F1B9408" w14:textId="77777777" w:rsidR="007B1A7A" w:rsidRPr="007B1A7A" w:rsidRDefault="007B1A7A" w:rsidP="007B1A7A">
            <w:pPr>
              <w:spacing w:after="0" w:line="240" w:lineRule="auto"/>
              <w:jc w:val="center"/>
              <w:rPr>
                <w:rFonts w:ascii="Cambria" w:eastAsia="Times New Roman" w:hAnsi="Cambria" w:cs="Arial"/>
                <w:sz w:val="20"/>
                <w:szCs w:val="20"/>
                <w:lang w:eastAsia="ko-KR"/>
              </w:rPr>
            </w:pPr>
            <w:r w:rsidRPr="007B1A7A">
              <w:rPr>
                <w:rFonts w:ascii="Cambria" w:eastAsia="Times New Roman" w:hAnsi="Cambria" w:cs="Arial"/>
                <w:sz w:val="20"/>
                <w:szCs w:val="20"/>
                <w:lang w:eastAsia="ko-KR"/>
              </w:rPr>
              <w:t>-$82,000</w:t>
            </w:r>
          </w:p>
        </w:tc>
      </w:tr>
      <w:tr w:rsidR="007B1A7A" w:rsidRPr="00A94F48" w14:paraId="4CD7B611" w14:textId="77777777" w:rsidTr="007B1A7A">
        <w:trPr>
          <w:trHeight w:val="500"/>
        </w:trPr>
        <w:tc>
          <w:tcPr>
            <w:tcW w:w="3365" w:type="dxa"/>
            <w:tcBorders>
              <w:top w:val="nil"/>
              <w:left w:val="single" w:sz="4" w:space="0" w:color="auto"/>
              <w:bottom w:val="single" w:sz="4" w:space="0" w:color="auto"/>
              <w:right w:val="single" w:sz="4" w:space="0" w:color="auto"/>
            </w:tcBorders>
            <w:shd w:val="clear" w:color="auto" w:fill="auto"/>
            <w:vAlign w:val="center"/>
            <w:hideMark/>
          </w:tcPr>
          <w:p w14:paraId="2650CB17" w14:textId="77777777" w:rsidR="007B1A7A" w:rsidRPr="00A94F48" w:rsidRDefault="007B1A7A" w:rsidP="007B1A7A">
            <w:pPr>
              <w:spacing w:after="0" w:line="240" w:lineRule="auto"/>
              <w:rPr>
                <w:rFonts w:ascii="Cambria" w:eastAsia="Times New Roman" w:hAnsi="Cambria" w:cs="Helvetica"/>
                <w:sz w:val="20"/>
                <w:szCs w:val="20"/>
                <w:lang w:eastAsia="ko-KR"/>
              </w:rPr>
            </w:pPr>
            <w:r w:rsidRPr="00A94F48">
              <w:rPr>
                <w:rFonts w:ascii="Cambria" w:eastAsia="Times New Roman" w:hAnsi="Cambria" w:cs="Helvetica"/>
                <w:sz w:val="20"/>
                <w:szCs w:val="20"/>
                <w:lang w:eastAsia="ko-KR"/>
              </w:rPr>
              <w:t>Impact on personal income ($000)</w:t>
            </w:r>
          </w:p>
        </w:tc>
        <w:tc>
          <w:tcPr>
            <w:tcW w:w="1197" w:type="dxa"/>
            <w:tcBorders>
              <w:top w:val="nil"/>
              <w:left w:val="single" w:sz="4" w:space="0" w:color="auto"/>
              <w:bottom w:val="single" w:sz="4" w:space="0" w:color="auto"/>
              <w:right w:val="single" w:sz="4" w:space="0" w:color="auto"/>
            </w:tcBorders>
            <w:shd w:val="clear" w:color="auto" w:fill="auto"/>
            <w:noWrap/>
            <w:vAlign w:val="center"/>
            <w:hideMark/>
          </w:tcPr>
          <w:p w14:paraId="048C0761" w14:textId="77777777" w:rsidR="007B1A7A" w:rsidRPr="007B1A7A" w:rsidRDefault="007B1A7A" w:rsidP="007B1A7A">
            <w:pPr>
              <w:spacing w:after="0" w:line="240" w:lineRule="auto"/>
              <w:jc w:val="center"/>
              <w:rPr>
                <w:rFonts w:ascii="Cambria" w:eastAsia="Times New Roman" w:hAnsi="Cambria" w:cs="Arial"/>
                <w:sz w:val="20"/>
                <w:szCs w:val="20"/>
                <w:lang w:eastAsia="ko-KR"/>
              </w:rPr>
            </w:pPr>
            <w:r w:rsidRPr="007B1A7A">
              <w:rPr>
                <w:rFonts w:ascii="Cambria" w:eastAsia="Times New Roman" w:hAnsi="Cambria" w:cs="Arial"/>
                <w:sz w:val="20"/>
                <w:szCs w:val="20"/>
                <w:lang w:eastAsia="ko-KR"/>
              </w:rPr>
              <w:t>-$167,000</w:t>
            </w:r>
          </w:p>
        </w:tc>
        <w:tc>
          <w:tcPr>
            <w:tcW w:w="1197" w:type="dxa"/>
            <w:tcBorders>
              <w:top w:val="nil"/>
              <w:left w:val="nil"/>
              <w:bottom w:val="single" w:sz="4" w:space="0" w:color="auto"/>
              <w:right w:val="single" w:sz="4" w:space="0" w:color="auto"/>
            </w:tcBorders>
            <w:shd w:val="clear" w:color="auto" w:fill="auto"/>
            <w:noWrap/>
            <w:vAlign w:val="center"/>
            <w:hideMark/>
          </w:tcPr>
          <w:p w14:paraId="0B03B56F" w14:textId="77777777" w:rsidR="007B1A7A" w:rsidRPr="007B1A7A" w:rsidRDefault="007B1A7A" w:rsidP="007B1A7A">
            <w:pPr>
              <w:spacing w:after="0" w:line="240" w:lineRule="auto"/>
              <w:jc w:val="center"/>
              <w:rPr>
                <w:rFonts w:ascii="Cambria" w:eastAsia="Times New Roman" w:hAnsi="Cambria" w:cs="Arial"/>
                <w:sz w:val="20"/>
                <w:szCs w:val="20"/>
                <w:lang w:eastAsia="ko-KR"/>
              </w:rPr>
            </w:pPr>
            <w:r w:rsidRPr="007B1A7A">
              <w:rPr>
                <w:rFonts w:ascii="Cambria" w:eastAsia="Times New Roman" w:hAnsi="Cambria" w:cs="Arial"/>
                <w:sz w:val="20"/>
                <w:szCs w:val="20"/>
                <w:lang w:eastAsia="ko-KR"/>
              </w:rPr>
              <w:t>$13,000</w:t>
            </w:r>
          </w:p>
        </w:tc>
        <w:tc>
          <w:tcPr>
            <w:tcW w:w="1197" w:type="dxa"/>
            <w:tcBorders>
              <w:top w:val="nil"/>
              <w:left w:val="nil"/>
              <w:bottom w:val="single" w:sz="4" w:space="0" w:color="auto"/>
              <w:right w:val="single" w:sz="4" w:space="0" w:color="auto"/>
            </w:tcBorders>
            <w:shd w:val="clear" w:color="auto" w:fill="auto"/>
            <w:noWrap/>
            <w:vAlign w:val="center"/>
            <w:hideMark/>
          </w:tcPr>
          <w:p w14:paraId="285428B6" w14:textId="77777777" w:rsidR="007B1A7A" w:rsidRPr="007B1A7A" w:rsidRDefault="007B1A7A" w:rsidP="007B1A7A">
            <w:pPr>
              <w:spacing w:after="0" w:line="240" w:lineRule="auto"/>
              <w:jc w:val="center"/>
              <w:rPr>
                <w:rFonts w:ascii="Cambria" w:eastAsia="Times New Roman" w:hAnsi="Cambria" w:cs="Arial"/>
                <w:sz w:val="20"/>
                <w:szCs w:val="20"/>
                <w:lang w:eastAsia="ko-KR"/>
              </w:rPr>
            </w:pPr>
            <w:r w:rsidRPr="007B1A7A">
              <w:rPr>
                <w:rFonts w:ascii="Cambria" w:eastAsia="Times New Roman" w:hAnsi="Cambria" w:cs="Arial"/>
                <w:sz w:val="20"/>
                <w:szCs w:val="20"/>
                <w:lang w:eastAsia="ko-KR"/>
              </w:rPr>
              <w:t>$106,000</w:t>
            </w:r>
          </w:p>
        </w:tc>
        <w:tc>
          <w:tcPr>
            <w:tcW w:w="1197" w:type="dxa"/>
            <w:tcBorders>
              <w:top w:val="nil"/>
              <w:left w:val="nil"/>
              <w:bottom w:val="single" w:sz="4" w:space="0" w:color="auto"/>
              <w:right w:val="single" w:sz="4" w:space="0" w:color="auto"/>
            </w:tcBorders>
            <w:shd w:val="clear" w:color="auto" w:fill="auto"/>
            <w:noWrap/>
            <w:vAlign w:val="center"/>
            <w:hideMark/>
          </w:tcPr>
          <w:p w14:paraId="3FAA893C" w14:textId="77777777" w:rsidR="007B1A7A" w:rsidRPr="007B1A7A" w:rsidRDefault="007B1A7A" w:rsidP="007B1A7A">
            <w:pPr>
              <w:spacing w:after="0" w:line="240" w:lineRule="auto"/>
              <w:jc w:val="center"/>
              <w:rPr>
                <w:rFonts w:ascii="Cambria" w:eastAsia="Times New Roman" w:hAnsi="Cambria" w:cs="Arial"/>
                <w:sz w:val="20"/>
                <w:szCs w:val="20"/>
                <w:lang w:eastAsia="ko-KR"/>
              </w:rPr>
            </w:pPr>
            <w:r w:rsidRPr="007B1A7A">
              <w:rPr>
                <w:rFonts w:ascii="Cambria" w:eastAsia="Times New Roman" w:hAnsi="Cambria" w:cs="Arial"/>
                <w:sz w:val="20"/>
                <w:szCs w:val="20"/>
                <w:lang w:eastAsia="ko-KR"/>
              </w:rPr>
              <w:t>$129,000</w:t>
            </w:r>
          </w:p>
        </w:tc>
        <w:tc>
          <w:tcPr>
            <w:tcW w:w="1197" w:type="dxa"/>
            <w:tcBorders>
              <w:top w:val="nil"/>
              <w:left w:val="single" w:sz="4" w:space="0" w:color="auto"/>
              <w:bottom w:val="single" w:sz="4" w:space="0" w:color="auto"/>
              <w:right w:val="single" w:sz="4" w:space="0" w:color="auto"/>
            </w:tcBorders>
            <w:shd w:val="clear" w:color="auto" w:fill="auto"/>
            <w:noWrap/>
            <w:vAlign w:val="center"/>
            <w:hideMark/>
          </w:tcPr>
          <w:p w14:paraId="0C5FA8B4" w14:textId="77777777" w:rsidR="007B1A7A" w:rsidRPr="007B1A7A" w:rsidRDefault="007B1A7A" w:rsidP="007B1A7A">
            <w:pPr>
              <w:spacing w:after="0" w:line="240" w:lineRule="auto"/>
              <w:jc w:val="center"/>
              <w:rPr>
                <w:rFonts w:ascii="Cambria" w:eastAsia="Times New Roman" w:hAnsi="Cambria" w:cs="Arial"/>
                <w:sz w:val="20"/>
                <w:szCs w:val="20"/>
                <w:lang w:eastAsia="ko-KR"/>
              </w:rPr>
            </w:pPr>
            <w:r w:rsidRPr="007B1A7A">
              <w:rPr>
                <w:rFonts w:ascii="Cambria" w:eastAsia="Times New Roman" w:hAnsi="Cambria" w:cs="Arial"/>
                <w:sz w:val="20"/>
                <w:szCs w:val="20"/>
                <w:lang w:eastAsia="ko-KR"/>
              </w:rPr>
              <w:t>$101,000</w:t>
            </w:r>
          </w:p>
        </w:tc>
      </w:tr>
    </w:tbl>
    <w:p w14:paraId="0A707841" w14:textId="77777777" w:rsidR="00D330CB" w:rsidRDefault="006F5610" w:rsidP="006F5610">
      <w:pPr>
        <w:tabs>
          <w:tab w:val="left" w:pos="7050"/>
        </w:tabs>
        <w:spacing w:after="0"/>
        <w:rPr>
          <w:rFonts w:asciiTheme="majorHAnsi" w:hAnsiTheme="majorHAnsi"/>
          <w:bCs/>
          <w:sz w:val="24"/>
          <w:szCs w:val="23"/>
        </w:rPr>
      </w:pPr>
      <w:r w:rsidRPr="00304366">
        <w:rPr>
          <w:rFonts w:asciiTheme="majorHAnsi" w:hAnsiTheme="majorHAnsi"/>
          <w:bCs/>
          <w:sz w:val="20"/>
          <w:szCs w:val="20"/>
        </w:rPr>
        <w:t>* assuming state government spending is cut by the same amount as</w:t>
      </w:r>
      <w:r>
        <w:rPr>
          <w:rFonts w:asciiTheme="majorHAnsi" w:hAnsiTheme="majorHAnsi"/>
          <w:bCs/>
          <w:sz w:val="20"/>
          <w:szCs w:val="20"/>
        </w:rPr>
        <w:t xml:space="preserve"> </w:t>
      </w:r>
      <w:r w:rsidR="00B10AC9">
        <w:rPr>
          <w:rFonts w:asciiTheme="majorHAnsi" w:hAnsiTheme="majorHAnsi"/>
          <w:bCs/>
          <w:sz w:val="20"/>
          <w:szCs w:val="20"/>
        </w:rPr>
        <w:t>the revenue loss due to</w:t>
      </w:r>
      <w:r w:rsidR="00B10AC9" w:rsidRPr="00304366">
        <w:rPr>
          <w:rFonts w:asciiTheme="majorHAnsi" w:hAnsiTheme="majorHAnsi"/>
          <w:bCs/>
          <w:sz w:val="20"/>
          <w:szCs w:val="20"/>
        </w:rPr>
        <w:t xml:space="preserve"> </w:t>
      </w:r>
      <w:r>
        <w:rPr>
          <w:rFonts w:asciiTheme="majorHAnsi" w:hAnsiTheme="majorHAnsi"/>
          <w:bCs/>
          <w:sz w:val="20"/>
          <w:szCs w:val="20"/>
        </w:rPr>
        <w:t>the sales tax exemption for motor fuels to balance budget</w:t>
      </w:r>
      <w:r w:rsidRPr="00304366">
        <w:rPr>
          <w:rFonts w:asciiTheme="majorHAnsi" w:hAnsiTheme="majorHAnsi"/>
          <w:bCs/>
          <w:sz w:val="20"/>
          <w:szCs w:val="20"/>
        </w:rPr>
        <w:t>.</w:t>
      </w:r>
    </w:p>
    <w:sectPr w:rsidR="00D330CB" w:rsidSect="00ED4589">
      <w:footerReference w:type="default" r:id="rId2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4FCFC3" w14:textId="77777777" w:rsidR="00407550" w:rsidRDefault="00407550" w:rsidP="00110E98">
      <w:pPr>
        <w:spacing w:after="0" w:line="240" w:lineRule="auto"/>
      </w:pPr>
      <w:r>
        <w:separator/>
      </w:r>
    </w:p>
  </w:endnote>
  <w:endnote w:type="continuationSeparator" w:id="0">
    <w:p w14:paraId="7DC36AF6" w14:textId="77777777" w:rsidR="00407550" w:rsidRDefault="00407550" w:rsidP="00110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abon LT Std">
    <w:altName w:val="Sabon LT 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oto Sans">
    <w:altName w:val="Calibri"/>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A5507" w14:textId="77777777" w:rsidR="00407550" w:rsidRDefault="004075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1002447"/>
      <w:docPartObj>
        <w:docPartGallery w:val="Page Numbers (Bottom of Page)"/>
        <w:docPartUnique/>
      </w:docPartObj>
    </w:sdtPr>
    <w:sdtEndPr>
      <w:rPr>
        <w:noProof/>
      </w:rPr>
    </w:sdtEndPr>
    <w:sdtContent>
      <w:p w14:paraId="63B67945" w14:textId="77777777" w:rsidR="00407550" w:rsidRDefault="0040755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A573D48" w14:textId="77777777" w:rsidR="00407550" w:rsidRDefault="004075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C9D20" w14:textId="77777777" w:rsidR="00407550" w:rsidRDefault="0040755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1793664"/>
      <w:docPartObj>
        <w:docPartGallery w:val="Page Numbers (Bottom of Page)"/>
        <w:docPartUnique/>
      </w:docPartObj>
    </w:sdtPr>
    <w:sdtEndPr>
      <w:rPr>
        <w:rFonts w:asciiTheme="majorHAnsi" w:hAnsiTheme="majorHAnsi"/>
        <w:noProof/>
        <w:sz w:val="24"/>
      </w:rPr>
    </w:sdtEndPr>
    <w:sdtContent>
      <w:p w14:paraId="6126A5EA" w14:textId="77777777" w:rsidR="00407550" w:rsidRPr="00B204AF" w:rsidRDefault="00407550">
        <w:pPr>
          <w:pStyle w:val="Footer"/>
          <w:jc w:val="center"/>
          <w:rPr>
            <w:rFonts w:asciiTheme="majorHAnsi" w:hAnsiTheme="majorHAnsi"/>
            <w:sz w:val="24"/>
          </w:rPr>
        </w:pPr>
        <w:r w:rsidRPr="00B204AF">
          <w:rPr>
            <w:rFonts w:asciiTheme="majorHAnsi" w:hAnsiTheme="majorHAnsi"/>
            <w:sz w:val="24"/>
          </w:rPr>
          <w:fldChar w:fldCharType="begin"/>
        </w:r>
        <w:r w:rsidRPr="00B204AF">
          <w:rPr>
            <w:rFonts w:asciiTheme="majorHAnsi" w:hAnsiTheme="majorHAnsi"/>
            <w:sz w:val="24"/>
          </w:rPr>
          <w:instrText xml:space="preserve"> PAGE   \* MERGEFORMAT </w:instrText>
        </w:r>
        <w:r w:rsidRPr="00B204AF">
          <w:rPr>
            <w:rFonts w:asciiTheme="majorHAnsi" w:hAnsiTheme="majorHAnsi"/>
            <w:sz w:val="24"/>
          </w:rPr>
          <w:fldChar w:fldCharType="separate"/>
        </w:r>
        <w:r>
          <w:rPr>
            <w:rFonts w:asciiTheme="majorHAnsi" w:hAnsiTheme="majorHAnsi"/>
            <w:noProof/>
            <w:sz w:val="24"/>
          </w:rPr>
          <w:t>13</w:t>
        </w:r>
        <w:r w:rsidRPr="00B204AF">
          <w:rPr>
            <w:rFonts w:asciiTheme="majorHAnsi" w:hAnsiTheme="majorHAnsi"/>
            <w:noProof/>
            <w:sz w:val="24"/>
          </w:rPr>
          <w:fldChar w:fldCharType="end"/>
        </w:r>
      </w:p>
    </w:sdtContent>
  </w:sdt>
  <w:p w14:paraId="22B7F866" w14:textId="77777777" w:rsidR="00407550" w:rsidRDefault="004075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34E88C" w14:textId="77777777" w:rsidR="00407550" w:rsidRDefault="00407550" w:rsidP="00110E98">
      <w:pPr>
        <w:spacing w:after="0" w:line="240" w:lineRule="auto"/>
      </w:pPr>
      <w:r>
        <w:separator/>
      </w:r>
    </w:p>
  </w:footnote>
  <w:footnote w:type="continuationSeparator" w:id="0">
    <w:p w14:paraId="1EDD759A" w14:textId="77777777" w:rsidR="00407550" w:rsidRDefault="00407550" w:rsidP="00110E98">
      <w:pPr>
        <w:spacing w:after="0" w:line="240" w:lineRule="auto"/>
      </w:pPr>
      <w:r>
        <w:continuationSeparator/>
      </w:r>
    </w:p>
  </w:footnote>
  <w:footnote w:id="1">
    <w:p w14:paraId="6FF46C17" w14:textId="77777777" w:rsidR="00407550" w:rsidRDefault="00407550">
      <w:pPr>
        <w:pStyle w:val="FootnoteText"/>
      </w:pPr>
      <w:r>
        <w:rPr>
          <w:rStyle w:val="FootnoteReference"/>
        </w:rPr>
        <w:footnoteRef/>
      </w:r>
      <w:r>
        <w:t xml:space="preserve"> </w:t>
      </w:r>
      <w:r w:rsidRPr="00593A22">
        <w:rPr>
          <w:rFonts w:asciiTheme="majorHAnsi" w:hAnsiTheme="majorHAnsi"/>
        </w:rPr>
        <w:t>These numbers are count</w:t>
      </w:r>
      <w:r>
        <w:rPr>
          <w:rFonts w:asciiTheme="majorHAnsi" w:hAnsiTheme="majorHAnsi"/>
        </w:rPr>
        <w:t>s</w:t>
      </w:r>
      <w:r w:rsidRPr="00593A22">
        <w:rPr>
          <w:rFonts w:asciiTheme="majorHAnsi" w:hAnsiTheme="majorHAnsi"/>
        </w:rPr>
        <w:t xml:space="preserve"> of “establishments”, not count</w:t>
      </w:r>
      <w:r>
        <w:rPr>
          <w:rFonts w:asciiTheme="majorHAnsi" w:hAnsiTheme="majorHAnsi"/>
        </w:rPr>
        <w:t>s</w:t>
      </w:r>
      <w:r w:rsidRPr="00593A22">
        <w:rPr>
          <w:rFonts w:asciiTheme="majorHAnsi" w:hAnsiTheme="majorHAnsi"/>
        </w:rPr>
        <w:t xml:space="preserve"> of “firms”.</w:t>
      </w:r>
    </w:p>
  </w:footnote>
  <w:footnote w:id="2">
    <w:p w14:paraId="0EE3A173" w14:textId="77777777" w:rsidR="00407550" w:rsidRDefault="00407550">
      <w:pPr>
        <w:pStyle w:val="FootnoteText"/>
      </w:pPr>
      <w:r>
        <w:rPr>
          <w:rStyle w:val="FootnoteReference"/>
        </w:rPr>
        <w:footnoteRef/>
      </w:r>
      <w:hyperlink r:id="rId1" w:anchor=":~:text=With%20an%20estimated%20population%20of,and%202015%20UMass%20Donahue%20Institute" w:history="1">
        <w:r w:rsidRPr="00593A22">
          <w:rPr>
            <w:rStyle w:val="Hyperlink"/>
            <w:rFonts w:ascii="Cambria" w:hAnsi="Cambria" w:cstheme="minorBidi"/>
            <w:bCs/>
          </w:rPr>
          <w:t>https://www.mass.gov/doc/massachusetts-transportation-facts/download#:~:text=With%20an%20estimated%20population%20of,and%202015%20UMass%20Donahue%20Institute</w:t>
        </w:r>
      </w:hyperlink>
    </w:p>
  </w:footnote>
  <w:footnote w:id="3">
    <w:p w14:paraId="2708F39F" w14:textId="1D64D6E9" w:rsidR="00407550" w:rsidRDefault="00407550">
      <w:pPr>
        <w:pStyle w:val="FootnoteText"/>
      </w:pPr>
      <w:r>
        <w:rPr>
          <w:rStyle w:val="FootnoteReference"/>
        </w:rPr>
        <w:footnoteRef/>
      </w:r>
      <w:hyperlink r:id="rId2" w:history="1">
        <w:r w:rsidR="00557EAD" w:rsidRPr="003B4056">
          <w:rPr>
            <w:rStyle w:val="Hyperlink"/>
            <w:rFonts w:ascii="Cambria" w:hAnsi="Cambria" w:cstheme="minorBidi"/>
            <w:bCs/>
          </w:rPr>
          <w:t>https://www.fhwa.dot.gov/policyinformation/statistics/2018/mv1.cfm</w:t>
        </w:r>
      </w:hyperlink>
    </w:p>
  </w:footnote>
  <w:footnote w:id="4">
    <w:p w14:paraId="4DB56C41" w14:textId="77777777" w:rsidR="00407550" w:rsidRDefault="00407550" w:rsidP="00A47BE2">
      <w:pPr>
        <w:pStyle w:val="FootnoteText"/>
      </w:pPr>
      <w:r>
        <w:rPr>
          <w:rStyle w:val="FootnoteReference"/>
        </w:rPr>
        <w:footnoteRef/>
      </w:r>
      <w:r>
        <w:t xml:space="preserve"> Regional Economic Models Inc. is a recognized leader in economic analysis at the state level.  See their website for background information and further details </w:t>
      </w:r>
      <w:hyperlink r:id="rId3" w:history="1">
        <w:r w:rsidRPr="0047089A">
          <w:rPr>
            <w:rStyle w:val="Hyperlink"/>
          </w:rPr>
          <w:t>https://www.remi.com/</w:t>
        </w:r>
      </w:hyperlink>
    </w:p>
  </w:footnote>
  <w:footnote w:id="5">
    <w:p w14:paraId="4406CB49" w14:textId="77777777" w:rsidR="00407550" w:rsidRDefault="00407550">
      <w:pPr>
        <w:pStyle w:val="FootnoteText"/>
      </w:pPr>
      <w:r>
        <w:rPr>
          <w:rStyle w:val="FootnoteReference"/>
        </w:rPr>
        <w:footnoteRef/>
      </w:r>
      <w:r>
        <w:t xml:space="preserve"> Including both tax and non-tax revenues </w:t>
      </w:r>
      <w:bookmarkStart w:id="2" w:name="_Hlk54708176"/>
      <w:r>
        <w:t xml:space="preserve">but excluding the revenue loss reported in Table </w:t>
      </w:r>
      <w:bookmarkEnd w:id="2"/>
      <w:r>
        <w:t>1.</w:t>
      </w:r>
    </w:p>
  </w:footnote>
  <w:footnote w:id="6">
    <w:p w14:paraId="53B188E8" w14:textId="77777777" w:rsidR="00407550" w:rsidRDefault="00407550" w:rsidP="00D330CB">
      <w:pPr>
        <w:pStyle w:val="FootnoteText"/>
        <w:jc w:val="left"/>
      </w:pPr>
      <w:r>
        <w:rPr>
          <w:rStyle w:val="FootnoteReference"/>
        </w:rPr>
        <w:footnoteRef/>
      </w:r>
      <w:r>
        <w:t xml:space="preserve"> </w:t>
      </w:r>
      <w:r>
        <w:rPr>
          <w:rFonts w:asciiTheme="majorHAnsi" w:hAnsiTheme="majorHAnsi"/>
          <w:bCs/>
        </w:rPr>
        <w:t>S</w:t>
      </w:r>
      <w:r w:rsidRPr="0074390A">
        <w:rPr>
          <w:rFonts w:asciiTheme="majorHAnsi" w:hAnsiTheme="majorHAnsi"/>
          <w:bCs/>
        </w:rPr>
        <w:t xml:space="preserve">pending </w:t>
      </w:r>
      <w:r w:rsidRPr="0074390A">
        <w:rPr>
          <w:rFonts w:asciiTheme="majorHAnsi" w:eastAsiaTheme="majorEastAsia" w:hAnsiTheme="majorHAnsi" w:cstheme="majorBidi"/>
          <w:bCs/>
          <w:color w:val="000000" w:themeColor="text1"/>
        </w:rPr>
        <w:t xml:space="preserve">on a specific tax incentive means less spending on other expenditure </w:t>
      </w:r>
      <w:r>
        <w:rPr>
          <w:rFonts w:asciiTheme="majorHAnsi" w:eastAsiaTheme="majorEastAsia" w:hAnsiTheme="majorHAnsi" w:cstheme="majorBidi"/>
          <w:bCs/>
          <w:color w:val="000000" w:themeColor="text1"/>
        </w:rPr>
        <w:t xml:space="preserve">items </w:t>
      </w:r>
      <w:r w:rsidRPr="0074390A">
        <w:rPr>
          <w:rFonts w:asciiTheme="majorHAnsi" w:eastAsiaTheme="majorEastAsia" w:hAnsiTheme="majorHAnsi" w:cstheme="majorBidi"/>
          <w:bCs/>
          <w:color w:val="000000" w:themeColor="text1"/>
        </w:rPr>
        <w:t>for the Commonwealth under balanced budget requirement if there is no increase in state revenues. Reduced spending on other expenditure items means forgone benefits from th</w:t>
      </w:r>
      <w:r>
        <w:rPr>
          <w:rFonts w:asciiTheme="majorHAnsi" w:eastAsiaTheme="majorEastAsia" w:hAnsiTheme="majorHAnsi" w:cstheme="majorBidi"/>
          <w:bCs/>
          <w:color w:val="000000" w:themeColor="text1"/>
        </w:rPr>
        <w:t>o</w:t>
      </w:r>
      <w:r w:rsidRPr="0074390A">
        <w:rPr>
          <w:rFonts w:asciiTheme="majorHAnsi" w:eastAsiaTheme="majorEastAsia" w:hAnsiTheme="majorHAnsi" w:cstheme="majorBidi"/>
          <w:bCs/>
          <w:color w:val="000000" w:themeColor="text1"/>
        </w:rPr>
        <w:t>se items. This is an opportunity cost to the Commonwealth</w:t>
      </w:r>
      <w:r>
        <w:rPr>
          <w:rFonts w:asciiTheme="majorHAnsi" w:eastAsiaTheme="majorEastAsia" w:hAnsiTheme="majorHAnsi" w:cstheme="majorBidi"/>
          <w:bCs/>
          <w:color w:val="000000" w:themeColor="text1"/>
        </w:rPr>
        <w:t>, which, more specifically, is borne by the Massachusetts residents or businesses who benefit from those expenditure items.</w:t>
      </w:r>
    </w:p>
  </w:footnote>
  <w:footnote w:id="7">
    <w:p w14:paraId="5CDE20DE" w14:textId="11B9425E" w:rsidR="00407550" w:rsidRDefault="00407550" w:rsidP="00D330CB">
      <w:pPr>
        <w:pStyle w:val="FootnoteText"/>
        <w:jc w:val="left"/>
      </w:pPr>
      <w:r>
        <w:rPr>
          <w:rStyle w:val="FootnoteReference"/>
        </w:rPr>
        <w:footnoteRef/>
      </w:r>
      <w:r>
        <w:t xml:space="preserve"> For an </w:t>
      </w:r>
      <w:r>
        <w:rPr>
          <w:rFonts w:asciiTheme="majorHAnsi" w:hAnsiTheme="majorHAnsi"/>
        </w:rPr>
        <w:t>illustration of “Multiplier Effect”, s</w:t>
      </w:r>
      <w:r>
        <w:t xml:space="preserve">ee </w:t>
      </w:r>
      <w:r>
        <w:rPr>
          <w:rFonts w:asciiTheme="majorHAnsi" w:hAnsiTheme="majorHAnsi"/>
        </w:rPr>
        <w:t xml:space="preserve">Slide 4 of: </w:t>
      </w:r>
      <w:hyperlink r:id="rId4" w:history="1">
        <w:r>
          <w:rPr>
            <w:rStyle w:val="Hyperlink"/>
            <w:rFonts w:asciiTheme="majorHAnsi" w:hAnsiTheme="majorHAnsi"/>
          </w:rPr>
          <w:t>https://www.ilw.com/seminars/JohnNeillCitation.pdf</w:t>
        </w:r>
      </w:hyperlink>
    </w:p>
  </w:footnote>
  <w:footnote w:id="8">
    <w:p w14:paraId="1EB093A5" w14:textId="26BA5199" w:rsidR="00407550" w:rsidRDefault="00407550">
      <w:pPr>
        <w:pStyle w:val="FootnoteText"/>
      </w:pPr>
      <w:r>
        <w:rPr>
          <w:rStyle w:val="FootnoteReference"/>
        </w:rPr>
        <w:footnoteRef/>
      </w:r>
      <w:r>
        <w:t xml:space="preserve"> </w:t>
      </w:r>
      <w:r w:rsidRPr="008C5582">
        <w:rPr>
          <w:rFonts w:asciiTheme="majorHAnsi" w:hAnsiTheme="majorHAnsi"/>
          <w:noProof/>
        </w:rPr>
        <w:t>https://www.remi.com/model/tax-pi/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2ABB5" w14:textId="77777777" w:rsidR="00407550" w:rsidRDefault="004075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3724617"/>
      <w:docPartObj>
        <w:docPartGallery w:val="Watermarks"/>
        <w:docPartUnique/>
      </w:docPartObj>
    </w:sdtPr>
    <w:sdtEndPr/>
    <w:sdtContent>
      <w:p w14:paraId="79DB7718" w14:textId="16EC6188" w:rsidR="00407550" w:rsidRDefault="0047015B">
        <w:pPr>
          <w:pStyle w:val="Header"/>
        </w:pPr>
        <w:r>
          <w:rPr>
            <w:noProof/>
          </w:rPr>
          <w:pict w14:anchorId="2FA498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22FD3" w14:textId="77777777" w:rsidR="00407550" w:rsidRDefault="004075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82913"/>
    <w:multiLevelType w:val="hybridMultilevel"/>
    <w:tmpl w:val="0D1C2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DE6CED"/>
    <w:multiLevelType w:val="hybridMultilevel"/>
    <w:tmpl w:val="1408D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DF1DB1"/>
    <w:multiLevelType w:val="hybridMultilevel"/>
    <w:tmpl w:val="9EAEF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91580B"/>
    <w:multiLevelType w:val="hybridMultilevel"/>
    <w:tmpl w:val="AC84D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7149C6"/>
    <w:multiLevelType w:val="hybridMultilevel"/>
    <w:tmpl w:val="E2C67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6F3F"/>
    <w:rsid w:val="000026B1"/>
    <w:rsid w:val="00003921"/>
    <w:rsid w:val="00007047"/>
    <w:rsid w:val="0000728B"/>
    <w:rsid w:val="000130A3"/>
    <w:rsid w:val="00014865"/>
    <w:rsid w:val="00014DC6"/>
    <w:rsid w:val="000217C3"/>
    <w:rsid w:val="00027220"/>
    <w:rsid w:val="000306B8"/>
    <w:rsid w:val="00033177"/>
    <w:rsid w:val="000409F8"/>
    <w:rsid w:val="00046C6A"/>
    <w:rsid w:val="000479C3"/>
    <w:rsid w:val="000550C2"/>
    <w:rsid w:val="00055D59"/>
    <w:rsid w:val="000632B1"/>
    <w:rsid w:val="00065914"/>
    <w:rsid w:val="00066F7A"/>
    <w:rsid w:val="0007199B"/>
    <w:rsid w:val="00072A2B"/>
    <w:rsid w:val="0007491D"/>
    <w:rsid w:val="000751E5"/>
    <w:rsid w:val="000918D6"/>
    <w:rsid w:val="00095801"/>
    <w:rsid w:val="000A1BE0"/>
    <w:rsid w:val="000A4BDD"/>
    <w:rsid w:val="000A6B15"/>
    <w:rsid w:val="000A747D"/>
    <w:rsid w:val="000C56D9"/>
    <w:rsid w:val="000C60E9"/>
    <w:rsid w:val="000C66BA"/>
    <w:rsid w:val="000C715E"/>
    <w:rsid w:val="000D3ABD"/>
    <w:rsid w:val="000D7397"/>
    <w:rsid w:val="000E0559"/>
    <w:rsid w:val="000F11C3"/>
    <w:rsid w:val="000F3809"/>
    <w:rsid w:val="000F60D6"/>
    <w:rsid w:val="0010066B"/>
    <w:rsid w:val="00104148"/>
    <w:rsid w:val="00104ECE"/>
    <w:rsid w:val="00107835"/>
    <w:rsid w:val="00110E98"/>
    <w:rsid w:val="00113E0C"/>
    <w:rsid w:val="00115475"/>
    <w:rsid w:val="001175C9"/>
    <w:rsid w:val="00122D60"/>
    <w:rsid w:val="001323B1"/>
    <w:rsid w:val="001346B4"/>
    <w:rsid w:val="00136531"/>
    <w:rsid w:val="00136F81"/>
    <w:rsid w:val="00141566"/>
    <w:rsid w:val="00144788"/>
    <w:rsid w:val="00156DCA"/>
    <w:rsid w:val="001573B3"/>
    <w:rsid w:val="00160C9C"/>
    <w:rsid w:val="001636F4"/>
    <w:rsid w:val="00174832"/>
    <w:rsid w:val="001821A7"/>
    <w:rsid w:val="00183ABF"/>
    <w:rsid w:val="001851EC"/>
    <w:rsid w:val="00193CC7"/>
    <w:rsid w:val="001B105B"/>
    <w:rsid w:val="001B6F26"/>
    <w:rsid w:val="001B780C"/>
    <w:rsid w:val="001C40BA"/>
    <w:rsid w:val="001C52C6"/>
    <w:rsid w:val="001C6E56"/>
    <w:rsid w:val="001D2142"/>
    <w:rsid w:val="001E672D"/>
    <w:rsid w:val="002116BE"/>
    <w:rsid w:val="00221323"/>
    <w:rsid w:val="00221535"/>
    <w:rsid w:val="002330D9"/>
    <w:rsid w:val="00233579"/>
    <w:rsid w:val="00235025"/>
    <w:rsid w:val="0023666C"/>
    <w:rsid w:val="00245843"/>
    <w:rsid w:val="00245D07"/>
    <w:rsid w:val="00246B14"/>
    <w:rsid w:val="00255E10"/>
    <w:rsid w:val="00257FD0"/>
    <w:rsid w:val="002621E9"/>
    <w:rsid w:val="00271B13"/>
    <w:rsid w:val="002747A7"/>
    <w:rsid w:val="002768F2"/>
    <w:rsid w:val="00282EBF"/>
    <w:rsid w:val="002855DC"/>
    <w:rsid w:val="0028650F"/>
    <w:rsid w:val="0028699E"/>
    <w:rsid w:val="00287F02"/>
    <w:rsid w:val="0029089D"/>
    <w:rsid w:val="00291074"/>
    <w:rsid w:val="002970B4"/>
    <w:rsid w:val="002A54D6"/>
    <w:rsid w:val="002A71E8"/>
    <w:rsid w:val="002A7E4B"/>
    <w:rsid w:val="002A7F5F"/>
    <w:rsid w:val="002B31E5"/>
    <w:rsid w:val="002B65F8"/>
    <w:rsid w:val="002C19BF"/>
    <w:rsid w:val="002C4537"/>
    <w:rsid w:val="002D74AE"/>
    <w:rsid w:val="002E219A"/>
    <w:rsid w:val="002E34DD"/>
    <w:rsid w:val="002E3D4B"/>
    <w:rsid w:val="002E62D8"/>
    <w:rsid w:val="002E744D"/>
    <w:rsid w:val="002F10DB"/>
    <w:rsid w:val="002F15AE"/>
    <w:rsid w:val="002F3711"/>
    <w:rsid w:val="002F5704"/>
    <w:rsid w:val="002F6135"/>
    <w:rsid w:val="002F7EB2"/>
    <w:rsid w:val="0030014C"/>
    <w:rsid w:val="0030143D"/>
    <w:rsid w:val="00301ADF"/>
    <w:rsid w:val="003104C0"/>
    <w:rsid w:val="00320853"/>
    <w:rsid w:val="003229C4"/>
    <w:rsid w:val="00325D02"/>
    <w:rsid w:val="003419DF"/>
    <w:rsid w:val="00344841"/>
    <w:rsid w:val="003520B6"/>
    <w:rsid w:val="00352D6A"/>
    <w:rsid w:val="00355122"/>
    <w:rsid w:val="00355A51"/>
    <w:rsid w:val="00357A9F"/>
    <w:rsid w:val="00357B8D"/>
    <w:rsid w:val="00360041"/>
    <w:rsid w:val="00380D5D"/>
    <w:rsid w:val="003875B5"/>
    <w:rsid w:val="0039073F"/>
    <w:rsid w:val="00395FC0"/>
    <w:rsid w:val="003B33B2"/>
    <w:rsid w:val="003B4056"/>
    <w:rsid w:val="003C1EC1"/>
    <w:rsid w:val="003C7716"/>
    <w:rsid w:val="003D6384"/>
    <w:rsid w:val="003E1F37"/>
    <w:rsid w:val="003E7080"/>
    <w:rsid w:val="003E71AD"/>
    <w:rsid w:val="003F525B"/>
    <w:rsid w:val="00401A6B"/>
    <w:rsid w:val="00407550"/>
    <w:rsid w:val="00415283"/>
    <w:rsid w:val="004157FD"/>
    <w:rsid w:val="00422531"/>
    <w:rsid w:val="00423ECE"/>
    <w:rsid w:val="00430452"/>
    <w:rsid w:val="004335D4"/>
    <w:rsid w:val="004351B8"/>
    <w:rsid w:val="0044620E"/>
    <w:rsid w:val="004526F7"/>
    <w:rsid w:val="004534D4"/>
    <w:rsid w:val="00454C37"/>
    <w:rsid w:val="0046135A"/>
    <w:rsid w:val="0047015B"/>
    <w:rsid w:val="00473834"/>
    <w:rsid w:val="00476C5D"/>
    <w:rsid w:val="00481E5A"/>
    <w:rsid w:val="00482F28"/>
    <w:rsid w:val="00485FBB"/>
    <w:rsid w:val="00486F3F"/>
    <w:rsid w:val="00491460"/>
    <w:rsid w:val="00492B57"/>
    <w:rsid w:val="0049706F"/>
    <w:rsid w:val="004A1129"/>
    <w:rsid w:val="004A2134"/>
    <w:rsid w:val="004A3B69"/>
    <w:rsid w:val="004A77A9"/>
    <w:rsid w:val="004B14D0"/>
    <w:rsid w:val="004C009C"/>
    <w:rsid w:val="004C0367"/>
    <w:rsid w:val="004C45A3"/>
    <w:rsid w:val="004C5E9C"/>
    <w:rsid w:val="004D54CC"/>
    <w:rsid w:val="004E260A"/>
    <w:rsid w:val="004E4BC6"/>
    <w:rsid w:val="004E6B05"/>
    <w:rsid w:val="004E7DD4"/>
    <w:rsid w:val="004F5F74"/>
    <w:rsid w:val="00503CF2"/>
    <w:rsid w:val="00503DFA"/>
    <w:rsid w:val="005071B9"/>
    <w:rsid w:val="005129F4"/>
    <w:rsid w:val="00515DC2"/>
    <w:rsid w:val="00515EE7"/>
    <w:rsid w:val="005300DB"/>
    <w:rsid w:val="0053068B"/>
    <w:rsid w:val="005313F2"/>
    <w:rsid w:val="00531A3C"/>
    <w:rsid w:val="00535690"/>
    <w:rsid w:val="005529C5"/>
    <w:rsid w:val="00552AE5"/>
    <w:rsid w:val="00557EAD"/>
    <w:rsid w:val="005636B1"/>
    <w:rsid w:val="00563B91"/>
    <w:rsid w:val="00563EE0"/>
    <w:rsid w:val="00564CAA"/>
    <w:rsid w:val="005656FA"/>
    <w:rsid w:val="00565D22"/>
    <w:rsid w:val="00567D60"/>
    <w:rsid w:val="00575A6B"/>
    <w:rsid w:val="00576773"/>
    <w:rsid w:val="005773D3"/>
    <w:rsid w:val="005852BF"/>
    <w:rsid w:val="00592341"/>
    <w:rsid w:val="00593A22"/>
    <w:rsid w:val="00594EE1"/>
    <w:rsid w:val="005A061C"/>
    <w:rsid w:val="005A0637"/>
    <w:rsid w:val="005A53F3"/>
    <w:rsid w:val="005A5BED"/>
    <w:rsid w:val="005B1BBE"/>
    <w:rsid w:val="005B399D"/>
    <w:rsid w:val="005B6BAE"/>
    <w:rsid w:val="005B75B1"/>
    <w:rsid w:val="005C0E39"/>
    <w:rsid w:val="005D21A7"/>
    <w:rsid w:val="005D2F13"/>
    <w:rsid w:val="005D5DC4"/>
    <w:rsid w:val="00600512"/>
    <w:rsid w:val="006016F3"/>
    <w:rsid w:val="006031A3"/>
    <w:rsid w:val="00613018"/>
    <w:rsid w:val="00613F5D"/>
    <w:rsid w:val="00617863"/>
    <w:rsid w:val="0062189A"/>
    <w:rsid w:val="00622D32"/>
    <w:rsid w:val="006306FD"/>
    <w:rsid w:val="00637FA5"/>
    <w:rsid w:val="0064014B"/>
    <w:rsid w:val="00643F18"/>
    <w:rsid w:val="00647CC1"/>
    <w:rsid w:val="00654D83"/>
    <w:rsid w:val="00664139"/>
    <w:rsid w:val="00670DFA"/>
    <w:rsid w:val="00671F87"/>
    <w:rsid w:val="006752A4"/>
    <w:rsid w:val="006820B4"/>
    <w:rsid w:val="00683B65"/>
    <w:rsid w:val="0068668C"/>
    <w:rsid w:val="006941B4"/>
    <w:rsid w:val="006973F7"/>
    <w:rsid w:val="006A209C"/>
    <w:rsid w:val="006B6A3C"/>
    <w:rsid w:val="006C05B2"/>
    <w:rsid w:val="006C3E10"/>
    <w:rsid w:val="006C6E39"/>
    <w:rsid w:val="006D2897"/>
    <w:rsid w:val="006D37B1"/>
    <w:rsid w:val="006E6F12"/>
    <w:rsid w:val="006F1953"/>
    <w:rsid w:val="006F4DB1"/>
    <w:rsid w:val="006F5610"/>
    <w:rsid w:val="00704497"/>
    <w:rsid w:val="007167C6"/>
    <w:rsid w:val="00716ED1"/>
    <w:rsid w:val="00721D68"/>
    <w:rsid w:val="00725059"/>
    <w:rsid w:val="007259D5"/>
    <w:rsid w:val="00730E5F"/>
    <w:rsid w:val="007361C4"/>
    <w:rsid w:val="00737BCE"/>
    <w:rsid w:val="0074239C"/>
    <w:rsid w:val="00743DBA"/>
    <w:rsid w:val="0075330A"/>
    <w:rsid w:val="0076022B"/>
    <w:rsid w:val="00760918"/>
    <w:rsid w:val="00775051"/>
    <w:rsid w:val="00776669"/>
    <w:rsid w:val="007813DF"/>
    <w:rsid w:val="0078316A"/>
    <w:rsid w:val="007913A6"/>
    <w:rsid w:val="00795279"/>
    <w:rsid w:val="007A3349"/>
    <w:rsid w:val="007B1A7A"/>
    <w:rsid w:val="007B5A97"/>
    <w:rsid w:val="007B676A"/>
    <w:rsid w:val="007B6F9A"/>
    <w:rsid w:val="007C3ABD"/>
    <w:rsid w:val="007D40BF"/>
    <w:rsid w:val="007F1706"/>
    <w:rsid w:val="008036A3"/>
    <w:rsid w:val="00804C3C"/>
    <w:rsid w:val="00814CB1"/>
    <w:rsid w:val="00820F8A"/>
    <w:rsid w:val="008213A2"/>
    <w:rsid w:val="00822E5B"/>
    <w:rsid w:val="008337C2"/>
    <w:rsid w:val="00833DD8"/>
    <w:rsid w:val="00836271"/>
    <w:rsid w:val="00841710"/>
    <w:rsid w:val="00847C6B"/>
    <w:rsid w:val="00852A09"/>
    <w:rsid w:val="008560FE"/>
    <w:rsid w:val="008576F7"/>
    <w:rsid w:val="00857C1A"/>
    <w:rsid w:val="00880A5F"/>
    <w:rsid w:val="00881147"/>
    <w:rsid w:val="0088354E"/>
    <w:rsid w:val="00885E91"/>
    <w:rsid w:val="008932C1"/>
    <w:rsid w:val="00895F1C"/>
    <w:rsid w:val="008A7346"/>
    <w:rsid w:val="008B0F8A"/>
    <w:rsid w:val="008B2273"/>
    <w:rsid w:val="008B3395"/>
    <w:rsid w:val="008B3AC9"/>
    <w:rsid w:val="008B4547"/>
    <w:rsid w:val="008C01D4"/>
    <w:rsid w:val="008C2341"/>
    <w:rsid w:val="008D2730"/>
    <w:rsid w:val="008D3EEE"/>
    <w:rsid w:val="008D55DD"/>
    <w:rsid w:val="008D6D0D"/>
    <w:rsid w:val="008D758E"/>
    <w:rsid w:val="008D7A19"/>
    <w:rsid w:val="008E05DF"/>
    <w:rsid w:val="008E6ADB"/>
    <w:rsid w:val="008F4766"/>
    <w:rsid w:val="0090212D"/>
    <w:rsid w:val="009029B1"/>
    <w:rsid w:val="00907C7E"/>
    <w:rsid w:val="00915819"/>
    <w:rsid w:val="00921525"/>
    <w:rsid w:val="009223DE"/>
    <w:rsid w:val="009273E1"/>
    <w:rsid w:val="00927985"/>
    <w:rsid w:val="0094615E"/>
    <w:rsid w:val="00955F66"/>
    <w:rsid w:val="00964DD0"/>
    <w:rsid w:val="0096718D"/>
    <w:rsid w:val="00974995"/>
    <w:rsid w:val="00982FF2"/>
    <w:rsid w:val="00983161"/>
    <w:rsid w:val="00984EA1"/>
    <w:rsid w:val="0098628E"/>
    <w:rsid w:val="009A3998"/>
    <w:rsid w:val="009A7868"/>
    <w:rsid w:val="009B09E3"/>
    <w:rsid w:val="009B5445"/>
    <w:rsid w:val="009B6D3D"/>
    <w:rsid w:val="009C0789"/>
    <w:rsid w:val="009C33C9"/>
    <w:rsid w:val="009E0158"/>
    <w:rsid w:val="009E16E8"/>
    <w:rsid w:val="009E2793"/>
    <w:rsid w:val="009F1361"/>
    <w:rsid w:val="009F4919"/>
    <w:rsid w:val="00A00934"/>
    <w:rsid w:val="00A01310"/>
    <w:rsid w:val="00A07796"/>
    <w:rsid w:val="00A1328E"/>
    <w:rsid w:val="00A27C21"/>
    <w:rsid w:val="00A3769A"/>
    <w:rsid w:val="00A418EE"/>
    <w:rsid w:val="00A47BE2"/>
    <w:rsid w:val="00A57955"/>
    <w:rsid w:val="00A6097D"/>
    <w:rsid w:val="00A738F3"/>
    <w:rsid w:val="00A81728"/>
    <w:rsid w:val="00A846CA"/>
    <w:rsid w:val="00A856B8"/>
    <w:rsid w:val="00A94CCD"/>
    <w:rsid w:val="00AB3A9C"/>
    <w:rsid w:val="00AB4CBF"/>
    <w:rsid w:val="00AB75ED"/>
    <w:rsid w:val="00AC0867"/>
    <w:rsid w:val="00AC2BB0"/>
    <w:rsid w:val="00AC53F7"/>
    <w:rsid w:val="00AD2A39"/>
    <w:rsid w:val="00AD5858"/>
    <w:rsid w:val="00AE1B5B"/>
    <w:rsid w:val="00AF2C3E"/>
    <w:rsid w:val="00B00293"/>
    <w:rsid w:val="00B10AC9"/>
    <w:rsid w:val="00B204AF"/>
    <w:rsid w:val="00B22F9D"/>
    <w:rsid w:val="00B33952"/>
    <w:rsid w:val="00B35B35"/>
    <w:rsid w:val="00B37DB1"/>
    <w:rsid w:val="00B52A92"/>
    <w:rsid w:val="00B56583"/>
    <w:rsid w:val="00B6721A"/>
    <w:rsid w:val="00B720B9"/>
    <w:rsid w:val="00B726D0"/>
    <w:rsid w:val="00B752B6"/>
    <w:rsid w:val="00B77D67"/>
    <w:rsid w:val="00B80C28"/>
    <w:rsid w:val="00B9554F"/>
    <w:rsid w:val="00BA27DF"/>
    <w:rsid w:val="00BB0275"/>
    <w:rsid w:val="00BB6C50"/>
    <w:rsid w:val="00BC0B03"/>
    <w:rsid w:val="00BC6806"/>
    <w:rsid w:val="00BD3224"/>
    <w:rsid w:val="00BD7A0B"/>
    <w:rsid w:val="00BE01E6"/>
    <w:rsid w:val="00BE041E"/>
    <w:rsid w:val="00BE2EB9"/>
    <w:rsid w:val="00BE35D7"/>
    <w:rsid w:val="00C02D57"/>
    <w:rsid w:val="00C07688"/>
    <w:rsid w:val="00C14A91"/>
    <w:rsid w:val="00C16062"/>
    <w:rsid w:val="00C24414"/>
    <w:rsid w:val="00C2637B"/>
    <w:rsid w:val="00C3055D"/>
    <w:rsid w:val="00C30742"/>
    <w:rsid w:val="00C3169E"/>
    <w:rsid w:val="00C337BF"/>
    <w:rsid w:val="00C44BC9"/>
    <w:rsid w:val="00C55640"/>
    <w:rsid w:val="00C622CD"/>
    <w:rsid w:val="00C662A3"/>
    <w:rsid w:val="00C8516F"/>
    <w:rsid w:val="00C94BB5"/>
    <w:rsid w:val="00CA0A64"/>
    <w:rsid w:val="00CA16D7"/>
    <w:rsid w:val="00CA1B0A"/>
    <w:rsid w:val="00CA3574"/>
    <w:rsid w:val="00CA56DD"/>
    <w:rsid w:val="00CB641C"/>
    <w:rsid w:val="00CC05CE"/>
    <w:rsid w:val="00CC0DC2"/>
    <w:rsid w:val="00CC208F"/>
    <w:rsid w:val="00CC54BC"/>
    <w:rsid w:val="00CC6E5B"/>
    <w:rsid w:val="00CD00A0"/>
    <w:rsid w:val="00CD4D88"/>
    <w:rsid w:val="00CE5660"/>
    <w:rsid w:val="00CE6333"/>
    <w:rsid w:val="00CF41DD"/>
    <w:rsid w:val="00CF6486"/>
    <w:rsid w:val="00D04D00"/>
    <w:rsid w:val="00D05642"/>
    <w:rsid w:val="00D16057"/>
    <w:rsid w:val="00D2202B"/>
    <w:rsid w:val="00D27042"/>
    <w:rsid w:val="00D328A3"/>
    <w:rsid w:val="00D330CB"/>
    <w:rsid w:val="00D35C31"/>
    <w:rsid w:val="00D363DB"/>
    <w:rsid w:val="00D370AF"/>
    <w:rsid w:val="00D416A6"/>
    <w:rsid w:val="00D4431A"/>
    <w:rsid w:val="00D46254"/>
    <w:rsid w:val="00D62DBC"/>
    <w:rsid w:val="00D73F36"/>
    <w:rsid w:val="00D76B0E"/>
    <w:rsid w:val="00D80D2E"/>
    <w:rsid w:val="00D80E3B"/>
    <w:rsid w:val="00DA1587"/>
    <w:rsid w:val="00DA2C13"/>
    <w:rsid w:val="00DA58BD"/>
    <w:rsid w:val="00DA7CE5"/>
    <w:rsid w:val="00DC0610"/>
    <w:rsid w:val="00DC59CB"/>
    <w:rsid w:val="00DC76E8"/>
    <w:rsid w:val="00DD03C4"/>
    <w:rsid w:val="00DD1C4C"/>
    <w:rsid w:val="00DD2096"/>
    <w:rsid w:val="00DD509C"/>
    <w:rsid w:val="00DD5311"/>
    <w:rsid w:val="00DE0DA2"/>
    <w:rsid w:val="00DE1BF0"/>
    <w:rsid w:val="00DE5E24"/>
    <w:rsid w:val="00DF04CD"/>
    <w:rsid w:val="00DF1400"/>
    <w:rsid w:val="00E042FA"/>
    <w:rsid w:val="00E05FD3"/>
    <w:rsid w:val="00E072E7"/>
    <w:rsid w:val="00E073ED"/>
    <w:rsid w:val="00E147B2"/>
    <w:rsid w:val="00E17C2F"/>
    <w:rsid w:val="00E25EE6"/>
    <w:rsid w:val="00E276C6"/>
    <w:rsid w:val="00E34AA8"/>
    <w:rsid w:val="00E368D4"/>
    <w:rsid w:val="00E37E4F"/>
    <w:rsid w:val="00E40A0A"/>
    <w:rsid w:val="00E671DE"/>
    <w:rsid w:val="00E7029B"/>
    <w:rsid w:val="00E75E7E"/>
    <w:rsid w:val="00E7766E"/>
    <w:rsid w:val="00E83597"/>
    <w:rsid w:val="00E86D49"/>
    <w:rsid w:val="00E92C1D"/>
    <w:rsid w:val="00E96408"/>
    <w:rsid w:val="00EA396C"/>
    <w:rsid w:val="00EB40E2"/>
    <w:rsid w:val="00EB798B"/>
    <w:rsid w:val="00EC38C4"/>
    <w:rsid w:val="00ED1BD9"/>
    <w:rsid w:val="00ED3285"/>
    <w:rsid w:val="00ED4589"/>
    <w:rsid w:val="00ED4839"/>
    <w:rsid w:val="00EE0D76"/>
    <w:rsid w:val="00EE3B0B"/>
    <w:rsid w:val="00EF4AAA"/>
    <w:rsid w:val="00F03BA3"/>
    <w:rsid w:val="00F05A22"/>
    <w:rsid w:val="00F05A54"/>
    <w:rsid w:val="00F065BC"/>
    <w:rsid w:val="00F076B1"/>
    <w:rsid w:val="00F11BA7"/>
    <w:rsid w:val="00F1666D"/>
    <w:rsid w:val="00F22DAA"/>
    <w:rsid w:val="00F24AE3"/>
    <w:rsid w:val="00F25F6A"/>
    <w:rsid w:val="00F27706"/>
    <w:rsid w:val="00F31910"/>
    <w:rsid w:val="00F51224"/>
    <w:rsid w:val="00F53260"/>
    <w:rsid w:val="00F56D33"/>
    <w:rsid w:val="00F57DF5"/>
    <w:rsid w:val="00F639D4"/>
    <w:rsid w:val="00F72FEE"/>
    <w:rsid w:val="00F7303B"/>
    <w:rsid w:val="00F73E01"/>
    <w:rsid w:val="00F73E2C"/>
    <w:rsid w:val="00F7586D"/>
    <w:rsid w:val="00F82F4E"/>
    <w:rsid w:val="00F92225"/>
    <w:rsid w:val="00FB7726"/>
    <w:rsid w:val="00FC7795"/>
    <w:rsid w:val="00FD078C"/>
    <w:rsid w:val="00FD16DC"/>
    <w:rsid w:val="00FE5208"/>
    <w:rsid w:val="00FE6788"/>
    <w:rsid w:val="00FF3AD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34446A98"/>
  <w15:docId w15:val="{515D6534-DF3C-4E94-B8AB-0DDF14935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2134"/>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48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841"/>
    <w:rPr>
      <w:rFonts w:ascii="Tahoma" w:hAnsi="Tahoma" w:cs="Tahoma"/>
      <w:sz w:val="16"/>
      <w:szCs w:val="16"/>
    </w:rPr>
  </w:style>
  <w:style w:type="table" w:styleId="TableGrid">
    <w:name w:val="Table Grid"/>
    <w:basedOn w:val="TableNormal"/>
    <w:uiPriority w:val="59"/>
    <w:rsid w:val="00A84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A846C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5">
    <w:name w:val="Light List Accent 5"/>
    <w:basedOn w:val="TableNormal"/>
    <w:uiPriority w:val="61"/>
    <w:rsid w:val="00A846CA"/>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2">
    <w:name w:val="Medium Shading 2"/>
    <w:basedOn w:val="TableNormal"/>
    <w:uiPriority w:val="64"/>
    <w:rsid w:val="00A846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A846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A846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A846C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2">
    <w:name w:val="Medium List 1 Accent 2"/>
    <w:basedOn w:val="TableNormal"/>
    <w:uiPriority w:val="65"/>
    <w:rsid w:val="00A846CA"/>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paragraph" w:customStyle="1" w:styleId="Default">
    <w:name w:val="Default"/>
    <w:rsid w:val="00245D07"/>
    <w:pPr>
      <w:autoSpaceDE w:val="0"/>
      <w:autoSpaceDN w:val="0"/>
      <w:adjustRightInd w:val="0"/>
      <w:spacing w:after="0" w:line="240" w:lineRule="auto"/>
    </w:pPr>
    <w:rPr>
      <w:rFonts w:ascii="Sabon LT Std" w:hAnsi="Sabon LT Std" w:cs="Sabon LT Std"/>
      <w:color w:val="000000"/>
      <w:sz w:val="24"/>
      <w:szCs w:val="24"/>
    </w:rPr>
  </w:style>
  <w:style w:type="paragraph" w:styleId="FootnoteText">
    <w:name w:val="footnote text"/>
    <w:basedOn w:val="Normal"/>
    <w:link w:val="FootnoteTextChar"/>
    <w:semiHidden/>
    <w:rsid w:val="00110E98"/>
    <w:pPr>
      <w:tabs>
        <w:tab w:val="left" w:pos="360"/>
        <w:tab w:val="left" w:pos="720"/>
        <w:tab w:val="left" w:pos="1080"/>
        <w:tab w:val="left" w:pos="1440"/>
        <w:tab w:val="right" w:pos="9360"/>
      </w:tabs>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10E98"/>
    <w:rPr>
      <w:rFonts w:ascii="Times New Roman" w:eastAsia="Times New Roman" w:hAnsi="Times New Roman" w:cs="Times New Roman"/>
      <w:sz w:val="20"/>
      <w:szCs w:val="20"/>
    </w:rPr>
  </w:style>
  <w:style w:type="character" w:styleId="FootnoteReference">
    <w:name w:val="footnote reference"/>
    <w:semiHidden/>
    <w:rsid w:val="00110E98"/>
    <w:rPr>
      <w:rFonts w:cs="Times New Roman"/>
      <w:vertAlign w:val="superscript"/>
    </w:rPr>
  </w:style>
  <w:style w:type="character" w:styleId="Hyperlink">
    <w:name w:val="Hyperlink"/>
    <w:rsid w:val="00110E98"/>
    <w:rPr>
      <w:rFonts w:cs="Times New Roman"/>
      <w:color w:val="0000FF"/>
      <w:u w:val="single"/>
    </w:rPr>
  </w:style>
  <w:style w:type="paragraph" w:styleId="ListParagraph">
    <w:name w:val="List Paragraph"/>
    <w:basedOn w:val="Normal"/>
    <w:uiPriority w:val="34"/>
    <w:qFormat/>
    <w:rsid w:val="00D80D2E"/>
    <w:pPr>
      <w:ind w:left="720"/>
      <w:contextualSpacing/>
    </w:pPr>
  </w:style>
  <w:style w:type="paragraph" w:styleId="Header">
    <w:name w:val="header"/>
    <w:basedOn w:val="Normal"/>
    <w:link w:val="HeaderChar"/>
    <w:uiPriority w:val="99"/>
    <w:unhideWhenUsed/>
    <w:rsid w:val="00B20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4AF"/>
  </w:style>
  <w:style w:type="paragraph" w:styleId="Footer">
    <w:name w:val="footer"/>
    <w:basedOn w:val="Normal"/>
    <w:link w:val="FooterChar"/>
    <w:uiPriority w:val="99"/>
    <w:unhideWhenUsed/>
    <w:rsid w:val="00B20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4AF"/>
  </w:style>
  <w:style w:type="character" w:styleId="CommentReference">
    <w:name w:val="annotation reference"/>
    <w:basedOn w:val="DefaultParagraphFont"/>
    <w:uiPriority w:val="99"/>
    <w:semiHidden/>
    <w:unhideWhenUsed/>
    <w:rsid w:val="00A07796"/>
    <w:rPr>
      <w:sz w:val="16"/>
      <w:szCs w:val="16"/>
    </w:rPr>
  </w:style>
  <w:style w:type="paragraph" w:styleId="CommentText">
    <w:name w:val="annotation text"/>
    <w:basedOn w:val="Normal"/>
    <w:link w:val="CommentTextChar"/>
    <w:uiPriority w:val="99"/>
    <w:semiHidden/>
    <w:unhideWhenUsed/>
    <w:rsid w:val="00A07796"/>
    <w:pPr>
      <w:spacing w:line="240" w:lineRule="auto"/>
    </w:pPr>
    <w:rPr>
      <w:sz w:val="20"/>
      <w:szCs w:val="20"/>
    </w:rPr>
  </w:style>
  <w:style w:type="character" w:customStyle="1" w:styleId="CommentTextChar">
    <w:name w:val="Comment Text Char"/>
    <w:basedOn w:val="DefaultParagraphFont"/>
    <w:link w:val="CommentText"/>
    <w:uiPriority w:val="99"/>
    <w:semiHidden/>
    <w:rsid w:val="00A07796"/>
    <w:rPr>
      <w:sz w:val="20"/>
      <w:szCs w:val="20"/>
    </w:rPr>
  </w:style>
  <w:style w:type="paragraph" w:styleId="CommentSubject">
    <w:name w:val="annotation subject"/>
    <w:basedOn w:val="CommentText"/>
    <w:next w:val="CommentText"/>
    <w:link w:val="CommentSubjectChar"/>
    <w:uiPriority w:val="99"/>
    <w:semiHidden/>
    <w:unhideWhenUsed/>
    <w:rsid w:val="00A07796"/>
    <w:rPr>
      <w:b/>
      <w:bCs/>
    </w:rPr>
  </w:style>
  <w:style w:type="character" w:customStyle="1" w:styleId="CommentSubjectChar">
    <w:name w:val="Comment Subject Char"/>
    <w:basedOn w:val="CommentTextChar"/>
    <w:link w:val="CommentSubject"/>
    <w:uiPriority w:val="99"/>
    <w:semiHidden/>
    <w:rsid w:val="00A07796"/>
    <w:rPr>
      <w:b/>
      <w:bCs/>
      <w:sz w:val="20"/>
      <w:szCs w:val="20"/>
    </w:rPr>
  </w:style>
  <w:style w:type="character" w:customStyle="1" w:styleId="Heading1Char">
    <w:name w:val="Heading 1 Char"/>
    <w:basedOn w:val="DefaultParagraphFont"/>
    <w:link w:val="Heading1"/>
    <w:uiPriority w:val="9"/>
    <w:rsid w:val="004A2134"/>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4A2134"/>
  </w:style>
  <w:style w:type="paragraph" w:styleId="Revision">
    <w:name w:val="Revision"/>
    <w:hidden/>
    <w:uiPriority w:val="99"/>
    <w:semiHidden/>
    <w:rsid w:val="008D3EEE"/>
    <w:pPr>
      <w:spacing w:after="0" w:line="240" w:lineRule="auto"/>
    </w:pPr>
  </w:style>
  <w:style w:type="character" w:customStyle="1" w:styleId="UnresolvedMention1">
    <w:name w:val="Unresolved Mention1"/>
    <w:basedOn w:val="DefaultParagraphFont"/>
    <w:uiPriority w:val="99"/>
    <w:semiHidden/>
    <w:unhideWhenUsed/>
    <w:rsid w:val="008D55DD"/>
    <w:rPr>
      <w:color w:val="605E5C"/>
      <w:shd w:val="clear" w:color="auto" w:fill="E1DFDD"/>
    </w:rPr>
  </w:style>
  <w:style w:type="character" w:styleId="FollowedHyperlink">
    <w:name w:val="FollowedHyperlink"/>
    <w:basedOn w:val="DefaultParagraphFont"/>
    <w:uiPriority w:val="99"/>
    <w:semiHidden/>
    <w:unhideWhenUsed/>
    <w:rsid w:val="001851EC"/>
    <w:rPr>
      <w:color w:val="800080" w:themeColor="followedHyperlink"/>
      <w:u w:val="single"/>
    </w:rPr>
  </w:style>
  <w:style w:type="character" w:styleId="UnresolvedMention">
    <w:name w:val="Unresolved Mention"/>
    <w:basedOn w:val="DefaultParagraphFont"/>
    <w:uiPriority w:val="99"/>
    <w:semiHidden/>
    <w:unhideWhenUsed/>
    <w:rsid w:val="00557E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74204">
      <w:bodyDiv w:val="1"/>
      <w:marLeft w:val="0"/>
      <w:marRight w:val="0"/>
      <w:marTop w:val="0"/>
      <w:marBottom w:val="0"/>
      <w:divBdr>
        <w:top w:val="none" w:sz="0" w:space="0" w:color="auto"/>
        <w:left w:val="none" w:sz="0" w:space="0" w:color="auto"/>
        <w:bottom w:val="none" w:sz="0" w:space="0" w:color="auto"/>
        <w:right w:val="none" w:sz="0" w:space="0" w:color="auto"/>
      </w:divBdr>
    </w:div>
    <w:div w:id="37437895">
      <w:bodyDiv w:val="1"/>
      <w:marLeft w:val="0"/>
      <w:marRight w:val="0"/>
      <w:marTop w:val="0"/>
      <w:marBottom w:val="0"/>
      <w:divBdr>
        <w:top w:val="none" w:sz="0" w:space="0" w:color="auto"/>
        <w:left w:val="none" w:sz="0" w:space="0" w:color="auto"/>
        <w:bottom w:val="none" w:sz="0" w:space="0" w:color="auto"/>
        <w:right w:val="none" w:sz="0" w:space="0" w:color="auto"/>
      </w:divBdr>
    </w:div>
    <w:div w:id="438991635">
      <w:bodyDiv w:val="1"/>
      <w:marLeft w:val="0"/>
      <w:marRight w:val="0"/>
      <w:marTop w:val="0"/>
      <w:marBottom w:val="0"/>
      <w:divBdr>
        <w:top w:val="none" w:sz="0" w:space="0" w:color="auto"/>
        <w:left w:val="none" w:sz="0" w:space="0" w:color="auto"/>
        <w:bottom w:val="none" w:sz="0" w:space="0" w:color="auto"/>
        <w:right w:val="none" w:sz="0" w:space="0" w:color="auto"/>
      </w:divBdr>
    </w:div>
    <w:div w:id="478108594">
      <w:bodyDiv w:val="1"/>
      <w:marLeft w:val="0"/>
      <w:marRight w:val="0"/>
      <w:marTop w:val="0"/>
      <w:marBottom w:val="0"/>
      <w:divBdr>
        <w:top w:val="none" w:sz="0" w:space="0" w:color="auto"/>
        <w:left w:val="none" w:sz="0" w:space="0" w:color="auto"/>
        <w:bottom w:val="none" w:sz="0" w:space="0" w:color="auto"/>
        <w:right w:val="none" w:sz="0" w:space="0" w:color="auto"/>
      </w:divBdr>
    </w:div>
    <w:div w:id="547953179">
      <w:bodyDiv w:val="1"/>
      <w:marLeft w:val="0"/>
      <w:marRight w:val="0"/>
      <w:marTop w:val="0"/>
      <w:marBottom w:val="0"/>
      <w:divBdr>
        <w:top w:val="none" w:sz="0" w:space="0" w:color="auto"/>
        <w:left w:val="none" w:sz="0" w:space="0" w:color="auto"/>
        <w:bottom w:val="none" w:sz="0" w:space="0" w:color="auto"/>
        <w:right w:val="none" w:sz="0" w:space="0" w:color="auto"/>
      </w:divBdr>
    </w:div>
    <w:div w:id="548226215">
      <w:bodyDiv w:val="1"/>
      <w:marLeft w:val="0"/>
      <w:marRight w:val="0"/>
      <w:marTop w:val="0"/>
      <w:marBottom w:val="0"/>
      <w:divBdr>
        <w:top w:val="none" w:sz="0" w:space="0" w:color="auto"/>
        <w:left w:val="none" w:sz="0" w:space="0" w:color="auto"/>
        <w:bottom w:val="none" w:sz="0" w:space="0" w:color="auto"/>
        <w:right w:val="none" w:sz="0" w:space="0" w:color="auto"/>
      </w:divBdr>
    </w:div>
    <w:div w:id="661201780">
      <w:bodyDiv w:val="1"/>
      <w:marLeft w:val="0"/>
      <w:marRight w:val="0"/>
      <w:marTop w:val="0"/>
      <w:marBottom w:val="0"/>
      <w:divBdr>
        <w:top w:val="none" w:sz="0" w:space="0" w:color="auto"/>
        <w:left w:val="none" w:sz="0" w:space="0" w:color="auto"/>
        <w:bottom w:val="none" w:sz="0" w:space="0" w:color="auto"/>
        <w:right w:val="none" w:sz="0" w:space="0" w:color="auto"/>
      </w:divBdr>
    </w:div>
    <w:div w:id="827330555">
      <w:bodyDiv w:val="1"/>
      <w:marLeft w:val="0"/>
      <w:marRight w:val="0"/>
      <w:marTop w:val="0"/>
      <w:marBottom w:val="0"/>
      <w:divBdr>
        <w:top w:val="none" w:sz="0" w:space="0" w:color="auto"/>
        <w:left w:val="none" w:sz="0" w:space="0" w:color="auto"/>
        <w:bottom w:val="none" w:sz="0" w:space="0" w:color="auto"/>
        <w:right w:val="none" w:sz="0" w:space="0" w:color="auto"/>
      </w:divBdr>
    </w:div>
    <w:div w:id="891580254">
      <w:bodyDiv w:val="1"/>
      <w:marLeft w:val="0"/>
      <w:marRight w:val="0"/>
      <w:marTop w:val="0"/>
      <w:marBottom w:val="0"/>
      <w:divBdr>
        <w:top w:val="none" w:sz="0" w:space="0" w:color="auto"/>
        <w:left w:val="none" w:sz="0" w:space="0" w:color="auto"/>
        <w:bottom w:val="none" w:sz="0" w:space="0" w:color="auto"/>
        <w:right w:val="none" w:sz="0" w:space="0" w:color="auto"/>
      </w:divBdr>
    </w:div>
    <w:div w:id="901450006">
      <w:bodyDiv w:val="1"/>
      <w:marLeft w:val="0"/>
      <w:marRight w:val="0"/>
      <w:marTop w:val="0"/>
      <w:marBottom w:val="0"/>
      <w:divBdr>
        <w:top w:val="none" w:sz="0" w:space="0" w:color="auto"/>
        <w:left w:val="none" w:sz="0" w:space="0" w:color="auto"/>
        <w:bottom w:val="none" w:sz="0" w:space="0" w:color="auto"/>
        <w:right w:val="none" w:sz="0" w:space="0" w:color="auto"/>
      </w:divBdr>
    </w:div>
    <w:div w:id="1043094487">
      <w:bodyDiv w:val="1"/>
      <w:marLeft w:val="0"/>
      <w:marRight w:val="0"/>
      <w:marTop w:val="0"/>
      <w:marBottom w:val="0"/>
      <w:divBdr>
        <w:top w:val="none" w:sz="0" w:space="0" w:color="auto"/>
        <w:left w:val="none" w:sz="0" w:space="0" w:color="auto"/>
        <w:bottom w:val="none" w:sz="0" w:space="0" w:color="auto"/>
        <w:right w:val="none" w:sz="0" w:space="0" w:color="auto"/>
      </w:divBdr>
    </w:div>
    <w:div w:id="1083600845">
      <w:bodyDiv w:val="1"/>
      <w:marLeft w:val="0"/>
      <w:marRight w:val="0"/>
      <w:marTop w:val="0"/>
      <w:marBottom w:val="0"/>
      <w:divBdr>
        <w:top w:val="none" w:sz="0" w:space="0" w:color="auto"/>
        <w:left w:val="none" w:sz="0" w:space="0" w:color="auto"/>
        <w:bottom w:val="none" w:sz="0" w:space="0" w:color="auto"/>
        <w:right w:val="none" w:sz="0" w:space="0" w:color="auto"/>
      </w:divBdr>
    </w:div>
    <w:div w:id="1129320486">
      <w:bodyDiv w:val="1"/>
      <w:marLeft w:val="0"/>
      <w:marRight w:val="0"/>
      <w:marTop w:val="0"/>
      <w:marBottom w:val="0"/>
      <w:divBdr>
        <w:top w:val="none" w:sz="0" w:space="0" w:color="auto"/>
        <w:left w:val="none" w:sz="0" w:space="0" w:color="auto"/>
        <w:bottom w:val="none" w:sz="0" w:space="0" w:color="auto"/>
        <w:right w:val="none" w:sz="0" w:space="0" w:color="auto"/>
      </w:divBdr>
    </w:div>
    <w:div w:id="1147436328">
      <w:bodyDiv w:val="1"/>
      <w:marLeft w:val="0"/>
      <w:marRight w:val="0"/>
      <w:marTop w:val="0"/>
      <w:marBottom w:val="0"/>
      <w:divBdr>
        <w:top w:val="none" w:sz="0" w:space="0" w:color="auto"/>
        <w:left w:val="none" w:sz="0" w:space="0" w:color="auto"/>
        <w:bottom w:val="none" w:sz="0" w:space="0" w:color="auto"/>
        <w:right w:val="none" w:sz="0" w:space="0" w:color="auto"/>
      </w:divBdr>
    </w:div>
    <w:div w:id="1203833015">
      <w:bodyDiv w:val="1"/>
      <w:marLeft w:val="0"/>
      <w:marRight w:val="0"/>
      <w:marTop w:val="0"/>
      <w:marBottom w:val="0"/>
      <w:divBdr>
        <w:top w:val="none" w:sz="0" w:space="0" w:color="auto"/>
        <w:left w:val="none" w:sz="0" w:space="0" w:color="auto"/>
        <w:bottom w:val="none" w:sz="0" w:space="0" w:color="auto"/>
        <w:right w:val="none" w:sz="0" w:space="0" w:color="auto"/>
      </w:divBdr>
    </w:div>
    <w:div w:id="1220089083">
      <w:bodyDiv w:val="1"/>
      <w:marLeft w:val="0"/>
      <w:marRight w:val="0"/>
      <w:marTop w:val="0"/>
      <w:marBottom w:val="0"/>
      <w:divBdr>
        <w:top w:val="none" w:sz="0" w:space="0" w:color="auto"/>
        <w:left w:val="none" w:sz="0" w:space="0" w:color="auto"/>
        <w:bottom w:val="none" w:sz="0" w:space="0" w:color="auto"/>
        <w:right w:val="none" w:sz="0" w:space="0" w:color="auto"/>
      </w:divBdr>
    </w:div>
    <w:div w:id="1258977960">
      <w:bodyDiv w:val="1"/>
      <w:marLeft w:val="0"/>
      <w:marRight w:val="0"/>
      <w:marTop w:val="0"/>
      <w:marBottom w:val="0"/>
      <w:divBdr>
        <w:top w:val="none" w:sz="0" w:space="0" w:color="auto"/>
        <w:left w:val="none" w:sz="0" w:space="0" w:color="auto"/>
        <w:bottom w:val="none" w:sz="0" w:space="0" w:color="auto"/>
        <w:right w:val="none" w:sz="0" w:space="0" w:color="auto"/>
      </w:divBdr>
    </w:div>
    <w:div w:id="1476988446">
      <w:bodyDiv w:val="1"/>
      <w:marLeft w:val="0"/>
      <w:marRight w:val="0"/>
      <w:marTop w:val="0"/>
      <w:marBottom w:val="0"/>
      <w:divBdr>
        <w:top w:val="none" w:sz="0" w:space="0" w:color="auto"/>
        <w:left w:val="none" w:sz="0" w:space="0" w:color="auto"/>
        <w:bottom w:val="none" w:sz="0" w:space="0" w:color="auto"/>
        <w:right w:val="none" w:sz="0" w:space="0" w:color="auto"/>
      </w:divBdr>
    </w:div>
    <w:div w:id="1625966993">
      <w:bodyDiv w:val="1"/>
      <w:marLeft w:val="0"/>
      <w:marRight w:val="0"/>
      <w:marTop w:val="0"/>
      <w:marBottom w:val="0"/>
      <w:divBdr>
        <w:top w:val="none" w:sz="0" w:space="0" w:color="auto"/>
        <w:left w:val="none" w:sz="0" w:space="0" w:color="auto"/>
        <w:bottom w:val="none" w:sz="0" w:space="0" w:color="auto"/>
        <w:right w:val="none" w:sz="0" w:space="0" w:color="auto"/>
      </w:divBdr>
    </w:div>
    <w:div w:id="1671906481">
      <w:bodyDiv w:val="1"/>
      <w:marLeft w:val="0"/>
      <w:marRight w:val="0"/>
      <w:marTop w:val="0"/>
      <w:marBottom w:val="0"/>
      <w:divBdr>
        <w:top w:val="none" w:sz="0" w:space="0" w:color="auto"/>
        <w:left w:val="none" w:sz="0" w:space="0" w:color="auto"/>
        <w:bottom w:val="none" w:sz="0" w:space="0" w:color="auto"/>
        <w:right w:val="none" w:sz="0" w:space="0" w:color="auto"/>
      </w:divBdr>
    </w:div>
    <w:div w:id="1754274775">
      <w:bodyDiv w:val="1"/>
      <w:marLeft w:val="0"/>
      <w:marRight w:val="0"/>
      <w:marTop w:val="0"/>
      <w:marBottom w:val="0"/>
      <w:divBdr>
        <w:top w:val="none" w:sz="0" w:space="0" w:color="auto"/>
        <w:left w:val="none" w:sz="0" w:space="0" w:color="auto"/>
        <w:bottom w:val="none" w:sz="0" w:space="0" w:color="auto"/>
        <w:right w:val="none" w:sz="0" w:space="0" w:color="auto"/>
      </w:divBdr>
    </w:div>
    <w:div w:id="1770467711">
      <w:bodyDiv w:val="1"/>
      <w:marLeft w:val="0"/>
      <w:marRight w:val="0"/>
      <w:marTop w:val="0"/>
      <w:marBottom w:val="0"/>
      <w:divBdr>
        <w:top w:val="none" w:sz="0" w:space="0" w:color="auto"/>
        <w:left w:val="none" w:sz="0" w:space="0" w:color="auto"/>
        <w:bottom w:val="none" w:sz="0" w:space="0" w:color="auto"/>
        <w:right w:val="none" w:sz="0" w:space="0" w:color="auto"/>
      </w:divBdr>
    </w:div>
    <w:div w:id="1891188690">
      <w:bodyDiv w:val="1"/>
      <w:marLeft w:val="0"/>
      <w:marRight w:val="0"/>
      <w:marTop w:val="0"/>
      <w:marBottom w:val="0"/>
      <w:divBdr>
        <w:top w:val="none" w:sz="0" w:space="0" w:color="auto"/>
        <w:left w:val="none" w:sz="0" w:space="0" w:color="auto"/>
        <w:bottom w:val="none" w:sz="0" w:space="0" w:color="auto"/>
        <w:right w:val="none" w:sz="0" w:space="0" w:color="auto"/>
      </w:divBdr>
    </w:div>
    <w:div w:id="1910965669">
      <w:bodyDiv w:val="1"/>
      <w:marLeft w:val="0"/>
      <w:marRight w:val="0"/>
      <w:marTop w:val="0"/>
      <w:marBottom w:val="0"/>
      <w:divBdr>
        <w:top w:val="none" w:sz="0" w:space="0" w:color="auto"/>
        <w:left w:val="none" w:sz="0" w:space="0" w:color="auto"/>
        <w:bottom w:val="none" w:sz="0" w:space="0" w:color="auto"/>
        <w:right w:val="none" w:sz="0" w:space="0" w:color="auto"/>
      </w:divBdr>
    </w:div>
    <w:div w:id="1915819043">
      <w:bodyDiv w:val="1"/>
      <w:marLeft w:val="0"/>
      <w:marRight w:val="0"/>
      <w:marTop w:val="0"/>
      <w:marBottom w:val="0"/>
      <w:divBdr>
        <w:top w:val="none" w:sz="0" w:space="0" w:color="auto"/>
        <w:left w:val="none" w:sz="0" w:space="0" w:color="auto"/>
        <w:bottom w:val="none" w:sz="0" w:space="0" w:color="auto"/>
        <w:right w:val="none" w:sz="0" w:space="0" w:color="auto"/>
      </w:divBdr>
    </w:div>
    <w:div w:id="1956865099">
      <w:bodyDiv w:val="1"/>
      <w:marLeft w:val="0"/>
      <w:marRight w:val="0"/>
      <w:marTop w:val="0"/>
      <w:marBottom w:val="0"/>
      <w:divBdr>
        <w:top w:val="none" w:sz="0" w:space="0" w:color="auto"/>
        <w:left w:val="none" w:sz="0" w:space="0" w:color="auto"/>
        <w:bottom w:val="none" w:sz="0" w:space="0" w:color="auto"/>
        <w:right w:val="none" w:sz="0" w:space="0" w:color="auto"/>
      </w:divBdr>
    </w:div>
    <w:div w:id="1981956660">
      <w:bodyDiv w:val="1"/>
      <w:marLeft w:val="0"/>
      <w:marRight w:val="0"/>
      <w:marTop w:val="0"/>
      <w:marBottom w:val="0"/>
      <w:divBdr>
        <w:top w:val="none" w:sz="0" w:space="0" w:color="auto"/>
        <w:left w:val="none" w:sz="0" w:space="0" w:color="auto"/>
        <w:bottom w:val="none" w:sz="0" w:space="0" w:color="auto"/>
        <w:right w:val="none" w:sz="0" w:space="0" w:color="auto"/>
      </w:divBdr>
    </w:div>
    <w:div w:id="2025861513">
      <w:bodyDiv w:val="1"/>
      <w:marLeft w:val="0"/>
      <w:marRight w:val="0"/>
      <w:marTop w:val="0"/>
      <w:marBottom w:val="0"/>
      <w:divBdr>
        <w:top w:val="none" w:sz="0" w:space="0" w:color="auto"/>
        <w:left w:val="none" w:sz="0" w:space="0" w:color="auto"/>
        <w:bottom w:val="none" w:sz="0" w:space="0" w:color="auto"/>
        <w:right w:val="none" w:sz="0" w:space="0" w:color="auto"/>
      </w:divBdr>
    </w:div>
    <w:div w:id="206054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taxfoundation.org/" TargetMode="External"/><Relationship Id="rId2" Type="http://schemas.openxmlformats.org/officeDocument/2006/relationships/numbering" Target="numbering.xml"/><Relationship Id="rId16" Type="http://schemas.openxmlformats.org/officeDocument/2006/relationships/hyperlink" Target="https://www.taxadmin.org/"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eia.gov/petroleum/marketing/monthly/xls/fueltaxes.xls" TargetMode="External"/><Relationship Id="rId10" Type="http://schemas.openxmlformats.org/officeDocument/2006/relationships/footer" Target="footer1.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mass.gov/doc/massachusetts-fuels-excise-rate-table-4th-quarter-2020/download"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remi.com/" TargetMode="External"/><Relationship Id="rId2" Type="http://schemas.openxmlformats.org/officeDocument/2006/relationships/hyperlink" Target="https://www.fhwa.dot.gov/policyinformation/statistics/2018/mv1.cfm" TargetMode="External"/><Relationship Id="rId1" Type="http://schemas.openxmlformats.org/officeDocument/2006/relationships/hyperlink" Target="https://www.mass.gov/doc/massachusetts-transportation-facts/download" TargetMode="External"/><Relationship Id="rId4" Type="http://schemas.openxmlformats.org/officeDocument/2006/relationships/hyperlink" Target="https://www.ilw.com/seminars/JohnNeillCit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Luc20</b:Tag>
    <b:SourceType>InternetSite</b:SourceType>
    <b:Guid>{08EE702E-0320-4215-80BE-2F99EB3906E9}</b:Guid>
    <b:Author>
      <b:Author>
        <b:NameList>
          <b:Person>
            <b:Last>Lucci</b:Last>
            <b:First>Michael</b:First>
          </b:Person>
        </b:NameList>
      </b:Author>
    </b:Author>
    <b:Title>Reforming Massachusetts Corporate Excise Tax for S Corporations</b:Title>
    <b:InternetSiteTitle>Tax Foundation</b:InternetSiteTitle>
    <b:Year>2020</b:Year>
    <b:Month>January</b:Month>
    <b:Day>21</b:Day>
    <b:URL>https://taxfoundation.org/massachusetts-corporate-excise-tax-s-corporations/</b:URL>
    <b:RefOrder>1</b:RefOrder>
  </b:Source>
  <b:Source>
    <b:Tag>Kei01</b:Tag>
    <b:SourceType>JournalArticle</b:SourceType>
    <b:Guid>{A0843040-038B-436D-B613-D31E48F67D03}</b:Guid>
    <b:Author>
      <b:Author>
        <b:Corporate>Keith R. Ihlanfeldt, David L. Sjoquist</b:Corporate>
      </b:Author>
    </b:Author>
    <b:Title>Conducting an Analysis of Georgia’s Economic Development Tax Incentive Program</b:Title>
    <b:Year>2001</b:Year>
    <b:Month>August</b:Month>
    <b:JournalName>ECONOMIC DEVELOPMENT QUARTERLY</b:JournalName>
    <b:Pages>217-228</b:Pages>
    <b:Publisher>Sage Publications</b:Publisher>
    <b:Volume>15</b:Volume>
    <b:Issue>3</b:Issue>
    <b:RefOrder>2</b:RefOrder>
  </b:Source>
  <b:Source>
    <b:Tag>MOD</b:Tag>
    <b:SourceType>InternetSite</b:SourceType>
    <b:Guid>{BCEA689A-4171-43CD-A07E-1F467FC70C08}</b:Guid>
    <b:Title>MODELS: TAX-PI</b:Title>
    <b:InternetSiteTitle>Regional Economic Models, Inc.</b:InternetSiteTitle>
    <b:URL>https://www.remi.com/model/tax-pi/</b:URL>
    <b:RefOrder>1</b:RefOrder>
  </b:Source>
  <b:Source>
    <b:Tag>Cam20</b:Tag>
    <b:SourceType>InternetSite</b:SourceType>
    <b:Guid>{07CD33BF-7FCD-4B3F-9720-C585BE10C970}</b:Guid>
    <b:Title>Does Your State Levy a Capital Stock Tax?</b:Title>
    <b:Year>2020</b:Year>
    <b:Author>
      <b:Author>
        <b:NameList>
          <b:Person>
            <b:Last>Cammenga</b:Last>
            <b:First>Janelle</b:First>
          </b:Person>
        </b:NameList>
      </b:Author>
    </b:Author>
    <b:InternetSiteTitle>Tax Foundation</b:InternetSiteTitle>
    <b:Month>April</b:Month>
    <b:Day>29</b:Day>
    <b:URL>https://taxfoundation.org/state-capital-stock-tax-2020/#:~:text=Connecticut%20will%20phase%20out%20its,more%20neutral%20forms%20of%20taxation.</b:URL>
    <b:RefOrder>1</b:RefOrder>
  </b:Source>
</b:Sources>
</file>

<file path=customXml/itemProps1.xml><?xml version="1.0" encoding="utf-8"?>
<ds:datastoreItem xmlns:ds="http://schemas.openxmlformats.org/officeDocument/2006/customXml" ds:itemID="{291156F2-6AE0-4BF0-9B34-9754A98FF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1207</TotalTime>
  <Pages>13</Pages>
  <Words>3057</Words>
  <Characters>17430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Commonwealth of MA</Company>
  <LinksUpToDate>false</LinksUpToDate>
  <CharactersWithSpaces>20447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Sunil Pokharel</dc:creator>
  <cp:lastModifiedBy>Fushang Liu</cp:lastModifiedBy>
  <cp:revision>179</cp:revision>
  <cp:lastPrinted>2020-01-28T19:08:00Z</cp:lastPrinted>
  <dcterms:created xsi:type="dcterms:W3CDTF">2020-08-31T17:22:00Z</dcterms:created>
  <dcterms:modified xsi:type="dcterms:W3CDTF">2020-12-03T14:59:00Z</dcterms:modified>
</cp:coreProperties>
</file>