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1-Accent2"/>
        <w:tblW w:w="0" w:type="auto"/>
        <w:tblLook w:val="04A0" w:firstRow="1" w:lastRow="0" w:firstColumn="1" w:lastColumn="0" w:noHBand="0" w:noVBand="1"/>
      </w:tblPr>
      <w:tblGrid>
        <w:gridCol w:w="9360"/>
      </w:tblGrid>
      <w:tr w:rsidR="00815A25" w:rsidRPr="00582447" w14:paraId="43F5F84B" w14:textId="77777777" w:rsidTr="00380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7BFDACCD" w14:textId="77777777" w:rsidR="00815A25" w:rsidRPr="00582447" w:rsidRDefault="00815A25" w:rsidP="003800E0">
            <w:pPr>
              <w:jc w:val="center"/>
              <w:rPr>
                <w:color w:val="150399"/>
                <w:sz w:val="24"/>
                <w:szCs w:val="24"/>
              </w:rPr>
            </w:pPr>
            <w:r w:rsidRPr="00582447">
              <w:rPr>
                <w:rFonts w:cs="Times New Roman"/>
                <w:sz w:val="24"/>
                <w:szCs w:val="24"/>
              </w:rPr>
              <w:br w:type="page"/>
            </w:r>
            <w:r w:rsidRPr="00582447">
              <w:rPr>
                <w:color w:val="150399"/>
                <w:sz w:val="24"/>
                <w:szCs w:val="24"/>
              </w:rPr>
              <w:t xml:space="preserve">PROPOSED MASSACHUSETTS TAX EXPENDITURES </w:t>
            </w:r>
          </w:p>
          <w:p w14:paraId="4DDB2D55" w14:textId="77777777" w:rsidR="00815A25" w:rsidRPr="00582447" w:rsidRDefault="00815A25" w:rsidP="003800E0">
            <w:pPr>
              <w:jc w:val="center"/>
              <w:rPr>
                <w:b w:val="0"/>
                <w:bCs w:val="0"/>
                <w:color w:val="150399"/>
                <w:sz w:val="24"/>
                <w:szCs w:val="24"/>
              </w:rPr>
            </w:pPr>
            <w:r w:rsidRPr="00582447">
              <w:rPr>
                <w:color w:val="150399"/>
                <w:sz w:val="24"/>
                <w:szCs w:val="24"/>
              </w:rPr>
              <w:t xml:space="preserve">EVALUATION SUMMARY </w:t>
            </w:r>
          </w:p>
          <w:p w14:paraId="6C66EF44" w14:textId="77777777" w:rsidR="00815A25" w:rsidRPr="00582447" w:rsidRDefault="00815A25" w:rsidP="003800E0">
            <w:pPr>
              <w:rPr>
                <w:color w:val="150399"/>
                <w:sz w:val="24"/>
                <w:szCs w:val="24"/>
              </w:rPr>
            </w:pPr>
          </w:p>
        </w:tc>
      </w:tr>
      <w:tr w:rsidR="00815A25" w:rsidRPr="00582447" w14:paraId="0055C8FB" w14:textId="77777777" w:rsidTr="00380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4E432100" w14:textId="77777777" w:rsidR="00815A25" w:rsidRPr="00582447" w:rsidRDefault="00815A25" w:rsidP="003800E0">
            <w:pPr>
              <w:jc w:val="center"/>
              <w:rPr>
                <w:rFonts w:asciiTheme="majorHAnsi" w:hAnsiTheme="majorHAnsi"/>
                <w:sz w:val="24"/>
                <w:szCs w:val="24"/>
              </w:rPr>
            </w:pPr>
            <w:r w:rsidRPr="00582447">
              <w:rPr>
                <w:rFonts w:asciiTheme="majorHAnsi" w:hAnsiTheme="majorHAnsi"/>
                <w:sz w:val="24"/>
                <w:szCs w:val="24"/>
              </w:rPr>
              <w:t>EVALUATION YEAR: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7"/>
        <w:gridCol w:w="4650"/>
      </w:tblGrid>
      <w:tr w:rsidR="00815A25" w:rsidRPr="00582447" w14:paraId="2CC17EAD" w14:textId="77777777" w:rsidTr="0017763C">
        <w:trPr>
          <w:trHeight w:val="360"/>
        </w:trPr>
        <w:tc>
          <w:tcPr>
            <w:tcW w:w="4710" w:type="dxa"/>
            <w:gridSpan w:val="2"/>
          </w:tcPr>
          <w:p w14:paraId="760BFFB3" w14:textId="77777777" w:rsidR="00815A25" w:rsidRPr="00F749C0" w:rsidRDefault="00815A25" w:rsidP="003800E0">
            <w:pPr>
              <w:tabs>
                <w:tab w:val="left" w:pos="7050"/>
              </w:tabs>
              <w:rPr>
                <w:rFonts w:asciiTheme="majorHAnsi" w:hAnsiTheme="majorHAnsi"/>
                <w:sz w:val="16"/>
                <w:szCs w:val="16"/>
              </w:rPr>
            </w:pPr>
          </w:p>
        </w:tc>
        <w:tc>
          <w:tcPr>
            <w:tcW w:w="4650" w:type="dxa"/>
          </w:tcPr>
          <w:p w14:paraId="455D70E9" w14:textId="77777777" w:rsidR="00815A25" w:rsidRPr="00582447" w:rsidRDefault="00815A25" w:rsidP="003800E0">
            <w:pPr>
              <w:tabs>
                <w:tab w:val="left" w:pos="7050"/>
              </w:tabs>
              <w:rPr>
                <w:rFonts w:asciiTheme="majorHAnsi" w:hAnsiTheme="majorHAnsi"/>
                <w:sz w:val="24"/>
                <w:szCs w:val="24"/>
              </w:rPr>
            </w:pPr>
          </w:p>
        </w:tc>
      </w:tr>
      <w:tr w:rsidR="00815A25" w:rsidRPr="001E2631" w14:paraId="7C9B6726" w14:textId="77777777" w:rsidTr="0017763C">
        <w:tc>
          <w:tcPr>
            <w:tcW w:w="4710" w:type="dxa"/>
            <w:gridSpan w:val="2"/>
          </w:tcPr>
          <w:p w14:paraId="16257922" w14:textId="77777777" w:rsidR="00815A25" w:rsidRPr="001E2631" w:rsidRDefault="00815A25" w:rsidP="003800E0">
            <w:pPr>
              <w:tabs>
                <w:tab w:val="left" w:pos="7050"/>
              </w:tabs>
              <w:rPr>
                <w:rFonts w:asciiTheme="majorHAnsi" w:eastAsiaTheme="majorEastAsia" w:hAnsiTheme="majorHAnsi" w:cstheme="majorBidi"/>
                <w:b/>
                <w:bCs/>
                <w:color w:val="000000" w:themeColor="text1"/>
              </w:rPr>
            </w:pPr>
            <w:r w:rsidRPr="001E2631">
              <w:rPr>
                <w:rFonts w:asciiTheme="majorHAnsi" w:eastAsiaTheme="majorEastAsia" w:hAnsiTheme="majorHAnsi" w:cstheme="majorBidi"/>
                <w:b/>
                <w:bCs/>
                <w:color w:val="000000" w:themeColor="text1"/>
              </w:rPr>
              <w:t>TAX EXPENDITURE TITLE</w:t>
            </w:r>
          </w:p>
          <w:p w14:paraId="36A4CF5D" w14:textId="77777777" w:rsidR="00815A25" w:rsidRPr="001E2631" w:rsidRDefault="00815A25" w:rsidP="003800E0">
            <w:pPr>
              <w:tabs>
                <w:tab w:val="left" w:pos="7050"/>
              </w:tabs>
              <w:rPr>
                <w:rFonts w:asciiTheme="majorHAnsi" w:hAnsiTheme="majorHAnsi"/>
              </w:rPr>
            </w:pPr>
          </w:p>
        </w:tc>
        <w:tc>
          <w:tcPr>
            <w:tcW w:w="4650" w:type="dxa"/>
          </w:tcPr>
          <w:p w14:paraId="6BB3FD99" w14:textId="04364FE8" w:rsidR="00815A25" w:rsidRPr="001E2631" w:rsidRDefault="00815A25" w:rsidP="003800E0">
            <w:pPr>
              <w:tabs>
                <w:tab w:val="left" w:pos="7050"/>
              </w:tabs>
              <w:rPr>
                <w:rFonts w:asciiTheme="majorHAnsi" w:hAnsiTheme="majorHAnsi"/>
              </w:rPr>
            </w:pPr>
            <w:r w:rsidRPr="001E2631">
              <w:rPr>
                <w:rFonts w:asciiTheme="majorHAnsi" w:hAnsiTheme="majorHAnsi"/>
              </w:rPr>
              <w:t>Exemption for Vending Machines Sales</w:t>
            </w:r>
          </w:p>
          <w:p w14:paraId="7314B61D" w14:textId="77777777" w:rsidR="00815A25" w:rsidRPr="001E2631" w:rsidRDefault="00815A25" w:rsidP="003800E0">
            <w:pPr>
              <w:tabs>
                <w:tab w:val="left" w:pos="7050"/>
              </w:tabs>
              <w:rPr>
                <w:rFonts w:asciiTheme="majorHAnsi" w:hAnsiTheme="majorHAnsi"/>
              </w:rPr>
            </w:pPr>
          </w:p>
        </w:tc>
      </w:tr>
      <w:tr w:rsidR="00815A25" w:rsidRPr="001E2631" w14:paraId="650CE736" w14:textId="77777777" w:rsidTr="0017763C">
        <w:tc>
          <w:tcPr>
            <w:tcW w:w="4710" w:type="dxa"/>
            <w:gridSpan w:val="2"/>
          </w:tcPr>
          <w:p w14:paraId="70D11D4E" w14:textId="77777777" w:rsidR="00815A25" w:rsidRPr="001E2631" w:rsidRDefault="00815A25" w:rsidP="003800E0">
            <w:pPr>
              <w:tabs>
                <w:tab w:val="left" w:pos="7050"/>
              </w:tabs>
              <w:rPr>
                <w:rFonts w:asciiTheme="majorHAnsi" w:eastAsiaTheme="majorEastAsia" w:hAnsiTheme="majorHAnsi" w:cstheme="majorBidi"/>
                <w:b/>
                <w:bCs/>
                <w:color w:val="000000" w:themeColor="text1"/>
              </w:rPr>
            </w:pPr>
            <w:r w:rsidRPr="001E2631">
              <w:rPr>
                <w:rFonts w:asciiTheme="majorHAnsi" w:eastAsiaTheme="majorEastAsia" w:hAnsiTheme="majorHAnsi" w:cstheme="majorBidi"/>
                <w:b/>
                <w:bCs/>
                <w:color w:val="000000" w:themeColor="text1"/>
              </w:rPr>
              <w:t>TAX EXPENDITURE NUMBER</w:t>
            </w:r>
          </w:p>
          <w:p w14:paraId="215E26F5" w14:textId="77777777" w:rsidR="00815A25" w:rsidRPr="001E2631" w:rsidRDefault="00815A25" w:rsidP="003800E0">
            <w:pPr>
              <w:tabs>
                <w:tab w:val="left" w:pos="7050"/>
              </w:tabs>
              <w:rPr>
                <w:rFonts w:asciiTheme="majorHAnsi" w:hAnsiTheme="majorHAnsi"/>
              </w:rPr>
            </w:pPr>
          </w:p>
        </w:tc>
        <w:tc>
          <w:tcPr>
            <w:tcW w:w="4650" w:type="dxa"/>
          </w:tcPr>
          <w:p w14:paraId="340954F4" w14:textId="77777777" w:rsidR="00815A25" w:rsidRPr="001E2631" w:rsidRDefault="00815A25" w:rsidP="003800E0">
            <w:pPr>
              <w:tabs>
                <w:tab w:val="left" w:pos="7050"/>
              </w:tabs>
              <w:rPr>
                <w:rFonts w:asciiTheme="majorHAnsi" w:hAnsiTheme="majorHAnsi"/>
              </w:rPr>
            </w:pPr>
            <w:r w:rsidRPr="001E2631">
              <w:rPr>
                <w:rFonts w:asciiTheme="majorHAnsi" w:hAnsiTheme="majorHAnsi"/>
              </w:rPr>
              <w:t>3.602</w:t>
            </w:r>
          </w:p>
        </w:tc>
      </w:tr>
      <w:tr w:rsidR="00815A25" w:rsidRPr="001E2631" w14:paraId="65C4E352" w14:textId="77777777" w:rsidTr="0017763C">
        <w:tc>
          <w:tcPr>
            <w:tcW w:w="4710" w:type="dxa"/>
            <w:gridSpan w:val="2"/>
          </w:tcPr>
          <w:p w14:paraId="3B0EE2E7" w14:textId="77777777" w:rsidR="00815A25" w:rsidRPr="001E2631" w:rsidRDefault="00815A25" w:rsidP="003800E0">
            <w:pPr>
              <w:tabs>
                <w:tab w:val="left" w:pos="7050"/>
              </w:tabs>
              <w:rPr>
                <w:rFonts w:asciiTheme="majorHAnsi" w:eastAsiaTheme="majorEastAsia" w:hAnsiTheme="majorHAnsi" w:cstheme="majorBidi"/>
                <w:b/>
                <w:bCs/>
                <w:color w:val="000000" w:themeColor="text1"/>
              </w:rPr>
            </w:pPr>
            <w:r w:rsidRPr="001E2631">
              <w:rPr>
                <w:rFonts w:asciiTheme="majorHAnsi" w:eastAsiaTheme="majorEastAsia" w:hAnsiTheme="majorHAnsi" w:cstheme="majorBidi"/>
                <w:b/>
                <w:bCs/>
                <w:color w:val="000000" w:themeColor="text1"/>
              </w:rPr>
              <w:t>TAX EXPENDITURE CATEGORY</w:t>
            </w:r>
          </w:p>
          <w:p w14:paraId="45237B0E" w14:textId="77777777" w:rsidR="00815A25" w:rsidRPr="001E2631" w:rsidRDefault="00815A25" w:rsidP="003800E0">
            <w:pPr>
              <w:tabs>
                <w:tab w:val="left" w:pos="7050"/>
              </w:tabs>
              <w:rPr>
                <w:rFonts w:asciiTheme="majorHAnsi" w:hAnsiTheme="majorHAnsi"/>
              </w:rPr>
            </w:pPr>
          </w:p>
        </w:tc>
        <w:tc>
          <w:tcPr>
            <w:tcW w:w="4650" w:type="dxa"/>
          </w:tcPr>
          <w:p w14:paraId="7D349855" w14:textId="77777777" w:rsidR="00815A25" w:rsidRPr="001E2631" w:rsidRDefault="00815A25" w:rsidP="003800E0">
            <w:pPr>
              <w:tabs>
                <w:tab w:val="left" w:pos="7050"/>
              </w:tabs>
              <w:rPr>
                <w:rFonts w:asciiTheme="majorHAnsi" w:hAnsiTheme="majorHAnsi"/>
              </w:rPr>
            </w:pPr>
            <w:r w:rsidRPr="001E2631">
              <w:rPr>
                <w:rFonts w:asciiTheme="majorHAnsi" w:hAnsiTheme="majorHAnsi"/>
              </w:rPr>
              <w:t xml:space="preserve">Sales and use tax exemptions </w:t>
            </w:r>
          </w:p>
        </w:tc>
      </w:tr>
      <w:tr w:rsidR="00815A25" w:rsidRPr="001E2631" w14:paraId="1B48549F" w14:textId="77777777" w:rsidTr="0017763C">
        <w:tc>
          <w:tcPr>
            <w:tcW w:w="4710" w:type="dxa"/>
            <w:gridSpan w:val="2"/>
          </w:tcPr>
          <w:p w14:paraId="4D51B6F3" w14:textId="77777777" w:rsidR="00815A25" w:rsidRPr="001E2631" w:rsidRDefault="00815A25" w:rsidP="003800E0">
            <w:pPr>
              <w:tabs>
                <w:tab w:val="left" w:pos="7050"/>
              </w:tabs>
              <w:rPr>
                <w:rFonts w:asciiTheme="majorHAnsi" w:eastAsiaTheme="majorEastAsia" w:hAnsiTheme="majorHAnsi" w:cstheme="majorBidi"/>
                <w:b/>
                <w:bCs/>
                <w:color w:val="000000" w:themeColor="text1"/>
              </w:rPr>
            </w:pPr>
            <w:r w:rsidRPr="001E2631">
              <w:rPr>
                <w:rFonts w:asciiTheme="majorHAnsi" w:eastAsiaTheme="majorEastAsia" w:hAnsiTheme="majorHAnsi" w:cstheme="majorBidi"/>
                <w:b/>
                <w:bCs/>
                <w:color w:val="000000" w:themeColor="text1"/>
              </w:rPr>
              <w:t>TAX TYPE</w:t>
            </w:r>
          </w:p>
          <w:p w14:paraId="52E47346" w14:textId="77777777" w:rsidR="00815A25" w:rsidRPr="001E2631" w:rsidRDefault="00815A25" w:rsidP="003800E0">
            <w:pPr>
              <w:tabs>
                <w:tab w:val="left" w:pos="7050"/>
              </w:tabs>
              <w:rPr>
                <w:rFonts w:asciiTheme="majorHAnsi" w:hAnsiTheme="majorHAnsi"/>
              </w:rPr>
            </w:pPr>
          </w:p>
        </w:tc>
        <w:tc>
          <w:tcPr>
            <w:tcW w:w="4650" w:type="dxa"/>
          </w:tcPr>
          <w:p w14:paraId="21272CF5" w14:textId="77777777" w:rsidR="00815A25" w:rsidRPr="001E2631" w:rsidRDefault="00815A25" w:rsidP="003800E0">
            <w:pPr>
              <w:tabs>
                <w:tab w:val="left" w:pos="7050"/>
              </w:tabs>
              <w:rPr>
                <w:rFonts w:asciiTheme="majorHAnsi" w:hAnsiTheme="majorHAnsi"/>
              </w:rPr>
            </w:pPr>
            <w:r w:rsidRPr="001E2631">
              <w:rPr>
                <w:rFonts w:asciiTheme="majorHAnsi" w:hAnsiTheme="majorHAnsi"/>
              </w:rPr>
              <w:t>Sales and use tax</w:t>
            </w:r>
          </w:p>
          <w:p w14:paraId="76F47563" w14:textId="77777777" w:rsidR="00815A25" w:rsidRPr="001E2631" w:rsidRDefault="00815A25" w:rsidP="003800E0">
            <w:pPr>
              <w:tabs>
                <w:tab w:val="left" w:pos="7050"/>
              </w:tabs>
              <w:rPr>
                <w:rFonts w:asciiTheme="majorHAnsi" w:hAnsiTheme="majorHAnsi"/>
              </w:rPr>
            </w:pPr>
          </w:p>
        </w:tc>
      </w:tr>
      <w:tr w:rsidR="00815A25" w:rsidRPr="001E2631" w14:paraId="26457B76" w14:textId="77777777" w:rsidTr="0017763C">
        <w:tc>
          <w:tcPr>
            <w:tcW w:w="4710" w:type="dxa"/>
            <w:gridSpan w:val="2"/>
          </w:tcPr>
          <w:p w14:paraId="40E322C4" w14:textId="77777777" w:rsidR="00815A25" w:rsidRPr="001E2631" w:rsidRDefault="00815A25" w:rsidP="003800E0">
            <w:pPr>
              <w:tabs>
                <w:tab w:val="left" w:pos="7050"/>
              </w:tabs>
              <w:rPr>
                <w:rFonts w:asciiTheme="majorHAnsi" w:eastAsiaTheme="majorEastAsia" w:hAnsiTheme="majorHAnsi" w:cstheme="majorBidi"/>
                <w:b/>
                <w:bCs/>
                <w:color w:val="000000" w:themeColor="text1"/>
              </w:rPr>
            </w:pPr>
            <w:r w:rsidRPr="001E2631">
              <w:rPr>
                <w:rFonts w:asciiTheme="majorHAnsi" w:eastAsiaTheme="majorEastAsia" w:hAnsiTheme="majorHAnsi" w:cstheme="majorBidi"/>
                <w:b/>
                <w:bCs/>
                <w:color w:val="000000" w:themeColor="text1"/>
              </w:rPr>
              <w:t>LEGAL REFERENCE</w:t>
            </w:r>
          </w:p>
          <w:p w14:paraId="64B98C39" w14:textId="77777777" w:rsidR="00815A25" w:rsidRPr="001E2631" w:rsidRDefault="00815A25" w:rsidP="003800E0">
            <w:pPr>
              <w:tabs>
                <w:tab w:val="left" w:pos="7050"/>
              </w:tabs>
              <w:rPr>
                <w:rFonts w:asciiTheme="majorHAnsi" w:hAnsiTheme="majorHAnsi"/>
              </w:rPr>
            </w:pPr>
          </w:p>
        </w:tc>
        <w:tc>
          <w:tcPr>
            <w:tcW w:w="4650" w:type="dxa"/>
          </w:tcPr>
          <w:p w14:paraId="3D454A70" w14:textId="77777777" w:rsidR="00815A25" w:rsidRPr="001E2631" w:rsidRDefault="00815A25" w:rsidP="003800E0">
            <w:pPr>
              <w:tabs>
                <w:tab w:val="left" w:pos="7050"/>
              </w:tabs>
              <w:rPr>
                <w:rFonts w:asciiTheme="majorHAnsi" w:hAnsiTheme="majorHAnsi"/>
              </w:rPr>
            </w:pPr>
            <w:r w:rsidRPr="001E2631">
              <w:rPr>
                <w:rFonts w:asciiTheme="majorHAnsi" w:hAnsiTheme="majorHAnsi"/>
                <w:color w:val="000000"/>
              </w:rPr>
              <w:t>M.G.L. c. 64H § 6(h) and (t)</w:t>
            </w:r>
          </w:p>
        </w:tc>
      </w:tr>
      <w:tr w:rsidR="00815A25" w:rsidRPr="001E2631" w14:paraId="31C20644" w14:textId="77777777" w:rsidTr="0017763C">
        <w:tc>
          <w:tcPr>
            <w:tcW w:w="4710" w:type="dxa"/>
            <w:gridSpan w:val="2"/>
          </w:tcPr>
          <w:p w14:paraId="529E305D" w14:textId="77777777" w:rsidR="00815A25" w:rsidRPr="001E2631" w:rsidRDefault="00815A25" w:rsidP="003800E0">
            <w:pPr>
              <w:tabs>
                <w:tab w:val="left" w:pos="7050"/>
              </w:tabs>
              <w:rPr>
                <w:rFonts w:asciiTheme="majorHAnsi" w:eastAsiaTheme="majorEastAsia" w:hAnsiTheme="majorHAnsi" w:cstheme="majorBidi"/>
                <w:b/>
                <w:bCs/>
                <w:color w:val="000000" w:themeColor="text1"/>
              </w:rPr>
            </w:pPr>
            <w:r w:rsidRPr="001E2631">
              <w:rPr>
                <w:rFonts w:asciiTheme="majorHAnsi" w:eastAsiaTheme="majorEastAsia" w:hAnsiTheme="majorHAnsi" w:cstheme="majorBidi"/>
                <w:b/>
                <w:bCs/>
                <w:color w:val="000000" w:themeColor="text1"/>
              </w:rPr>
              <w:t>YEAR ENACTED</w:t>
            </w:r>
          </w:p>
          <w:p w14:paraId="19B2391A" w14:textId="77777777" w:rsidR="00815A25" w:rsidRPr="001E2631" w:rsidRDefault="00815A25" w:rsidP="003800E0">
            <w:pPr>
              <w:tabs>
                <w:tab w:val="left" w:pos="7050"/>
              </w:tabs>
              <w:rPr>
                <w:rFonts w:asciiTheme="majorHAnsi" w:hAnsiTheme="majorHAnsi"/>
              </w:rPr>
            </w:pPr>
          </w:p>
        </w:tc>
        <w:tc>
          <w:tcPr>
            <w:tcW w:w="4650" w:type="dxa"/>
          </w:tcPr>
          <w:p w14:paraId="308E3407" w14:textId="77777777" w:rsidR="00815A25" w:rsidRDefault="00815A25" w:rsidP="003800E0">
            <w:pPr>
              <w:tabs>
                <w:tab w:val="left" w:pos="7050"/>
              </w:tabs>
              <w:rPr>
                <w:rFonts w:asciiTheme="majorHAnsi" w:hAnsiTheme="majorHAnsi"/>
              </w:rPr>
            </w:pPr>
            <w:r w:rsidRPr="001E2631">
              <w:rPr>
                <w:rFonts w:asciiTheme="majorHAnsi" w:hAnsiTheme="majorHAnsi"/>
              </w:rPr>
              <w:t xml:space="preserve">Exemption for snacks and candy sold by a vending machine was enacted in 1977, (St. 1977, c. 363A </w:t>
            </w:r>
            <w:r w:rsidRPr="001E2631">
              <w:rPr>
                <w:rFonts w:asciiTheme="majorHAnsi" w:hAnsiTheme="majorHAnsi"/>
                <w:color w:val="000000"/>
              </w:rPr>
              <w:t xml:space="preserve">§ </w:t>
            </w:r>
            <w:r w:rsidRPr="001E2631">
              <w:rPr>
                <w:rFonts w:asciiTheme="majorHAnsi" w:hAnsiTheme="majorHAnsi"/>
              </w:rPr>
              <w:t xml:space="preserve">45); the exemption for items sold for 10 cents or less was enacted in 1967 (St. 1967, c. 757 </w:t>
            </w:r>
            <w:r w:rsidRPr="001E2631">
              <w:rPr>
                <w:rFonts w:asciiTheme="majorHAnsi" w:hAnsiTheme="majorHAnsi"/>
                <w:color w:val="000000"/>
              </w:rPr>
              <w:t xml:space="preserve">§ </w:t>
            </w:r>
            <w:r w:rsidRPr="001E2631">
              <w:rPr>
                <w:rFonts w:asciiTheme="majorHAnsi" w:hAnsiTheme="majorHAnsi"/>
              </w:rPr>
              <w:t xml:space="preserve">1).  </w:t>
            </w:r>
          </w:p>
          <w:p w14:paraId="654561B3" w14:textId="04A7B317" w:rsidR="00A07F61" w:rsidRPr="001E2631" w:rsidRDefault="00A07F61" w:rsidP="003800E0">
            <w:pPr>
              <w:tabs>
                <w:tab w:val="left" w:pos="7050"/>
              </w:tabs>
              <w:rPr>
                <w:rFonts w:asciiTheme="majorHAnsi" w:hAnsiTheme="majorHAnsi"/>
              </w:rPr>
            </w:pPr>
          </w:p>
        </w:tc>
      </w:tr>
      <w:tr w:rsidR="00815A25" w:rsidRPr="001E2631" w14:paraId="59A0F9C9" w14:textId="77777777" w:rsidTr="0017763C">
        <w:tc>
          <w:tcPr>
            <w:tcW w:w="4710" w:type="dxa"/>
            <w:gridSpan w:val="2"/>
          </w:tcPr>
          <w:p w14:paraId="7B772A4D" w14:textId="77777777" w:rsidR="00815A25" w:rsidRPr="001E2631" w:rsidRDefault="00815A25" w:rsidP="003800E0">
            <w:pPr>
              <w:tabs>
                <w:tab w:val="left" w:pos="7050"/>
              </w:tabs>
              <w:rPr>
                <w:rFonts w:asciiTheme="majorHAnsi" w:hAnsiTheme="majorHAnsi"/>
              </w:rPr>
            </w:pPr>
            <w:r w:rsidRPr="001E2631">
              <w:rPr>
                <w:rFonts w:asciiTheme="majorHAnsi" w:eastAsiaTheme="majorEastAsia" w:hAnsiTheme="majorHAnsi" w:cstheme="majorBidi"/>
                <w:b/>
                <w:bCs/>
                <w:color w:val="000000" w:themeColor="text1"/>
              </w:rPr>
              <w:t>REPEAL/EXPIRATION DATE</w:t>
            </w:r>
          </w:p>
        </w:tc>
        <w:tc>
          <w:tcPr>
            <w:tcW w:w="4650" w:type="dxa"/>
          </w:tcPr>
          <w:p w14:paraId="62E1B69D" w14:textId="77777777" w:rsidR="00815A25" w:rsidRDefault="00815A25" w:rsidP="003800E0">
            <w:pPr>
              <w:tabs>
                <w:tab w:val="left" w:pos="7050"/>
              </w:tabs>
              <w:rPr>
                <w:rFonts w:asciiTheme="majorHAnsi" w:hAnsiTheme="majorHAnsi"/>
              </w:rPr>
            </w:pPr>
            <w:r w:rsidRPr="001E2631">
              <w:rPr>
                <w:rFonts w:asciiTheme="majorHAnsi" w:hAnsiTheme="majorHAnsi"/>
              </w:rPr>
              <w:t>None.</w:t>
            </w:r>
          </w:p>
          <w:p w14:paraId="259ED6BE" w14:textId="5A6EACA2" w:rsidR="00A07F61" w:rsidRPr="001E2631" w:rsidRDefault="00A07F61" w:rsidP="003800E0">
            <w:pPr>
              <w:tabs>
                <w:tab w:val="left" w:pos="7050"/>
              </w:tabs>
              <w:rPr>
                <w:rFonts w:asciiTheme="majorHAnsi" w:hAnsiTheme="majorHAnsi"/>
              </w:rPr>
            </w:pPr>
          </w:p>
        </w:tc>
      </w:tr>
      <w:tr w:rsidR="00815A25" w:rsidRPr="001E2631" w14:paraId="6338E079" w14:textId="77777777" w:rsidTr="0017763C">
        <w:tc>
          <w:tcPr>
            <w:tcW w:w="4710" w:type="dxa"/>
            <w:gridSpan w:val="2"/>
          </w:tcPr>
          <w:p w14:paraId="0F9B67CB" w14:textId="77777777" w:rsidR="00815A25" w:rsidRPr="001E2631" w:rsidRDefault="00815A25" w:rsidP="003800E0">
            <w:pPr>
              <w:tabs>
                <w:tab w:val="left" w:pos="7050"/>
              </w:tabs>
              <w:rPr>
                <w:rFonts w:asciiTheme="majorHAnsi" w:eastAsiaTheme="majorEastAsia" w:hAnsiTheme="majorHAnsi" w:cstheme="majorBidi"/>
                <w:b/>
                <w:bCs/>
                <w:color w:val="000000" w:themeColor="text1"/>
              </w:rPr>
            </w:pPr>
            <w:r w:rsidRPr="001E2631">
              <w:rPr>
                <w:rFonts w:asciiTheme="majorHAnsi" w:eastAsiaTheme="majorEastAsia" w:hAnsiTheme="majorHAnsi" w:cstheme="majorBidi"/>
                <w:b/>
                <w:bCs/>
                <w:color w:val="000000" w:themeColor="text1"/>
              </w:rPr>
              <w:t>ANNUAL REVENUE IMPACT</w:t>
            </w:r>
          </w:p>
          <w:p w14:paraId="57E98D11" w14:textId="77777777" w:rsidR="00815A25" w:rsidRPr="001E2631" w:rsidRDefault="00815A25" w:rsidP="003800E0">
            <w:pPr>
              <w:tabs>
                <w:tab w:val="left" w:pos="7050"/>
              </w:tabs>
              <w:rPr>
                <w:rFonts w:asciiTheme="majorHAnsi" w:hAnsiTheme="majorHAnsi"/>
              </w:rPr>
            </w:pPr>
          </w:p>
        </w:tc>
        <w:tc>
          <w:tcPr>
            <w:tcW w:w="4650" w:type="dxa"/>
          </w:tcPr>
          <w:p w14:paraId="61C0C877" w14:textId="621CDEAB" w:rsidR="00095500" w:rsidRDefault="00095500" w:rsidP="00095500">
            <w:pPr>
              <w:tabs>
                <w:tab w:val="left" w:pos="7050"/>
              </w:tabs>
              <w:rPr>
                <w:rFonts w:asciiTheme="majorHAnsi" w:hAnsiTheme="majorHAnsi"/>
              </w:rPr>
            </w:pPr>
            <w:r w:rsidRPr="002C2079">
              <w:rPr>
                <w:rFonts w:asciiTheme="majorHAnsi" w:hAnsiTheme="majorHAnsi"/>
              </w:rPr>
              <w:t>Tax loss of $</w:t>
            </w:r>
            <w:r>
              <w:rPr>
                <w:rFonts w:asciiTheme="majorHAnsi" w:hAnsiTheme="majorHAnsi"/>
              </w:rPr>
              <w:t xml:space="preserve">1.3 - $1.4 </w:t>
            </w:r>
            <w:r w:rsidRPr="002C2079">
              <w:rPr>
                <w:rFonts w:asciiTheme="majorHAnsi" w:hAnsiTheme="majorHAnsi"/>
              </w:rPr>
              <w:t xml:space="preserve">million </w:t>
            </w:r>
            <w:r>
              <w:rPr>
                <w:rFonts w:asciiTheme="majorHAnsi" w:hAnsiTheme="majorHAnsi"/>
              </w:rPr>
              <w:t xml:space="preserve">per year during </w:t>
            </w:r>
            <w:r w:rsidRPr="002C2079">
              <w:rPr>
                <w:rFonts w:asciiTheme="majorHAnsi" w:hAnsiTheme="majorHAnsi"/>
              </w:rPr>
              <w:t>FY1</w:t>
            </w:r>
            <w:r>
              <w:rPr>
                <w:rFonts w:asciiTheme="majorHAnsi" w:hAnsiTheme="majorHAnsi"/>
              </w:rPr>
              <w:t>8</w:t>
            </w:r>
            <w:r w:rsidRPr="002C2079">
              <w:rPr>
                <w:rFonts w:asciiTheme="majorHAnsi" w:hAnsiTheme="majorHAnsi"/>
              </w:rPr>
              <w:t>-FY2</w:t>
            </w:r>
            <w:r>
              <w:rPr>
                <w:rFonts w:asciiTheme="majorHAnsi" w:hAnsiTheme="majorHAnsi"/>
              </w:rPr>
              <w:t>2</w:t>
            </w:r>
          </w:p>
          <w:p w14:paraId="35D5B977" w14:textId="34ACBC4E" w:rsidR="00815A25" w:rsidRPr="001E2631" w:rsidRDefault="00815A25" w:rsidP="003800E0">
            <w:pPr>
              <w:tabs>
                <w:tab w:val="left" w:pos="7050"/>
              </w:tabs>
              <w:rPr>
                <w:rFonts w:asciiTheme="majorHAnsi" w:hAnsiTheme="majorHAnsi"/>
              </w:rPr>
            </w:pPr>
          </w:p>
        </w:tc>
      </w:tr>
      <w:tr w:rsidR="00815A25" w:rsidRPr="001E2631" w14:paraId="6CFEB637" w14:textId="77777777" w:rsidTr="0017763C">
        <w:tc>
          <w:tcPr>
            <w:tcW w:w="4710" w:type="dxa"/>
            <w:gridSpan w:val="2"/>
          </w:tcPr>
          <w:p w14:paraId="18085E6C" w14:textId="77777777" w:rsidR="00815A25" w:rsidRPr="001E2631" w:rsidRDefault="00815A25" w:rsidP="003800E0">
            <w:pPr>
              <w:tabs>
                <w:tab w:val="left" w:pos="7050"/>
              </w:tabs>
              <w:rPr>
                <w:rFonts w:asciiTheme="majorHAnsi" w:hAnsiTheme="majorHAnsi"/>
              </w:rPr>
            </w:pPr>
            <w:r w:rsidRPr="001E2631">
              <w:rPr>
                <w:rFonts w:asciiTheme="majorHAnsi" w:eastAsiaTheme="majorEastAsia" w:hAnsiTheme="majorHAnsi" w:cstheme="majorBidi"/>
                <w:b/>
                <w:bCs/>
                <w:color w:val="000000" w:themeColor="text1"/>
              </w:rPr>
              <w:t xml:space="preserve">NUMBER OF TAXPAYERS </w:t>
            </w:r>
          </w:p>
        </w:tc>
        <w:tc>
          <w:tcPr>
            <w:tcW w:w="4650" w:type="dxa"/>
          </w:tcPr>
          <w:p w14:paraId="5D78032E" w14:textId="0BD63C92" w:rsidR="009C050E" w:rsidRPr="001E2631" w:rsidRDefault="00095500" w:rsidP="009C050E">
            <w:pPr>
              <w:tabs>
                <w:tab w:val="left" w:pos="7050"/>
              </w:tabs>
              <w:rPr>
                <w:rFonts w:asciiTheme="majorHAnsi" w:hAnsiTheme="majorHAnsi"/>
                <w:sz w:val="20"/>
                <w:szCs w:val="20"/>
              </w:rPr>
            </w:pPr>
            <w:r>
              <w:rPr>
                <w:rFonts w:asciiTheme="majorHAnsi" w:hAnsiTheme="majorHAnsi"/>
              </w:rPr>
              <w:t xml:space="preserve">Buyers and Sellers </w:t>
            </w:r>
            <w:r w:rsidR="00F749C0" w:rsidRPr="00F749C0">
              <w:rPr>
                <w:rFonts w:asciiTheme="majorHAnsi" w:hAnsiTheme="majorHAnsi"/>
              </w:rPr>
              <w:t>who buy and sell exempt items through vending machines</w:t>
            </w:r>
          </w:p>
          <w:p w14:paraId="141B0E42" w14:textId="22291BFF" w:rsidR="00815A25" w:rsidRPr="001E2631" w:rsidRDefault="00815A25" w:rsidP="003800E0">
            <w:pPr>
              <w:tabs>
                <w:tab w:val="left" w:pos="7050"/>
              </w:tabs>
              <w:rPr>
                <w:rFonts w:asciiTheme="majorHAnsi" w:hAnsiTheme="majorHAnsi"/>
              </w:rPr>
            </w:pPr>
          </w:p>
        </w:tc>
      </w:tr>
      <w:tr w:rsidR="00815A25" w:rsidRPr="001E2631" w14:paraId="5728C676" w14:textId="77777777" w:rsidTr="0017763C">
        <w:tc>
          <w:tcPr>
            <w:tcW w:w="4710" w:type="dxa"/>
            <w:gridSpan w:val="2"/>
          </w:tcPr>
          <w:p w14:paraId="02A15DAF" w14:textId="77777777" w:rsidR="00815A25" w:rsidRPr="001E2631" w:rsidRDefault="00815A25" w:rsidP="003800E0">
            <w:pPr>
              <w:tabs>
                <w:tab w:val="left" w:pos="7050"/>
              </w:tabs>
              <w:rPr>
                <w:rFonts w:asciiTheme="majorHAnsi" w:hAnsiTheme="majorHAnsi"/>
              </w:rPr>
            </w:pPr>
            <w:r w:rsidRPr="001E2631">
              <w:rPr>
                <w:rFonts w:asciiTheme="majorHAnsi" w:eastAsiaTheme="majorEastAsia" w:hAnsiTheme="majorHAnsi" w:cstheme="majorBidi"/>
                <w:b/>
                <w:bCs/>
                <w:color w:val="000000" w:themeColor="text1"/>
              </w:rPr>
              <w:t>AVERAGE TAXPAYER BENEFIT</w:t>
            </w:r>
          </w:p>
        </w:tc>
        <w:tc>
          <w:tcPr>
            <w:tcW w:w="4650" w:type="dxa"/>
          </w:tcPr>
          <w:p w14:paraId="504828BD" w14:textId="797AE531" w:rsidR="0017763C" w:rsidRDefault="00095500" w:rsidP="003800E0">
            <w:pPr>
              <w:tabs>
                <w:tab w:val="left" w:pos="7050"/>
              </w:tabs>
              <w:rPr>
                <w:rFonts w:asciiTheme="majorHAnsi" w:hAnsiTheme="majorHAnsi"/>
              </w:rPr>
            </w:pPr>
            <w:r>
              <w:rPr>
                <w:rFonts w:asciiTheme="majorHAnsi" w:hAnsiTheme="majorHAnsi"/>
              </w:rPr>
              <w:t>$0.5 per Massachusetts Household in FY18.</w:t>
            </w:r>
          </w:p>
          <w:p w14:paraId="0393C63D" w14:textId="608E5B0F" w:rsidR="00095500" w:rsidRPr="001E2631" w:rsidRDefault="00095500" w:rsidP="003800E0">
            <w:pPr>
              <w:tabs>
                <w:tab w:val="left" w:pos="7050"/>
              </w:tabs>
              <w:rPr>
                <w:rFonts w:asciiTheme="majorHAnsi" w:hAnsiTheme="majorHAnsi"/>
              </w:rPr>
            </w:pPr>
          </w:p>
        </w:tc>
      </w:tr>
      <w:tr w:rsidR="00815A25" w:rsidRPr="001E2631" w14:paraId="17D3B694" w14:textId="77777777" w:rsidTr="00A07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3" w:type="dxa"/>
          </w:tcPr>
          <w:p w14:paraId="42D6E7F1" w14:textId="77777777" w:rsidR="00815A25" w:rsidRPr="001E2631" w:rsidRDefault="00815A25" w:rsidP="003800E0">
            <w:pPr>
              <w:tabs>
                <w:tab w:val="left" w:pos="7050"/>
              </w:tabs>
              <w:rPr>
                <w:rFonts w:asciiTheme="majorHAnsi" w:eastAsiaTheme="majorEastAsia" w:hAnsiTheme="majorHAnsi" w:cstheme="majorBidi"/>
                <w:b/>
                <w:bCs/>
                <w:color w:val="000000" w:themeColor="text1"/>
              </w:rPr>
            </w:pPr>
            <w:r w:rsidRPr="001E2631">
              <w:rPr>
                <w:rFonts w:asciiTheme="majorHAnsi" w:eastAsiaTheme="majorEastAsia" w:hAnsiTheme="majorHAnsi" w:cstheme="majorBidi"/>
                <w:b/>
                <w:bCs/>
                <w:color w:val="000000" w:themeColor="text1"/>
              </w:rPr>
              <w:t>Description of the Tax Expenditure:</w:t>
            </w:r>
          </w:p>
          <w:p w14:paraId="71E15F03" w14:textId="77777777" w:rsidR="00815A25" w:rsidRDefault="00815A25" w:rsidP="003800E0">
            <w:pPr>
              <w:tabs>
                <w:tab w:val="left" w:pos="7050"/>
              </w:tabs>
              <w:rPr>
                <w:rFonts w:asciiTheme="majorHAnsi" w:eastAsiaTheme="majorEastAsia" w:hAnsiTheme="majorHAnsi" w:cstheme="majorBidi"/>
                <w:bCs/>
                <w:color w:val="000000" w:themeColor="text1"/>
              </w:rPr>
            </w:pPr>
            <w:r w:rsidRPr="001E2631">
              <w:rPr>
                <w:rFonts w:asciiTheme="majorHAnsi" w:eastAsiaTheme="majorEastAsia" w:hAnsiTheme="majorHAnsi" w:cstheme="majorBidi"/>
                <w:bCs/>
                <w:color w:val="000000" w:themeColor="text1"/>
              </w:rPr>
              <w:t>Vending machine sales of items costing ten cents or less are exempt from sales tax. In addition, sales through vending machines which exclusively sell snacks and candy with a sales price of less than three dollars and fifty cents are exempt from the sales tax on meals.</w:t>
            </w:r>
          </w:p>
          <w:p w14:paraId="498CEDDB" w14:textId="0827973B" w:rsidR="00A07F61" w:rsidRPr="001E2631" w:rsidRDefault="00A07F61" w:rsidP="003800E0">
            <w:pPr>
              <w:tabs>
                <w:tab w:val="left" w:pos="7050"/>
              </w:tabs>
              <w:rPr>
                <w:rFonts w:asciiTheme="majorHAnsi" w:eastAsiaTheme="majorEastAsia" w:hAnsiTheme="majorHAnsi" w:cstheme="majorBidi"/>
                <w:bCs/>
                <w:color w:val="000000" w:themeColor="text1"/>
              </w:rPr>
            </w:pPr>
          </w:p>
        </w:tc>
        <w:tc>
          <w:tcPr>
            <w:tcW w:w="4687" w:type="dxa"/>
            <w:gridSpan w:val="2"/>
          </w:tcPr>
          <w:p w14:paraId="3E8DB437" w14:textId="77777777" w:rsidR="00815A25" w:rsidRPr="001E2631" w:rsidRDefault="00815A25" w:rsidP="003800E0">
            <w:pPr>
              <w:tabs>
                <w:tab w:val="left" w:pos="7050"/>
              </w:tabs>
              <w:rPr>
                <w:rFonts w:asciiTheme="majorHAnsi" w:eastAsiaTheme="majorEastAsia" w:hAnsiTheme="majorHAnsi" w:cstheme="majorBidi"/>
                <w:b/>
                <w:bCs/>
                <w:color w:val="000000" w:themeColor="text1"/>
              </w:rPr>
            </w:pPr>
            <w:r w:rsidRPr="001E2631">
              <w:rPr>
                <w:rFonts w:asciiTheme="majorHAnsi" w:eastAsiaTheme="majorEastAsia" w:hAnsiTheme="majorHAnsi" w:cstheme="majorBidi"/>
                <w:b/>
                <w:bCs/>
                <w:color w:val="000000" w:themeColor="text1"/>
              </w:rPr>
              <w:t>Is the purpose defined in the statute?</w:t>
            </w:r>
          </w:p>
          <w:p w14:paraId="5D476AA9" w14:textId="1CBE6418" w:rsidR="00815A25" w:rsidRPr="001E2631" w:rsidRDefault="00815A25" w:rsidP="00A05358">
            <w:pPr>
              <w:rPr>
                <w:rFonts w:asciiTheme="majorHAnsi" w:hAnsiTheme="majorHAnsi"/>
                <w:b/>
                <w:bCs/>
              </w:rPr>
            </w:pPr>
            <w:r w:rsidRPr="001E2631">
              <w:rPr>
                <w:rFonts w:asciiTheme="majorHAnsi" w:eastAsiaTheme="majorEastAsia" w:hAnsiTheme="majorHAnsi" w:cstheme="majorBidi"/>
                <w:bCs/>
                <w:color w:val="000000" w:themeColor="text1"/>
              </w:rPr>
              <w:t xml:space="preserve">The statute does not explicitly state the purpose of this tax expenditure. </w:t>
            </w:r>
          </w:p>
        </w:tc>
      </w:tr>
      <w:tr w:rsidR="00815A25" w:rsidRPr="001E2631" w14:paraId="176143DF" w14:textId="77777777" w:rsidTr="00A07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3" w:type="dxa"/>
          </w:tcPr>
          <w:p w14:paraId="2F5B689E" w14:textId="77777777" w:rsidR="00A07F61" w:rsidRDefault="00A07F61" w:rsidP="00A07F61">
            <w:pPr>
              <w:rPr>
                <w:rFonts w:asciiTheme="majorHAnsi" w:eastAsiaTheme="majorEastAsia" w:hAnsiTheme="majorHAnsi" w:cstheme="majorBidi"/>
                <w:bCs/>
                <w:color w:val="000000" w:themeColor="text1"/>
              </w:rPr>
            </w:pPr>
            <w:r w:rsidRPr="00F73E2C">
              <w:rPr>
                <w:rFonts w:asciiTheme="majorHAnsi" w:eastAsiaTheme="majorEastAsia" w:hAnsiTheme="majorHAnsi" w:cstheme="majorBidi"/>
                <w:b/>
                <w:bCs/>
                <w:color w:val="000000" w:themeColor="text1"/>
              </w:rPr>
              <w:t xml:space="preserve">What are the </w:t>
            </w:r>
            <w:r>
              <w:rPr>
                <w:rFonts w:asciiTheme="majorHAnsi" w:eastAsiaTheme="majorEastAsia" w:hAnsiTheme="majorHAnsi" w:cstheme="majorBidi"/>
                <w:b/>
                <w:bCs/>
                <w:color w:val="000000" w:themeColor="text1"/>
                <w:sz w:val="24"/>
              </w:rPr>
              <w:t xml:space="preserve">policy </w:t>
            </w:r>
            <w:r w:rsidRPr="00F73E2C">
              <w:rPr>
                <w:rFonts w:asciiTheme="majorHAnsi" w:eastAsiaTheme="majorEastAsia" w:hAnsiTheme="majorHAnsi" w:cstheme="majorBidi"/>
                <w:b/>
                <w:bCs/>
                <w:color w:val="000000" w:themeColor="text1"/>
              </w:rPr>
              <w:t>goals of the expenditure?</w:t>
            </w:r>
            <w:r w:rsidRPr="00F73E2C">
              <w:rPr>
                <w:rFonts w:asciiTheme="majorHAnsi" w:eastAsiaTheme="majorEastAsia" w:hAnsiTheme="majorHAnsi" w:cstheme="majorBidi"/>
                <w:bCs/>
                <w:color w:val="000000" w:themeColor="text1"/>
              </w:rPr>
              <w:t xml:space="preserve"> </w:t>
            </w:r>
          </w:p>
          <w:p w14:paraId="2FE13BA5" w14:textId="29E0B958" w:rsidR="00815A25" w:rsidRPr="001E2631" w:rsidRDefault="00815A25" w:rsidP="00F749C0">
            <w:pPr>
              <w:rPr>
                <w:rFonts w:asciiTheme="majorHAnsi" w:hAnsiTheme="majorHAnsi"/>
                <w:b/>
                <w:bCs/>
              </w:rPr>
            </w:pPr>
            <w:r w:rsidRPr="001E2631">
              <w:rPr>
                <w:rFonts w:asciiTheme="majorHAnsi" w:eastAsiaTheme="majorEastAsia" w:hAnsiTheme="majorHAnsi" w:cstheme="majorBidi"/>
                <w:bCs/>
                <w:color w:val="000000" w:themeColor="text1"/>
              </w:rPr>
              <w:t xml:space="preserve">The goal of the tax expenditure is to facilitate sales of snacks and candy when sold by a vending machine that exclusively sells such items, as well as sales of other low cost items when sold by a vending machine more generally, thereby easing the compliance burden on such de minimis sales.    </w:t>
            </w:r>
          </w:p>
        </w:tc>
        <w:tc>
          <w:tcPr>
            <w:tcW w:w="4687" w:type="dxa"/>
            <w:gridSpan w:val="2"/>
          </w:tcPr>
          <w:p w14:paraId="6EB9F4D7" w14:textId="77777777" w:rsidR="00815A25" w:rsidRPr="001E2631" w:rsidRDefault="00815A25" w:rsidP="003800E0">
            <w:pPr>
              <w:tabs>
                <w:tab w:val="left" w:pos="7050"/>
              </w:tabs>
              <w:rPr>
                <w:rFonts w:asciiTheme="majorHAnsi" w:eastAsiaTheme="majorEastAsia" w:hAnsiTheme="majorHAnsi" w:cstheme="majorBidi"/>
                <w:b/>
                <w:bCs/>
                <w:color w:val="000000" w:themeColor="text1"/>
              </w:rPr>
            </w:pPr>
            <w:r w:rsidRPr="001E2631">
              <w:rPr>
                <w:rFonts w:asciiTheme="majorHAnsi" w:eastAsiaTheme="majorEastAsia" w:hAnsiTheme="majorHAnsi" w:cstheme="majorBidi"/>
                <w:b/>
                <w:bCs/>
                <w:color w:val="000000" w:themeColor="text1"/>
              </w:rPr>
              <w:t>Are there other states with a similar Tax Expenditure?</w:t>
            </w:r>
          </w:p>
          <w:p w14:paraId="75FD743D" w14:textId="155D4595" w:rsidR="00815A25" w:rsidRPr="001E2631" w:rsidRDefault="00815A25" w:rsidP="001133B6">
            <w:pPr>
              <w:rPr>
                <w:rFonts w:asciiTheme="majorHAnsi" w:hAnsiTheme="majorHAnsi"/>
                <w:bCs/>
              </w:rPr>
            </w:pPr>
            <w:r w:rsidRPr="001E2631">
              <w:rPr>
                <w:rFonts w:asciiTheme="majorHAnsi" w:hAnsiTheme="majorHAnsi"/>
                <w:bCs/>
              </w:rPr>
              <w:t xml:space="preserve">Yes, Connecticut and New York provide similar tax expenditures, while Maine, New Hampshire, and Vermont provide limited versions of this tax expenditure in certain circumstances.  </w:t>
            </w:r>
          </w:p>
        </w:tc>
      </w:tr>
    </w:tbl>
    <w:tbl>
      <w:tblPr>
        <w:tblStyle w:val="MediumList1-Accent2"/>
        <w:tblW w:w="9576" w:type="dxa"/>
        <w:tblInd w:w="-108" w:type="dxa"/>
        <w:tblLook w:val="04A0" w:firstRow="1" w:lastRow="0" w:firstColumn="1" w:lastColumn="0" w:noHBand="0" w:noVBand="1"/>
      </w:tblPr>
      <w:tblGrid>
        <w:gridCol w:w="9576"/>
      </w:tblGrid>
      <w:tr w:rsidR="00A07F61" w:rsidRPr="00065914" w14:paraId="4BB68E96" w14:textId="77777777" w:rsidTr="00A07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C0504D" w:themeColor="accent2"/>
            </w:tcBorders>
            <w:shd w:val="clear" w:color="auto" w:fill="B6DDE8" w:themeFill="accent5" w:themeFillTint="66"/>
          </w:tcPr>
          <w:p w14:paraId="7C7FBE5A" w14:textId="77777777" w:rsidR="00A07F61" w:rsidRPr="00065914" w:rsidRDefault="00A07F61" w:rsidP="00984A54">
            <w:pPr>
              <w:rPr>
                <w:sz w:val="18"/>
                <w:szCs w:val="18"/>
              </w:rPr>
            </w:pPr>
            <w:r w:rsidRPr="00065914">
              <w:rPr>
                <w:sz w:val="18"/>
                <w:szCs w:val="18"/>
                <w:highlight w:val="cyan"/>
              </w:rPr>
              <w:t>Conclusion/Recommendations: [To be Entered by TERC]</w:t>
            </w:r>
          </w:p>
        </w:tc>
      </w:tr>
    </w:tbl>
    <w:p w14:paraId="18BA8F95" w14:textId="77777777" w:rsidR="00A07F61" w:rsidRPr="00A07439" w:rsidRDefault="00A07F61" w:rsidP="00A07F61">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lastRenderedPageBreak/>
        <w:t>INTRODUCTION</w:t>
      </w:r>
    </w:p>
    <w:p w14:paraId="0C7716D8" w14:textId="77777777" w:rsidR="00815A25" w:rsidRPr="00582447" w:rsidRDefault="00815A25" w:rsidP="00815A25">
      <w:pPr>
        <w:tabs>
          <w:tab w:val="left" w:pos="7050"/>
        </w:tabs>
        <w:spacing w:after="0"/>
        <w:rPr>
          <w:rFonts w:asciiTheme="majorHAnsi" w:eastAsiaTheme="majorEastAsia" w:hAnsiTheme="majorHAnsi" w:cstheme="majorBidi"/>
          <w:bCs/>
          <w:color w:val="000000" w:themeColor="text1"/>
          <w:sz w:val="24"/>
          <w:szCs w:val="24"/>
        </w:rPr>
      </w:pPr>
      <w:r w:rsidRPr="00582447">
        <w:rPr>
          <w:rFonts w:asciiTheme="majorHAnsi" w:hAnsiTheme="majorHAnsi"/>
          <w:sz w:val="24"/>
          <w:szCs w:val="24"/>
          <w:lang w:val="en"/>
        </w:rPr>
        <w:t>All retail sales of tangible personal property in Massachusetts are subject to a 6.25% sales tax, unless otherwise exempt.  M.G.L. c. 64H, § 2.  Massachusetts currently exempts tangible personal property when sold by a coin operated vending machine at ten cents or less, provided the retailer is primarily engaged in making such sales and keeps records satisfactory to the commissioner.  M.G.L. c. 64H, §</w:t>
      </w:r>
      <w:r>
        <w:rPr>
          <w:rFonts w:asciiTheme="majorHAnsi" w:hAnsiTheme="majorHAnsi"/>
          <w:sz w:val="24"/>
          <w:szCs w:val="24"/>
          <w:lang w:val="en"/>
        </w:rPr>
        <w:t xml:space="preserve"> </w:t>
      </w:r>
      <w:r w:rsidRPr="00582447">
        <w:rPr>
          <w:rFonts w:asciiTheme="majorHAnsi" w:hAnsiTheme="majorHAnsi"/>
          <w:sz w:val="24"/>
          <w:szCs w:val="24"/>
          <w:lang w:val="en"/>
        </w:rPr>
        <w:t xml:space="preserve">6(t).  </w:t>
      </w:r>
    </w:p>
    <w:p w14:paraId="4FB40E72" w14:textId="77777777" w:rsidR="00815A25" w:rsidRPr="00582447" w:rsidRDefault="00815A25" w:rsidP="00815A25">
      <w:pPr>
        <w:tabs>
          <w:tab w:val="left" w:pos="7050"/>
        </w:tabs>
        <w:spacing w:after="0"/>
        <w:rPr>
          <w:rFonts w:asciiTheme="majorHAnsi" w:eastAsiaTheme="majorEastAsia" w:hAnsiTheme="majorHAnsi" w:cstheme="majorBidi"/>
          <w:bCs/>
          <w:color w:val="000000" w:themeColor="text1"/>
          <w:sz w:val="24"/>
          <w:szCs w:val="24"/>
        </w:rPr>
      </w:pPr>
    </w:p>
    <w:p w14:paraId="499B0B2C" w14:textId="77777777" w:rsidR="00815A25" w:rsidRDefault="00815A25" w:rsidP="00815A25">
      <w:pPr>
        <w:tabs>
          <w:tab w:val="left" w:pos="7050"/>
        </w:tabs>
        <w:spacing w:after="0"/>
        <w:rPr>
          <w:rFonts w:asciiTheme="majorHAnsi" w:hAnsiTheme="majorHAnsi"/>
          <w:sz w:val="24"/>
          <w:szCs w:val="24"/>
          <w:shd w:val="clear" w:color="auto" w:fill="FFFFFF"/>
        </w:rPr>
      </w:pPr>
      <w:r w:rsidRPr="00582447">
        <w:rPr>
          <w:rFonts w:asciiTheme="majorHAnsi" w:hAnsiTheme="majorHAnsi"/>
          <w:sz w:val="24"/>
          <w:szCs w:val="24"/>
        </w:rPr>
        <w:t>Massachusetts also exempts sales of food products, including certain snacks and candy, from tax.  However, sales of “meals,” defined as food or beverage “prepared for human consumption and provided by a restaurant,” are taxable.  M.G.L. c. 64H, § 6(h).</w:t>
      </w:r>
      <w:r w:rsidRPr="00582447">
        <w:rPr>
          <w:rFonts w:asciiTheme="majorHAnsi" w:hAnsiTheme="majorHAnsi"/>
          <w:i/>
          <w:sz w:val="24"/>
          <w:szCs w:val="24"/>
        </w:rPr>
        <w:t xml:space="preserve">  </w:t>
      </w:r>
      <w:r w:rsidRPr="00582447">
        <w:rPr>
          <w:rFonts w:asciiTheme="majorHAnsi" w:hAnsiTheme="majorHAnsi"/>
          <w:sz w:val="24"/>
          <w:szCs w:val="24"/>
        </w:rPr>
        <w:t xml:space="preserve">A “restaurant” is defined as “any eating establishment where food, food products, or beverages are provided and for which a charge is made” and includes vending machines.  Nevertheless, a vending machine that sells only </w:t>
      </w:r>
      <w:r w:rsidRPr="00A67CAA">
        <w:rPr>
          <w:rFonts w:asciiTheme="majorHAnsi" w:hAnsiTheme="majorHAnsi"/>
          <w:sz w:val="24"/>
          <w:szCs w:val="24"/>
          <w:shd w:val="clear" w:color="auto" w:fill="FFFFFF"/>
        </w:rPr>
        <w:t xml:space="preserve">snacks or candy with a sales price of less than $3.50 is </w:t>
      </w:r>
      <w:r>
        <w:rPr>
          <w:rFonts w:asciiTheme="majorHAnsi" w:hAnsiTheme="majorHAnsi"/>
          <w:sz w:val="24"/>
          <w:szCs w:val="24"/>
          <w:shd w:val="clear" w:color="auto" w:fill="FFFFFF"/>
        </w:rPr>
        <w:t>excluded from the definition of</w:t>
      </w:r>
      <w:r w:rsidRPr="00A67CAA">
        <w:rPr>
          <w:rFonts w:asciiTheme="majorHAnsi" w:hAnsiTheme="majorHAnsi"/>
          <w:sz w:val="24"/>
          <w:szCs w:val="24"/>
          <w:shd w:val="clear" w:color="auto" w:fill="FFFFFF"/>
        </w:rPr>
        <w:t xml:space="preserve"> a restaurant, and thus the sale of such items from such vending machines </w:t>
      </w:r>
      <w:r>
        <w:rPr>
          <w:rFonts w:asciiTheme="majorHAnsi" w:hAnsiTheme="majorHAnsi"/>
          <w:sz w:val="24"/>
          <w:szCs w:val="24"/>
          <w:shd w:val="clear" w:color="auto" w:fill="FFFFFF"/>
        </w:rPr>
        <w:t>is</w:t>
      </w:r>
      <w:r w:rsidRPr="00A67CAA">
        <w:rPr>
          <w:rFonts w:asciiTheme="majorHAnsi" w:hAnsiTheme="majorHAnsi"/>
          <w:sz w:val="24"/>
          <w:szCs w:val="24"/>
          <w:shd w:val="clear" w:color="auto" w:fill="FFFFFF"/>
        </w:rPr>
        <w:t xml:space="preserve"> exempt from tax.  </w:t>
      </w:r>
    </w:p>
    <w:p w14:paraId="5C087611" w14:textId="77777777" w:rsidR="00815A25" w:rsidRDefault="00815A25" w:rsidP="00815A25">
      <w:pPr>
        <w:tabs>
          <w:tab w:val="left" w:pos="7050"/>
        </w:tabs>
        <w:spacing w:after="0"/>
        <w:rPr>
          <w:rFonts w:asciiTheme="majorHAnsi" w:hAnsiTheme="majorHAnsi"/>
          <w:sz w:val="24"/>
          <w:szCs w:val="24"/>
          <w:shd w:val="clear" w:color="auto" w:fill="FFFFFF"/>
        </w:rPr>
      </w:pPr>
    </w:p>
    <w:p w14:paraId="4BA65745" w14:textId="77777777" w:rsidR="00815A25" w:rsidRPr="00582447" w:rsidRDefault="00815A25" w:rsidP="00815A25">
      <w:pPr>
        <w:tabs>
          <w:tab w:val="left" w:pos="7050"/>
        </w:tabs>
        <w:spacing w:after="0"/>
        <w:rPr>
          <w:rFonts w:asciiTheme="majorHAnsi" w:hAnsiTheme="majorHAnsi"/>
          <w:sz w:val="24"/>
          <w:szCs w:val="24"/>
        </w:rPr>
      </w:pPr>
      <w:r>
        <w:rPr>
          <w:rFonts w:asciiTheme="majorHAnsi" w:hAnsiTheme="majorHAnsi"/>
          <w:sz w:val="24"/>
          <w:szCs w:val="24"/>
        </w:rPr>
        <w:t xml:space="preserve">The current amount of the sales and use tax exemption for sales of snacks and candy from a vending machine was </w:t>
      </w:r>
      <w:r w:rsidRPr="00582447">
        <w:rPr>
          <w:rFonts w:asciiTheme="majorHAnsi" w:hAnsiTheme="majorHAnsi"/>
          <w:sz w:val="24"/>
          <w:szCs w:val="24"/>
        </w:rPr>
        <w:t xml:space="preserve">raised to </w:t>
      </w:r>
      <w:r>
        <w:rPr>
          <w:rFonts w:asciiTheme="majorHAnsi" w:hAnsiTheme="majorHAnsi"/>
          <w:sz w:val="24"/>
          <w:szCs w:val="24"/>
        </w:rPr>
        <w:t xml:space="preserve">the </w:t>
      </w:r>
      <w:r w:rsidRPr="00582447">
        <w:rPr>
          <w:rFonts w:asciiTheme="majorHAnsi" w:hAnsiTheme="majorHAnsi"/>
          <w:sz w:val="24"/>
          <w:szCs w:val="24"/>
        </w:rPr>
        <w:t>current $3.50</w:t>
      </w:r>
      <w:r>
        <w:rPr>
          <w:rFonts w:asciiTheme="majorHAnsi" w:hAnsiTheme="majorHAnsi"/>
          <w:sz w:val="24"/>
          <w:szCs w:val="24"/>
        </w:rPr>
        <w:t xml:space="preserve"> figure in 2000 (St. 2000, c. 209). </w:t>
      </w:r>
    </w:p>
    <w:p w14:paraId="476EDDE3" w14:textId="2D332EB3" w:rsidR="00815A25" w:rsidRDefault="00815A25" w:rsidP="00815A25">
      <w:pPr>
        <w:tabs>
          <w:tab w:val="left" w:pos="7050"/>
        </w:tabs>
        <w:spacing w:after="0"/>
        <w:rPr>
          <w:rFonts w:asciiTheme="majorHAnsi" w:hAnsiTheme="majorHAnsi"/>
          <w:sz w:val="24"/>
          <w:szCs w:val="24"/>
        </w:rPr>
      </w:pPr>
    </w:p>
    <w:p w14:paraId="59B5D773" w14:textId="77777777" w:rsidR="00A07F61" w:rsidRPr="00582447" w:rsidRDefault="00A07F61" w:rsidP="00815A25">
      <w:pPr>
        <w:tabs>
          <w:tab w:val="left" w:pos="7050"/>
        </w:tabs>
        <w:spacing w:after="0"/>
        <w:rPr>
          <w:rFonts w:asciiTheme="majorHAnsi" w:hAnsiTheme="majorHAnsi"/>
          <w:sz w:val="24"/>
          <w:szCs w:val="24"/>
        </w:rPr>
      </w:pPr>
    </w:p>
    <w:p w14:paraId="064BFC95" w14:textId="77777777" w:rsidR="00A07F61" w:rsidRPr="00A07439" w:rsidRDefault="00A07F61" w:rsidP="00A07F61">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POLICY GOALS</w:t>
      </w:r>
    </w:p>
    <w:p w14:paraId="5267A7CC" w14:textId="72BDC1E8" w:rsidR="00815A25" w:rsidRPr="00582447" w:rsidRDefault="00815A25" w:rsidP="00F749C0">
      <w:pPr>
        <w:tabs>
          <w:tab w:val="left" w:pos="7050"/>
        </w:tabs>
        <w:spacing w:after="0"/>
        <w:rPr>
          <w:rFonts w:asciiTheme="majorHAnsi" w:hAnsiTheme="majorHAnsi"/>
          <w:sz w:val="24"/>
          <w:szCs w:val="24"/>
        </w:rPr>
      </w:pPr>
      <w:r w:rsidRPr="00582447">
        <w:rPr>
          <w:rFonts w:asciiTheme="majorHAnsi" w:hAnsiTheme="majorHAnsi"/>
          <w:sz w:val="24"/>
          <w:szCs w:val="24"/>
        </w:rPr>
        <w:t xml:space="preserve">The tax expenditure </w:t>
      </w:r>
      <w:r w:rsidR="00573B63">
        <w:rPr>
          <w:rFonts w:asciiTheme="majorHAnsi" w:hAnsiTheme="majorHAnsi"/>
          <w:sz w:val="24"/>
          <w:szCs w:val="24"/>
        </w:rPr>
        <w:t>is</w:t>
      </w:r>
      <w:r w:rsidR="00573B63" w:rsidRPr="00582447">
        <w:rPr>
          <w:rFonts w:asciiTheme="majorHAnsi" w:hAnsiTheme="majorHAnsi"/>
          <w:sz w:val="24"/>
          <w:szCs w:val="24"/>
        </w:rPr>
        <w:t xml:space="preserve"> </w:t>
      </w:r>
      <w:r w:rsidRPr="00582447">
        <w:rPr>
          <w:rFonts w:asciiTheme="majorHAnsi" w:hAnsiTheme="majorHAnsi"/>
          <w:sz w:val="24"/>
          <w:szCs w:val="24"/>
        </w:rPr>
        <w:t>intended to exempt certain items purchased from vending machines from tax.  When the Massachusetts sales and use tax was first codified and made permanent in 1967, purchases of certain low</w:t>
      </w:r>
      <w:r w:rsidR="008969F4">
        <w:rPr>
          <w:rFonts w:asciiTheme="majorHAnsi" w:hAnsiTheme="majorHAnsi"/>
          <w:sz w:val="24"/>
          <w:szCs w:val="24"/>
        </w:rPr>
        <w:t>-</w:t>
      </w:r>
      <w:r w:rsidRPr="00582447">
        <w:rPr>
          <w:rFonts w:asciiTheme="majorHAnsi" w:hAnsiTheme="majorHAnsi"/>
          <w:sz w:val="24"/>
          <w:szCs w:val="24"/>
        </w:rPr>
        <w:t>cost goods from vending machines were intended to be exempt when sold for ten cents or less.  In the 53 years since the enactment of this tax expenditure, the amount of the exemption has not changed</w:t>
      </w:r>
      <w:r w:rsidR="00F749C0">
        <w:rPr>
          <w:rFonts w:asciiTheme="majorHAnsi" w:hAnsiTheme="majorHAnsi"/>
          <w:sz w:val="24"/>
          <w:szCs w:val="24"/>
        </w:rPr>
        <w:t>.</w:t>
      </w:r>
      <w:r w:rsidRPr="00582447">
        <w:rPr>
          <w:rFonts w:asciiTheme="majorHAnsi" w:hAnsiTheme="majorHAnsi"/>
          <w:sz w:val="24"/>
          <w:szCs w:val="24"/>
        </w:rPr>
        <w:t xml:space="preserve">   </w:t>
      </w:r>
    </w:p>
    <w:p w14:paraId="6D9D1EAA" w14:textId="77777777" w:rsidR="00815A25" w:rsidRPr="00582447" w:rsidRDefault="00815A25" w:rsidP="00815A25">
      <w:pPr>
        <w:spacing w:after="0" w:line="240" w:lineRule="auto"/>
        <w:rPr>
          <w:rFonts w:asciiTheme="majorHAnsi" w:hAnsiTheme="majorHAnsi"/>
          <w:sz w:val="24"/>
          <w:szCs w:val="24"/>
        </w:rPr>
      </w:pPr>
    </w:p>
    <w:p w14:paraId="050B5EE7" w14:textId="377734AB" w:rsidR="00A07F61" w:rsidRDefault="00EB6A19" w:rsidP="00780B33">
      <w:pPr>
        <w:tabs>
          <w:tab w:val="left" w:pos="7050"/>
        </w:tabs>
        <w:spacing w:after="0"/>
        <w:rPr>
          <w:rFonts w:asciiTheme="majorHAnsi" w:hAnsiTheme="majorHAnsi"/>
          <w:sz w:val="24"/>
          <w:szCs w:val="24"/>
        </w:rPr>
      </w:pPr>
      <w:r w:rsidRPr="00582447">
        <w:rPr>
          <w:rFonts w:asciiTheme="majorHAnsi" w:hAnsiTheme="majorHAnsi"/>
          <w:sz w:val="24"/>
          <w:szCs w:val="24"/>
        </w:rPr>
        <w:t>The tax expenditure</w:t>
      </w:r>
      <w:r>
        <w:rPr>
          <w:rFonts w:asciiTheme="majorHAnsi" w:hAnsiTheme="majorHAnsi"/>
          <w:sz w:val="24"/>
          <w:szCs w:val="24"/>
        </w:rPr>
        <w:t xml:space="preserve"> </w:t>
      </w:r>
      <w:r w:rsidR="00D11303">
        <w:rPr>
          <w:rFonts w:asciiTheme="majorHAnsi" w:hAnsiTheme="majorHAnsi"/>
          <w:sz w:val="24"/>
          <w:szCs w:val="24"/>
        </w:rPr>
        <w:t xml:space="preserve">is </w:t>
      </w:r>
      <w:r>
        <w:rPr>
          <w:rFonts w:asciiTheme="majorHAnsi" w:hAnsiTheme="majorHAnsi"/>
          <w:sz w:val="24"/>
          <w:szCs w:val="24"/>
        </w:rPr>
        <w:t xml:space="preserve">generally intended to ease the compliance burden for vending machine operators with respect to sales of certain items from vending machines, where it may be difficult for tax to be reliably collected.  Moreover, the exemption </w:t>
      </w:r>
      <w:r w:rsidRPr="00F749C0">
        <w:rPr>
          <w:rFonts w:asciiTheme="majorHAnsi" w:hAnsiTheme="majorHAnsi"/>
          <w:sz w:val="24"/>
          <w:szCs w:val="24"/>
        </w:rPr>
        <w:t>facilitate</w:t>
      </w:r>
      <w:r w:rsidR="00D11303">
        <w:rPr>
          <w:rFonts w:asciiTheme="majorHAnsi" w:hAnsiTheme="majorHAnsi"/>
          <w:sz w:val="24"/>
          <w:szCs w:val="24"/>
        </w:rPr>
        <w:t>s</w:t>
      </w:r>
      <w:r w:rsidRPr="00F749C0">
        <w:rPr>
          <w:rFonts w:asciiTheme="majorHAnsi" w:hAnsiTheme="majorHAnsi"/>
          <w:sz w:val="24"/>
          <w:szCs w:val="24"/>
        </w:rPr>
        <w:t xml:space="preserve"> sales of snacks and candy when sold by vending machines that exclusively sell such items, as well as sales of certain </w:t>
      </w:r>
      <w:r w:rsidR="00D11303" w:rsidRPr="00F749C0">
        <w:rPr>
          <w:rFonts w:asciiTheme="majorHAnsi" w:hAnsiTheme="majorHAnsi"/>
          <w:sz w:val="24"/>
          <w:szCs w:val="24"/>
        </w:rPr>
        <w:t>low</w:t>
      </w:r>
      <w:r w:rsidR="00D11303">
        <w:rPr>
          <w:rFonts w:asciiTheme="majorHAnsi" w:hAnsiTheme="majorHAnsi"/>
          <w:sz w:val="24"/>
          <w:szCs w:val="24"/>
        </w:rPr>
        <w:t>-</w:t>
      </w:r>
      <w:r w:rsidRPr="00F749C0">
        <w:rPr>
          <w:rFonts w:asciiTheme="majorHAnsi" w:hAnsiTheme="majorHAnsi"/>
          <w:sz w:val="24"/>
          <w:szCs w:val="24"/>
        </w:rPr>
        <w:t>cost items when sold by a vending machine more generally</w:t>
      </w:r>
      <w:r>
        <w:rPr>
          <w:rFonts w:asciiTheme="majorHAnsi" w:hAnsiTheme="majorHAnsi"/>
          <w:sz w:val="24"/>
          <w:szCs w:val="24"/>
        </w:rPr>
        <w:t xml:space="preserve">.  </w:t>
      </w:r>
    </w:p>
    <w:p w14:paraId="7E99845E" w14:textId="560A3B4C" w:rsidR="00A07F61" w:rsidRDefault="00A07F61" w:rsidP="00815A25">
      <w:pPr>
        <w:spacing w:after="0" w:line="240" w:lineRule="auto"/>
        <w:rPr>
          <w:rFonts w:asciiTheme="majorHAnsi" w:hAnsiTheme="majorHAnsi"/>
          <w:sz w:val="24"/>
          <w:szCs w:val="24"/>
        </w:rPr>
      </w:pPr>
    </w:p>
    <w:p w14:paraId="6191A70D" w14:textId="77777777" w:rsidR="00EB6A19" w:rsidRPr="00582447" w:rsidRDefault="00EB6A19" w:rsidP="00815A25">
      <w:pPr>
        <w:spacing w:after="0" w:line="240" w:lineRule="auto"/>
        <w:rPr>
          <w:rFonts w:asciiTheme="majorHAnsi" w:hAnsiTheme="majorHAnsi"/>
          <w:sz w:val="24"/>
          <w:szCs w:val="24"/>
        </w:rPr>
      </w:pPr>
    </w:p>
    <w:p w14:paraId="316019F6" w14:textId="77777777" w:rsidR="00A07F61" w:rsidRPr="00A07439" w:rsidRDefault="00A07F61" w:rsidP="00A07F61">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Pr="00A07439">
        <w:rPr>
          <w:rFonts w:asciiTheme="majorHAnsi" w:hAnsiTheme="majorHAnsi"/>
          <w:b/>
          <w:color w:val="E36C0A" w:themeColor="accent6" w:themeShade="BF"/>
          <w:sz w:val="28"/>
          <w:szCs w:val="28"/>
        </w:rPr>
        <w:t xml:space="preserve">COSTS </w:t>
      </w:r>
    </w:p>
    <w:p w14:paraId="75977AAA" w14:textId="78A47F37" w:rsidR="00A07F61" w:rsidRDefault="00A07F61" w:rsidP="00A07F61">
      <w:pPr>
        <w:spacing w:after="0"/>
        <w:rPr>
          <w:rFonts w:asciiTheme="majorHAnsi" w:eastAsiaTheme="majorEastAsia" w:hAnsiTheme="majorHAnsi" w:cstheme="majorBidi"/>
          <w:bCs/>
          <w:color w:val="000000" w:themeColor="text1"/>
          <w:sz w:val="24"/>
          <w:szCs w:val="24"/>
        </w:rPr>
      </w:pPr>
      <w:r w:rsidRPr="00476C5D">
        <w:rPr>
          <w:rFonts w:asciiTheme="majorHAnsi" w:eastAsiaTheme="majorEastAsia" w:hAnsiTheme="majorHAnsi" w:cstheme="majorBidi"/>
          <w:bCs/>
          <w:color w:val="000000" w:themeColor="text1"/>
          <w:sz w:val="24"/>
          <w:szCs w:val="24"/>
        </w:rPr>
        <w:t>The revenue loss</w:t>
      </w:r>
      <w:r>
        <w:rPr>
          <w:rFonts w:asciiTheme="majorHAnsi" w:eastAsiaTheme="majorEastAsia" w:hAnsiTheme="majorHAnsi" w:cstheme="majorBidi"/>
          <w:bCs/>
          <w:color w:val="000000" w:themeColor="text1"/>
          <w:sz w:val="24"/>
          <w:szCs w:val="24"/>
        </w:rPr>
        <w:t xml:space="preserve"> resulting from this tax expenditure</w:t>
      </w:r>
      <w:r w:rsidRPr="00EB1DDD">
        <w:rPr>
          <w:rFonts w:asciiTheme="majorHAnsi" w:hAnsiTheme="majorHAnsi"/>
          <w:sz w:val="24"/>
          <w:szCs w:val="24"/>
        </w:rPr>
        <w:t xml:space="preserve"> </w:t>
      </w:r>
      <w:r w:rsidRPr="00476C5D">
        <w:rPr>
          <w:rFonts w:asciiTheme="majorHAnsi" w:eastAsiaTheme="majorEastAsia" w:hAnsiTheme="majorHAnsi" w:cstheme="majorBidi"/>
          <w:bCs/>
          <w:color w:val="000000" w:themeColor="text1"/>
          <w:sz w:val="24"/>
          <w:szCs w:val="24"/>
        </w:rPr>
        <w:t>is e</w:t>
      </w:r>
      <w:r>
        <w:rPr>
          <w:rFonts w:asciiTheme="majorHAnsi" w:eastAsiaTheme="majorEastAsia" w:hAnsiTheme="majorHAnsi" w:cstheme="majorBidi"/>
          <w:bCs/>
          <w:color w:val="000000" w:themeColor="text1"/>
          <w:sz w:val="24"/>
          <w:szCs w:val="24"/>
        </w:rPr>
        <w:t>stimated</w:t>
      </w:r>
      <w:r w:rsidRPr="00476C5D">
        <w:rPr>
          <w:rFonts w:asciiTheme="majorHAnsi" w:eastAsiaTheme="majorEastAsia" w:hAnsiTheme="majorHAnsi" w:cstheme="majorBidi"/>
          <w:bCs/>
          <w:color w:val="000000" w:themeColor="text1"/>
          <w:sz w:val="24"/>
          <w:szCs w:val="24"/>
        </w:rPr>
        <w:t xml:space="preserve"> to be </w:t>
      </w:r>
      <w:r w:rsidRPr="002C2079">
        <w:rPr>
          <w:rFonts w:asciiTheme="majorHAnsi" w:hAnsiTheme="majorHAnsi"/>
        </w:rPr>
        <w:t>$</w:t>
      </w:r>
      <w:r w:rsidR="00F749C0">
        <w:rPr>
          <w:rFonts w:asciiTheme="majorHAnsi" w:hAnsiTheme="majorHAnsi"/>
        </w:rPr>
        <w:t>1.3</w:t>
      </w:r>
      <w:r>
        <w:rPr>
          <w:rFonts w:asciiTheme="majorHAnsi" w:hAnsiTheme="majorHAnsi"/>
        </w:rPr>
        <w:t xml:space="preserve"> - $</w:t>
      </w:r>
      <w:r w:rsidR="00F749C0">
        <w:rPr>
          <w:rFonts w:asciiTheme="majorHAnsi" w:hAnsiTheme="majorHAnsi"/>
        </w:rPr>
        <w:t>1.4</w:t>
      </w:r>
      <w:r>
        <w:rPr>
          <w:rFonts w:asciiTheme="majorHAnsi" w:hAnsiTheme="majorHAnsi"/>
        </w:rPr>
        <w:t xml:space="preserve"> </w:t>
      </w:r>
      <w:r w:rsidRPr="00476C5D">
        <w:rPr>
          <w:rFonts w:asciiTheme="majorHAnsi" w:eastAsiaTheme="majorEastAsia" w:hAnsiTheme="majorHAnsi" w:cstheme="majorBidi"/>
          <w:bCs/>
          <w:color w:val="000000" w:themeColor="text1"/>
          <w:sz w:val="24"/>
          <w:szCs w:val="24"/>
        </w:rPr>
        <w:t xml:space="preserve">million </w:t>
      </w:r>
      <w:r>
        <w:rPr>
          <w:rFonts w:asciiTheme="majorHAnsi" w:eastAsiaTheme="majorEastAsia" w:hAnsiTheme="majorHAnsi" w:cstheme="majorBidi"/>
          <w:bCs/>
          <w:color w:val="000000" w:themeColor="text1"/>
          <w:sz w:val="24"/>
          <w:szCs w:val="24"/>
        </w:rPr>
        <w:t xml:space="preserve">per year </w:t>
      </w:r>
      <w:r w:rsidRPr="00476C5D">
        <w:rPr>
          <w:rFonts w:asciiTheme="majorHAnsi" w:eastAsiaTheme="majorEastAsia" w:hAnsiTheme="majorHAnsi" w:cstheme="majorBidi"/>
          <w:bCs/>
          <w:color w:val="000000" w:themeColor="text1"/>
          <w:sz w:val="24"/>
          <w:szCs w:val="24"/>
        </w:rPr>
        <w:t>during FY18-FY22</w:t>
      </w:r>
      <w:r>
        <w:rPr>
          <w:rFonts w:asciiTheme="majorHAnsi" w:eastAsiaTheme="majorEastAsia" w:hAnsiTheme="majorHAnsi" w:cstheme="majorBidi"/>
          <w:bCs/>
          <w:color w:val="000000" w:themeColor="text1"/>
          <w:sz w:val="24"/>
          <w:szCs w:val="24"/>
        </w:rPr>
        <w:t xml:space="preserve">. See Table 1. </w:t>
      </w:r>
    </w:p>
    <w:p w14:paraId="4F49D420" w14:textId="77777777" w:rsidR="00A07F61" w:rsidRDefault="00A07F61" w:rsidP="00A07F61">
      <w:pPr>
        <w:spacing w:after="0"/>
        <w:rPr>
          <w:rFonts w:asciiTheme="majorHAnsi" w:eastAsiaTheme="majorEastAsia" w:hAnsiTheme="majorHAnsi" w:cstheme="majorBidi"/>
          <w:bCs/>
          <w:color w:val="000000" w:themeColor="text1"/>
          <w:sz w:val="24"/>
          <w:szCs w:val="24"/>
        </w:rPr>
      </w:pPr>
    </w:p>
    <w:p w14:paraId="5E5BBFF1" w14:textId="1A826D9B" w:rsidR="00A07F61" w:rsidRDefault="00A07F61" w:rsidP="00A07F61">
      <w:pPr>
        <w:spacing w:after="0"/>
        <w:jc w:val="center"/>
        <w:rPr>
          <w:rFonts w:asciiTheme="majorHAnsi" w:eastAsiaTheme="majorEastAsia" w:hAnsiTheme="majorHAnsi" w:cstheme="majorBidi"/>
          <w:b/>
          <w:color w:val="000000" w:themeColor="text1"/>
          <w:sz w:val="24"/>
          <w:szCs w:val="24"/>
        </w:rPr>
      </w:pPr>
      <w:r w:rsidRPr="00B726D0">
        <w:rPr>
          <w:rFonts w:asciiTheme="majorHAnsi" w:eastAsiaTheme="majorEastAsia" w:hAnsiTheme="majorHAnsi" w:cstheme="majorBidi"/>
          <w:b/>
          <w:color w:val="000000" w:themeColor="text1"/>
          <w:sz w:val="24"/>
          <w:szCs w:val="24"/>
        </w:rPr>
        <w:t xml:space="preserve">Table 1. Tax Revenue Loss Estimates for </w:t>
      </w:r>
      <w:r>
        <w:rPr>
          <w:rFonts w:asciiTheme="majorHAnsi" w:eastAsiaTheme="majorEastAsia" w:hAnsiTheme="majorHAnsi" w:cstheme="majorBidi"/>
          <w:b/>
          <w:color w:val="000000" w:themeColor="text1"/>
          <w:sz w:val="24"/>
          <w:szCs w:val="24"/>
        </w:rPr>
        <w:t xml:space="preserve">Sales Tax </w:t>
      </w:r>
      <w:r w:rsidRPr="002A7E4B">
        <w:rPr>
          <w:rFonts w:asciiTheme="majorHAnsi" w:eastAsiaTheme="majorEastAsia" w:hAnsiTheme="majorHAnsi" w:cstheme="majorBidi"/>
          <w:b/>
          <w:color w:val="000000" w:themeColor="text1"/>
          <w:sz w:val="24"/>
          <w:szCs w:val="24"/>
        </w:rPr>
        <w:t xml:space="preserve">Exemption </w:t>
      </w:r>
    </w:p>
    <w:p w14:paraId="00DF651C" w14:textId="3A7F83BB" w:rsidR="00A07F61" w:rsidRPr="00B726D0" w:rsidRDefault="00A07F61" w:rsidP="00A07F61">
      <w:pPr>
        <w:spacing w:after="0"/>
        <w:jc w:val="center"/>
        <w:rPr>
          <w:rFonts w:asciiTheme="majorHAnsi" w:eastAsiaTheme="majorEastAsia" w:hAnsiTheme="majorHAnsi" w:cstheme="majorBidi"/>
          <w:b/>
          <w:color w:val="000000" w:themeColor="text1"/>
          <w:sz w:val="24"/>
          <w:szCs w:val="24"/>
        </w:rPr>
      </w:pPr>
      <w:r w:rsidRPr="002A7E4B">
        <w:rPr>
          <w:rFonts w:asciiTheme="majorHAnsi" w:eastAsiaTheme="majorEastAsia" w:hAnsiTheme="majorHAnsi" w:cstheme="majorBidi"/>
          <w:b/>
          <w:color w:val="000000" w:themeColor="text1"/>
          <w:sz w:val="24"/>
          <w:szCs w:val="24"/>
        </w:rPr>
        <w:t xml:space="preserve">for </w:t>
      </w:r>
      <w:r w:rsidR="000C258F">
        <w:rPr>
          <w:rFonts w:asciiTheme="majorHAnsi" w:eastAsiaTheme="majorEastAsia" w:hAnsiTheme="majorHAnsi" w:cstheme="majorBidi"/>
          <w:b/>
          <w:color w:val="000000" w:themeColor="text1"/>
          <w:sz w:val="24"/>
          <w:szCs w:val="24"/>
        </w:rPr>
        <w:t>Certain Vending Machine Sales</w:t>
      </w:r>
    </w:p>
    <w:tbl>
      <w:tblPr>
        <w:tblW w:w="7915" w:type="dxa"/>
        <w:jc w:val="center"/>
        <w:tblLook w:val="04A0" w:firstRow="1" w:lastRow="0" w:firstColumn="1" w:lastColumn="0" w:noHBand="0" w:noVBand="1"/>
      </w:tblPr>
      <w:tblGrid>
        <w:gridCol w:w="2604"/>
        <w:gridCol w:w="1063"/>
        <w:gridCol w:w="1062"/>
        <w:gridCol w:w="1062"/>
        <w:gridCol w:w="1062"/>
        <w:gridCol w:w="1062"/>
      </w:tblGrid>
      <w:tr w:rsidR="00A07F61" w:rsidRPr="00716ED1" w14:paraId="380056DB" w14:textId="77777777" w:rsidTr="00984A54">
        <w:trPr>
          <w:trHeight w:val="300"/>
          <w:jc w:val="center"/>
        </w:trPr>
        <w:tc>
          <w:tcPr>
            <w:tcW w:w="2604"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15368D82" w14:textId="77777777" w:rsidR="00A07F61" w:rsidRPr="00716ED1" w:rsidRDefault="00A07F61" w:rsidP="00984A54">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lastRenderedPageBreak/>
              <w:t xml:space="preserve">Fiscal Year </w:t>
            </w:r>
          </w:p>
        </w:tc>
        <w:tc>
          <w:tcPr>
            <w:tcW w:w="1063"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68DF7FC1" w14:textId="77777777" w:rsidR="00A07F61" w:rsidRPr="00716ED1" w:rsidRDefault="00A07F61" w:rsidP="00984A54">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2018</w:t>
            </w:r>
          </w:p>
        </w:tc>
        <w:tc>
          <w:tcPr>
            <w:tcW w:w="106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6134F80C" w14:textId="77777777" w:rsidR="00A07F61" w:rsidRPr="00716ED1" w:rsidRDefault="00A07F61" w:rsidP="00984A54">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2019</w:t>
            </w:r>
          </w:p>
        </w:tc>
        <w:tc>
          <w:tcPr>
            <w:tcW w:w="106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481CE04A" w14:textId="77777777" w:rsidR="00A07F61" w:rsidRPr="00716ED1" w:rsidRDefault="00A07F61" w:rsidP="00984A54">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2020</w:t>
            </w:r>
          </w:p>
        </w:tc>
        <w:tc>
          <w:tcPr>
            <w:tcW w:w="106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16D5615C" w14:textId="77777777" w:rsidR="00A07F61" w:rsidRPr="00716ED1" w:rsidRDefault="00A07F61" w:rsidP="00984A54">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2021</w:t>
            </w:r>
          </w:p>
        </w:tc>
        <w:tc>
          <w:tcPr>
            <w:tcW w:w="106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1304BE2C" w14:textId="77777777" w:rsidR="00A07F61" w:rsidRPr="00716ED1" w:rsidRDefault="00A07F61" w:rsidP="00984A54">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2022</w:t>
            </w:r>
          </w:p>
        </w:tc>
      </w:tr>
      <w:tr w:rsidR="000C258F" w:rsidRPr="00716ED1" w14:paraId="20C3ED74" w14:textId="77777777" w:rsidTr="000C258F">
        <w:trPr>
          <w:trHeight w:val="520"/>
          <w:jc w:val="center"/>
        </w:trPr>
        <w:tc>
          <w:tcPr>
            <w:tcW w:w="2604" w:type="dxa"/>
            <w:tcBorders>
              <w:top w:val="nil"/>
              <w:left w:val="single" w:sz="4" w:space="0" w:color="auto"/>
              <w:bottom w:val="single" w:sz="4" w:space="0" w:color="auto"/>
              <w:right w:val="single" w:sz="4" w:space="0" w:color="auto"/>
            </w:tcBorders>
            <w:shd w:val="clear" w:color="000000" w:fill="FFFFFF"/>
            <w:vAlign w:val="center"/>
            <w:hideMark/>
          </w:tcPr>
          <w:p w14:paraId="0010E43B" w14:textId="77777777" w:rsidR="000C258F" w:rsidRPr="00716ED1" w:rsidRDefault="000C258F" w:rsidP="000C258F">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 xml:space="preserve"> </w:t>
            </w:r>
            <w:r w:rsidRPr="00CD3A6C">
              <w:rPr>
                <w:rFonts w:ascii="Cambria" w:eastAsia="Times New Roman" w:hAnsi="Cambria" w:cs="Arial"/>
                <w:sz w:val="20"/>
                <w:szCs w:val="20"/>
                <w:lang w:eastAsia="ko-KR"/>
              </w:rPr>
              <w:t>Estimate</w:t>
            </w:r>
            <w:r>
              <w:rPr>
                <w:rFonts w:ascii="Cambria" w:eastAsia="Times New Roman" w:hAnsi="Cambria" w:cs="Arial"/>
                <w:sz w:val="20"/>
                <w:szCs w:val="20"/>
                <w:lang w:eastAsia="ko-KR"/>
              </w:rPr>
              <w:t>d Revenue Loss</w:t>
            </w:r>
            <w:r w:rsidRPr="00CD3A6C">
              <w:rPr>
                <w:rFonts w:ascii="Cambria" w:eastAsia="Times New Roman" w:hAnsi="Cambria" w:cs="Arial"/>
                <w:sz w:val="20"/>
                <w:szCs w:val="20"/>
                <w:lang w:eastAsia="ko-KR"/>
              </w:rPr>
              <w:t xml:space="preserve"> ($Million)</w:t>
            </w:r>
            <w:r w:rsidRPr="00716ED1" w:rsidDel="005A5BED">
              <w:rPr>
                <w:rFonts w:ascii="Cambria" w:eastAsia="Times New Roman" w:hAnsi="Cambria" w:cs="Arial"/>
                <w:sz w:val="20"/>
                <w:szCs w:val="20"/>
                <w:lang w:eastAsia="ko-KR"/>
              </w:rPr>
              <w:t xml:space="preserve"> </w:t>
            </w:r>
          </w:p>
        </w:tc>
        <w:tc>
          <w:tcPr>
            <w:tcW w:w="1063" w:type="dxa"/>
            <w:tcBorders>
              <w:top w:val="nil"/>
              <w:left w:val="nil"/>
              <w:bottom w:val="single" w:sz="4" w:space="0" w:color="auto"/>
              <w:right w:val="single" w:sz="4" w:space="0" w:color="auto"/>
            </w:tcBorders>
            <w:shd w:val="clear" w:color="auto" w:fill="auto"/>
            <w:noWrap/>
            <w:vAlign w:val="center"/>
            <w:hideMark/>
          </w:tcPr>
          <w:p w14:paraId="231068A7" w14:textId="5DD11C6B" w:rsidR="000C258F" w:rsidRPr="00716ED1" w:rsidRDefault="000C258F" w:rsidP="000C258F">
            <w:pPr>
              <w:spacing w:after="0" w:line="240" w:lineRule="auto"/>
              <w:jc w:val="center"/>
              <w:rPr>
                <w:rFonts w:ascii="Cambria" w:eastAsia="Times New Roman" w:hAnsi="Cambria" w:cs="Arial"/>
                <w:sz w:val="20"/>
                <w:szCs w:val="20"/>
                <w:lang w:eastAsia="ko-KR"/>
              </w:rPr>
            </w:pPr>
            <w:r w:rsidRPr="000C258F">
              <w:rPr>
                <w:rFonts w:ascii="Cambria" w:eastAsia="Times New Roman" w:hAnsi="Cambria" w:cs="Arial"/>
                <w:sz w:val="20"/>
                <w:szCs w:val="20"/>
                <w:lang w:eastAsia="ko-KR"/>
              </w:rPr>
              <w:t>$</w:t>
            </w:r>
            <w:r w:rsidR="00F749C0">
              <w:rPr>
                <w:rFonts w:ascii="Cambria" w:eastAsia="Times New Roman" w:hAnsi="Cambria" w:cs="Arial"/>
                <w:sz w:val="20"/>
                <w:szCs w:val="20"/>
                <w:lang w:eastAsia="ko-KR"/>
              </w:rPr>
              <w:t>1.3</w:t>
            </w:r>
          </w:p>
        </w:tc>
        <w:tc>
          <w:tcPr>
            <w:tcW w:w="1062" w:type="dxa"/>
            <w:tcBorders>
              <w:top w:val="nil"/>
              <w:left w:val="nil"/>
              <w:bottom w:val="single" w:sz="4" w:space="0" w:color="auto"/>
              <w:right w:val="single" w:sz="4" w:space="0" w:color="auto"/>
            </w:tcBorders>
            <w:shd w:val="clear" w:color="auto" w:fill="auto"/>
            <w:noWrap/>
            <w:vAlign w:val="center"/>
            <w:hideMark/>
          </w:tcPr>
          <w:p w14:paraId="478B9181" w14:textId="14B2C561" w:rsidR="000C258F" w:rsidRPr="00716ED1" w:rsidRDefault="00F749C0" w:rsidP="000C258F">
            <w:pPr>
              <w:spacing w:after="0" w:line="240" w:lineRule="auto"/>
              <w:jc w:val="center"/>
              <w:rPr>
                <w:rFonts w:ascii="Cambria" w:eastAsia="Times New Roman" w:hAnsi="Cambria" w:cs="Arial"/>
                <w:sz w:val="20"/>
                <w:szCs w:val="20"/>
                <w:lang w:eastAsia="ko-KR"/>
              </w:rPr>
            </w:pPr>
            <w:r w:rsidRPr="000C258F">
              <w:rPr>
                <w:rFonts w:ascii="Cambria" w:eastAsia="Times New Roman" w:hAnsi="Cambria" w:cs="Arial"/>
                <w:sz w:val="20"/>
                <w:szCs w:val="20"/>
                <w:lang w:eastAsia="ko-KR"/>
              </w:rPr>
              <w:t>$</w:t>
            </w:r>
            <w:r>
              <w:rPr>
                <w:rFonts w:ascii="Cambria" w:eastAsia="Times New Roman" w:hAnsi="Cambria" w:cs="Arial"/>
                <w:sz w:val="20"/>
                <w:szCs w:val="20"/>
                <w:lang w:eastAsia="ko-KR"/>
              </w:rPr>
              <w:t>1.3</w:t>
            </w:r>
          </w:p>
        </w:tc>
        <w:tc>
          <w:tcPr>
            <w:tcW w:w="1062" w:type="dxa"/>
            <w:tcBorders>
              <w:top w:val="nil"/>
              <w:left w:val="nil"/>
              <w:bottom w:val="single" w:sz="4" w:space="0" w:color="auto"/>
              <w:right w:val="single" w:sz="4" w:space="0" w:color="auto"/>
            </w:tcBorders>
            <w:shd w:val="clear" w:color="auto" w:fill="auto"/>
            <w:noWrap/>
            <w:vAlign w:val="center"/>
            <w:hideMark/>
          </w:tcPr>
          <w:p w14:paraId="5059EA3D" w14:textId="376C2403" w:rsidR="000C258F" w:rsidRPr="00716ED1" w:rsidRDefault="00F749C0" w:rsidP="000C258F">
            <w:pPr>
              <w:spacing w:after="0" w:line="240" w:lineRule="auto"/>
              <w:jc w:val="center"/>
              <w:rPr>
                <w:rFonts w:ascii="Cambria" w:eastAsia="Times New Roman" w:hAnsi="Cambria" w:cs="Arial"/>
                <w:sz w:val="20"/>
                <w:szCs w:val="20"/>
                <w:lang w:eastAsia="ko-KR"/>
              </w:rPr>
            </w:pPr>
            <w:r w:rsidRPr="000C258F">
              <w:rPr>
                <w:rFonts w:ascii="Cambria" w:eastAsia="Times New Roman" w:hAnsi="Cambria" w:cs="Arial"/>
                <w:sz w:val="20"/>
                <w:szCs w:val="20"/>
                <w:lang w:eastAsia="ko-KR"/>
              </w:rPr>
              <w:t>$</w:t>
            </w:r>
            <w:r>
              <w:rPr>
                <w:rFonts w:ascii="Cambria" w:eastAsia="Times New Roman" w:hAnsi="Cambria" w:cs="Arial"/>
                <w:sz w:val="20"/>
                <w:szCs w:val="20"/>
                <w:lang w:eastAsia="ko-KR"/>
              </w:rPr>
              <w:t>1.3</w:t>
            </w:r>
          </w:p>
        </w:tc>
        <w:tc>
          <w:tcPr>
            <w:tcW w:w="1062" w:type="dxa"/>
            <w:tcBorders>
              <w:top w:val="nil"/>
              <w:left w:val="nil"/>
              <w:bottom w:val="single" w:sz="4" w:space="0" w:color="auto"/>
              <w:right w:val="single" w:sz="4" w:space="0" w:color="auto"/>
            </w:tcBorders>
            <w:shd w:val="clear" w:color="auto" w:fill="auto"/>
            <w:noWrap/>
            <w:vAlign w:val="center"/>
            <w:hideMark/>
          </w:tcPr>
          <w:p w14:paraId="247C00FA" w14:textId="1F4D9630" w:rsidR="000C258F" w:rsidRPr="00716ED1" w:rsidRDefault="00F749C0" w:rsidP="000C258F">
            <w:pPr>
              <w:spacing w:after="0" w:line="240" w:lineRule="auto"/>
              <w:jc w:val="center"/>
              <w:rPr>
                <w:rFonts w:ascii="Cambria" w:eastAsia="Times New Roman" w:hAnsi="Cambria" w:cs="Arial"/>
                <w:sz w:val="20"/>
                <w:szCs w:val="20"/>
                <w:lang w:eastAsia="ko-KR"/>
              </w:rPr>
            </w:pPr>
            <w:r w:rsidRPr="000C258F">
              <w:rPr>
                <w:rFonts w:ascii="Cambria" w:eastAsia="Times New Roman" w:hAnsi="Cambria" w:cs="Arial"/>
                <w:sz w:val="20"/>
                <w:szCs w:val="20"/>
                <w:lang w:eastAsia="ko-KR"/>
              </w:rPr>
              <w:t>$</w:t>
            </w:r>
            <w:r>
              <w:rPr>
                <w:rFonts w:ascii="Cambria" w:eastAsia="Times New Roman" w:hAnsi="Cambria" w:cs="Arial"/>
                <w:sz w:val="20"/>
                <w:szCs w:val="20"/>
                <w:lang w:eastAsia="ko-KR"/>
              </w:rPr>
              <w:t>1.3</w:t>
            </w:r>
          </w:p>
        </w:tc>
        <w:tc>
          <w:tcPr>
            <w:tcW w:w="1062" w:type="dxa"/>
            <w:tcBorders>
              <w:top w:val="nil"/>
              <w:left w:val="nil"/>
              <w:bottom w:val="single" w:sz="4" w:space="0" w:color="auto"/>
              <w:right w:val="single" w:sz="4" w:space="0" w:color="auto"/>
            </w:tcBorders>
            <w:shd w:val="clear" w:color="auto" w:fill="auto"/>
            <w:noWrap/>
            <w:vAlign w:val="center"/>
            <w:hideMark/>
          </w:tcPr>
          <w:p w14:paraId="443E2FFE" w14:textId="62243EC7" w:rsidR="000C258F" w:rsidRPr="00716ED1" w:rsidRDefault="00F749C0" w:rsidP="000C258F">
            <w:pPr>
              <w:spacing w:after="0" w:line="240" w:lineRule="auto"/>
              <w:jc w:val="center"/>
              <w:rPr>
                <w:rFonts w:ascii="Cambria" w:eastAsia="Times New Roman" w:hAnsi="Cambria" w:cs="Arial"/>
                <w:sz w:val="20"/>
                <w:szCs w:val="20"/>
                <w:lang w:eastAsia="ko-KR"/>
              </w:rPr>
            </w:pPr>
            <w:r w:rsidRPr="000C258F">
              <w:rPr>
                <w:rFonts w:ascii="Cambria" w:eastAsia="Times New Roman" w:hAnsi="Cambria" w:cs="Arial"/>
                <w:sz w:val="20"/>
                <w:szCs w:val="20"/>
                <w:lang w:eastAsia="ko-KR"/>
              </w:rPr>
              <w:t>$</w:t>
            </w:r>
            <w:r>
              <w:rPr>
                <w:rFonts w:ascii="Cambria" w:eastAsia="Times New Roman" w:hAnsi="Cambria" w:cs="Arial"/>
                <w:sz w:val="20"/>
                <w:szCs w:val="20"/>
                <w:lang w:eastAsia="ko-KR"/>
              </w:rPr>
              <w:t>1.4</w:t>
            </w:r>
          </w:p>
        </w:tc>
      </w:tr>
    </w:tbl>
    <w:p w14:paraId="5FBC72CF" w14:textId="77777777" w:rsidR="00975D54" w:rsidRDefault="00975D54" w:rsidP="00975D54">
      <w:pPr>
        <w:spacing w:after="0"/>
        <w:rPr>
          <w:rFonts w:asciiTheme="majorHAnsi" w:eastAsiaTheme="majorEastAsia" w:hAnsiTheme="majorHAnsi" w:cstheme="majorBidi"/>
          <w:b/>
          <w:color w:val="000000" w:themeColor="text1"/>
          <w:sz w:val="20"/>
          <w:szCs w:val="20"/>
        </w:rPr>
      </w:pPr>
    </w:p>
    <w:p w14:paraId="6FEE1574" w14:textId="77777777" w:rsidR="00A07F61" w:rsidRDefault="00A07F61" w:rsidP="008969F4">
      <w:pPr>
        <w:tabs>
          <w:tab w:val="left" w:pos="7050"/>
        </w:tabs>
        <w:rPr>
          <w:rFonts w:asciiTheme="majorHAnsi" w:hAnsiTheme="majorHAnsi"/>
          <w:b/>
          <w:color w:val="E36C0A" w:themeColor="accent6" w:themeShade="BF"/>
          <w:sz w:val="28"/>
          <w:szCs w:val="28"/>
        </w:rPr>
      </w:pPr>
    </w:p>
    <w:p w14:paraId="31E9D1A6" w14:textId="77777777" w:rsidR="00A07F61" w:rsidRPr="005529C5" w:rsidRDefault="00A07F61" w:rsidP="00A07F61">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Pr="005529C5">
        <w:rPr>
          <w:rFonts w:asciiTheme="majorHAnsi" w:hAnsiTheme="majorHAnsi"/>
          <w:b/>
          <w:color w:val="E36C0A" w:themeColor="accent6" w:themeShade="BF"/>
          <w:sz w:val="28"/>
          <w:szCs w:val="28"/>
        </w:rPr>
        <w:t xml:space="preserve">BENEFITS </w:t>
      </w:r>
    </w:p>
    <w:p w14:paraId="2BCAFF64" w14:textId="3A8CEF97" w:rsidR="00A07F61" w:rsidRDefault="00A07F61" w:rsidP="00A07F61">
      <w:pPr>
        <w:tabs>
          <w:tab w:val="left" w:pos="7050"/>
        </w:tabs>
        <w:spacing w:after="0"/>
        <w:rPr>
          <w:rFonts w:asciiTheme="majorHAnsi" w:hAnsiTheme="majorHAnsi"/>
          <w:bCs/>
          <w:sz w:val="24"/>
          <w:szCs w:val="24"/>
        </w:rPr>
      </w:pPr>
      <w:r w:rsidRPr="0000423E">
        <w:rPr>
          <w:rFonts w:asciiTheme="majorHAnsi" w:hAnsiTheme="majorHAnsi"/>
          <w:bCs/>
          <w:sz w:val="24"/>
          <w:szCs w:val="24"/>
        </w:rPr>
        <w:t xml:space="preserve">The </w:t>
      </w:r>
      <w:r>
        <w:rPr>
          <w:rFonts w:asciiTheme="majorHAnsi" w:hAnsiTheme="majorHAnsi"/>
          <w:bCs/>
          <w:sz w:val="24"/>
          <w:szCs w:val="24"/>
        </w:rPr>
        <w:t xml:space="preserve">Massachusetts consumers and businesses </w:t>
      </w:r>
      <w:r w:rsidR="009C5955">
        <w:rPr>
          <w:rFonts w:asciiTheme="majorHAnsi" w:hAnsiTheme="majorHAnsi"/>
          <w:bCs/>
          <w:sz w:val="24"/>
          <w:szCs w:val="24"/>
        </w:rPr>
        <w:t>that</w:t>
      </w:r>
      <w:r>
        <w:rPr>
          <w:rFonts w:asciiTheme="majorHAnsi" w:hAnsiTheme="majorHAnsi"/>
          <w:bCs/>
          <w:sz w:val="24"/>
          <w:szCs w:val="24"/>
        </w:rPr>
        <w:t xml:space="preserve"> buy and sell exempt items through vending machines are the direct beneficiaries of the sales tax exemption. Buyers benefit from the sales tax exemption in the form of paying a lower “after tax price” while sellers benefit from the sales tax exemption in the form of receiving a higher “before tax price”. </w:t>
      </w:r>
      <w:r w:rsidRPr="00B63B5B">
        <w:rPr>
          <w:rFonts w:asciiTheme="majorHAnsi" w:hAnsiTheme="majorHAnsi"/>
          <w:bCs/>
          <w:sz w:val="24"/>
          <w:szCs w:val="24"/>
        </w:rPr>
        <w:t>The exact split of the direct benefits depends on the interaction of demand and supply and is often difficult to quantify.</w:t>
      </w:r>
      <w:r>
        <w:rPr>
          <w:rFonts w:asciiTheme="majorHAnsi" w:hAnsiTheme="majorHAnsi"/>
          <w:bCs/>
          <w:sz w:val="24"/>
          <w:szCs w:val="24"/>
        </w:rPr>
        <w:t xml:space="preserve"> </w:t>
      </w:r>
      <w:r w:rsidR="002E354A">
        <w:rPr>
          <w:rFonts w:asciiTheme="majorHAnsi" w:hAnsiTheme="majorHAnsi"/>
          <w:bCs/>
          <w:sz w:val="24"/>
          <w:szCs w:val="24"/>
        </w:rPr>
        <w:t xml:space="preserve">In addition, vending machine operators benefit from the tax expenditure by not incurring administrative costs associated with collecting tax for certain vending machine sales, where accurately collecting tax may face unique challenges.   </w:t>
      </w:r>
    </w:p>
    <w:p w14:paraId="1A1B7E5A" w14:textId="77777777" w:rsidR="00A07F61" w:rsidRDefault="00A07F61" w:rsidP="005F4E85">
      <w:pPr>
        <w:spacing w:after="0"/>
        <w:rPr>
          <w:rFonts w:asciiTheme="majorHAnsi" w:hAnsiTheme="majorHAnsi"/>
          <w:bCs/>
          <w:sz w:val="24"/>
          <w:szCs w:val="24"/>
        </w:rPr>
      </w:pPr>
    </w:p>
    <w:p w14:paraId="07512FE7" w14:textId="43EE4D46" w:rsidR="00317B9A" w:rsidRDefault="00317B9A" w:rsidP="00317B9A">
      <w:pPr>
        <w:tabs>
          <w:tab w:val="left" w:pos="7050"/>
        </w:tabs>
        <w:spacing w:after="0"/>
        <w:rPr>
          <w:rFonts w:asciiTheme="majorHAnsi" w:eastAsiaTheme="majorEastAsia" w:hAnsiTheme="majorHAnsi" w:cstheme="majorBidi"/>
          <w:b/>
          <w:color w:val="000000" w:themeColor="text1"/>
          <w:sz w:val="24"/>
          <w:szCs w:val="24"/>
        </w:rPr>
      </w:pPr>
      <w:r>
        <w:rPr>
          <w:rFonts w:asciiTheme="majorHAnsi" w:hAnsiTheme="majorHAnsi"/>
          <w:bCs/>
          <w:sz w:val="24"/>
          <w:szCs w:val="24"/>
        </w:rPr>
        <w:t xml:space="preserve">According to </w:t>
      </w:r>
      <w:r w:rsidR="00B1351C">
        <w:rPr>
          <w:rFonts w:asciiTheme="majorHAnsi" w:hAnsiTheme="majorHAnsi"/>
          <w:bCs/>
          <w:sz w:val="24"/>
          <w:szCs w:val="24"/>
        </w:rPr>
        <w:t xml:space="preserve">the </w:t>
      </w:r>
      <w:r>
        <w:rPr>
          <w:rFonts w:asciiTheme="majorHAnsi" w:hAnsiTheme="majorHAnsi"/>
          <w:bCs/>
          <w:sz w:val="24"/>
          <w:szCs w:val="24"/>
        </w:rPr>
        <w:t>U.S. Census Bureau, in 2017, Massachusetts had 66 “</w:t>
      </w:r>
      <w:r w:rsidRPr="00317B9A">
        <w:rPr>
          <w:rFonts w:asciiTheme="majorHAnsi" w:hAnsiTheme="majorHAnsi"/>
          <w:bCs/>
          <w:sz w:val="24"/>
          <w:szCs w:val="24"/>
        </w:rPr>
        <w:t>Vending machine operators</w:t>
      </w:r>
      <w:r w:rsidR="00654F84">
        <w:rPr>
          <w:rFonts w:asciiTheme="majorHAnsi" w:hAnsiTheme="majorHAnsi"/>
          <w:bCs/>
          <w:sz w:val="24"/>
          <w:szCs w:val="24"/>
        </w:rPr>
        <w:t>.</w:t>
      </w:r>
      <w:r>
        <w:rPr>
          <w:rFonts w:asciiTheme="majorHAnsi" w:hAnsiTheme="majorHAnsi"/>
          <w:bCs/>
          <w:sz w:val="24"/>
          <w:szCs w:val="24"/>
        </w:rPr>
        <w:t>”</w:t>
      </w:r>
      <w:r w:rsidR="00BB1403">
        <w:rPr>
          <w:rFonts w:asciiTheme="majorHAnsi" w:hAnsiTheme="majorHAnsi"/>
          <w:bCs/>
          <w:sz w:val="24"/>
          <w:szCs w:val="24"/>
        </w:rPr>
        <w:t xml:space="preserve"> </w:t>
      </w:r>
    </w:p>
    <w:p w14:paraId="09B57EE3" w14:textId="77777777" w:rsidR="00975D54" w:rsidRPr="008969F4" w:rsidRDefault="00975D54" w:rsidP="00975D54">
      <w:pPr>
        <w:tabs>
          <w:tab w:val="left" w:pos="7050"/>
        </w:tabs>
        <w:spacing w:after="0"/>
        <w:rPr>
          <w:rFonts w:asciiTheme="majorHAnsi" w:hAnsiTheme="majorHAnsi"/>
          <w:b/>
          <w:sz w:val="24"/>
          <w:szCs w:val="24"/>
        </w:rPr>
      </w:pPr>
    </w:p>
    <w:p w14:paraId="0C41BA43" w14:textId="463DA6FC" w:rsidR="00317B9A" w:rsidRDefault="00317B9A" w:rsidP="00317B9A">
      <w:pPr>
        <w:tabs>
          <w:tab w:val="left" w:pos="7050"/>
        </w:tabs>
        <w:spacing w:after="0"/>
        <w:rPr>
          <w:rFonts w:asciiTheme="majorHAnsi" w:hAnsiTheme="majorHAnsi"/>
          <w:bCs/>
          <w:sz w:val="24"/>
          <w:szCs w:val="24"/>
        </w:rPr>
      </w:pPr>
      <w:bookmarkStart w:id="0" w:name="_Hlk49324480"/>
      <w:r>
        <w:rPr>
          <w:rFonts w:asciiTheme="majorHAnsi" w:hAnsiTheme="majorHAnsi"/>
          <w:bCs/>
          <w:sz w:val="24"/>
          <w:szCs w:val="24"/>
        </w:rPr>
        <w:t>For simplicity, we assume that the entire tax saving</w:t>
      </w:r>
      <w:r w:rsidR="00654F84">
        <w:rPr>
          <w:rFonts w:asciiTheme="majorHAnsi" w:hAnsiTheme="majorHAnsi"/>
          <w:bCs/>
          <w:sz w:val="24"/>
          <w:szCs w:val="24"/>
        </w:rPr>
        <w:t>s</w:t>
      </w:r>
      <w:r>
        <w:rPr>
          <w:rFonts w:asciiTheme="majorHAnsi" w:hAnsiTheme="majorHAnsi"/>
          <w:bCs/>
          <w:sz w:val="24"/>
          <w:szCs w:val="24"/>
        </w:rPr>
        <w:t xml:space="preserve"> due to the sales tax exemption </w:t>
      </w:r>
      <w:r w:rsidR="00D42303">
        <w:rPr>
          <w:rFonts w:asciiTheme="majorHAnsi" w:hAnsiTheme="majorHAnsi"/>
          <w:bCs/>
          <w:sz w:val="24"/>
          <w:szCs w:val="24"/>
        </w:rPr>
        <w:t xml:space="preserve">are </w:t>
      </w:r>
      <w:r>
        <w:rPr>
          <w:rFonts w:asciiTheme="majorHAnsi" w:hAnsiTheme="majorHAnsi"/>
          <w:bCs/>
          <w:sz w:val="24"/>
          <w:szCs w:val="24"/>
        </w:rPr>
        <w:t>passed on to buyers. Based on this assumption, Table 2 reports the distribution of estimated tax saving</w:t>
      </w:r>
      <w:r w:rsidR="00B1351C">
        <w:rPr>
          <w:rFonts w:asciiTheme="majorHAnsi" w:hAnsiTheme="majorHAnsi"/>
          <w:bCs/>
          <w:sz w:val="24"/>
          <w:szCs w:val="24"/>
        </w:rPr>
        <w:t>s</w:t>
      </w:r>
      <w:r>
        <w:rPr>
          <w:rFonts w:asciiTheme="majorHAnsi" w:hAnsiTheme="majorHAnsi"/>
          <w:bCs/>
          <w:sz w:val="24"/>
          <w:szCs w:val="24"/>
        </w:rPr>
        <w:t xml:space="preserve"> in FY18 among households in different income ranges. The table is based primarily on the 2018 Consumer Expenditure Survey data published by the U.S. Bureau of Labor Statistics and data from other sources such as Moody’s Analytics and the </w:t>
      </w:r>
      <w:r w:rsidRPr="00482F28">
        <w:rPr>
          <w:rFonts w:asciiTheme="majorHAnsi" w:hAnsiTheme="majorHAnsi"/>
          <w:bCs/>
          <w:sz w:val="24"/>
          <w:szCs w:val="24"/>
        </w:rPr>
        <w:t>Massachusetts Department of Revenue</w:t>
      </w:r>
      <w:r>
        <w:rPr>
          <w:rFonts w:asciiTheme="majorHAnsi" w:hAnsiTheme="majorHAnsi"/>
          <w:bCs/>
          <w:sz w:val="24"/>
          <w:szCs w:val="24"/>
        </w:rPr>
        <w:t xml:space="preserve">.  </w:t>
      </w:r>
    </w:p>
    <w:p w14:paraId="509343FA" w14:textId="77777777" w:rsidR="00317B9A" w:rsidRDefault="00317B9A" w:rsidP="00317B9A">
      <w:pPr>
        <w:tabs>
          <w:tab w:val="left" w:pos="7050"/>
        </w:tabs>
        <w:spacing w:after="0"/>
        <w:rPr>
          <w:rFonts w:asciiTheme="majorHAnsi" w:hAnsiTheme="majorHAnsi"/>
          <w:bCs/>
          <w:sz w:val="24"/>
          <w:szCs w:val="24"/>
        </w:rPr>
      </w:pPr>
    </w:p>
    <w:p w14:paraId="3CA3AB08" w14:textId="2E61C097" w:rsidR="00317B9A" w:rsidRPr="00136531" w:rsidRDefault="00317B9A" w:rsidP="00317B9A">
      <w:pPr>
        <w:tabs>
          <w:tab w:val="left" w:pos="7050"/>
        </w:tabs>
        <w:spacing w:after="0"/>
        <w:rPr>
          <w:rFonts w:asciiTheme="majorHAnsi" w:hAnsiTheme="majorHAnsi"/>
          <w:bCs/>
          <w:sz w:val="24"/>
          <w:szCs w:val="24"/>
        </w:rPr>
      </w:pPr>
      <w:r>
        <w:rPr>
          <w:rFonts w:asciiTheme="majorHAnsi" w:hAnsiTheme="majorHAnsi"/>
          <w:bCs/>
          <w:sz w:val="24"/>
          <w:szCs w:val="24"/>
        </w:rPr>
        <w:t>According to Table 2, the average tax saving from the exemption is estimated to be $</w:t>
      </w:r>
      <w:r w:rsidR="0037601D">
        <w:rPr>
          <w:rFonts w:asciiTheme="majorHAnsi" w:hAnsiTheme="majorHAnsi"/>
          <w:bCs/>
          <w:sz w:val="24"/>
          <w:szCs w:val="24"/>
        </w:rPr>
        <w:t>0.48</w:t>
      </w:r>
      <w:r>
        <w:rPr>
          <w:rFonts w:asciiTheme="majorHAnsi" w:hAnsiTheme="majorHAnsi"/>
          <w:bCs/>
          <w:sz w:val="24"/>
          <w:szCs w:val="24"/>
        </w:rPr>
        <w:t xml:space="preserve"> per Massachusetts household in FY18, varying from $</w:t>
      </w:r>
      <w:r w:rsidR="00C82683">
        <w:rPr>
          <w:rFonts w:asciiTheme="majorHAnsi" w:hAnsiTheme="majorHAnsi"/>
          <w:bCs/>
          <w:sz w:val="24"/>
          <w:szCs w:val="24"/>
        </w:rPr>
        <w:t>0.29</w:t>
      </w:r>
      <w:r>
        <w:rPr>
          <w:rFonts w:asciiTheme="majorHAnsi" w:hAnsiTheme="majorHAnsi"/>
          <w:bCs/>
          <w:sz w:val="24"/>
          <w:szCs w:val="24"/>
        </w:rPr>
        <w:t xml:space="preserve"> for households with annual income of less than $15,000, to $</w:t>
      </w:r>
      <w:r w:rsidR="00C82683">
        <w:rPr>
          <w:rFonts w:asciiTheme="majorHAnsi" w:hAnsiTheme="majorHAnsi"/>
          <w:bCs/>
          <w:sz w:val="24"/>
          <w:szCs w:val="24"/>
        </w:rPr>
        <w:t>0.83</w:t>
      </w:r>
      <w:r>
        <w:rPr>
          <w:rFonts w:asciiTheme="majorHAnsi" w:hAnsiTheme="majorHAnsi"/>
          <w:bCs/>
          <w:sz w:val="24"/>
          <w:szCs w:val="24"/>
        </w:rPr>
        <w:t xml:space="preserve"> for households with annual income of at least $200,000. 1</w:t>
      </w:r>
      <w:r w:rsidR="00C82683">
        <w:rPr>
          <w:rFonts w:asciiTheme="majorHAnsi" w:hAnsiTheme="majorHAnsi"/>
          <w:bCs/>
          <w:sz w:val="24"/>
          <w:szCs w:val="24"/>
        </w:rPr>
        <w:t>6</w:t>
      </w:r>
      <w:r>
        <w:rPr>
          <w:rFonts w:asciiTheme="majorHAnsi" w:hAnsiTheme="majorHAnsi"/>
          <w:bCs/>
          <w:sz w:val="24"/>
          <w:szCs w:val="24"/>
        </w:rPr>
        <w:t>.</w:t>
      </w:r>
      <w:r w:rsidR="00C82683">
        <w:rPr>
          <w:rFonts w:asciiTheme="majorHAnsi" w:hAnsiTheme="majorHAnsi"/>
          <w:bCs/>
          <w:sz w:val="24"/>
          <w:szCs w:val="24"/>
        </w:rPr>
        <w:t>95</w:t>
      </w:r>
      <w:r>
        <w:rPr>
          <w:rFonts w:asciiTheme="majorHAnsi" w:hAnsiTheme="majorHAnsi"/>
          <w:bCs/>
          <w:sz w:val="24"/>
          <w:szCs w:val="24"/>
        </w:rPr>
        <w:t xml:space="preserve">% of all tax savings went to the households with annual income of </w:t>
      </w:r>
      <w:r w:rsidRPr="00743DBA">
        <w:rPr>
          <w:rFonts w:asciiTheme="majorHAnsi" w:hAnsiTheme="majorHAnsi"/>
          <w:bCs/>
          <w:sz w:val="24"/>
          <w:szCs w:val="24"/>
        </w:rPr>
        <w:t>$100,000 to $149,999</w:t>
      </w:r>
      <w:r w:rsidR="00B1351C">
        <w:rPr>
          <w:rFonts w:asciiTheme="majorHAnsi" w:hAnsiTheme="majorHAnsi"/>
          <w:bCs/>
          <w:sz w:val="24"/>
          <w:szCs w:val="24"/>
        </w:rPr>
        <w:t>,</w:t>
      </w:r>
      <w:r>
        <w:rPr>
          <w:rFonts w:asciiTheme="majorHAnsi" w:hAnsiTheme="majorHAnsi"/>
          <w:bCs/>
          <w:sz w:val="24"/>
          <w:szCs w:val="24"/>
        </w:rPr>
        <w:t xml:space="preserve"> while </w:t>
      </w:r>
      <w:r w:rsidR="00C82683">
        <w:rPr>
          <w:rFonts w:asciiTheme="majorHAnsi" w:hAnsiTheme="majorHAnsi"/>
          <w:bCs/>
          <w:sz w:val="24"/>
          <w:szCs w:val="24"/>
        </w:rPr>
        <w:t>6.35</w:t>
      </w:r>
      <w:r>
        <w:rPr>
          <w:rFonts w:asciiTheme="majorHAnsi" w:hAnsiTheme="majorHAnsi"/>
          <w:bCs/>
          <w:sz w:val="24"/>
          <w:szCs w:val="24"/>
        </w:rPr>
        <w:t xml:space="preserve">% went to households with annual income of </w:t>
      </w:r>
      <w:r w:rsidR="00C82683" w:rsidRPr="00743DBA">
        <w:rPr>
          <w:rFonts w:asciiTheme="majorHAnsi" w:hAnsiTheme="majorHAnsi"/>
          <w:bCs/>
          <w:sz w:val="24"/>
          <w:szCs w:val="24"/>
        </w:rPr>
        <w:t>$</w:t>
      </w:r>
      <w:r w:rsidR="00C82683">
        <w:rPr>
          <w:rFonts w:asciiTheme="majorHAnsi" w:hAnsiTheme="majorHAnsi"/>
          <w:bCs/>
          <w:sz w:val="24"/>
          <w:szCs w:val="24"/>
        </w:rPr>
        <w:t>4</w:t>
      </w:r>
      <w:r w:rsidR="00C82683" w:rsidRPr="00743DBA">
        <w:rPr>
          <w:rFonts w:asciiTheme="majorHAnsi" w:hAnsiTheme="majorHAnsi"/>
          <w:bCs/>
          <w:sz w:val="24"/>
          <w:szCs w:val="24"/>
        </w:rPr>
        <w:t>0,000 to $49,999</w:t>
      </w:r>
      <w:r>
        <w:rPr>
          <w:rFonts w:asciiTheme="majorHAnsi" w:hAnsiTheme="majorHAnsi"/>
          <w:bCs/>
          <w:sz w:val="24"/>
          <w:szCs w:val="24"/>
        </w:rPr>
        <w:t xml:space="preserve">. The tax savings reduced </w:t>
      </w:r>
      <w:r w:rsidR="00E51400">
        <w:rPr>
          <w:rFonts w:asciiTheme="majorHAnsi" w:hAnsiTheme="majorHAnsi"/>
          <w:bCs/>
          <w:sz w:val="24"/>
          <w:szCs w:val="24"/>
        </w:rPr>
        <w:t xml:space="preserve">Massachusetts </w:t>
      </w:r>
      <w:r>
        <w:rPr>
          <w:rFonts w:asciiTheme="majorHAnsi" w:hAnsiTheme="majorHAnsi"/>
          <w:bCs/>
          <w:sz w:val="24"/>
          <w:szCs w:val="24"/>
        </w:rPr>
        <w:t>households’ effective tax rate (the ratio of tax to income) by 0.</w:t>
      </w:r>
      <w:r w:rsidR="00C82683">
        <w:rPr>
          <w:rFonts w:asciiTheme="majorHAnsi" w:hAnsiTheme="majorHAnsi"/>
          <w:bCs/>
          <w:sz w:val="24"/>
          <w:szCs w:val="24"/>
        </w:rPr>
        <w:t>0006</w:t>
      </w:r>
      <w:r>
        <w:rPr>
          <w:rFonts w:asciiTheme="majorHAnsi" w:hAnsiTheme="majorHAnsi"/>
          <w:bCs/>
          <w:sz w:val="24"/>
          <w:szCs w:val="24"/>
        </w:rPr>
        <w:t xml:space="preserve"> percentage point</w:t>
      </w:r>
      <w:r w:rsidR="00C82683">
        <w:rPr>
          <w:rFonts w:asciiTheme="majorHAnsi" w:hAnsiTheme="majorHAnsi"/>
          <w:bCs/>
          <w:sz w:val="24"/>
          <w:szCs w:val="24"/>
        </w:rPr>
        <w:t>s</w:t>
      </w:r>
      <w:r>
        <w:rPr>
          <w:rFonts w:asciiTheme="majorHAnsi" w:hAnsiTheme="majorHAnsi"/>
          <w:bCs/>
          <w:sz w:val="24"/>
          <w:szCs w:val="24"/>
        </w:rPr>
        <w:t xml:space="preserve"> on average. This reduction varied from 0.0</w:t>
      </w:r>
      <w:r w:rsidR="00C82683">
        <w:rPr>
          <w:rFonts w:asciiTheme="majorHAnsi" w:hAnsiTheme="majorHAnsi"/>
          <w:bCs/>
          <w:sz w:val="24"/>
          <w:szCs w:val="24"/>
        </w:rPr>
        <w:t>003</w:t>
      </w:r>
      <w:r>
        <w:rPr>
          <w:rFonts w:asciiTheme="majorHAnsi" w:hAnsiTheme="majorHAnsi"/>
          <w:bCs/>
          <w:sz w:val="24"/>
          <w:szCs w:val="24"/>
        </w:rPr>
        <w:t xml:space="preserve"> percentage points for the households with annual income of at least $200,000 to </w:t>
      </w:r>
      <w:r w:rsidR="00C82683">
        <w:rPr>
          <w:rFonts w:asciiTheme="majorHAnsi" w:hAnsiTheme="majorHAnsi"/>
          <w:bCs/>
          <w:sz w:val="24"/>
          <w:szCs w:val="24"/>
        </w:rPr>
        <w:t xml:space="preserve">0.0038 </w:t>
      </w:r>
      <w:r>
        <w:rPr>
          <w:rFonts w:asciiTheme="majorHAnsi" w:hAnsiTheme="majorHAnsi"/>
          <w:bCs/>
          <w:sz w:val="24"/>
          <w:szCs w:val="24"/>
        </w:rPr>
        <w:t xml:space="preserve">percentage points for households with annual income of less than $15,000. On average, households with annual income of less than $15,000 spent a much higher percentage of their income on </w:t>
      </w:r>
      <w:r w:rsidR="004036FA">
        <w:rPr>
          <w:rFonts w:asciiTheme="majorHAnsi" w:hAnsiTheme="majorHAnsi"/>
          <w:bCs/>
          <w:sz w:val="24"/>
          <w:szCs w:val="24"/>
        </w:rPr>
        <w:t>exempt items sold through vending machines</w:t>
      </w:r>
      <w:r>
        <w:rPr>
          <w:rFonts w:asciiTheme="majorHAnsi" w:hAnsiTheme="majorHAnsi"/>
          <w:bCs/>
          <w:sz w:val="24"/>
          <w:szCs w:val="24"/>
        </w:rPr>
        <w:t>.</w:t>
      </w:r>
    </w:p>
    <w:p w14:paraId="6DE52A3F" w14:textId="77777777" w:rsidR="00317B9A" w:rsidRDefault="00317B9A" w:rsidP="00317B9A">
      <w:pPr>
        <w:tabs>
          <w:tab w:val="left" w:pos="7050"/>
        </w:tabs>
        <w:spacing w:after="0"/>
        <w:rPr>
          <w:rFonts w:asciiTheme="majorHAnsi" w:hAnsiTheme="majorHAnsi"/>
          <w:bCs/>
          <w:sz w:val="24"/>
          <w:szCs w:val="24"/>
        </w:rPr>
      </w:pPr>
    </w:p>
    <w:p w14:paraId="2462DF09" w14:textId="77777777" w:rsidR="00317B9A" w:rsidRDefault="00317B9A" w:rsidP="00317B9A">
      <w:pPr>
        <w:tabs>
          <w:tab w:val="left" w:pos="7050"/>
        </w:tabs>
        <w:spacing w:after="0"/>
        <w:jc w:val="center"/>
        <w:rPr>
          <w:rFonts w:asciiTheme="majorHAnsi" w:hAnsiTheme="majorHAnsi"/>
          <w:b/>
          <w:sz w:val="24"/>
          <w:szCs w:val="24"/>
        </w:rPr>
      </w:pPr>
      <w:bookmarkStart w:id="1" w:name="_Hlk51929338"/>
      <w:r w:rsidRPr="0088354E">
        <w:rPr>
          <w:rFonts w:asciiTheme="majorHAnsi" w:hAnsiTheme="majorHAnsi"/>
          <w:b/>
          <w:sz w:val="24"/>
          <w:szCs w:val="24"/>
        </w:rPr>
        <w:t xml:space="preserve">Table </w:t>
      </w:r>
      <w:r>
        <w:rPr>
          <w:rFonts w:asciiTheme="majorHAnsi" w:hAnsiTheme="majorHAnsi"/>
          <w:b/>
          <w:sz w:val="24"/>
          <w:szCs w:val="24"/>
        </w:rPr>
        <w:t>2</w:t>
      </w:r>
      <w:r w:rsidRPr="0088354E">
        <w:rPr>
          <w:rFonts w:asciiTheme="majorHAnsi" w:hAnsiTheme="majorHAnsi"/>
          <w:b/>
          <w:sz w:val="24"/>
          <w:szCs w:val="24"/>
        </w:rPr>
        <w:t xml:space="preserve">. Estimated Distribution of Tax Savings to MA Households </w:t>
      </w:r>
    </w:p>
    <w:p w14:paraId="00131F1C" w14:textId="77777777" w:rsidR="00317B9A" w:rsidRPr="0088354E" w:rsidRDefault="00317B9A" w:rsidP="00317B9A">
      <w:pPr>
        <w:tabs>
          <w:tab w:val="left" w:pos="7050"/>
        </w:tabs>
        <w:spacing w:after="0"/>
        <w:jc w:val="center"/>
        <w:rPr>
          <w:rFonts w:asciiTheme="majorHAnsi" w:hAnsiTheme="majorHAnsi"/>
          <w:b/>
          <w:sz w:val="24"/>
          <w:szCs w:val="24"/>
        </w:rPr>
      </w:pPr>
      <w:r w:rsidRPr="0088354E">
        <w:rPr>
          <w:rFonts w:asciiTheme="majorHAnsi" w:hAnsiTheme="majorHAnsi"/>
          <w:b/>
          <w:sz w:val="24"/>
          <w:szCs w:val="24"/>
        </w:rPr>
        <w:t>by Income Level in FY18</w:t>
      </w:r>
    </w:p>
    <w:tbl>
      <w:tblPr>
        <w:tblStyle w:val="TableGrid"/>
        <w:tblW w:w="9247" w:type="dxa"/>
        <w:tblInd w:w="108" w:type="dxa"/>
        <w:tblLook w:val="04A0" w:firstRow="1" w:lastRow="0" w:firstColumn="1" w:lastColumn="0" w:noHBand="0" w:noVBand="1"/>
      </w:tblPr>
      <w:tblGrid>
        <w:gridCol w:w="2137"/>
        <w:gridCol w:w="1530"/>
        <w:gridCol w:w="1260"/>
        <w:gridCol w:w="1440"/>
        <w:gridCol w:w="1350"/>
        <w:gridCol w:w="1530"/>
      </w:tblGrid>
      <w:tr w:rsidR="00317B9A" w:rsidRPr="00AF2C3E" w14:paraId="3D7A56C3" w14:textId="77777777" w:rsidTr="0020079A">
        <w:trPr>
          <w:trHeight w:val="989"/>
        </w:trPr>
        <w:tc>
          <w:tcPr>
            <w:tcW w:w="2137" w:type="dxa"/>
            <w:shd w:val="clear" w:color="auto" w:fill="B6DDE8" w:themeFill="accent5" w:themeFillTint="66"/>
          </w:tcPr>
          <w:bookmarkEnd w:id="1"/>
          <w:p w14:paraId="789D298B" w14:textId="77777777" w:rsidR="00317B9A" w:rsidRPr="00AF2C3E" w:rsidRDefault="00317B9A" w:rsidP="00984A54">
            <w:pPr>
              <w:tabs>
                <w:tab w:val="left" w:pos="7050"/>
              </w:tabs>
              <w:rPr>
                <w:rFonts w:asciiTheme="majorHAnsi" w:hAnsiTheme="majorHAnsi"/>
                <w:bCs/>
                <w:sz w:val="20"/>
                <w:szCs w:val="20"/>
              </w:rPr>
            </w:pPr>
            <w:r w:rsidRPr="00AF2C3E">
              <w:rPr>
                <w:rFonts w:asciiTheme="majorHAnsi" w:hAnsiTheme="majorHAnsi"/>
                <w:bCs/>
                <w:sz w:val="20"/>
                <w:szCs w:val="20"/>
              </w:rPr>
              <w:lastRenderedPageBreak/>
              <w:t>Annual Income Range</w:t>
            </w:r>
          </w:p>
        </w:tc>
        <w:tc>
          <w:tcPr>
            <w:tcW w:w="1530" w:type="dxa"/>
            <w:shd w:val="clear" w:color="auto" w:fill="B6DDE8" w:themeFill="accent5" w:themeFillTint="66"/>
          </w:tcPr>
          <w:p w14:paraId="404FB86D" w14:textId="77777777" w:rsidR="00317B9A" w:rsidRPr="00AF2C3E" w:rsidRDefault="00317B9A" w:rsidP="00984A54">
            <w:pPr>
              <w:tabs>
                <w:tab w:val="left" w:pos="7050"/>
              </w:tabs>
              <w:jc w:val="center"/>
              <w:rPr>
                <w:rFonts w:asciiTheme="majorHAnsi" w:hAnsiTheme="majorHAnsi"/>
                <w:bCs/>
                <w:sz w:val="20"/>
                <w:szCs w:val="20"/>
              </w:rPr>
            </w:pPr>
            <w:r w:rsidRPr="00AF2C3E">
              <w:rPr>
                <w:rFonts w:asciiTheme="majorHAnsi" w:hAnsiTheme="majorHAnsi"/>
                <w:bCs/>
                <w:sz w:val="20"/>
                <w:szCs w:val="20"/>
              </w:rPr>
              <w:t>Number of MA Households (Millions)</w:t>
            </w:r>
          </w:p>
        </w:tc>
        <w:tc>
          <w:tcPr>
            <w:tcW w:w="1260" w:type="dxa"/>
            <w:shd w:val="clear" w:color="auto" w:fill="B6DDE8" w:themeFill="accent5" w:themeFillTint="66"/>
          </w:tcPr>
          <w:p w14:paraId="4D6309AF" w14:textId="77777777" w:rsidR="00317B9A" w:rsidRPr="00AF2C3E" w:rsidRDefault="00317B9A" w:rsidP="00984A54">
            <w:pPr>
              <w:tabs>
                <w:tab w:val="left" w:pos="7050"/>
              </w:tabs>
              <w:jc w:val="center"/>
              <w:rPr>
                <w:rFonts w:asciiTheme="majorHAnsi" w:hAnsiTheme="majorHAnsi"/>
                <w:bCs/>
                <w:sz w:val="20"/>
                <w:szCs w:val="20"/>
              </w:rPr>
            </w:pPr>
            <w:r w:rsidRPr="00AF2C3E">
              <w:rPr>
                <w:rFonts w:asciiTheme="majorHAnsi" w:hAnsiTheme="majorHAnsi"/>
                <w:bCs/>
                <w:sz w:val="20"/>
                <w:szCs w:val="20"/>
              </w:rPr>
              <w:t>Tax Savings</w:t>
            </w:r>
          </w:p>
          <w:p w14:paraId="6B77617A" w14:textId="77777777" w:rsidR="00317B9A" w:rsidRPr="00AF2C3E" w:rsidRDefault="00317B9A" w:rsidP="00984A54">
            <w:pPr>
              <w:tabs>
                <w:tab w:val="left" w:pos="7050"/>
              </w:tabs>
              <w:jc w:val="center"/>
              <w:rPr>
                <w:rFonts w:asciiTheme="majorHAnsi" w:hAnsiTheme="majorHAnsi"/>
                <w:bCs/>
                <w:sz w:val="20"/>
                <w:szCs w:val="20"/>
              </w:rPr>
            </w:pPr>
            <w:r w:rsidRPr="00AF2C3E">
              <w:rPr>
                <w:rFonts w:asciiTheme="majorHAnsi" w:hAnsiTheme="majorHAnsi"/>
                <w:bCs/>
                <w:sz w:val="20"/>
                <w:szCs w:val="20"/>
              </w:rPr>
              <w:t>(Millions)</w:t>
            </w:r>
          </w:p>
        </w:tc>
        <w:tc>
          <w:tcPr>
            <w:tcW w:w="1440" w:type="dxa"/>
            <w:shd w:val="clear" w:color="auto" w:fill="B6DDE8" w:themeFill="accent5" w:themeFillTint="66"/>
          </w:tcPr>
          <w:p w14:paraId="5DE37C88" w14:textId="77777777" w:rsidR="00317B9A" w:rsidRPr="00AF2C3E" w:rsidRDefault="00317B9A" w:rsidP="00984A54">
            <w:pPr>
              <w:tabs>
                <w:tab w:val="left" w:pos="7050"/>
              </w:tabs>
              <w:jc w:val="center"/>
              <w:rPr>
                <w:rFonts w:asciiTheme="majorHAnsi" w:hAnsiTheme="majorHAnsi"/>
                <w:bCs/>
                <w:sz w:val="20"/>
                <w:szCs w:val="20"/>
              </w:rPr>
            </w:pPr>
            <w:r w:rsidRPr="00AF2C3E">
              <w:rPr>
                <w:rFonts w:asciiTheme="majorHAnsi" w:hAnsiTheme="majorHAnsi"/>
                <w:bCs/>
                <w:sz w:val="20"/>
                <w:szCs w:val="20"/>
              </w:rPr>
              <w:t xml:space="preserve">Average Tax Savings </w:t>
            </w:r>
          </w:p>
          <w:p w14:paraId="7B2D46F1" w14:textId="77777777" w:rsidR="00317B9A" w:rsidRPr="00AF2C3E" w:rsidRDefault="00317B9A" w:rsidP="00984A54">
            <w:pPr>
              <w:tabs>
                <w:tab w:val="left" w:pos="7050"/>
              </w:tabs>
              <w:jc w:val="center"/>
              <w:rPr>
                <w:rFonts w:asciiTheme="majorHAnsi" w:hAnsiTheme="majorHAnsi"/>
                <w:bCs/>
                <w:sz w:val="20"/>
                <w:szCs w:val="20"/>
              </w:rPr>
            </w:pPr>
            <w:r w:rsidRPr="00AF2C3E">
              <w:rPr>
                <w:rFonts w:asciiTheme="majorHAnsi" w:hAnsiTheme="majorHAnsi"/>
                <w:bCs/>
                <w:sz w:val="20"/>
                <w:szCs w:val="20"/>
              </w:rPr>
              <w:t>($)</w:t>
            </w:r>
          </w:p>
        </w:tc>
        <w:tc>
          <w:tcPr>
            <w:tcW w:w="1350" w:type="dxa"/>
            <w:shd w:val="clear" w:color="auto" w:fill="B6DDE8" w:themeFill="accent5" w:themeFillTint="66"/>
          </w:tcPr>
          <w:p w14:paraId="13078E14" w14:textId="77777777" w:rsidR="00317B9A" w:rsidRPr="00AF2C3E" w:rsidRDefault="00317B9A" w:rsidP="00984A54">
            <w:pPr>
              <w:tabs>
                <w:tab w:val="left" w:pos="7050"/>
              </w:tabs>
              <w:jc w:val="center"/>
              <w:rPr>
                <w:rFonts w:asciiTheme="majorHAnsi" w:hAnsiTheme="majorHAnsi"/>
                <w:bCs/>
                <w:sz w:val="20"/>
                <w:szCs w:val="20"/>
              </w:rPr>
            </w:pPr>
            <w:r w:rsidRPr="00AF2C3E">
              <w:rPr>
                <w:rFonts w:asciiTheme="majorHAnsi" w:hAnsiTheme="majorHAnsi"/>
                <w:bCs/>
                <w:sz w:val="20"/>
                <w:szCs w:val="20"/>
              </w:rPr>
              <w:t>Tax Savings Distribution</w:t>
            </w:r>
          </w:p>
        </w:tc>
        <w:tc>
          <w:tcPr>
            <w:tcW w:w="1530" w:type="dxa"/>
            <w:shd w:val="clear" w:color="auto" w:fill="B6DDE8" w:themeFill="accent5" w:themeFillTint="66"/>
          </w:tcPr>
          <w:p w14:paraId="23E258EE" w14:textId="77777777" w:rsidR="00317B9A" w:rsidRPr="00AF2C3E" w:rsidRDefault="00317B9A" w:rsidP="00984A54">
            <w:pPr>
              <w:tabs>
                <w:tab w:val="left" w:pos="7050"/>
              </w:tabs>
              <w:jc w:val="center"/>
              <w:rPr>
                <w:rFonts w:asciiTheme="majorHAnsi" w:hAnsiTheme="majorHAnsi"/>
                <w:bCs/>
                <w:sz w:val="20"/>
                <w:szCs w:val="20"/>
              </w:rPr>
            </w:pPr>
            <w:r w:rsidRPr="00AF2C3E">
              <w:rPr>
                <w:rFonts w:asciiTheme="majorHAnsi" w:hAnsiTheme="majorHAnsi"/>
                <w:bCs/>
                <w:sz w:val="20"/>
                <w:szCs w:val="20"/>
              </w:rPr>
              <w:t>Change in Households’ Effective Tax Rate</w:t>
            </w:r>
          </w:p>
        </w:tc>
      </w:tr>
      <w:tr w:rsidR="00C82683" w:rsidRPr="00AF2C3E" w14:paraId="4A770873" w14:textId="77777777" w:rsidTr="0020079A">
        <w:trPr>
          <w:trHeight w:val="288"/>
        </w:trPr>
        <w:tc>
          <w:tcPr>
            <w:tcW w:w="2137" w:type="dxa"/>
            <w:vAlign w:val="center"/>
          </w:tcPr>
          <w:p w14:paraId="195F4870" w14:textId="77777777" w:rsidR="00C82683" w:rsidRPr="00AF2C3E" w:rsidRDefault="00C82683" w:rsidP="00C82683">
            <w:pPr>
              <w:rPr>
                <w:rFonts w:asciiTheme="majorHAnsi" w:hAnsiTheme="majorHAnsi"/>
                <w:bCs/>
                <w:sz w:val="20"/>
                <w:szCs w:val="20"/>
              </w:rPr>
            </w:pPr>
            <w:r w:rsidRPr="00AF2C3E">
              <w:rPr>
                <w:rFonts w:asciiTheme="majorHAnsi" w:hAnsiTheme="majorHAnsi"/>
                <w:bCs/>
                <w:sz w:val="20"/>
                <w:szCs w:val="20"/>
              </w:rPr>
              <w:t>Less than $15,000</w:t>
            </w:r>
          </w:p>
        </w:tc>
        <w:tc>
          <w:tcPr>
            <w:tcW w:w="1530" w:type="dxa"/>
            <w:vAlign w:val="bottom"/>
          </w:tcPr>
          <w:p w14:paraId="776AC31B" w14:textId="49AB193D" w:rsidR="00C82683" w:rsidRPr="007167C6" w:rsidRDefault="00C82683" w:rsidP="00C82683">
            <w:pPr>
              <w:tabs>
                <w:tab w:val="left" w:pos="7050"/>
              </w:tabs>
              <w:jc w:val="center"/>
              <w:rPr>
                <w:rFonts w:asciiTheme="majorHAnsi" w:hAnsiTheme="majorHAnsi" w:cs="Arial"/>
                <w:sz w:val="20"/>
                <w:szCs w:val="20"/>
              </w:rPr>
            </w:pPr>
            <w:r w:rsidRPr="00144788">
              <w:rPr>
                <w:rFonts w:asciiTheme="majorHAnsi" w:hAnsiTheme="majorHAnsi" w:cs="Arial"/>
                <w:sz w:val="20"/>
                <w:szCs w:val="20"/>
              </w:rPr>
              <w:t>0.349</w:t>
            </w:r>
          </w:p>
        </w:tc>
        <w:tc>
          <w:tcPr>
            <w:tcW w:w="1260" w:type="dxa"/>
            <w:vAlign w:val="bottom"/>
          </w:tcPr>
          <w:p w14:paraId="55CBDB84" w14:textId="438A379F" w:rsidR="00C82683" w:rsidRPr="007167C6" w:rsidRDefault="00C82683" w:rsidP="00C82683">
            <w:pPr>
              <w:tabs>
                <w:tab w:val="left" w:pos="7050"/>
              </w:tabs>
              <w:jc w:val="center"/>
              <w:rPr>
                <w:rFonts w:asciiTheme="majorHAnsi" w:hAnsiTheme="majorHAnsi" w:cs="Arial"/>
                <w:sz w:val="20"/>
                <w:szCs w:val="20"/>
              </w:rPr>
            </w:pPr>
            <w:r>
              <w:rPr>
                <w:rFonts w:asciiTheme="majorHAnsi" w:hAnsiTheme="majorHAnsi" w:cs="Arial"/>
                <w:sz w:val="20"/>
                <w:szCs w:val="20"/>
              </w:rPr>
              <w:t>$</w:t>
            </w:r>
            <w:r w:rsidRPr="0037601D">
              <w:rPr>
                <w:rFonts w:asciiTheme="majorHAnsi" w:hAnsiTheme="majorHAnsi" w:cs="Arial"/>
                <w:sz w:val="20"/>
                <w:szCs w:val="20"/>
              </w:rPr>
              <w:t>0.100</w:t>
            </w:r>
          </w:p>
        </w:tc>
        <w:tc>
          <w:tcPr>
            <w:tcW w:w="1440" w:type="dxa"/>
            <w:vAlign w:val="bottom"/>
          </w:tcPr>
          <w:p w14:paraId="08B148C6" w14:textId="01CE18B0" w:rsidR="00C82683" w:rsidRPr="007167C6" w:rsidRDefault="00C82683" w:rsidP="00C82683">
            <w:pPr>
              <w:tabs>
                <w:tab w:val="left" w:pos="7050"/>
              </w:tabs>
              <w:jc w:val="center"/>
              <w:rPr>
                <w:rFonts w:asciiTheme="majorHAnsi" w:hAnsiTheme="majorHAnsi" w:cs="Arial"/>
                <w:sz w:val="20"/>
                <w:szCs w:val="20"/>
              </w:rPr>
            </w:pPr>
            <w:r>
              <w:rPr>
                <w:rFonts w:asciiTheme="majorHAnsi" w:hAnsiTheme="majorHAnsi" w:cs="Arial"/>
                <w:sz w:val="20"/>
                <w:szCs w:val="20"/>
              </w:rPr>
              <w:t>$</w:t>
            </w:r>
            <w:r w:rsidRPr="0037601D">
              <w:rPr>
                <w:rFonts w:asciiTheme="majorHAnsi" w:hAnsiTheme="majorHAnsi" w:cs="Arial"/>
                <w:sz w:val="20"/>
                <w:szCs w:val="20"/>
              </w:rPr>
              <w:t>0.29</w:t>
            </w:r>
          </w:p>
        </w:tc>
        <w:tc>
          <w:tcPr>
            <w:tcW w:w="1350" w:type="dxa"/>
            <w:vAlign w:val="bottom"/>
          </w:tcPr>
          <w:p w14:paraId="14418409" w14:textId="5B1C378F" w:rsidR="00C82683" w:rsidRPr="0037601D" w:rsidRDefault="00C82683" w:rsidP="00C82683">
            <w:pPr>
              <w:tabs>
                <w:tab w:val="left" w:pos="7050"/>
              </w:tabs>
              <w:jc w:val="center"/>
              <w:rPr>
                <w:rFonts w:asciiTheme="majorHAnsi" w:hAnsiTheme="majorHAnsi" w:cs="Arial"/>
                <w:sz w:val="20"/>
                <w:szCs w:val="20"/>
              </w:rPr>
            </w:pPr>
            <w:r w:rsidRPr="0037601D">
              <w:rPr>
                <w:rFonts w:asciiTheme="majorHAnsi" w:hAnsiTheme="majorHAnsi" w:cs="Arial"/>
                <w:sz w:val="20"/>
                <w:szCs w:val="20"/>
              </w:rPr>
              <w:t>7.89%</w:t>
            </w:r>
          </w:p>
        </w:tc>
        <w:tc>
          <w:tcPr>
            <w:tcW w:w="1530" w:type="dxa"/>
            <w:vAlign w:val="bottom"/>
          </w:tcPr>
          <w:p w14:paraId="30731846" w14:textId="2D79D78C" w:rsidR="00C82683" w:rsidRPr="00C82683" w:rsidRDefault="00C82683" w:rsidP="00C82683">
            <w:pPr>
              <w:tabs>
                <w:tab w:val="left" w:pos="7050"/>
              </w:tabs>
              <w:jc w:val="center"/>
              <w:rPr>
                <w:rFonts w:asciiTheme="majorHAnsi" w:hAnsiTheme="majorHAnsi" w:cs="Arial"/>
                <w:sz w:val="20"/>
                <w:szCs w:val="20"/>
              </w:rPr>
            </w:pPr>
            <w:r w:rsidRPr="00C82683">
              <w:rPr>
                <w:rFonts w:asciiTheme="majorHAnsi" w:hAnsiTheme="majorHAnsi" w:cs="Arial"/>
                <w:sz w:val="20"/>
                <w:szCs w:val="20"/>
              </w:rPr>
              <w:t>-0.0038%</w:t>
            </w:r>
          </w:p>
        </w:tc>
      </w:tr>
      <w:tr w:rsidR="00C82683" w:rsidRPr="00AF2C3E" w14:paraId="345B20EF" w14:textId="77777777" w:rsidTr="0020079A">
        <w:trPr>
          <w:trHeight w:val="288"/>
        </w:trPr>
        <w:tc>
          <w:tcPr>
            <w:tcW w:w="2137" w:type="dxa"/>
            <w:vAlign w:val="center"/>
          </w:tcPr>
          <w:p w14:paraId="538C0782" w14:textId="77777777" w:rsidR="00C82683" w:rsidRPr="00AF2C3E" w:rsidRDefault="00C82683" w:rsidP="00C82683">
            <w:pPr>
              <w:rPr>
                <w:rFonts w:asciiTheme="majorHAnsi" w:hAnsiTheme="majorHAnsi"/>
                <w:bCs/>
                <w:sz w:val="20"/>
                <w:szCs w:val="20"/>
              </w:rPr>
            </w:pPr>
            <w:r w:rsidRPr="00AF2C3E">
              <w:rPr>
                <w:rFonts w:asciiTheme="majorHAnsi" w:hAnsiTheme="majorHAnsi"/>
                <w:bCs/>
                <w:sz w:val="20"/>
                <w:szCs w:val="20"/>
              </w:rPr>
              <w:t>$15,000 to $29,999</w:t>
            </w:r>
          </w:p>
        </w:tc>
        <w:tc>
          <w:tcPr>
            <w:tcW w:w="1530" w:type="dxa"/>
            <w:vAlign w:val="bottom"/>
          </w:tcPr>
          <w:p w14:paraId="3E08D700" w14:textId="05C05638" w:rsidR="00C82683" w:rsidRPr="007167C6" w:rsidRDefault="00C82683" w:rsidP="00C82683">
            <w:pPr>
              <w:tabs>
                <w:tab w:val="left" w:pos="7050"/>
              </w:tabs>
              <w:jc w:val="center"/>
              <w:rPr>
                <w:rFonts w:asciiTheme="majorHAnsi" w:hAnsiTheme="majorHAnsi" w:cs="Arial"/>
                <w:sz w:val="20"/>
                <w:szCs w:val="20"/>
              </w:rPr>
            </w:pPr>
            <w:r w:rsidRPr="00144788">
              <w:rPr>
                <w:rFonts w:asciiTheme="majorHAnsi" w:hAnsiTheme="majorHAnsi" w:cs="Arial"/>
                <w:sz w:val="20"/>
                <w:szCs w:val="20"/>
              </w:rPr>
              <w:t>0.419</w:t>
            </w:r>
          </w:p>
        </w:tc>
        <w:tc>
          <w:tcPr>
            <w:tcW w:w="1260" w:type="dxa"/>
            <w:vAlign w:val="bottom"/>
          </w:tcPr>
          <w:p w14:paraId="742CED7E" w14:textId="4E09EB0C" w:rsidR="00C82683" w:rsidRPr="007167C6" w:rsidRDefault="00C82683" w:rsidP="00C82683">
            <w:pPr>
              <w:tabs>
                <w:tab w:val="left" w:pos="7050"/>
              </w:tabs>
              <w:jc w:val="center"/>
              <w:rPr>
                <w:rFonts w:asciiTheme="majorHAnsi" w:hAnsiTheme="majorHAnsi" w:cs="Arial"/>
                <w:sz w:val="20"/>
                <w:szCs w:val="20"/>
              </w:rPr>
            </w:pPr>
            <w:r>
              <w:rPr>
                <w:rFonts w:asciiTheme="majorHAnsi" w:hAnsiTheme="majorHAnsi" w:cs="Arial"/>
                <w:sz w:val="20"/>
                <w:szCs w:val="20"/>
              </w:rPr>
              <w:t>$</w:t>
            </w:r>
            <w:r w:rsidRPr="0037601D">
              <w:rPr>
                <w:rFonts w:asciiTheme="majorHAnsi" w:hAnsiTheme="majorHAnsi" w:cs="Arial"/>
                <w:sz w:val="20"/>
                <w:szCs w:val="20"/>
              </w:rPr>
              <w:t xml:space="preserve">0.139 </w:t>
            </w:r>
          </w:p>
        </w:tc>
        <w:tc>
          <w:tcPr>
            <w:tcW w:w="1440" w:type="dxa"/>
            <w:vAlign w:val="bottom"/>
          </w:tcPr>
          <w:p w14:paraId="7A9FFA73" w14:textId="5A95D620" w:rsidR="00C82683" w:rsidRPr="007167C6" w:rsidRDefault="00C82683" w:rsidP="00C82683">
            <w:pPr>
              <w:tabs>
                <w:tab w:val="left" w:pos="7050"/>
              </w:tabs>
              <w:jc w:val="center"/>
              <w:rPr>
                <w:rFonts w:asciiTheme="majorHAnsi" w:hAnsiTheme="majorHAnsi" w:cs="Arial"/>
                <w:sz w:val="20"/>
                <w:szCs w:val="20"/>
              </w:rPr>
            </w:pPr>
            <w:r>
              <w:rPr>
                <w:rFonts w:asciiTheme="majorHAnsi" w:hAnsiTheme="majorHAnsi" w:cs="Arial"/>
                <w:sz w:val="20"/>
                <w:szCs w:val="20"/>
              </w:rPr>
              <w:t>$</w:t>
            </w:r>
            <w:r w:rsidRPr="0037601D">
              <w:rPr>
                <w:rFonts w:asciiTheme="majorHAnsi" w:hAnsiTheme="majorHAnsi" w:cs="Arial"/>
                <w:sz w:val="20"/>
                <w:szCs w:val="20"/>
              </w:rPr>
              <w:t>0.33</w:t>
            </w:r>
          </w:p>
        </w:tc>
        <w:tc>
          <w:tcPr>
            <w:tcW w:w="1350" w:type="dxa"/>
            <w:vAlign w:val="bottom"/>
          </w:tcPr>
          <w:p w14:paraId="6657FB65" w14:textId="747DAA75" w:rsidR="00C82683" w:rsidRPr="0037601D" w:rsidRDefault="00C82683" w:rsidP="00C82683">
            <w:pPr>
              <w:tabs>
                <w:tab w:val="left" w:pos="7050"/>
              </w:tabs>
              <w:jc w:val="center"/>
              <w:rPr>
                <w:rFonts w:asciiTheme="majorHAnsi" w:hAnsiTheme="majorHAnsi" w:cs="Arial"/>
                <w:sz w:val="20"/>
                <w:szCs w:val="20"/>
              </w:rPr>
            </w:pPr>
            <w:r w:rsidRPr="0037601D">
              <w:rPr>
                <w:rFonts w:asciiTheme="majorHAnsi" w:hAnsiTheme="majorHAnsi" w:cs="Arial"/>
                <w:sz w:val="20"/>
                <w:szCs w:val="20"/>
              </w:rPr>
              <w:t>10.95%</w:t>
            </w:r>
          </w:p>
        </w:tc>
        <w:tc>
          <w:tcPr>
            <w:tcW w:w="1530" w:type="dxa"/>
            <w:vAlign w:val="bottom"/>
          </w:tcPr>
          <w:p w14:paraId="58544801" w14:textId="0971A431" w:rsidR="00C82683" w:rsidRPr="00C82683" w:rsidRDefault="00C82683" w:rsidP="00C82683">
            <w:pPr>
              <w:tabs>
                <w:tab w:val="left" w:pos="7050"/>
              </w:tabs>
              <w:jc w:val="center"/>
              <w:rPr>
                <w:rFonts w:asciiTheme="majorHAnsi" w:hAnsiTheme="majorHAnsi" w:cs="Arial"/>
                <w:sz w:val="20"/>
                <w:szCs w:val="20"/>
              </w:rPr>
            </w:pPr>
            <w:r w:rsidRPr="00C82683">
              <w:rPr>
                <w:rFonts w:asciiTheme="majorHAnsi" w:hAnsiTheme="majorHAnsi" w:cs="Arial"/>
                <w:sz w:val="20"/>
                <w:szCs w:val="20"/>
              </w:rPr>
              <w:t>-0.0015%</w:t>
            </w:r>
          </w:p>
        </w:tc>
      </w:tr>
      <w:tr w:rsidR="00C82683" w:rsidRPr="00AF2C3E" w14:paraId="472E5055" w14:textId="77777777" w:rsidTr="0020079A">
        <w:trPr>
          <w:trHeight w:val="288"/>
        </w:trPr>
        <w:tc>
          <w:tcPr>
            <w:tcW w:w="2137" w:type="dxa"/>
            <w:vAlign w:val="center"/>
          </w:tcPr>
          <w:p w14:paraId="270B511C" w14:textId="77777777" w:rsidR="00C82683" w:rsidRPr="00AF2C3E" w:rsidRDefault="00C82683" w:rsidP="00C82683">
            <w:pPr>
              <w:rPr>
                <w:rFonts w:asciiTheme="majorHAnsi" w:hAnsiTheme="majorHAnsi"/>
                <w:bCs/>
                <w:sz w:val="20"/>
                <w:szCs w:val="20"/>
              </w:rPr>
            </w:pPr>
            <w:r w:rsidRPr="00AF2C3E">
              <w:rPr>
                <w:rFonts w:asciiTheme="majorHAnsi" w:hAnsiTheme="majorHAnsi"/>
                <w:bCs/>
                <w:sz w:val="20"/>
                <w:szCs w:val="20"/>
              </w:rPr>
              <w:t>$30,000 to $39,999</w:t>
            </w:r>
          </w:p>
        </w:tc>
        <w:tc>
          <w:tcPr>
            <w:tcW w:w="1530" w:type="dxa"/>
            <w:vAlign w:val="bottom"/>
          </w:tcPr>
          <w:p w14:paraId="7833624E" w14:textId="40738E74" w:rsidR="00C82683" w:rsidRPr="007167C6" w:rsidRDefault="00C82683" w:rsidP="00C82683">
            <w:pPr>
              <w:tabs>
                <w:tab w:val="left" w:pos="7050"/>
              </w:tabs>
              <w:jc w:val="center"/>
              <w:rPr>
                <w:rFonts w:asciiTheme="majorHAnsi" w:hAnsiTheme="majorHAnsi" w:cs="Arial"/>
                <w:sz w:val="20"/>
                <w:szCs w:val="20"/>
              </w:rPr>
            </w:pPr>
            <w:r w:rsidRPr="00144788">
              <w:rPr>
                <w:rFonts w:asciiTheme="majorHAnsi" w:hAnsiTheme="majorHAnsi" w:cs="Arial"/>
                <w:sz w:val="20"/>
                <w:szCs w:val="20"/>
              </w:rPr>
              <w:t>0.265</w:t>
            </w:r>
          </w:p>
        </w:tc>
        <w:tc>
          <w:tcPr>
            <w:tcW w:w="1260" w:type="dxa"/>
            <w:vAlign w:val="bottom"/>
          </w:tcPr>
          <w:p w14:paraId="664F40F2" w14:textId="6D8AF8FC" w:rsidR="00C82683" w:rsidRPr="007167C6" w:rsidRDefault="00C82683" w:rsidP="00C82683">
            <w:pPr>
              <w:tabs>
                <w:tab w:val="left" w:pos="7050"/>
              </w:tabs>
              <w:jc w:val="center"/>
              <w:rPr>
                <w:rFonts w:asciiTheme="majorHAnsi" w:hAnsiTheme="majorHAnsi" w:cs="Arial"/>
                <w:sz w:val="20"/>
                <w:szCs w:val="20"/>
              </w:rPr>
            </w:pPr>
            <w:r>
              <w:rPr>
                <w:rFonts w:asciiTheme="majorHAnsi" w:hAnsiTheme="majorHAnsi" w:cs="Arial"/>
                <w:sz w:val="20"/>
                <w:szCs w:val="20"/>
              </w:rPr>
              <w:t>$</w:t>
            </w:r>
            <w:r w:rsidRPr="0037601D">
              <w:rPr>
                <w:rFonts w:asciiTheme="majorHAnsi" w:hAnsiTheme="majorHAnsi" w:cs="Arial"/>
                <w:sz w:val="20"/>
                <w:szCs w:val="20"/>
              </w:rPr>
              <w:t xml:space="preserve">0.110 </w:t>
            </w:r>
          </w:p>
        </w:tc>
        <w:tc>
          <w:tcPr>
            <w:tcW w:w="1440" w:type="dxa"/>
            <w:vAlign w:val="bottom"/>
          </w:tcPr>
          <w:p w14:paraId="097B7270" w14:textId="414480B0" w:rsidR="00C82683" w:rsidRPr="007167C6" w:rsidRDefault="00C82683" w:rsidP="00C82683">
            <w:pPr>
              <w:tabs>
                <w:tab w:val="left" w:pos="7050"/>
              </w:tabs>
              <w:jc w:val="center"/>
              <w:rPr>
                <w:rFonts w:asciiTheme="majorHAnsi" w:hAnsiTheme="majorHAnsi" w:cs="Arial"/>
                <w:sz w:val="20"/>
                <w:szCs w:val="20"/>
              </w:rPr>
            </w:pPr>
            <w:r>
              <w:rPr>
                <w:rFonts w:asciiTheme="majorHAnsi" w:hAnsiTheme="majorHAnsi" w:cs="Arial"/>
                <w:sz w:val="20"/>
                <w:szCs w:val="20"/>
              </w:rPr>
              <w:t>$</w:t>
            </w:r>
            <w:r w:rsidRPr="0037601D">
              <w:rPr>
                <w:rFonts w:asciiTheme="majorHAnsi" w:hAnsiTheme="majorHAnsi" w:cs="Arial"/>
                <w:sz w:val="20"/>
                <w:szCs w:val="20"/>
              </w:rPr>
              <w:t>0.41</w:t>
            </w:r>
          </w:p>
        </w:tc>
        <w:tc>
          <w:tcPr>
            <w:tcW w:w="1350" w:type="dxa"/>
            <w:vAlign w:val="bottom"/>
          </w:tcPr>
          <w:p w14:paraId="5FE1E317" w14:textId="0DCA53E4" w:rsidR="00C82683" w:rsidRPr="0037601D" w:rsidRDefault="00C82683" w:rsidP="00C82683">
            <w:pPr>
              <w:tabs>
                <w:tab w:val="left" w:pos="7050"/>
              </w:tabs>
              <w:jc w:val="center"/>
              <w:rPr>
                <w:rFonts w:asciiTheme="majorHAnsi" w:hAnsiTheme="majorHAnsi" w:cs="Arial"/>
                <w:sz w:val="20"/>
                <w:szCs w:val="20"/>
              </w:rPr>
            </w:pPr>
            <w:r w:rsidRPr="0037601D">
              <w:rPr>
                <w:rFonts w:asciiTheme="majorHAnsi" w:hAnsiTheme="majorHAnsi" w:cs="Arial"/>
                <w:sz w:val="20"/>
                <w:szCs w:val="20"/>
              </w:rPr>
              <w:t>8.62%</w:t>
            </w:r>
          </w:p>
        </w:tc>
        <w:tc>
          <w:tcPr>
            <w:tcW w:w="1530" w:type="dxa"/>
            <w:vAlign w:val="bottom"/>
          </w:tcPr>
          <w:p w14:paraId="77D1D03B" w14:textId="16F8FC59" w:rsidR="00C82683" w:rsidRPr="00C82683" w:rsidRDefault="00C82683" w:rsidP="00C82683">
            <w:pPr>
              <w:tabs>
                <w:tab w:val="left" w:pos="7050"/>
              </w:tabs>
              <w:jc w:val="center"/>
              <w:rPr>
                <w:rFonts w:asciiTheme="majorHAnsi" w:hAnsiTheme="majorHAnsi" w:cs="Arial"/>
                <w:sz w:val="20"/>
                <w:szCs w:val="20"/>
              </w:rPr>
            </w:pPr>
            <w:r w:rsidRPr="00C82683">
              <w:rPr>
                <w:rFonts w:asciiTheme="majorHAnsi" w:hAnsiTheme="majorHAnsi" w:cs="Arial"/>
                <w:sz w:val="20"/>
                <w:szCs w:val="20"/>
              </w:rPr>
              <w:t>-0.0012%</w:t>
            </w:r>
          </w:p>
        </w:tc>
      </w:tr>
      <w:tr w:rsidR="00C82683" w:rsidRPr="00AF2C3E" w14:paraId="3F2EE7B1" w14:textId="77777777" w:rsidTr="0020079A">
        <w:trPr>
          <w:trHeight w:val="288"/>
        </w:trPr>
        <w:tc>
          <w:tcPr>
            <w:tcW w:w="2137" w:type="dxa"/>
            <w:vAlign w:val="center"/>
          </w:tcPr>
          <w:p w14:paraId="56CCB21B" w14:textId="77777777" w:rsidR="00C82683" w:rsidRPr="00AF2C3E" w:rsidRDefault="00C82683" w:rsidP="00C82683">
            <w:pPr>
              <w:rPr>
                <w:rFonts w:asciiTheme="majorHAnsi" w:hAnsiTheme="majorHAnsi"/>
                <w:bCs/>
                <w:sz w:val="20"/>
                <w:szCs w:val="20"/>
              </w:rPr>
            </w:pPr>
            <w:r w:rsidRPr="00AF2C3E">
              <w:rPr>
                <w:rFonts w:asciiTheme="majorHAnsi" w:hAnsiTheme="majorHAnsi"/>
                <w:bCs/>
                <w:sz w:val="20"/>
                <w:szCs w:val="20"/>
              </w:rPr>
              <w:t>$40,000 to $49,999</w:t>
            </w:r>
          </w:p>
        </w:tc>
        <w:tc>
          <w:tcPr>
            <w:tcW w:w="1530" w:type="dxa"/>
            <w:vAlign w:val="bottom"/>
          </w:tcPr>
          <w:p w14:paraId="05D99EDD" w14:textId="4DDC833A" w:rsidR="00C82683" w:rsidRPr="007167C6" w:rsidRDefault="00C82683" w:rsidP="00C82683">
            <w:pPr>
              <w:tabs>
                <w:tab w:val="left" w:pos="7050"/>
              </w:tabs>
              <w:jc w:val="center"/>
              <w:rPr>
                <w:rFonts w:asciiTheme="majorHAnsi" w:hAnsiTheme="majorHAnsi" w:cs="Arial"/>
                <w:sz w:val="20"/>
                <w:szCs w:val="20"/>
              </w:rPr>
            </w:pPr>
            <w:r w:rsidRPr="00144788">
              <w:rPr>
                <w:rFonts w:asciiTheme="majorHAnsi" w:hAnsiTheme="majorHAnsi" w:cs="Arial"/>
                <w:sz w:val="20"/>
                <w:szCs w:val="20"/>
              </w:rPr>
              <w:t>0.217</w:t>
            </w:r>
          </w:p>
        </w:tc>
        <w:tc>
          <w:tcPr>
            <w:tcW w:w="1260" w:type="dxa"/>
            <w:vAlign w:val="bottom"/>
          </w:tcPr>
          <w:p w14:paraId="08B02ABA" w14:textId="077EBC48" w:rsidR="00C82683" w:rsidRPr="007167C6" w:rsidRDefault="00C82683" w:rsidP="00C82683">
            <w:pPr>
              <w:tabs>
                <w:tab w:val="left" w:pos="7050"/>
              </w:tabs>
              <w:jc w:val="center"/>
              <w:rPr>
                <w:rFonts w:asciiTheme="majorHAnsi" w:hAnsiTheme="majorHAnsi" w:cs="Arial"/>
                <w:sz w:val="20"/>
                <w:szCs w:val="20"/>
              </w:rPr>
            </w:pPr>
            <w:r>
              <w:rPr>
                <w:rFonts w:asciiTheme="majorHAnsi" w:hAnsiTheme="majorHAnsi" w:cs="Arial"/>
                <w:sz w:val="20"/>
                <w:szCs w:val="20"/>
              </w:rPr>
              <w:t>$</w:t>
            </w:r>
            <w:r w:rsidRPr="0037601D">
              <w:rPr>
                <w:rFonts w:asciiTheme="majorHAnsi" w:hAnsiTheme="majorHAnsi" w:cs="Arial"/>
                <w:sz w:val="20"/>
                <w:szCs w:val="20"/>
              </w:rPr>
              <w:t xml:space="preserve">0.081 </w:t>
            </w:r>
          </w:p>
        </w:tc>
        <w:tc>
          <w:tcPr>
            <w:tcW w:w="1440" w:type="dxa"/>
            <w:vAlign w:val="bottom"/>
          </w:tcPr>
          <w:p w14:paraId="6963DC03" w14:textId="7C09C277" w:rsidR="00C82683" w:rsidRPr="007167C6" w:rsidRDefault="00C82683" w:rsidP="00C82683">
            <w:pPr>
              <w:tabs>
                <w:tab w:val="left" w:pos="7050"/>
              </w:tabs>
              <w:jc w:val="center"/>
              <w:rPr>
                <w:rFonts w:asciiTheme="majorHAnsi" w:hAnsiTheme="majorHAnsi" w:cs="Arial"/>
                <w:sz w:val="20"/>
                <w:szCs w:val="20"/>
              </w:rPr>
            </w:pPr>
            <w:r>
              <w:rPr>
                <w:rFonts w:asciiTheme="majorHAnsi" w:hAnsiTheme="majorHAnsi" w:cs="Arial"/>
                <w:sz w:val="20"/>
                <w:szCs w:val="20"/>
              </w:rPr>
              <w:t>$</w:t>
            </w:r>
            <w:r w:rsidRPr="0037601D">
              <w:rPr>
                <w:rFonts w:asciiTheme="majorHAnsi" w:hAnsiTheme="majorHAnsi" w:cs="Arial"/>
                <w:sz w:val="20"/>
                <w:szCs w:val="20"/>
              </w:rPr>
              <w:t>0.37</w:t>
            </w:r>
          </w:p>
        </w:tc>
        <w:tc>
          <w:tcPr>
            <w:tcW w:w="1350" w:type="dxa"/>
            <w:vAlign w:val="bottom"/>
          </w:tcPr>
          <w:p w14:paraId="36FC5301" w14:textId="0FED763F" w:rsidR="00C82683" w:rsidRPr="0037601D" w:rsidRDefault="00C82683" w:rsidP="00C82683">
            <w:pPr>
              <w:tabs>
                <w:tab w:val="left" w:pos="7050"/>
              </w:tabs>
              <w:jc w:val="center"/>
              <w:rPr>
                <w:rFonts w:asciiTheme="majorHAnsi" w:hAnsiTheme="majorHAnsi" w:cs="Arial"/>
                <w:sz w:val="20"/>
                <w:szCs w:val="20"/>
              </w:rPr>
            </w:pPr>
            <w:r w:rsidRPr="0037601D">
              <w:rPr>
                <w:rFonts w:asciiTheme="majorHAnsi" w:hAnsiTheme="majorHAnsi" w:cs="Arial"/>
                <w:sz w:val="20"/>
                <w:szCs w:val="20"/>
              </w:rPr>
              <w:t>6.35%</w:t>
            </w:r>
          </w:p>
        </w:tc>
        <w:tc>
          <w:tcPr>
            <w:tcW w:w="1530" w:type="dxa"/>
            <w:vAlign w:val="bottom"/>
          </w:tcPr>
          <w:p w14:paraId="09092722" w14:textId="31B769E8" w:rsidR="00C82683" w:rsidRPr="00C82683" w:rsidRDefault="00C82683" w:rsidP="00C82683">
            <w:pPr>
              <w:tabs>
                <w:tab w:val="left" w:pos="7050"/>
              </w:tabs>
              <w:jc w:val="center"/>
              <w:rPr>
                <w:rFonts w:asciiTheme="majorHAnsi" w:hAnsiTheme="majorHAnsi" w:cs="Arial"/>
                <w:sz w:val="20"/>
                <w:szCs w:val="20"/>
              </w:rPr>
            </w:pPr>
            <w:r w:rsidRPr="00C82683">
              <w:rPr>
                <w:rFonts w:asciiTheme="majorHAnsi" w:hAnsiTheme="majorHAnsi" w:cs="Arial"/>
                <w:sz w:val="20"/>
                <w:szCs w:val="20"/>
              </w:rPr>
              <w:t>-0.0008%</w:t>
            </w:r>
          </w:p>
        </w:tc>
      </w:tr>
      <w:tr w:rsidR="00C82683" w:rsidRPr="00AF2C3E" w14:paraId="2A976655" w14:textId="77777777" w:rsidTr="0020079A">
        <w:trPr>
          <w:trHeight w:val="288"/>
        </w:trPr>
        <w:tc>
          <w:tcPr>
            <w:tcW w:w="2137" w:type="dxa"/>
            <w:vAlign w:val="center"/>
          </w:tcPr>
          <w:p w14:paraId="057B4ED1" w14:textId="77777777" w:rsidR="00C82683" w:rsidRPr="00AF2C3E" w:rsidRDefault="00C82683" w:rsidP="00C82683">
            <w:pPr>
              <w:rPr>
                <w:rFonts w:asciiTheme="majorHAnsi" w:hAnsiTheme="majorHAnsi"/>
                <w:bCs/>
                <w:sz w:val="20"/>
                <w:szCs w:val="20"/>
              </w:rPr>
            </w:pPr>
            <w:r w:rsidRPr="00AF2C3E">
              <w:rPr>
                <w:rFonts w:asciiTheme="majorHAnsi" w:hAnsiTheme="majorHAnsi"/>
                <w:bCs/>
                <w:sz w:val="20"/>
                <w:szCs w:val="20"/>
              </w:rPr>
              <w:t>$50,000 to $69,999</w:t>
            </w:r>
          </w:p>
        </w:tc>
        <w:tc>
          <w:tcPr>
            <w:tcW w:w="1530" w:type="dxa"/>
            <w:vAlign w:val="bottom"/>
          </w:tcPr>
          <w:p w14:paraId="668B4F69" w14:textId="50FC91F2" w:rsidR="00C82683" w:rsidRPr="007167C6" w:rsidRDefault="00C82683" w:rsidP="00C82683">
            <w:pPr>
              <w:tabs>
                <w:tab w:val="left" w:pos="7050"/>
              </w:tabs>
              <w:jc w:val="center"/>
              <w:rPr>
                <w:rFonts w:asciiTheme="majorHAnsi" w:hAnsiTheme="majorHAnsi" w:cs="Arial"/>
                <w:sz w:val="20"/>
                <w:szCs w:val="20"/>
              </w:rPr>
            </w:pPr>
            <w:r w:rsidRPr="00144788">
              <w:rPr>
                <w:rFonts w:asciiTheme="majorHAnsi" w:hAnsiTheme="majorHAnsi" w:cs="Arial"/>
                <w:sz w:val="20"/>
                <w:szCs w:val="20"/>
              </w:rPr>
              <w:t>0.346</w:t>
            </w:r>
          </w:p>
        </w:tc>
        <w:tc>
          <w:tcPr>
            <w:tcW w:w="1260" w:type="dxa"/>
            <w:vAlign w:val="bottom"/>
          </w:tcPr>
          <w:p w14:paraId="097264C9" w14:textId="2409DCD1" w:rsidR="00C82683" w:rsidRPr="007167C6" w:rsidRDefault="00C82683" w:rsidP="00C82683">
            <w:pPr>
              <w:tabs>
                <w:tab w:val="left" w:pos="7050"/>
              </w:tabs>
              <w:jc w:val="center"/>
              <w:rPr>
                <w:rFonts w:asciiTheme="majorHAnsi" w:hAnsiTheme="majorHAnsi" w:cs="Arial"/>
                <w:sz w:val="20"/>
                <w:szCs w:val="20"/>
              </w:rPr>
            </w:pPr>
            <w:r>
              <w:rPr>
                <w:rFonts w:asciiTheme="majorHAnsi" w:hAnsiTheme="majorHAnsi" w:cs="Arial"/>
                <w:sz w:val="20"/>
                <w:szCs w:val="20"/>
              </w:rPr>
              <w:t>$</w:t>
            </w:r>
            <w:r w:rsidRPr="0037601D">
              <w:rPr>
                <w:rFonts w:asciiTheme="majorHAnsi" w:hAnsiTheme="majorHAnsi" w:cs="Arial"/>
                <w:sz w:val="20"/>
                <w:szCs w:val="20"/>
              </w:rPr>
              <w:t xml:space="preserve">0.156 </w:t>
            </w:r>
          </w:p>
        </w:tc>
        <w:tc>
          <w:tcPr>
            <w:tcW w:w="1440" w:type="dxa"/>
            <w:vAlign w:val="bottom"/>
          </w:tcPr>
          <w:p w14:paraId="04912D3E" w14:textId="1D7649F7" w:rsidR="00C82683" w:rsidRPr="007167C6" w:rsidRDefault="00C82683" w:rsidP="00C82683">
            <w:pPr>
              <w:tabs>
                <w:tab w:val="left" w:pos="7050"/>
              </w:tabs>
              <w:jc w:val="center"/>
              <w:rPr>
                <w:rFonts w:asciiTheme="majorHAnsi" w:hAnsiTheme="majorHAnsi" w:cs="Arial"/>
                <w:sz w:val="20"/>
                <w:szCs w:val="20"/>
              </w:rPr>
            </w:pPr>
            <w:r>
              <w:rPr>
                <w:rFonts w:asciiTheme="majorHAnsi" w:hAnsiTheme="majorHAnsi" w:cs="Arial"/>
                <w:sz w:val="20"/>
                <w:szCs w:val="20"/>
              </w:rPr>
              <w:t>$</w:t>
            </w:r>
            <w:r w:rsidRPr="0037601D">
              <w:rPr>
                <w:rFonts w:asciiTheme="majorHAnsi" w:hAnsiTheme="majorHAnsi" w:cs="Arial"/>
                <w:sz w:val="20"/>
                <w:szCs w:val="20"/>
              </w:rPr>
              <w:t>0.45</w:t>
            </w:r>
          </w:p>
        </w:tc>
        <w:tc>
          <w:tcPr>
            <w:tcW w:w="1350" w:type="dxa"/>
            <w:vAlign w:val="bottom"/>
          </w:tcPr>
          <w:p w14:paraId="50815C2B" w14:textId="152D710F" w:rsidR="00C82683" w:rsidRPr="0037601D" w:rsidRDefault="00C82683" w:rsidP="00C82683">
            <w:pPr>
              <w:tabs>
                <w:tab w:val="left" w:pos="7050"/>
              </w:tabs>
              <w:jc w:val="center"/>
              <w:rPr>
                <w:rFonts w:asciiTheme="majorHAnsi" w:hAnsiTheme="majorHAnsi" w:cs="Arial"/>
                <w:sz w:val="20"/>
                <w:szCs w:val="20"/>
              </w:rPr>
            </w:pPr>
            <w:r w:rsidRPr="0037601D">
              <w:rPr>
                <w:rFonts w:asciiTheme="majorHAnsi" w:hAnsiTheme="majorHAnsi" w:cs="Arial"/>
                <w:sz w:val="20"/>
                <w:szCs w:val="20"/>
              </w:rPr>
              <w:t>12.29%</w:t>
            </w:r>
          </w:p>
        </w:tc>
        <w:tc>
          <w:tcPr>
            <w:tcW w:w="1530" w:type="dxa"/>
            <w:vAlign w:val="bottom"/>
          </w:tcPr>
          <w:p w14:paraId="0DB9C3C0" w14:textId="51D1B68B" w:rsidR="00C82683" w:rsidRPr="00C82683" w:rsidRDefault="00C82683" w:rsidP="00C82683">
            <w:pPr>
              <w:tabs>
                <w:tab w:val="left" w:pos="7050"/>
              </w:tabs>
              <w:jc w:val="center"/>
              <w:rPr>
                <w:rFonts w:asciiTheme="majorHAnsi" w:hAnsiTheme="majorHAnsi" w:cs="Arial"/>
                <w:sz w:val="20"/>
                <w:szCs w:val="20"/>
              </w:rPr>
            </w:pPr>
            <w:r w:rsidRPr="00C82683">
              <w:rPr>
                <w:rFonts w:asciiTheme="majorHAnsi" w:hAnsiTheme="majorHAnsi" w:cs="Arial"/>
                <w:sz w:val="20"/>
                <w:szCs w:val="20"/>
              </w:rPr>
              <w:t>-0.0008%</w:t>
            </w:r>
          </w:p>
        </w:tc>
      </w:tr>
      <w:tr w:rsidR="00C82683" w:rsidRPr="00AF2C3E" w14:paraId="702ECC59" w14:textId="77777777" w:rsidTr="0020079A">
        <w:trPr>
          <w:trHeight w:val="288"/>
        </w:trPr>
        <w:tc>
          <w:tcPr>
            <w:tcW w:w="2137" w:type="dxa"/>
            <w:vAlign w:val="center"/>
          </w:tcPr>
          <w:p w14:paraId="0D3D8C98" w14:textId="77777777" w:rsidR="00C82683" w:rsidRPr="00AF2C3E" w:rsidRDefault="00C82683" w:rsidP="00C82683">
            <w:pPr>
              <w:rPr>
                <w:rFonts w:asciiTheme="majorHAnsi" w:hAnsiTheme="majorHAnsi"/>
                <w:bCs/>
                <w:sz w:val="20"/>
                <w:szCs w:val="20"/>
              </w:rPr>
            </w:pPr>
            <w:r w:rsidRPr="00AF2C3E">
              <w:rPr>
                <w:rFonts w:asciiTheme="majorHAnsi" w:hAnsiTheme="majorHAnsi"/>
                <w:bCs/>
                <w:sz w:val="20"/>
                <w:szCs w:val="20"/>
              </w:rPr>
              <w:t>$70,000 to $99,999</w:t>
            </w:r>
          </w:p>
        </w:tc>
        <w:tc>
          <w:tcPr>
            <w:tcW w:w="1530" w:type="dxa"/>
            <w:vAlign w:val="bottom"/>
          </w:tcPr>
          <w:p w14:paraId="0D476229" w14:textId="01E3C8B6" w:rsidR="00C82683" w:rsidRPr="007167C6" w:rsidRDefault="00C82683" w:rsidP="00C82683">
            <w:pPr>
              <w:tabs>
                <w:tab w:val="left" w:pos="7050"/>
              </w:tabs>
              <w:jc w:val="center"/>
              <w:rPr>
                <w:rFonts w:asciiTheme="majorHAnsi" w:hAnsiTheme="majorHAnsi" w:cs="Arial"/>
                <w:sz w:val="20"/>
                <w:szCs w:val="20"/>
              </w:rPr>
            </w:pPr>
            <w:r w:rsidRPr="00144788">
              <w:rPr>
                <w:rFonts w:asciiTheme="majorHAnsi" w:hAnsiTheme="majorHAnsi" w:cs="Arial"/>
                <w:sz w:val="20"/>
                <w:szCs w:val="20"/>
              </w:rPr>
              <w:t>0.388</w:t>
            </w:r>
          </w:p>
        </w:tc>
        <w:tc>
          <w:tcPr>
            <w:tcW w:w="1260" w:type="dxa"/>
            <w:vAlign w:val="bottom"/>
          </w:tcPr>
          <w:p w14:paraId="068D888E" w14:textId="2968FC6B" w:rsidR="00C82683" w:rsidRPr="007167C6" w:rsidRDefault="00C82683" w:rsidP="00C82683">
            <w:pPr>
              <w:tabs>
                <w:tab w:val="left" w:pos="7050"/>
              </w:tabs>
              <w:jc w:val="center"/>
              <w:rPr>
                <w:rFonts w:asciiTheme="majorHAnsi" w:hAnsiTheme="majorHAnsi" w:cs="Arial"/>
                <w:sz w:val="20"/>
                <w:szCs w:val="20"/>
              </w:rPr>
            </w:pPr>
            <w:r>
              <w:rPr>
                <w:rFonts w:asciiTheme="majorHAnsi" w:hAnsiTheme="majorHAnsi" w:cs="Arial"/>
                <w:sz w:val="20"/>
                <w:szCs w:val="20"/>
              </w:rPr>
              <w:t>$</w:t>
            </w:r>
            <w:r w:rsidRPr="0037601D">
              <w:rPr>
                <w:rFonts w:asciiTheme="majorHAnsi" w:hAnsiTheme="majorHAnsi" w:cs="Arial"/>
                <w:sz w:val="20"/>
                <w:szCs w:val="20"/>
              </w:rPr>
              <w:t xml:space="preserve">0.204 </w:t>
            </w:r>
          </w:p>
        </w:tc>
        <w:tc>
          <w:tcPr>
            <w:tcW w:w="1440" w:type="dxa"/>
            <w:vAlign w:val="bottom"/>
          </w:tcPr>
          <w:p w14:paraId="7EBC51E6" w14:textId="5E005096" w:rsidR="00C82683" w:rsidRPr="007167C6" w:rsidRDefault="00C82683" w:rsidP="00C82683">
            <w:pPr>
              <w:tabs>
                <w:tab w:val="left" w:pos="7050"/>
              </w:tabs>
              <w:jc w:val="center"/>
              <w:rPr>
                <w:rFonts w:asciiTheme="majorHAnsi" w:hAnsiTheme="majorHAnsi" w:cs="Arial"/>
                <w:sz w:val="20"/>
                <w:szCs w:val="20"/>
              </w:rPr>
            </w:pPr>
            <w:r>
              <w:rPr>
                <w:rFonts w:asciiTheme="majorHAnsi" w:hAnsiTheme="majorHAnsi" w:cs="Arial"/>
                <w:sz w:val="20"/>
                <w:szCs w:val="20"/>
              </w:rPr>
              <w:t>$</w:t>
            </w:r>
            <w:r w:rsidRPr="0037601D">
              <w:rPr>
                <w:rFonts w:asciiTheme="majorHAnsi" w:hAnsiTheme="majorHAnsi" w:cs="Arial"/>
                <w:sz w:val="20"/>
                <w:szCs w:val="20"/>
              </w:rPr>
              <w:t>0.53</w:t>
            </w:r>
          </w:p>
        </w:tc>
        <w:tc>
          <w:tcPr>
            <w:tcW w:w="1350" w:type="dxa"/>
            <w:vAlign w:val="bottom"/>
          </w:tcPr>
          <w:p w14:paraId="199EEC1A" w14:textId="233A9D8E" w:rsidR="00C82683" w:rsidRPr="0037601D" w:rsidRDefault="00C82683" w:rsidP="00C82683">
            <w:pPr>
              <w:tabs>
                <w:tab w:val="left" w:pos="7050"/>
              </w:tabs>
              <w:jc w:val="center"/>
              <w:rPr>
                <w:rFonts w:asciiTheme="majorHAnsi" w:hAnsiTheme="majorHAnsi" w:cs="Arial"/>
                <w:sz w:val="20"/>
                <w:szCs w:val="20"/>
              </w:rPr>
            </w:pPr>
            <w:r w:rsidRPr="0037601D">
              <w:rPr>
                <w:rFonts w:asciiTheme="majorHAnsi" w:hAnsiTheme="majorHAnsi" w:cs="Arial"/>
                <w:sz w:val="20"/>
                <w:szCs w:val="20"/>
              </w:rPr>
              <w:t>16.05%</w:t>
            </w:r>
          </w:p>
        </w:tc>
        <w:tc>
          <w:tcPr>
            <w:tcW w:w="1530" w:type="dxa"/>
            <w:vAlign w:val="bottom"/>
          </w:tcPr>
          <w:p w14:paraId="00D46B8E" w14:textId="4F91E389" w:rsidR="00C82683" w:rsidRPr="00C82683" w:rsidRDefault="00C82683" w:rsidP="00C82683">
            <w:pPr>
              <w:tabs>
                <w:tab w:val="left" w:pos="7050"/>
              </w:tabs>
              <w:jc w:val="center"/>
              <w:rPr>
                <w:rFonts w:asciiTheme="majorHAnsi" w:hAnsiTheme="majorHAnsi" w:cs="Arial"/>
                <w:sz w:val="20"/>
                <w:szCs w:val="20"/>
              </w:rPr>
            </w:pPr>
            <w:r w:rsidRPr="00C82683">
              <w:rPr>
                <w:rFonts w:asciiTheme="majorHAnsi" w:hAnsiTheme="majorHAnsi" w:cs="Arial"/>
                <w:sz w:val="20"/>
                <w:szCs w:val="20"/>
              </w:rPr>
              <w:t>-0.0006%</w:t>
            </w:r>
          </w:p>
        </w:tc>
      </w:tr>
      <w:tr w:rsidR="00C82683" w:rsidRPr="00AF2C3E" w14:paraId="48C8E64A" w14:textId="77777777" w:rsidTr="0020079A">
        <w:trPr>
          <w:trHeight w:val="288"/>
        </w:trPr>
        <w:tc>
          <w:tcPr>
            <w:tcW w:w="2137" w:type="dxa"/>
            <w:vAlign w:val="center"/>
          </w:tcPr>
          <w:p w14:paraId="4E626127" w14:textId="77777777" w:rsidR="00C82683" w:rsidRPr="00AF2C3E" w:rsidRDefault="00C82683" w:rsidP="00C82683">
            <w:pPr>
              <w:rPr>
                <w:rFonts w:asciiTheme="majorHAnsi" w:hAnsiTheme="majorHAnsi"/>
                <w:bCs/>
                <w:sz w:val="20"/>
                <w:szCs w:val="20"/>
              </w:rPr>
            </w:pPr>
            <w:r w:rsidRPr="00AF2C3E">
              <w:rPr>
                <w:rFonts w:asciiTheme="majorHAnsi" w:hAnsiTheme="majorHAnsi"/>
                <w:bCs/>
                <w:sz w:val="20"/>
                <w:szCs w:val="20"/>
              </w:rPr>
              <w:t>$100,000 to $149,999</w:t>
            </w:r>
          </w:p>
        </w:tc>
        <w:tc>
          <w:tcPr>
            <w:tcW w:w="1530" w:type="dxa"/>
            <w:vAlign w:val="bottom"/>
          </w:tcPr>
          <w:p w14:paraId="2F35ED0F" w14:textId="486C5B62" w:rsidR="00C82683" w:rsidRPr="007167C6" w:rsidRDefault="00C82683" w:rsidP="00C82683">
            <w:pPr>
              <w:tabs>
                <w:tab w:val="left" w:pos="7050"/>
              </w:tabs>
              <w:jc w:val="center"/>
              <w:rPr>
                <w:rFonts w:asciiTheme="majorHAnsi" w:hAnsiTheme="majorHAnsi" w:cs="Arial"/>
                <w:sz w:val="20"/>
                <w:szCs w:val="20"/>
              </w:rPr>
            </w:pPr>
            <w:r w:rsidRPr="00144788">
              <w:rPr>
                <w:rFonts w:asciiTheme="majorHAnsi" w:hAnsiTheme="majorHAnsi" w:cs="Arial"/>
                <w:sz w:val="20"/>
                <w:szCs w:val="20"/>
              </w:rPr>
              <w:t>0.351</w:t>
            </w:r>
          </w:p>
        </w:tc>
        <w:tc>
          <w:tcPr>
            <w:tcW w:w="1260" w:type="dxa"/>
            <w:vAlign w:val="bottom"/>
          </w:tcPr>
          <w:p w14:paraId="42D434C3" w14:textId="3BA85B14" w:rsidR="00C82683" w:rsidRPr="007167C6" w:rsidRDefault="00C82683" w:rsidP="00C82683">
            <w:pPr>
              <w:tabs>
                <w:tab w:val="left" w:pos="7050"/>
              </w:tabs>
              <w:jc w:val="center"/>
              <w:rPr>
                <w:rFonts w:asciiTheme="majorHAnsi" w:hAnsiTheme="majorHAnsi" w:cs="Arial"/>
                <w:sz w:val="20"/>
                <w:szCs w:val="20"/>
              </w:rPr>
            </w:pPr>
            <w:r>
              <w:rPr>
                <w:rFonts w:asciiTheme="majorHAnsi" w:hAnsiTheme="majorHAnsi" w:cs="Arial"/>
                <w:sz w:val="20"/>
                <w:szCs w:val="20"/>
              </w:rPr>
              <w:t>$</w:t>
            </w:r>
            <w:r w:rsidRPr="0037601D">
              <w:rPr>
                <w:rFonts w:asciiTheme="majorHAnsi" w:hAnsiTheme="majorHAnsi" w:cs="Arial"/>
                <w:sz w:val="20"/>
                <w:szCs w:val="20"/>
              </w:rPr>
              <w:t xml:space="preserve">0.216 </w:t>
            </w:r>
          </w:p>
        </w:tc>
        <w:tc>
          <w:tcPr>
            <w:tcW w:w="1440" w:type="dxa"/>
            <w:vAlign w:val="bottom"/>
          </w:tcPr>
          <w:p w14:paraId="61F8EE49" w14:textId="4D206BC0" w:rsidR="00C82683" w:rsidRPr="007167C6" w:rsidRDefault="00C82683" w:rsidP="00C82683">
            <w:pPr>
              <w:tabs>
                <w:tab w:val="left" w:pos="7050"/>
              </w:tabs>
              <w:jc w:val="center"/>
              <w:rPr>
                <w:rFonts w:asciiTheme="majorHAnsi" w:hAnsiTheme="majorHAnsi" w:cs="Arial"/>
                <w:sz w:val="20"/>
                <w:szCs w:val="20"/>
              </w:rPr>
            </w:pPr>
            <w:r>
              <w:rPr>
                <w:rFonts w:asciiTheme="majorHAnsi" w:hAnsiTheme="majorHAnsi" w:cs="Arial"/>
                <w:sz w:val="20"/>
                <w:szCs w:val="20"/>
              </w:rPr>
              <w:t>$</w:t>
            </w:r>
            <w:r w:rsidRPr="0037601D">
              <w:rPr>
                <w:rFonts w:asciiTheme="majorHAnsi" w:hAnsiTheme="majorHAnsi" w:cs="Arial"/>
                <w:sz w:val="20"/>
                <w:szCs w:val="20"/>
              </w:rPr>
              <w:t>0.61</w:t>
            </w:r>
          </w:p>
        </w:tc>
        <w:tc>
          <w:tcPr>
            <w:tcW w:w="1350" w:type="dxa"/>
            <w:vAlign w:val="bottom"/>
          </w:tcPr>
          <w:p w14:paraId="25DA515F" w14:textId="1920CBBB" w:rsidR="00C82683" w:rsidRPr="0037601D" w:rsidRDefault="00C82683" w:rsidP="00C82683">
            <w:pPr>
              <w:tabs>
                <w:tab w:val="left" w:pos="7050"/>
              </w:tabs>
              <w:jc w:val="center"/>
              <w:rPr>
                <w:rFonts w:asciiTheme="majorHAnsi" w:hAnsiTheme="majorHAnsi" w:cs="Arial"/>
                <w:sz w:val="20"/>
                <w:szCs w:val="20"/>
              </w:rPr>
            </w:pPr>
            <w:r w:rsidRPr="0037601D">
              <w:rPr>
                <w:rFonts w:asciiTheme="majorHAnsi" w:hAnsiTheme="majorHAnsi" w:cs="Arial"/>
                <w:sz w:val="20"/>
                <w:szCs w:val="20"/>
              </w:rPr>
              <w:t>16.95%</w:t>
            </w:r>
          </w:p>
        </w:tc>
        <w:tc>
          <w:tcPr>
            <w:tcW w:w="1530" w:type="dxa"/>
            <w:vAlign w:val="bottom"/>
          </w:tcPr>
          <w:p w14:paraId="43705DBD" w14:textId="78730BD2" w:rsidR="00C82683" w:rsidRPr="00C82683" w:rsidRDefault="00C82683" w:rsidP="00C82683">
            <w:pPr>
              <w:tabs>
                <w:tab w:val="left" w:pos="7050"/>
              </w:tabs>
              <w:jc w:val="center"/>
              <w:rPr>
                <w:rFonts w:asciiTheme="majorHAnsi" w:hAnsiTheme="majorHAnsi" w:cs="Arial"/>
                <w:sz w:val="20"/>
                <w:szCs w:val="20"/>
              </w:rPr>
            </w:pPr>
            <w:r w:rsidRPr="00C82683">
              <w:rPr>
                <w:rFonts w:asciiTheme="majorHAnsi" w:hAnsiTheme="majorHAnsi" w:cs="Arial"/>
                <w:sz w:val="20"/>
                <w:szCs w:val="20"/>
              </w:rPr>
              <w:t>-0.0005%</w:t>
            </w:r>
          </w:p>
        </w:tc>
      </w:tr>
      <w:tr w:rsidR="00C82683" w:rsidRPr="00AF2C3E" w14:paraId="10C0B185" w14:textId="77777777" w:rsidTr="0020079A">
        <w:trPr>
          <w:trHeight w:val="288"/>
        </w:trPr>
        <w:tc>
          <w:tcPr>
            <w:tcW w:w="2137" w:type="dxa"/>
            <w:vAlign w:val="center"/>
          </w:tcPr>
          <w:p w14:paraId="5E377B6C" w14:textId="77777777" w:rsidR="00C82683" w:rsidRPr="00AF2C3E" w:rsidRDefault="00C82683" w:rsidP="00C82683">
            <w:pPr>
              <w:rPr>
                <w:rFonts w:asciiTheme="majorHAnsi" w:hAnsiTheme="majorHAnsi"/>
                <w:bCs/>
                <w:sz w:val="20"/>
                <w:szCs w:val="20"/>
              </w:rPr>
            </w:pPr>
            <w:r w:rsidRPr="00AF2C3E">
              <w:rPr>
                <w:rFonts w:asciiTheme="majorHAnsi" w:hAnsiTheme="majorHAnsi"/>
                <w:bCs/>
                <w:sz w:val="20"/>
                <w:szCs w:val="20"/>
              </w:rPr>
              <w:t>$150,000 to $199,999</w:t>
            </w:r>
          </w:p>
        </w:tc>
        <w:tc>
          <w:tcPr>
            <w:tcW w:w="1530" w:type="dxa"/>
            <w:vAlign w:val="bottom"/>
          </w:tcPr>
          <w:p w14:paraId="1186D693" w14:textId="4938D56F" w:rsidR="00C82683" w:rsidRPr="007167C6" w:rsidRDefault="00C82683" w:rsidP="00C82683">
            <w:pPr>
              <w:tabs>
                <w:tab w:val="left" w:pos="7050"/>
              </w:tabs>
              <w:jc w:val="center"/>
              <w:rPr>
                <w:rFonts w:asciiTheme="majorHAnsi" w:hAnsiTheme="majorHAnsi" w:cs="Arial"/>
                <w:sz w:val="20"/>
                <w:szCs w:val="20"/>
              </w:rPr>
            </w:pPr>
            <w:r w:rsidRPr="00144788">
              <w:rPr>
                <w:rFonts w:asciiTheme="majorHAnsi" w:hAnsiTheme="majorHAnsi" w:cs="Arial"/>
                <w:sz w:val="20"/>
                <w:szCs w:val="20"/>
              </w:rPr>
              <w:t>0.165</w:t>
            </w:r>
          </w:p>
        </w:tc>
        <w:tc>
          <w:tcPr>
            <w:tcW w:w="1260" w:type="dxa"/>
            <w:vAlign w:val="bottom"/>
          </w:tcPr>
          <w:p w14:paraId="7CE26DEF" w14:textId="44BAEFAC" w:rsidR="00C82683" w:rsidRPr="007167C6" w:rsidRDefault="00C82683" w:rsidP="00C82683">
            <w:pPr>
              <w:tabs>
                <w:tab w:val="left" w:pos="7050"/>
              </w:tabs>
              <w:jc w:val="center"/>
              <w:rPr>
                <w:rFonts w:asciiTheme="majorHAnsi" w:hAnsiTheme="majorHAnsi" w:cs="Arial"/>
                <w:sz w:val="20"/>
                <w:szCs w:val="20"/>
              </w:rPr>
            </w:pPr>
            <w:r>
              <w:rPr>
                <w:rFonts w:asciiTheme="majorHAnsi" w:hAnsiTheme="majorHAnsi" w:cs="Arial"/>
                <w:sz w:val="20"/>
                <w:szCs w:val="20"/>
              </w:rPr>
              <w:t>$</w:t>
            </w:r>
            <w:r w:rsidRPr="0037601D">
              <w:rPr>
                <w:rFonts w:asciiTheme="majorHAnsi" w:hAnsiTheme="majorHAnsi" w:cs="Arial"/>
                <w:sz w:val="20"/>
                <w:szCs w:val="20"/>
              </w:rPr>
              <w:t xml:space="preserve">0.121 </w:t>
            </w:r>
          </w:p>
        </w:tc>
        <w:tc>
          <w:tcPr>
            <w:tcW w:w="1440" w:type="dxa"/>
            <w:vAlign w:val="bottom"/>
          </w:tcPr>
          <w:p w14:paraId="15A0744B" w14:textId="6FD275BF" w:rsidR="00C82683" w:rsidRPr="007167C6" w:rsidRDefault="00C82683" w:rsidP="00C82683">
            <w:pPr>
              <w:tabs>
                <w:tab w:val="left" w:pos="7050"/>
              </w:tabs>
              <w:jc w:val="center"/>
              <w:rPr>
                <w:rFonts w:asciiTheme="majorHAnsi" w:hAnsiTheme="majorHAnsi" w:cs="Arial"/>
                <w:sz w:val="20"/>
                <w:szCs w:val="20"/>
              </w:rPr>
            </w:pPr>
            <w:r>
              <w:rPr>
                <w:rFonts w:asciiTheme="majorHAnsi" w:hAnsiTheme="majorHAnsi" w:cs="Arial"/>
                <w:sz w:val="20"/>
                <w:szCs w:val="20"/>
              </w:rPr>
              <w:t>$</w:t>
            </w:r>
            <w:r w:rsidRPr="0037601D">
              <w:rPr>
                <w:rFonts w:asciiTheme="majorHAnsi" w:hAnsiTheme="majorHAnsi" w:cs="Arial"/>
                <w:sz w:val="20"/>
                <w:szCs w:val="20"/>
              </w:rPr>
              <w:t>0.73</w:t>
            </w:r>
          </w:p>
        </w:tc>
        <w:tc>
          <w:tcPr>
            <w:tcW w:w="1350" w:type="dxa"/>
            <w:vAlign w:val="bottom"/>
          </w:tcPr>
          <w:p w14:paraId="479A2E7F" w14:textId="6A2743E0" w:rsidR="00C82683" w:rsidRPr="0037601D" w:rsidRDefault="00C82683" w:rsidP="00C82683">
            <w:pPr>
              <w:tabs>
                <w:tab w:val="left" w:pos="7050"/>
              </w:tabs>
              <w:jc w:val="center"/>
              <w:rPr>
                <w:rFonts w:asciiTheme="majorHAnsi" w:hAnsiTheme="majorHAnsi" w:cs="Arial"/>
                <w:sz w:val="20"/>
                <w:szCs w:val="20"/>
              </w:rPr>
            </w:pPr>
            <w:r w:rsidRPr="0037601D">
              <w:rPr>
                <w:rFonts w:asciiTheme="majorHAnsi" w:hAnsiTheme="majorHAnsi" w:cs="Arial"/>
                <w:sz w:val="20"/>
                <w:szCs w:val="20"/>
              </w:rPr>
              <w:t>9.54%</w:t>
            </w:r>
          </w:p>
        </w:tc>
        <w:tc>
          <w:tcPr>
            <w:tcW w:w="1530" w:type="dxa"/>
            <w:vAlign w:val="bottom"/>
          </w:tcPr>
          <w:p w14:paraId="00F6A265" w14:textId="48734693" w:rsidR="00C82683" w:rsidRPr="00C82683" w:rsidRDefault="00C82683" w:rsidP="00C82683">
            <w:pPr>
              <w:tabs>
                <w:tab w:val="left" w:pos="7050"/>
              </w:tabs>
              <w:jc w:val="center"/>
              <w:rPr>
                <w:rFonts w:asciiTheme="majorHAnsi" w:hAnsiTheme="majorHAnsi" w:cs="Arial"/>
                <w:sz w:val="20"/>
                <w:szCs w:val="20"/>
              </w:rPr>
            </w:pPr>
            <w:r w:rsidRPr="00C82683">
              <w:rPr>
                <w:rFonts w:asciiTheme="majorHAnsi" w:hAnsiTheme="majorHAnsi" w:cs="Arial"/>
                <w:sz w:val="20"/>
                <w:szCs w:val="20"/>
              </w:rPr>
              <w:t>-0.0004%</w:t>
            </w:r>
          </w:p>
        </w:tc>
      </w:tr>
      <w:tr w:rsidR="00C82683" w:rsidRPr="00AF2C3E" w14:paraId="5C57985F" w14:textId="77777777" w:rsidTr="0020079A">
        <w:trPr>
          <w:trHeight w:val="288"/>
        </w:trPr>
        <w:tc>
          <w:tcPr>
            <w:tcW w:w="2137" w:type="dxa"/>
            <w:vAlign w:val="center"/>
          </w:tcPr>
          <w:p w14:paraId="4B66F0F7" w14:textId="77777777" w:rsidR="00C82683" w:rsidRPr="00AF2C3E" w:rsidRDefault="00C82683" w:rsidP="00C82683">
            <w:pPr>
              <w:rPr>
                <w:rFonts w:asciiTheme="majorHAnsi" w:hAnsiTheme="majorHAnsi"/>
                <w:bCs/>
                <w:sz w:val="20"/>
                <w:szCs w:val="20"/>
              </w:rPr>
            </w:pPr>
            <w:r w:rsidRPr="00AF2C3E">
              <w:rPr>
                <w:rFonts w:asciiTheme="majorHAnsi" w:hAnsiTheme="majorHAnsi"/>
                <w:bCs/>
                <w:sz w:val="20"/>
                <w:szCs w:val="20"/>
              </w:rPr>
              <w:t>$200,000 to more</w:t>
            </w:r>
          </w:p>
        </w:tc>
        <w:tc>
          <w:tcPr>
            <w:tcW w:w="1530" w:type="dxa"/>
            <w:vAlign w:val="bottom"/>
          </w:tcPr>
          <w:p w14:paraId="47371B2B" w14:textId="321FF0CB" w:rsidR="00C82683" w:rsidRPr="007167C6" w:rsidRDefault="00C82683" w:rsidP="00C82683">
            <w:pPr>
              <w:tabs>
                <w:tab w:val="left" w:pos="7050"/>
              </w:tabs>
              <w:jc w:val="center"/>
              <w:rPr>
                <w:rFonts w:asciiTheme="majorHAnsi" w:hAnsiTheme="majorHAnsi" w:cs="Arial"/>
                <w:sz w:val="20"/>
                <w:szCs w:val="20"/>
              </w:rPr>
            </w:pPr>
            <w:r w:rsidRPr="00144788">
              <w:rPr>
                <w:rFonts w:asciiTheme="majorHAnsi" w:hAnsiTheme="majorHAnsi" w:cs="Arial"/>
                <w:sz w:val="20"/>
                <w:szCs w:val="20"/>
              </w:rPr>
              <w:t>0.174</w:t>
            </w:r>
          </w:p>
        </w:tc>
        <w:tc>
          <w:tcPr>
            <w:tcW w:w="1260" w:type="dxa"/>
            <w:vAlign w:val="bottom"/>
          </w:tcPr>
          <w:p w14:paraId="281A2447" w14:textId="5289786B" w:rsidR="00C82683" w:rsidRPr="007167C6" w:rsidRDefault="00C82683" w:rsidP="00C82683">
            <w:pPr>
              <w:tabs>
                <w:tab w:val="left" w:pos="7050"/>
              </w:tabs>
              <w:jc w:val="center"/>
              <w:rPr>
                <w:rFonts w:asciiTheme="majorHAnsi" w:hAnsiTheme="majorHAnsi" w:cs="Arial"/>
                <w:sz w:val="20"/>
                <w:szCs w:val="20"/>
              </w:rPr>
            </w:pPr>
            <w:r>
              <w:rPr>
                <w:rFonts w:asciiTheme="majorHAnsi" w:hAnsiTheme="majorHAnsi" w:cs="Arial"/>
                <w:sz w:val="20"/>
                <w:szCs w:val="20"/>
              </w:rPr>
              <w:t>$</w:t>
            </w:r>
            <w:r w:rsidRPr="0037601D">
              <w:rPr>
                <w:rFonts w:asciiTheme="majorHAnsi" w:hAnsiTheme="majorHAnsi" w:cs="Arial"/>
                <w:sz w:val="20"/>
                <w:szCs w:val="20"/>
              </w:rPr>
              <w:t xml:space="preserve">0.144 </w:t>
            </w:r>
          </w:p>
        </w:tc>
        <w:tc>
          <w:tcPr>
            <w:tcW w:w="1440" w:type="dxa"/>
            <w:vAlign w:val="bottom"/>
          </w:tcPr>
          <w:p w14:paraId="0DEE819A" w14:textId="77FC07C9" w:rsidR="00C82683" w:rsidRPr="007167C6" w:rsidRDefault="00C82683" w:rsidP="00C82683">
            <w:pPr>
              <w:tabs>
                <w:tab w:val="left" w:pos="7050"/>
              </w:tabs>
              <w:jc w:val="center"/>
              <w:rPr>
                <w:rFonts w:asciiTheme="majorHAnsi" w:hAnsiTheme="majorHAnsi" w:cs="Arial"/>
                <w:sz w:val="20"/>
                <w:szCs w:val="20"/>
              </w:rPr>
            </w:pPr>
            <w:r>
              <w:rPr>
                <w:rFonts w:asciiTheme="majorHAnsi" w:hAnsiTheme="majorHAnsi" w:cs="Arial"/>
                <w:sz w:val="20"/>
                <w:szCs w:val="20"/>
              </w:rPr>
              <w:t>$</w:t>
            </w:r>
            <w:r w:rsidRPr="0037601D">
              <w:rPr>
                <w:rFonts w:asciiTheme="majorHAnsi" w:hAnsiTheme="majorHAnsi" w:cs="Arial"/>
                <w:sz w:val="20"/>
                <w:szCs w:val="20"/>
              </w:rPr>
              <w:t>0.83</w:t>
            </w:r>
          </w:p>
        </w:tc>
        <w:tc>
          <w:tcPr>
            <w:tcW w:w="1350" w:type="dxa"/>
            <w:vAlign w:val="bottom"/>
          </w:tcPr>
          <w:p w14:paraId="11EEA134" w14:textId="334950B2" w:rsidR="00C82683" w:rsidRPr="0037601D" w:rsidRDefault="00C82683" w:rsidP="00C82683">
            <w:pPr>
              <w:tabs>
                <w:tab w:val="left" w:pos="7050"/>
              </w:tabs>
              <w:jc w:val="center"/>
              <w:rPr>
                <w:rFonts w:asciiTheme="majorHAnsi" w:hAnsiTheme="majorHAnsi" w:cs="Arial"/>
                <w:sz w:val="20"/>
                <w:szCs w:val="20"/>
              </w:rPr>
            </w:pPr>
            <w:r w:rsidRPr="0037601D">
              <w:rPr>
                <w:rFonts w:asciiTheme="majorHAnsi" w:hAnsiTheme="majorHAnsi" w:cs="Arial"/>
                <w:sz w:val="20"/>
                <w:szCs w:val="20"/>
              </w:rPr>
              <w:t>11.35%</w:t>
            </w:r>
          </w:p>
        </w:tc>
        <w:tc>
          <w:tcPr>
            <w:tcW w:w="1530" w:type="dxa"/>
            <w:vAlign w:val="bottom"/>
          </w:tcPr>
          <w:p w14:paraId="0AAAFA79" w14:textId="5C38051B" w:rsidR="00C82683" w:rsidRPr="00C82683" w:rsidRDefault="00C82683" w:rsidP="00C82683">
            <w:pPr>
              <w:tabs>
                <w:tab w:val="left" w:pos="7050"/>
              </w:tabs>
              <w:jc w:val="center"/>
              <w:rPr>
                <w:rFonts w:asciiTheme="majorHAnsi" w:hAnsiTheme="majorHAnsi" w:cs="Arial"/>
                <w:sz w:val="20"/>
                <w:szCs w:val="20"/>
              </w:rPr>
            </w:pPr>
            <w:r w:rsidRPr="00C82683">
              <w:rPr>
                <w:rFonts w:asciiTheme="majorHAnsi" w:hAnsiTheme="majorHAnsi" w:cs="Arial"/>
                <w:sz w:val="20"/>
                <w:szCs w:val="20"/>
              </w:rPr>
              <w:t>-0.0003%</w:t>
            </w:r>
          </w:p>
        </w:tc>
      </w:tr>
      <w:tr w:rsidR="00C82683" w:rsidRPr="00AF2C3E" w14:paraId="08FD64F9" w14:textId="77777777" w:rsidTr="0020079A">
        <w:trPr>
          <w:trHeight w:val="288"/>
        </w:trPr>
        <w:tc>
          <w:tcPr>
            <w:tcW w:w="2137" w:type="dxa"/>
            <w:vAlign w:val="center"/>
          </w:tcPr>
          <w:p w14:paraId="277D58FE" w14:textId="77777777" w:rsidR="00C82683" w:rsidRPr="00AF2C3E" w:rsidRDefault="00C82683" w:rsidP="00C82683">
            <w:pPr>
              <w:rPr>
                <w:rFonts w:asciiTheme="majorHAnsi" w:hAnsiTheme="majorHAnsi"/>
                <w:bCs/>
                <w:sz w:val="20"/>
                <w:szCs w:val="20"/>
              </w:rPr>
            </w:pPr>
            <w:r w:rsidRPr="00AF2C3E">
              <w:rPr>
                <w:rFonts w:asciiTheme="majorHAnsi" w:hAnsiTheme="majorHAnsi"/>
                <w:bCs/>
                <w:sz w:val="20"/>
                <w:szCs w:val="20"/>
              </w:rPr>
              <w:t>Total</w:t>
            </w:r>
          </w:p>
        </w:tc>
        <w:tc>
          <w:tcPr>
            <w:tcW w:w="1530" w:type="dxa"/>
            <w:vAlign w:val="bottom"/>
          </w:tcPr>
          <w:p w14:paraId="0ECBD202" w14:textId="656E0C63" w:rsidR="00C82683" w:rsidRPr="007167C6" w:rsidRDefault="00C82683" w:rsidP="00C82683">
            <w:pPr>
              <w:tabs>
                <w:tab w:val="left" w:pos="7050"/>
              </w:tabs>
              <w:jc w:val="center"/>
              <w:rPr>
                <w:rFonts w:asciiTheme="majorHAnsi" w:hAnsiTheme="majorHAnsi" w:cs="Arial"/>
                <w:sz w:val="20"/>
                <w:szCs w:val="20"/>
              </w:rPr>
            </w:pPr>
            <w:r w:rsidRPr="00144788">
              <w:rPr>
                <w:rFonts w:asciiTheme="majorHAnsi" w:hAnsiTheme="majorHAnsi" w:cs="Arial"/>
                <w:sz w:val="20"/>
                <w:szCs w:val="20"/>
              </w:rPr>
              <w:t>2.676</w:t>
            </w:r>
          </w:p>
        </w:tc>
        <w:tc>
          <w:tcPr>
            <w:tcW w:w="1260" w:type="dxa"/>
            <w:vAlign w:val="bottom"/>
          </w:tcPr>
          <w:p w14:paraId="3C444003" w14:textId="7EDD8007" w:rsidR="00C82683" w:rsidRPr="007167C6" w:rsidRDefault="00C82683" w:rsidP="00C82683">
            <w:pPr>
              <w:tabs>
                <w:tab w:val="left" w:pos="7050"/>
              </w:tabs>
              <w:jc w:val="center"/>
              <w:rPr>
                <w:rFonts w:asciiTheme="majorHAnsi" w:hAnsiTheme="majorHAnsi" w:cs="Arial"/>
                <w:sz w:val="20"/>
                <w:szCs w:val="20"/>
              </w:rPr>
            </w:pPr>
            <w:r>
              <w:rPr>
                <w:rFonts w:asciiTheme="majorHAnsi" w:hAnsiTheme="majorHAnsi" w:cs="Arial"/>
                <w:sz w:val="20"/>
                <w:szCs w:val="20"/>
              </w:rPr>
              <w:t>$</w:t>
            </w:r>
            <w:r w:rsidRPr="0037601D">
              <w:rPr>
                <w:rFonts w:asciiTheme="majorHAnsi" w:hAnsiTheme="majorHAnsi" w:cs="Arial"/>
                <w:sz w:val="20"/>
                <w:szCs w:val="20"/>
              </w:rPr>
              <w:t xml:space="preserve">1.272 </w:t>
            </w:r>
          </w:p>
        </w:tc>
        <w:tc>
          <w:tcPr>
            <w:tcW w:w="1440" w:type="dxa"/>
            <w:vAlign w:val="bottom"/>
          </w:tcPr>
          <w:p w14:paraId="21589027" w14:textId="1AC39D56" w:rsidR="00C82683" w:rsidRPr="007167C6" w:rsidRDefault="00C82683" w:rsidP="00C82683">
            <w:pPr>
              <w:tabs>
                <w:tab w:val="left" w:pos="7050"/>
              </w:tabs>
              <w:jc w:val="center"/>
              <w:rPr>
                <w:rFonts w:asciiTheme="majorHAnsi" w:hAnsiTheme="majorHAnsi" w:cs="Arial"/>
                <w:sz w:val="20"/>
                <w:szCs w:val="20"/>
              </w:rPr>
            </w:pPr>
            <w:r>
              <w:rPr>
                <w:rFonts w:asciiTheme="majorHAnsi" w:hAnsiTheme="majorHAnsi" w:cs="Arial"/>
                <w:sz w:val="20"/>
                <w:szCs w:val="20"/>
              </w:rPr>
              <w:t>$</w:t>
            </w:r>
            <w:r w:rsidRPr="0037601D">
              <w:rPr>
                <w:rFonts w:asciiTheme="majorHAnsi" w:hAnsiTheme="majorHAnsi" w:cs="Arial"/>
                <w:sz w:val="20"/>
                <w:szCs w:val="20"/>
              </w:rPr>
              <w:t>0.48</w:t>
            </w:r>
          </w:p>
        </w:tc>
        <w:tc>
          <w:tcPr>
            <w:tcW w:w="1350" w:type="dxa"/>
            <w:vAlign w:val="bottom"/>
          </w:tcPr>
          <w:p w14:paraId="5D9EF292" w14:textId="363664CC" w:rsidR="00C82683" w:rsidRPr="0037601D" w:rsidRDefault="00C82683" w:rsidP="00C82683">
            <w:pPr>
              <w:tabs>
                <w:tab w:val="left" w:pos="7050"/>
              </w:tabs>
              <w:jc w:val="center"/>
              <w:rPr>
                <w:rFonts w:asciiTheme="majorHAnsi" w:hAnsiTheme="majorHAnsi" w:cs="Arial"/>
                <w:sz w:val="20"/>
                <w:szCs w:val="20"/>
              </w:rPr>
            </w:pPr>
            <w:r w:rsidRPr="0037601D">
              <w:rPr>
                <w:rFonts w:asciiTheme="majorHAnsi" w:hAnsiTheme="majorHAnsi" w:cs="Arial"/>
                <w:sz w:val="20"/>
                <w:szCs w:val="20"/>
              </w:rPr>
              <w:t>100.00%</w:t>
            </w:r>
          </w:p>
        </w:tc>
        <w:tc>
          <w:tcPr>
            <w:tcW w:w="1530" w:type="dxa"/>
            <w:vAlign w:val="bottom"/>
          </w:tcPr>
          <w:p w14:paraId="35CCB30A" w14:textId="7474A7A0" w:rsidR="00C82683" w:rsidRPr="00C82683" w:rsidRDefault="00C82683" w:rsidP="00C82683">
            <w:pPr>
              <w:tabs>
                <w:tab w:val="left" w:pos="7050"/>
              </w:tabs>
              <w:jc w:val="center"/>
              <w:rPr>
                <w:rFonts w:asciiTheme="majorHAnsi" w:hAnsiTheme="majorHAnsi" w:cs="Arial"/>
                <w:sz w:val="20"/>
                <w:szCs w:val="20"/>
              </w:rPr>
            </w:pPr>
            <w:r w:rsidRPr="00C82683">
              <w:rPr>
                <w:rFonts w:asciiTheme="majorHAnsi" w:hAnsiTheme="majorHAnsi" w:cs="Arial"/>
                <w:sz w:val="20"/>
                <w:szCs w:val="20"/>
              </w:rPr>
              <w:t>-0.0006%</w:t>
            </w:r>
          </w:p>
        </w:tc>
      </w:tr>
    </w:tbl>
    <w:p w14:paraId="7C174BDE" w14:textId="440247D0" w:rsidR="00317B9A" w:rsidRPr="0088354E" w:rsidRDefault="00D42303" w:rsidP="00317B9A">
      <w:pPr>
        <w:spacing w:after="0"/>
        <w:rPr>
          <w:rFonts w:asciiTheme="majorHAnsi" w:hAnsiTheme="majorHAnsi"/>
          <w:sz w:val="20"/>
          <w:szCs w:val="20"/>
        </w:rPr>
      </w:pPr>
      <w:r>
        <w:rPr>
          <w:rFonts w:asciiTheme="majorHAnsi" w:hAnsiTheme="majorHAnsi"/>
          <w:sz w:val="20"/>
          <w:szCs w:val="20"/>
        </w:rPr>
        <w:t>Note</w:t>
      </w:r>
      <w:r w:rsidR="00317B9A" w:rsidRPr="0088354E">
        <w:rPr>
          <w:rFonts w:asciiTheme="majorHAnsi" w:hAnsiTheme="majorHAnsi"/>
          <w:sz w:val="20"/>
          <w:szCs w:val="20"/>
        </w:rPr>
        <w:t xml:space="preserve">: </w:t>
      </w:r>
      <w:r>
        <w:rPr>
          <w:rFonts w:asciiTheme="majorHAnsi" w:hAnsiTheme="majorHAnsi"/>
          <w:sz w:val="20"/>
          <w:szCs w:val="20"/>
        </w:rPr>
        <w:t>Numbers in the table are e</w:t>
      </w:r>
      <w:r w:rsidR="00317B9A" w:rsidRPr="0088354E">
        <w:rPr>
          <w:rFonts w:asciiTheme="majorHAnsi" w:hAnsiTheme="majorHAnsi"/>
          <w:sz w:val="20"/>
          <w:szCs w:val="20"/>
        </w:rPr>
        <w:t>stimated by Massachusetts Department of Revenue.</w:t>
      </w:r>
    </w:p>
    <w:p w14:paraId="2BB3B29C" w14:textId="51FA1D88" w:rsidR="005F4E85" w:rsidRDefault="005F4E85" w:rsidP="00A91801">
      <w:pPr>
        <w:spacing w:after="0"/>
        <w:rPr>
          <w:rFonts w:asciiTheme="majorHAnsi" w:hAnsiTheme="majorHAnsi"/>
          <w:b/>
          <w:sz w:val="24"/>
          <w:szCs w:val="24"/>
        </w:rPr>
      </w:pPr>
    </w:p>
    <w:p w14:paraId="034BCD3E" w14:textId="77777777" w:rsidR="00317B9A" w:rsidRDefault="00317B9A" w:rsidP="00A91801">
      <w:pPr>
        <w:spacing w:after="0"/>
        <w:rPr>
          <w:rFonts w:asciiTheme="majorHAnsi" w:hAnsiTheme="majorHAnsi"/>
          <w:b/>
          <w:sz w:val="24"/>
          <w:szCs w:val="24"/>
        </w:rPr>
      </w:pPr>
    </w:p>
    <w:bookmarkEnd w:id="0"/>
    <w:p w14:paraId="449A10E9" w14:textId="57ABF82A" w:rsidR="00A91801" w:rsidRPr="00A07439" w:rsidRDefault="00A91801" w:rsidP="00A91801">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EVALUATION:  COMPARING COSTS AND BENEFITS</w:t>
      </w:r>
    </w:p>
    <w:p w14:paraId="14771A20" w14:textId="1E4FEC7A" w:rsidR="00EB7189" w:rsidRDefault="00EB7189" w:rsidP="007C4266">
      <w:pPr>
        <w:spacing w:after="0"/>
        <w:rPr>
          <w:rFonts w:asciiTheme="majorHAnsi" w:hAnsiTheme="majorHAnsi"/>
          <w:bCs/>
          <w:sz w:val="24"/>
          <w:szCs w:val="24"/>
        </w:rPr>
      </w:pPr>
      <w:r>
        <w:rPr>
          <w:rFonts w:asciiTheme="majorHAnsi" w:hAnsiTheme="majorHAnsi"/>
          <w:bCs/>
          <w:sz w:val="24"/>
          <w:szCs w:val="24"/>
        </w:rPr>
        <w:t xml:space="preserve">In the previous sections, we report the direct costs (to the Commonwealth, or to the residents and businesses who ultimately bear the costs when the Commonwealth cuts government spending or increases taxes to finance the sales tax exemption for </w:t>
      </w:r>
      <w:r w:rsidR="007C4266" w:rsidRPr="007C4266">
        <w:rPr>
          <w:rFonts w:asciiTheme="majorHAnsi" w:hAnsiTheme="majorHAnsi"/>
          <w:bCs/>
          <w:sz w:val="24"/>
          <w:szCs w:val="24"/>
        </w:rPr>
        <w:t>Certain</w:t>
      </w:r>
      <w:r w:rsidR="007C4266">
        <w:rPr>
          <w:rFonts w:asciiTheme="majorHAnsi" w:hAnsiTheme="majorHAnsi"/>
          <w:bCs/>
          <w:sz w:val="24"/>
          <w:szCs w:val="24"/>
        </w:rPr>
        <w:t xml:space="preserve"> </w:t>
      </w:r>
      <w:r w:rsidR="007C4266" w:rsidRPr="007C4266">
        <w:rPr>
          <w:rFonts w:asciiTheme="majorHAnsi" w:hAnsiTheme="majorHAnsi"/>
          <w:bCs/>
          <w:sz w:val="24"/>
          <w:szCs w:val="24"/>
        </w:rPr>
        <w:t>Vending Machine Sales</w:t>
      </w:r>
      <w:r>
        <w:rPr>
          <w:rFonts w:asciiTheme="majorHAnsi" w:hAnsiTheme="majorHAnsi"/>
          <w:bCs/>
          <w:sz w:val="24"/>
          <w:szCs w:val="24"/>
        </w:rPr>
        <w:t>) and direct benefits (to buyers and sellers of exempt items) of this tax expenditure. Since the direct costs to the Commonwealth are the direct benefits to taxpayers, they are equal.</w:t>
      </w:r>
    </w:p>
    <w:p w14:paraId="49383467" w14:textId="77777777" w:rsidR="00317B9A" w:rsidRDefault="00317B9A" w:rsidP="00317B9A">
      <w:pPr>
        <w:tabs>
          <w:tab w:val="left" w:pos="7050"/>
        </w:tabs>
        <w:spacing w:after="0"/>
        <w:rPr>
          <w:rFonts w:asciiTheme="majorHAnsi" w:hAnsiTheme="majorHAnsi"/>
          <w:bCs/>
          <w:sz w:val="24"/>
          <w:szCs w:val="24"/>
        </w:rPr>
      </w:pPr>
    </w:p>
    <w:p w14:paraId="0C3F2FA8" w14:textId="67A0D5FA" w:rsidR="00317B9A" w:rsidRDefault="00317B9A" w:rsidP="00317B9A">
      <w:pPr>
        <w:tabs>
          <w:tab w:val="left" w:pos="7050"/>
        </w:tabs>
        <w:spacing w:after="0"/>
        <w:rPr>
          <w:rFonts w:asciiTheme="majorHAnsi" w:hAnsiTheme="majorHAnsi"/>
          <w:bCs/>
          <w:sz w:val="24"/>
          <w:szCs w:val="24"/>
        </w:rPr>
      </w:pPr>
      <w:r w:rsidRPr="00780B33">
        <w:rPr>
          <w:rFonts w:asciiTheme="majorHAnsi" w:hAnsiTheme="majorHAnsi"/>
          <w:bCs/>
          <w:sz w:val="24"/>
          <w:szCs w:val="24"/>
        </w:rPr>
        <w:t>Besides the direct costs and benefits, there are indirect and induced costs and benefits associated with th</w:t>
      </w:r>
      <w:r w:rsidRPr="0020079A">
        <w:rPr>
          <w:rFonts w:asciiTheme="majorHAnsi" w:hAnsiTheme="majorHAnsi"/>
          <w:bCs/>
          <w:sz w:val="24"/>
          <w:szCs w:val="24"/>
        </w:rPr>
        <w:t>is</w:t>
      </w:r>
      <w:r w:rsidRPr="00780B33">
        <w:rPr>
          <w:rFonts w:asciiTheme="majorHAnsi" w:hAnsiTheme="majorHAnsi"/>
          <w:bCs/>
          <w:sz w:val="24"/>
          <w:szCs w:val="24"/>
        </w:rPr>
        <w:t xml:space="preserve"> tax expenditure. </w:t>
      </w:r>
      <w:r w:rsidRPr="00780B33">
        <w:rPr>
          <w:rFonts w:asciiTheme="majorHAnsi" w:eastAsiaTheme="majorEastAsia" w:hAnsiTheme="majorHAnsi" w:cstheme="majorBidi"/>
          <w:bCs/>
          <w:color w:val="000000" w:themeColor="text1"/>
          <w:sz w:val="24"/>
          <w:szCs w:val="24"/>
        </w:rPr>
        <w:t>The indirect impact (cost or benefit) is felt by the chain of businesses that provide intermediate products and services to the directly impacted businesses.  The induced impact (cost or benefit) results from any overall change in the economy</w:t>
      </w:r>
      <w:r w:rsidR="00DC65F3" w:rsidRPr="00780B33">
        <w:rPr>
          <w:rFonts w:asciiTheme="majorHAnsi" w:eastAsiaTheme="majorEastAsia" w:hAnsiTheme="majorHAnsi" w:cstheme="majorBidi"/>
          <w:bCs/>
          <w:color w:val="000000" w:themeColor="text1"/>
          <w:sz w:val="24"/>
          <w:szCs w:val="24"/>
        </w:rPr>
        <w:t xml:space="preserve"> </w:t>
      </w:r>
      <w:bookmarkStart w:id="2" w:name="_Hlk63150659"/>
      <w:r w:rsidR="00DC65F3" w:rsidRPr="00780B33">
        <w:rPr>
          <w:rFonts w:asciiTheme="majorHAnsi" w:eastAsiaTheme="majorEastAsia" w:hAnsiTheme="majorHAnsi" w:cstheme="majorBidi"/>
          <w:bCs/>
          <w:color w:val="000000" w:themeColor="text1"/>
          <w:sz w:val="24"/>
          <w:szCs w:val="24"/>
        </w:rPr>
        <w:t xml:space="preserve">derived from the </w:t>
      </w:r>
      <w:r w:rsidR="0007194B">
        <w:rPr>
          <w:rFonts w:asciiTheme="majorHAnsi" w:eastAsiaTheme="majorEastAsia" w:hAnsiTheme="majorHAnsi" w:cstheme="majorBidi"/>
          <w:bCs/>
          <w:color w:val="000000" w:themeColor="text1"/>
          <w:sz w:val="24"/>
          <w:szCs w:val="24"/>
        </w:rPr>
        <w:t xml:space="preserve">tax </w:t>
      </w:r>
      <w:r w:rsidR="00DC65F3" w:rsidRPr="00780B33">
        <w:rPr>
          <w:rFonts w:asciiTheme="majorHAnsi" w:eastAsiaTheme="majorEastAsia" w:hAnsiTheme="majorHAnsi" w:cstheme="majorBidi"/>
          <w:bCs/>
          <w:color w:val="000000" w:themeColor="text1"/>
          <w:sz w:val="24"/>
          <w:szCs w:val="24"/>
        </w:rPr>
        <w:t>expenditure</w:t>
      </w:r>
      <w:bookmarkEnd w:id="2"/>
      <w:r w:rsidR="00DC65F3" w:rsidRPr="00780B33">
        <w:rPr>
          <w:rFonts w:asciiTheme="majorHAnsi" w:eastAsiaTheme="majorEastAsia" w:hAnsiTheme="majorHAnsi" w:cstheme="majorBidi"/>
          <w:bCs/>
          <w:color w:val="000000" w:themeColor="text1"/>
          <w:sz w:val="24"/>
          <w:szCs w:val="24"/>
        </w:rPr>
        <w:t xml:space="preserve">, </w:t>
      </w:r>
      <w:bookmarkStart w:id="3" w:name="_Hlk63150680"/>
      <w:r w:rsidR="00DC65F3" w:rsidRPr="00780B33">
        <w:rPr>
          <w:rFonts w:asciiTheme="majorHAnsi" w:eastAsiaTheme="majorEastAsia" w:hAnsiTheme="majorHAnsi" w:cstheme="majorBidi"/>
          <w:bCs/>
          <w:color w:val="000000" w:themeColor="text1"/>
          <w:sz w:val="24"/>
          <w:szCs w:val="24"/>
        </w:rPr>
        <w:t xml:space="preserve">such as </w:t>
      </w:r>
      <w:bookmarkEnd w:id="3"/>
      <w:r w:rsidR="00DC65F3" w:rsidRPr="00780B33">
        <w:rPr>
          <w:rFonts w:asciiTheme="majorHAnsi" w:eastAsiaTheme="majorEastAsia" w:hAnsiTheme="majorHAnsi" w:cstheme="majorBidi"/>
          <w:bCs/>
          <w:color w:val="000000" w:themeColor="text1"/>
          <w:sz w:val="24"/>
          <w:szCs w:val="24"/>
        </w:rPr>
        <w:t>wh</w:t>
      </w:r>
      <w:r w:rsidRPr="00780B33">
        <w:rPr>
          <w:rFonts w:asciiTheme="majorHAnsi" w:eastAsiaTheme="majorEastAsia" w:hAnsiTheme="majorHAnsi" w:cstheme="majorBidi"/>
          <w:bCs/>
          <w:color w:val="000000" w:themeColor="text1"/>
          <w:sz w:val="24"/>
          <w:szCs w:val="24"/>
        </w:rPr>
        <w:t>ere a chain of businesses benefits when the employees working for the directly impacted businesses spend their</w:t>
      </w:r>
      <w:r w:rsidR="0082702D">
        <w:rPr>
          <w:rFonts w:asciiTheme="majorHAnsi" w:eastAsiaTheme="majorEastAsia" w:hAnsiTheme="majorHAnsi" w:cstheme="majorBidi"/>
          <w:bCs/>
          <w:color w:val="000000" w:themeColor="text1"/>
          <w:sz w:val="24"/>
          <w:szCs w:val="24"/>
        </w:rPr>
        <w:t xml:space="preserve"> additional</w:t>
      </w:r>
      <w:r w:rsidRPr="00780B33">
        <w:rPr>
          <w:rFonts w:asciiTheme="majorHAnsi" w:eastAsiaTheme="majorEastAsia" w:hAnsiTheme="majorHAnsi" w:cstheme="majorBidi"/>
          <w:bCs/>
          <w:color w:val="000000" w:themeColor="text1"/>
          <w:sz w:val="24"/>
          <w:szCs w:val="24"/>
        </w:rPr>
        <w:t xml:space="preserve"> wages and salaries</w:t>
      </w:r>
      <w:r w:rsidR="00944C5F" w:rsidRPr="00780B33">
        <w:rPr>
          <w:rFonts w:asciiTheme="majorHAnsi" w:eastAsiaTheme="majorEastAsia" w:hAnsiTheme="majorHAnsi" w:cstheme="majorBidi"/>
          <w:bCs/>
          <w:color w:val="000000" w:themeColor="text1"/>
          <w:sz w:val="24"/>
          <w:szCs w:val="24"/>
        </w:rPr>
        <w:t xml:space="preserve"> </w:t>
      </w:r>
      <w:bookmarkStart w:id="4" w:name="_Hlk63150728"/>
      <w:r w:rsidR="00944C5F" w:rsidRPr="00780B33">
        <w:rPr>
          <w:rFonts w:asciiTheme="majorHAnsi" w:eastAsiaTheme="majorEastAsia" w:hAnsiTheme="majorHAnsi" w:cstheme="majorBidi"/>
          <w:bCs/>
          <w:color w:val="000000" w:themeColor="text1"/>
          <w:sz w:val="24"/>
          <w:szCs w:val="24"/>
        </w:rPr>
        <w:t xml:space="preserve">attributable to the </w:t>
      </w:r>
      <w:r w:rsidR="0007194B">
        <w:rPr>
          <w:rFonts w:asciiTheme="majorHAnsi" w:eastAsiaTheme="majorEastAsia" w:hAnsiTheme="majorHAnsi" w:cstheme="majorBidi"/>
          <w:bCs/>
          <w:color w:val="000000" w:themeColor="text1"/>
          <w:sz w:val="24"/>
          <w:szCs w:val="24"/>
        </w:rPr>
        <w:t xml:space="preserve">tax </w:t>
      </w:r>
      <w:r w:rsidR="00944C5F" w:rsidRPr="00780B33">
        <w:rPr>
          <w:rFonts w:asciiTheme="majorHAnsi" w:eastAsiaTheme="majorEastAsia" w:hAnsiTheme="majorHAnsi" w:cstheme="majorBidi"/>
          <w:bCs/>
          <w:color w:val="000000" w:themeColor="text1"/>
          <w:sz w:val="24"/>
          <w:szCs w:val="24"/>
        </w:rPr>
        <w:t>expenditure</w:t>
      </w:r>
      <w:r w:rsidRPr="00780B33">
        <w:rPr>
          <w:rFonts w:asciiTheme="majorHAnsi" w:eastAsiaTheme="majorEastAsia" w:hAnsiTheme="majorHAnsi" w:cstheme="majorBidi"/>
          <w:bCs/>
          <w:color w:val="000000" w:themeColor="text1"/>
          <w:sz w:val="24"/>
          <w:szCs w:val="24"/>
        </w:rPr>
        <w:t xml:space="preserve"> </w:t>
      </w:r>
      <w:bookmarkEnd w:id="4"/>
      <w:r w:rsidRPr="00780B33">
        <w:rPr>
          <w:rFonts w:asciiTheme="majorHAnsi" w:eastAsiaTheme="majorEastAsia" w:hAnsiTheme="majorHAnsi" w:cstheme="majorBidi"/>
          <w:bCs/>
          <w:color w:val="000000" w:themeColor="text1"/>
          <w:sz w:val="24"/>
          <w:szCs w:val="24"/>
        </w:rPr>
        <w:t xml:space="preserve">to buy goods and services.  </w:t>
      </w:r>
      <w:r w:rsidR="00944C5F" w:rsidRPr="00780B33">
        <w:rPr>
          <w:rFonts w:asciiTheme="majorHAnsi" w:eastAsiaTheme="majorEastAsia" w:hAnsiTheme="majorHAnsi" w:cstheme="majorBidi"/>
          <w:bCs/>
          <w:color w:val="000000" w:themeColor="text1"/>
          <w:sz w:val="24"/>
          <w:szCs w:val="24"/>
        </w:rPr>
        <w:t>As a result, t</w:t>
      </w:r>
      <w:r w:rsidRPr="00780B33">
        <w:rPr>
          <w:rFonts w:asciiTheme="majorHAnsi" w:eastAsiaTheme="majorEastAsia" w:hAnsiTheme="majorHAnsi" w:cstheme="majorBidi"/>
          <w:bCs/>
          <w:color w:val="000000" w:themeColor="text1"/>
          <w:sz w:val="24"/>
          <w:szCs w:val="24"/>
        </w:rPr>
        <w:t>he total benefits or costs to the whole economy are larger than the initial</w:t>
      </w:r>
      <w:r w:rsidR="00944C5F" w:rsidRPr="00780B33">
        <w:rPr>
          <w:rFonts w:asciiTheme="majorHAnsi" w:eastAsiaTheme="majorEastAsia" w:hAnsiTheme="majorHAnsi" w:cstheme="majorBidi"/>
          <w:bCs/>
          <w:color w:val="000000" w:themeColor="text1"/>
          <w:sz w:val="24"/>
          <w:szCs w:val="24"/>
        </w:rPr>
        <w:t xml:space="preserve"> direct</w:t>
      </w:r>
      <w:r w:rsidRPr="00780B33">
        <w:rPr>
          <w:rFonts w:asciiTheme="majorHAnsi" w:eastAsiaTheme="majorEastAsia" w:hAnsiTheme="majorHAnsi" w:cstheme="majorBidi"/>
          <w:bCs/>
          <w:color w:val="000000" w:themeColor="text1"/>
          <w:sz w:val="24"/>
          <w:szCs w:val="24"/>
        </w:rPr>
        <w:t xml:space="preserve"> impacts.  This phenomenon is called the “Multiplier Effect</w:t>
      </w:r>
      <w:r w:rsidR="00944C5F" w:rsidRPr="00780B33">
        <w:rPr>
          <w:rFonts w:asciiTheme="majorHAnsi" w:eastAsiaTheme="majorEastAsia" w:hAnsiTheme="majorHAnsi" w:cstheme="majorBidi"/>
          <w:bCs/>
          <w:color w:val="000000" w:themeColor="text1"/>
          <w:sz w:val="24"/>
          <w:szCs w:val="24"/>
        </w:rPr>
        <w:t>.</w:t>
      </w:r>
      <w:r w:rsidRPr="00780B33">
        <w:rPr>
          <w:rFonts w:asciiTheme="majorHAnsi" w:eastAsiaTheme="majorEastAsia" w:hAnsiTheme="majorHAnsi" w:cstheme="majorBidi"/>
          <w:bCs/>
          <w:color w:val="000000" w:themeColor="text1"/>
          <w:sz w:val="24"/>
          <w:szCs w:val="24"/>
        </w:rPr>
        <w:t>”</w:t>
      </w:r>
      <w:r w:rsidRPr="00780B33">
        <w:rPr>
          <w:rStyle w:val="FootnoteReference"/>
          <w:rFonts w:asciiTheme="majorHAnsi" w:eastAsiaTheme="majorEastAsia" w:hAnsiTheme="majorHAnsi"/>
          <w:bCs/>
          <w:color w:val="000000" w:themeColor="text1"/>
          <w:sz w:val="24"/>
          <w:szCs w:val="24"/>
        </w:rPr>
        <w:footnoteReference w:id="1"/>
      </w:r>
    </w:p>
    <w:p w14:paraId="6F140A82" w14:textId="77777777" w:rsidR="00317B9A" w:rsidRDefault="00317B9A" w:rsidP="00317B9A">
      <w:pPr>
        <w:tabs>
          <w:tab w:val="left" w:pos="7050"/>
        </w:tabs>
        <w:spacing w:after="0"/>
        <w:rPr>
          <w:rFonts w:asciiTheme="majorHAnsi" w:hAnsiTheme="majorHAnsi"/>
          <w:bCs/>
          <w:sz w:val="24"/>
          <w:szCs w:val="24"/>
        </w:rPr>
      </w:pPr>
    </w:p>
    <w:p w14:paraId="6EE40C31" w14:textId="4F4474A7" w:rsidR="00317B9A" w:rsidRPr="00780B33" w:rsidRDefault="00317B9A" w:rsidP="007A38CC">
      <w:pPr>
        <w:rPr>
          <w:rFonts w:asciiTheme="majorHAnsi" w:hAnsiTheme="majorHAnsi"/>
          <w:bCs/>
          <w:color w:val="000000" w:themeColor="text1"/>
          <w:sz w:val="24"/>
          <w:szCs w:val="24"/>
        </w:rPr>
      </w:pPr>
      <w:r w:rsidRPr="00780B33">
        <w:rPr>
          <w:rFonts w:asciiTheme="majorHAnsi" w:hAnsiTheme="majorHAnsi"/>
          <w:bCs/>
          <w:color w:val="000000" w:themeColor="text1"/>
          <w:sz w:val="24"/>
          <w:szCs w:val="24"/>
        </w:rPr>
        <w:t xml:space="preserve">To measure these indirect and induced costs and benefits, economists often need to utilize complicated models, such as REMI </w:t>
      </w:r>
      <w:bookmarkStart w:id="5" w:name="_Hlk63150212"/>
      <w:r w:rsidR="0007194B" w:rsidRPr="00780B33">
        <w:rPr>
          <w:rFonts w:asciiTheme="majorHAnsi" w:hAnsiTheme="majorHAnsi"/>
          <w:bCs/>
          <w:color w:val="000000" w:themeColor="text1"/>
          <w:sz w:val="24"/>
          <w:szCs w:val="24"/>
        </w:rPr>
        <w:t>(</w:t>
      </w:r>
      <w:bookmarkEnd w:id="5"/>
      <w:r w:rsidR="004E4227" w:rsidRPr="00780B33">
        <w:rPr>
          <w:rFonts w:asciiTheme="majorHAnsi" w:hAnsiTheme="majorHAnsi"/>
          <w:color w:val="000000" w:themeColor="text1"/>
          <w:sz w:val="24"/>
          <w:szCs w:val="24"/>
        </w:rPr>
        <w:t>Regional Economic Models</w:t>
      </w:r>
      <w:r w:rsidR="00382C2B">
        <w:rPr>
          <w:rFonts w:asciiTheme="majorHAnsi" w:hAnsiTheme="majorHAnsi"/>
          <w:color w:val="000000" w:themeColor="text1"/>
          <w:sz w:val="24"/>
          <w:szCs w:val="24"/>
        </w:rPr>
        <w:t>,</w:t>
      </w:r>
      <w:r w:rsidR="004E4227" w:rsidRPr="00780B33">
        <w:rPr>
          <w:rFonts w:asciiTheme="majorHAnsi" w:hAnsiTheme="majorHAnsi"/>
          <w:color w:val="000000" w:themeColor="text1"/>
          <w:sz w:val="24"/>
          <w:szCs w:val="24"/>
        </w:rPr>
        <w:t xml:space="preserve"> Inc</w:t>
      </w:r>
      <w:r w:rsidR="00382C2B">
        <w:rPr>
          <w:rFonts w:asciiTheme="majorHAnsi" w:hAnsiTheme="majorHAnsi"/>
          <w:color w:val="000000" w:themeColor="text1"/>
          <w:sz w:val="24"/>
          <w:szCs w:val="24"/>
        </w:rPr>
        <w:t>.</w:t>
      </w:r>
      <w:r w:rsidR="004E4227" w:rsidRPr="00780B33">
        <w:rPr>
          <w:rFonts w:asciiTheme="majorHAnsi" w:hAnsiTheme="majorHAnsi"/>
          <w:color w:val="000000" w:themeColor="text1"/>
          <w:sz w:val="24"/>
          <w:szCs w:val="24"/>
        </w:rPr>
        <w:t>) </w:t>
      </w:r>
      <w:r w:rsidRPr="00780B33">
        <w:rPr>
          <w:rFonts w:asciiTheme="majorHAnsi" w:hAnsiTheme="majorHAnsi"/>
          <w:bCs/>
          <w:color w:val="000000" w:themeColor="text1"/>
          <w:sz w:val="24"/>
          <w:szCs w:val="24"/>
        </w:rPr>
        <w:t>or IMPLAN</w:t>
      </w:r>
      <w:r w:rsidR="0007194B" w:rsidRPr="00780B33">
        <w:rPr>
          <w:rFonts w:asciiTheme="majorHAnsi" w:hAnsiTheme="majorHAnsi"/>
          <w:bCs/>
          <w:color w:val="000000" w:themeColor="text1"/>
          <w:sz w:val="24"/>
          <w:szCs w:val="24"/>
        </w:rPr>
        <w:t xml:space="preserve"> </w:t>
      </w:r>
      <w:bookmarkStart w:id="6" w:name="_Hlk63150227"/>
      <w:r w:rsidR="0007194B" w:rsidRPr="00780B33">
        <w:rPr>
          <w:rFonts w:asciiTheme="majorHAnsi" w:hAnsiTheme="majorHAnsi"/>
          <w:bCs/>
          <w:color w:val="000000" w:themeColor="text1"/>
          <w:sz w:val="24"/>
          <w:szCs w:val="24"/>
        </w:rPr>
        <w:t>(</w:t>
      </w:r>
      <w:r w:rsidR="0007194B" w:rsidRPr="00780B33">
        <w:rPr>
          <w:rFonts w:asciiTheme="majorHAnsi" w:hAnsiTheme="majorHAnsi" w:cs="Arial"/>
          <w:color w:val="000000" w:themeColor="text1"/>
          <w:sz w:val="24"/>
          <w:szCs w:val="24"/>
          <w:shd w:val="clear" w:color="auto" w:fill="FFFFFF"/>
        </w:rPr>
        <w:t>Impact Analysis for Planning) models</w:t>
      </w:r>
      <w:bookmarkEnd w:id="6"/>
      <w:r w:rsidRPr="00780B33">
        <w:rPr>
          <w:rFonts w:asciiTheme="majorHAnsi" w:hAnsiTheme="majorHAnsi"/>
          <w:bCs/>
          <w:color w:val="000000" w:themeColor="text1"/>
          <w:sz w:val="24"/>
          <w:szCs w:val="24"/>
        </w:rPr>
        <w:t xml:space="preserve">. Given that the amount of direct costs and benefits are small for </w:t>
      </w:r>
      <w:r w:rsidR="007A38CC" w:rsidRPr="00780B33">
        <w:rPr>
          <w:rFonts w:asciiTheme="majorHAnsi" w:hAnsiTheme="majorHAnsi"/>
          <w:bCs/>
          <w:color w:val="000000" w:themeColor="text1"/>
          <w:sz w:val="24"/>
          <w:szCs w:val="24"/>
        </w:rPr>
        <w:t xml:space="preserve">this </w:t>
      </w:r>
      <w:r w:rsidRPr="00780B33">
        <w:rPr>
          <w:rFonts w:asciiTheme="majorHAnsi" w:hAnsiTheme="majorHAnsi"/>
          <w:bCs/>
          <w:color w:val="000000" w:themeColor="text1"/>
          <w:sz w:val="24"/>
          <w:szCs w:val="24"/>
        </w:rPr>
        <w:t>tax expenditure, less than $</w:t>
      </w:r>
      <w:r w:rsidR="007C4266" w:rsidRPr="00780B33">
        <w:rPr>
          <w:rFonts w:asciiTheme="majorHAnsi" w:hAnsiTheme="majorHAnsi"/>
          <w:bCs/>
          <w:color w:val="000000" w:themeColor="text1"/>
          <w:sz w:val="24"/>
          <w:szCs w:val="24"/>
        </w:rPr>
        <w:t>2</w:t>
      </w:r>
      <w:r w:rsidRPr="00780B33">
        <w:rPr>
          <w:rFonts w:asciiTheme="majorHAnsi" w:hAnsiTheme="majorHAnsi"/>
          <w:bCs/>
          <w:color w:val="000000" w:themeColor="text1"/>
          <w:sz w:val="24"/>
          <w:szCs w:val="24"/>
        </w:rPr>
        <w:t xml:space="preserve"> million per year, DOR did not attempt to quantify such costs and benefits.</w:t>
      </w:r>
    </w:p>
    <w:p w14:paraId="3DB4B474" w14:textId="77777777" w:rsidR="00317B9A" w:rsidRDefault="00317B9A" w:rsidP="00317B9A">
      <w:pPr>
        <w:tabs>
          <w:tab w:val="left" w:pos="7050"/>
        </w:tabs>
        <w:spacing w:after="0"/>
        <w:rPr>
          <w:rFonts w:asciiTheme="majorHAnsi" w:hAnsiTheme="majorHAnsi"/>
          <w:bCs/>
          <w:sz w:val="24"/>
          <w:szCs w:val="23"/>
        </w:rPr>
      </w:pPr>
      <w:r>
        <w:rPr>
          <w:rFonts w:asciiTheme="majorHAnsi" w:hAnsiTheme="majorHAnsi"/>
          <w:bCs/>
          <w:sz w:val="24"/>
          <w:szCs w:val="24"/>
        </w:rPr>
        <w:lastRenderedPageBreak/>
        <w:t xml:space="preserve"> </w:t>
      </w:r>
    </w:p>
    <w:p w14:paraId="295BE76F" w14:textId="77777777" w:rsidR="00A91801" w:rsidRDefault="00A91801" w:rsidP="00A91801">
      <w:pPr>
        <w:tabs>
          <w:tab w:val="left" w:pos="7050"/>
        </w:tabs>
        <w:spacing w:after="0"/>
        <w:rPr>
          <w:rFonts w:asciiTheme="majorHAnsi" w:hAnsiTheme="majorHAnsi"/>
          <w:bCs/>
          <w:sz w:val="24"/>
          <w:szCs w:val="23"/>
        </w:rPr>
      </w:pPr>
    </w:p>
    <w:p w14:paraId="4A4174EB" w14:textId="77777777" w:rsidR="00EB7189" w:rsidRDefault="00462562" w:rsidP="00EB7189">
      <w:pPr>
        <w:rPr>
          <w:rFonts w:asciiTheme="majorHAnsi" w:eastAsiaTheme="majorEastAsia" w:hAnsiTheme="majorHAnsi" w:cstheme="majorBidi"/>
          <w:b/>
          <w:bCs/>
          <w:color w:val="E36C0A" w:themeColor="accent6" w:themeShade="BF"/>
          <w:sz w:val="28"/>
          <w:szCs w:val="28"/>
        </w:rPr>
      </w:pPr>
      <w:r w:rsidRPr="004C3153">
        <w:rPr>
          <w:rFonts w:asciiTheme="majorHAnsi" w:eastAsiaTheme="majorEastAsia" w:hAnsiTheme="majorHAnsi" w:cstheme="majorBidi"/>
          <w:b/>
          <w:bCs/>
          <w:color w:val="E36C0A" w:themeColor="accent6" w:themeShade="BF"/>
          <w:sz w:val="28"/>
          <w:szCs w:val="28"/>
        </w:rPr>
        <w:t>Similar Tax Expenditures Offered by Other States</w:t>
      </w:r>
    </w:p>
    <w:p w14:paraId="62093612" w14:textId="0FE19B89" w:rsidR="00462562" w:rsidRDefault="00462562" w:rsidP="00EB7189">
      <w:pPr>
        <w:spacing w:after="0"/>
        <w:rPr>
          <w:rFonts w:asciiTheme="majorHAnsi" w:hAnsiTheme="majorHAnsi"/>
          <w:bCs/>
          <w:sz w:val="24"/>
          <w:szCs w:val="24"/>
        </w:rPr>
      </w:pPr>
      <w:r w:rsidRPr="00EB7189">
        <w:rPr>
          <w:rFonts w:asciiTheme="majorHAnsi" w:hAnsiTheme="majorHAnsi"/>
          <w:bCs/>
          <w:sz w:val="24"/>
          <w:szCs w:val="24"/>
        </w:rPr>
        <w:t>Massachusetts is not alone in providing sales and use tax exemption for certain items sold by a vending machine.  Connecticut provides a more generous exemption, exempting items sold for fifty cents or less from a vending machine.  Conn. Gen. Stat. § 12-412(27)(a).  Meals sold through vending machines, regardless of price, and meals sold through “honor boxes” are exempt as well.  Conn. Gen. Stat. § 12-412(27)(b).</w:t>
      </w:r>
    </w:p>
    <w:p w14:paraId="4EA66C49" w14:textId="77777777" w:rsidR="00EB7189" w:rsidRPr="00582447" w:rsidRDefault="00EB7189" w:rsidP="00EB7189">
      <w:pPr>
        <w:spacing w:after="0"/>
        <w:rPr>
          <w:rFonts w:asciiTheme="majorHAnsi" w:hAnsiTheme="majorHAnsi"/>
          <w:sz w:val="24"/>
          <w:szCs w:val="24"/>
        </w:rPr>
      </w:pPr>
    </w:p>
    <w:p w14:paraId="51461E85" w14:textId="018B4335" w:rsidR="00462562" w:rsidRDefault="00462562" w:rsidP="00EB7189">
      <w:pPr>
        <w:spacing w:after="0"/>
        <w:rPr>
          <w:rFonts w:asciiTheme="majorHAnsi" w:hAnsiTheme="majorHAnsi"/>
          <w:bCs/>
          <w:sz w:val="24"/>
          <w:szCs w:val="24"/>
        </w:rPr>
      </w:pPr>
      <w:r w:rsidRPr="00EB7189">
        <w:rPr>
          <w:rFonts w:asciiTheme="majorHAnsi" w:hAnsiTheme="majorHAnsi"/>
          <w:bCs/>
          <w:sz w:val="24"/>
          <w:szCs w:val="24"/>
        </w:rPr>
        <w:t>New York also provides a similar expenditure.  Until May 31, 2021, sales of candy, fruit drinks, and soft drinks when sold from a vending machine for $1.50 or less are exempt from tax.  See NY CLS Tax § 1115(a)(1).  Tangible personal property sold in a vending machine for $.50 or less is also exempt from tax if the retailer is primarily engaged in making such sales and keeps sufficient records.  NY CLS Tax § 1115(a)(13-a).</w:t>
      </w:r>
    </w:p>
    <w:p w14:paraId="2BCE985B" w14:textId="77777777" w:rsidR="00EB7189" w:rsidRPr="00EB7189" w:rsidRDefault="00EB7189" w:rsidP="00EB7189">
      <w:pPr>
        <w:spacing w:after="0"/>
        <w:rPr>
          <w:rFonts w:asciiTheme="majorHAnsi" w:hAnsiTheme="majorHAnsi"/>
          <w:bCs/>
          <w:sz w:val="24"/>
          <w:szCs w:val="24"/>
        </w:rPr>
      </w:pPr>
    </w:p>
    <w:p w14:paraId="0A0DA458" w14:textId="188C5DEB" w:rsidR="00462562" w:rsidRDefault="00462562" w:rsidP="00EB7189">
      <w:pPr>
        <w:spacing w:after="0"/>
        <w:rPr>
          <w:rFonts w:asciiTheme="majorHAnsi" w:hAnsiTheme="majorHAnsi"/>
          <w:bCs/>
          <w:sz w:val="24"/>
          <w:szCs w:val="24"/>
        </w:rPr>
      </w:pPr>
      <w:r w:rsidRPr="00EB7189">
        <w:rPr>
          <w:rFonts w:asciiTheme="majorHAnsi" w:hAnsiTheme="majorHAnsi"/>
          <w:bCs/>
          <w:sz w:val="24"/>
          <w:szCs w:val="24"/>
        </w:rPr>
        <w:t>Other states provide lesser exemptions.  In Maine, sales of products for internal human consumption when sold through coin-operated vending machines by a person earning more than 50% of that person's retail gross receipts from the sale of tangible personal property at vending machines are exempt from tax.  36 M.R.S.A. § 1752(5-A)</w:t>
      </w:r>
      <w:r w:rsidR="00780B33">
        <w:rPr>
          <w:rFonts w:asciiTheme="majorHAnsi" w:hAnsiTheme="majorHAnsi"/>
          <w:bCs/>
          <w:sz w:val="24"/>
          <w:szCs w:val="24"/>
        </w:rPr>
        <w:t>.</w:t>
      </w:r>
      <w:r w:rsidRPr="00EB7189">
        <w:rPr>
          <w:rFonts w:asciiTheme="majorHAnsi" w:hAnsiTheme="majorHAnsi"/>
          <w:bCs/>
          <w:sz w:val="24"/>
          <w:szCs w:val="24"/>
        </w:rPr>
        <w:t xml:space="preserve"> In New Hampshire, sales of single serving beverages by a vending machine are exempt as long they are not sold in conjunction with other food vending machines or in conjunction with a meal sold by a restaurant.  RSA 78-A:6</w:t>
      </w:r>
      <w:r w:rsidR="00F739C9" w:rsidRPr="00EB7189">
        <w:rPr>
          <w:rFonts w:asciiTheme="majorHAnsi" w:hAnsiTheme="majorHAnsi"/>
          <w:bCs/>
          <w:sz w:val="24"/>
          <w:szCs w:val="24"/>
        </w:rPr>
        <w:t xml:space="preserve"> </w:t>
      </w:r>
      <w:r w:rsidRPr="00EB7189">
        <w:rPr>
          <w:rFonts w:asciiTheme="majorHAnsi" w:hAnsiTheme="majorHAnsi"/>
          <w:bCs/>
          <w:sz w:val="24"/>
          <w:szCs w:val="24"/>
        </w:rPr>
        <w:t>-</w:t>
      </w:r>
      <w:r w:rsidR="00F739C9" w:rsidRPr="00EB7189">
        <w:rPr>
          <w:rFonts w:asciiTheme="majorHAnsi" w:hAnsiTheme="majorHAnsi"/>
          <w:bCs/>
          <w:sz w:val="24"/>
          <w:szCs w:val="24"/>
        </w:rPr>
        <w:t xml:space="preserve"> </w:t>
      </w:r>
      <w:r w:rsidR="00B52DD4" w:rsidRPr="00EB7189">
        <w:rPr>
          <w:rFonts w:asciiTheme="majorHAnsi" w:hAnsiTheme="majorHAnsi"/>
          <w:bCs/>
          <w:sz w:val="24"/>
          <w:szCs w:val="24"/>
        </w:rPr>
        <w:t>C. IX.</w:t>
      </w:r>
    </w:p>
    <w:p w14:paraId="33B54379" w14:textId="77777777" w:rsidR="00EB7189" w:rsidRPr="00EB7189" w:rsidRDefault="00EB7189" w:rsidP="00EB7189">
      <w:pPr>
        <w:spacing w:after="0"/>
        <w:rPr>
          <w:rFonts w:asciiTheme="majorHAnsi" w:hAnsiTheme="majorHAnsi"/>
          <w:bCs/>
          <w:sz w:val="24"/>
          <w:szCs w:val="24"/>
        </w:rPr>
      </w:pPr>
    </w:p>
    <w:p w14:paraId="1DF5A29B" w14:textId="01805B18" w:rsidR="00462562" w:rsidRPr="00EB7189" w:rsidRDefault="00462562" w:rsidP="00EB7189">
      <w:pPr>
        <w:spacing w:after="0"/>
        <w:rPr>
          <w:rFonts w:asciiTheme="majorHAnsi" w:hAnsiTheme="majorHAnsi"/>
          <w:bCs/>
          <w:sz w:val="24"/>
          <w:szCs w:val="24"/>
        </w:rPr>
      </w:pPr>
      <w:r w:rsidRPr="00EB7189">
        <w:rPr>
          <w:rFonts w:asciiTheme="majorHAnsi" w:hAnsiTheme="majorHAnsi"/>
          <w:bCs/>
          <w:sz w:val="24"/>
          <w:szCs w:val="24"/>
        </w:rPr>
        <w:t xml:space="preserve">Rhode Island generally does not exempt items sold from a vending machine.  However, vending machine sales are exempt from the local meals and beverage tax.  R.I. Gen. Laws § 44-18-18.1(c)(2).  In Vermont, food or beverage sold from a vending machine are taxable when the vending machine is located within a restaurant.  Vermont, Reg. 1.9202(15)-2.  Sales of bottled or canned drinks from a vending machine in a grocery store, for example, are not subject to tax.     </w:t>
      </w:r>
    </w:p>
    <w:p w14:paraId="46E71C9F" w14:textId="77777777" w:rsidR="00462562" w:rsidRDefault="00462562" w:rsidP="00A91801">
      <w:pPr>
        <w:tabs>
          <w:tab w:val="left" w:pos="7050"/>
        </w:tabs>
        <w:spacing w:after="0" w:line="240" w:lineRule="auto"/>
        <w:rPr>
          <w:rFonts w:asciiTheme="majorHAnsi" w:eastAsiaTheme="majorEastAsia" w:hAnsiTheme="majorHAnsi" w:cstheme="majorBidi"/>
          <w:b/>
          <w:bCs/>
          <w:color w:val="E36C0A" w:themeColor="accent6" w:themeShade="BF"/>
          <w:sz w:val="28"/>
          <w:szCs w:val="28"/>
        </w:rPr>
      </w:pPr>
    </w:p>
    <w:p w14:paraId="1A034693" w14:textId="77777777" w:rsidR="00462562" w:rsidRDefault="00462562" w:rsidP="00A91801">
      <w:pPr>
        <w:tabs>
          <w:tab w:val="left" w:pos="7050"/>
        </w:tabs>
        <w:spacing w:after="0" w:line="240" w:lineRule="auto"/>
        <w:rPr>
          <w:rFonts w:asciiTheme="majorHAnsi" w:eastAsiaTheme="majorEastAsia" w:hAnsiTheme="majorHAnsi" w:cstheme="majorBidi"/>
          <w:b/>
          <w:bCs/>
          <w:color w:val="E36C0A" w:themeColor="accent6" w:themeShade="BF"/>
          <w:sz w:val="28"/>
          <w:szCs w:val="28"/>
        </w:rPr>
      </w:pPr>
    </w:p>
    <w:p w14:paraId="7FEA732D" w14:textId="2B41E537" w:rsidR="00A91801" w:rsidRPr="00A07439" w:rsidRDefault="00A91801" w:rsidP="00A91801">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t xml:space="preserve">IS THE INCENTIVE </w:t>
      </w:r>
      <w:r w:rsidRPr="00A07439">
        <w:rPr>
          <w:rFonts w:asciiTheme="majorHAnsi" w:eastAsiaTheme="majorEastAsia" w:hAnsiTheme="majorHAnsi" w:cstheme="majorBidi"/>
          <w:b/>
          <w:bCs/>
          <w:color w:val="E36C0A" w:themeColor="accent6" w:themeShade="BF"/>
          <w:sz w:val="28"/>
          <w:szCs w:val="28"/>
        </w:rPr>
        <w:t xml:space="preserve">AS DESIGNED ACCOMPLISHING ITS PURPOSE?  </w:t>
      </w:r>
    </w:p>
    <w:p w14:paraId="74639137" w14:textId="77777777" w:rsidR="00EB7189" w:rsidRDefault="00EB7189" w:rsidP="00EB7189">
      <w:pPr>
        <w:tabs>
          <w:tab w:val="left" w:pos="7050"/>
        </w:tabs>
        <w:spacing w:after="0" w:line="240" w:lineRule="auto"/>
        <w:rPr>
          <w:rFonts w:asciiTheme="majorHAnsi" w:eastAsiaTheme="majorEastAsia" w:hAnsiTheme="majorHAnsi" w:cstheme="majorBidi"/>
          <w:bCs/>
          <w:color w:val="000000" w:themeColor="text1"/>
          <w:sz w:val="24"/>
          <w:szCs w:val="24"/>
        </w:rPr>
      </w:pPr>
      <w:bookmarkStart w:id="7" w:name="_Hlk51155631"/>
      <w:r>
        <w:rPr>
          <w:rFonts w:asciiTheme="majorHAnsi" w:eastAsiaTheme="majorEastAsia" w:hAnsiTheme="majorHAnsi" w:cstheme="majorBidi"/>
          <w:bCs/>
          <w:color w:val="000000" w:themeColor="text1"/>
          <w:sz w:val="24"/>
          <w:szCs w:val="24"/>
        </w:rPr>
        <w:t>[FOR TERC TO COMPLETE]</w:t>
      </w:r>
      <w:bookmarkEnd w:id="7"/>
    </w:p>
    <w:p w14:paraId="795F5C87" w14:textId="77777777" w:rsidR="00A91801" w:rsidRDefault="00A91801" w:rsidP="00A91801">
      <w:pPr>
        <w:rPr>
          <w:rFonts w:asciiTheme="majorHAnsi" w:hAnsiTheme="majorHAnsi"/>
          <w:b/>
          <w:sz w:val="24"/>
          <w:szCs w:val="24"/>
        </w:rPr>
      </w:pPr>
    </w:p>
    <w:p w14:paraId="76D0AE31" w14:textId="77777777" w:rsidR="00A91801" w:rsidRPr="00582447" w:rsidRDefault="00A91801" w:rsidP="00A62A00">
      <w:pPr>
        <w:tabs>
          <w:tab w:val="left" w:pos="7050"/>
        </w:tabs>
        <w:spacing w:after="0" w:line="240" w:lineRule="auto"/>
        <w:rPr>
          <w:rFonts w:asciiTheme="majorHAnsi" w:hAnsiTheme="majorHAnsi"/>
          <w:sz w:val="24"/>
          <w:szCs w:val="24"/>
        </w:rPr>
      </w:pPr>
    </w:p>
    <w:sectPr w:rsidR="00A91801" w:rsidRPr="00582447" w:rsidSect="00ED458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F99D2" w14:textId="77777777" w:rsidR="009B3AC8" w:rsidRDefault="009B3AC8" w:rsidP="00110E98">
      <w:pPr>
        <w:spacing w:after="0" w:line="240" w:lineRule="auto"/>
      </w:pPr>
      <w:r>
        <w:separator/>
      </w:r>
    </w:p>
  </w:endnote>
  <w:endnote w:type="continuationSeparator" w:id="0">
    <w:p w14:paraId="66F68AA7" w14:textId="77777777" w:rsidR="009B3AC8" w:rsidRDefault="009B3AC8" w:rsidP="001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bon LT Std">
    <w:altName w:val="Sabon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C2F4B" w14:textId="77777777" w:rsidR="00095500" w:rsidRDefault="00095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0723" w14:textId="302767E8" w:rsidR="00F75167" w:rsidRPr="00B204AF" w:rsidRDefault="00F75167" w:rsidP="00784433">
    <w:pPr>
      <w:pStyle w:val="Footer"/>
      <w:rPr>
        <w:rFonts w:asciiTheme="majorHAnsi" w:hAnsiTheme="majorHAnsi"/>
        <w:sz w:val="24"/>
      </w:rPr>
    </w:pPr>
  </w:p>
  <w:p w14:paraId="403E9877" w14:textId="77777777" w:rsidR="00F75167" w:rsidRDefault="00F75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D8D79" w14:textId="77777777" w:rsidR="00095500" w:rsidRDefault="00095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5ABF5" w14:textId="77777777" w:rsidR="009B3AC8" w:rsidRDefault="009B3AC8" w:rsidP="00110E98">
      <w:pPr>
        <w:spacing w:after="0" w:line="240" w:lineRule="auto"/>
      </w:pPr>
      <w:r>
        <w:separator/>
      </w:r>
    </w:p>
  </w:footnote>
  <w:footnote w:type="continuationSeparator" w:id="0">
    <w:p w14:paraId="6DF9226F" w14:textId="77777777" w:rsidR="009B3AC8" w:rsidRDefault="009B3AC8" w:rsidP="00110E98">
      <w:pPr>
        <w:spacing w:after="0" w:line="240" w:lineRule="auto"/>
      </w:pPr>
      <w:r>
        <w:continuationSeparator/>
      </w:r>
    </w:p>
  </w:footnote>
  <w:footnote w:id="1">
    <w:p w14:paraId="1902F9E0" w14:textId="77777777" w:rsidR="00317B9A" w:rsidRDefault="00317B9A" w:rsidP="00317B9A">
      <w:pPr>
        <w:pStyle w:val="FootnoteText"/>
        <w:jc w:val="left"/>
      </w:pPr>
      <w:r>
        <w:rPr>
          <w:rStyle w:val="FootnoteReference"/>
        </w:rPr>
        <w:footnoteRef/>
      </w:r>
      <w:r>
        <w:t xml:space="preserve"> For an </w:t>
      </w:r>
      <w:r>
        <w:rPr>
          <w:rFonts w:asciiTheme="majorHAnsi" w:hAnsiTheme="majorHAnsi"/>
        </w:rPr>
        <w:t>illustration of “Multiplier Effect”, s</w:t>
      </w:r>
      <w:r>
        <w:t xml:space="preserve">ee </w:t>
      </w:r>
      <w:r>
        <w:rPr>
          <w:rFonts w:asciiTheme="majorHAnsi" w:hAnsiTheme="majorHAnsi"/>
        </w:rPr>
        <w:t xml:space="preserve">Slide 4 of: </w:t>
      </w:r>
      <w:hyperlink r:id="rId1" w:history="1">
        <w:r w:rsidRPr="000B3C06">
          <w:rPr>
            <w:rStyle w:val="Hyperlink"/>
            <w:rFonts w:asciiTheme="majorHAnsi" w:hAnsiTheme="majorHAnsi"/>
          </w:rPr>
          <w:t>https://www.ilw.com/seminars/JohnNeillCitation.pdf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E4C09" w14:textId="77777777" w:rsidR="00095500" w:rsidRDefault="00095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861678"/>
      <w:docPartObj>
        <w:docPartGallery w:val="Watermarks"/>
        <w:docPartUnique/>
      </w:docPartObj>
    </w:sdtPr>
    <w:sdtEndPr/>
    <w:sdtContent>
      <w:p w14:paraId="68FA5D3C" w14:textId="1045E51C" w:rsidR="00095500" w:rsidRDefault="00382C2B">
        <w:pPr>
          <w:pStyle w:val="Header"/>
        </w:pPr>
        <w:r>
          <w:rPr>
            <w:noProof/>
          </w:rPr>
          <w:pict w14:anchorId="48E961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F0168" w14:textId="77777777" w:rsidR="00095500" w:rsidRDefault="00095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2913"/>
    <w:multiLevelType w:val="hybridMultilevel"/>
    <w:tmpl w:val="0D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370F1"/>
    <w:multiLevelType w:val="hybridMultilevel"/>
    <w:tmpl w:val="3CF8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6117"/>
    <w:multiLevelType w:val="hybridMultilevel"/>
    <w:tmpl w:val="FF82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60081"/>
    <w:multiLevelType w:val="hybridMultilevel"/>
    <w:tmpl w:val="2B467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00A14"/>
    <w:multiLevelType w:val="hybridMultilevel"/>
    <w:tmpl w:val="A2E0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E6CED"/>
    <w:multiLevelType w:val="hybridMultilevel"/>
    <w:tmpl w:val="140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F1DB1"/>
    <w:multiLevelType w:val="hybridMultilevel"/>
    <w:tmpl w:val="9EA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70AD4"/>
    <w:multiLevelType w:val="hybridMultilevel"/>
    <w:tmpl w:val="1B46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117C9"/>
    <w:multiLevelType w:val="hybridMultilevel"/>
    <w:tmpl w:val="54A0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1580B"/>
    <w:multiLevelType w:val="hybridMultilevel"/>
    <w:tmpl w:val="AC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149C6"/>
    <w:multiLevelType w:val="hybridMultilevel"/>
    <w:tmpl w:val="E2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9"/>
  </w:num>
  <w:num w:numId="5">
    <w:abstractNumId w:val="5"/>
  </w:num>
  <w:num w:numId="6">
    <w:abstractNumId w:val="7"/>
  </w:num>
  <w:num w:numId="7">
    <w:abstractNumId w:val="3"/>
  </w:num>
  <w:num w:numId="8">
    <w:abstractNumId w:val="2"/>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F3F"/>
    <w:rsid w:val="00003921"/>
    <w:rsid w:val="0000728B"/>
    <w:rsid w:val="00011C3A"/>
    <w:rsid w:val="000230AD"/>
    <w:rsid w:val="000261B3"/>
    <w:rsid w:val="00026734"/>
    <w:rsid w:val="00046C6A"/>
    <w:rsid w:val="00066F7A"/>
    <w:rsid w:val="00070F2A"/>
    <w:rsid w:val="0007194B"/>
    <w:rsid w:val="0007691D"/>
    <w:rsid w:val="000952AC"/>
    <w:rsid w:val="00095500"/>
    <w:rsid w:val="000A4DDB"/>
    <w:rsid w:val="000B54CD"/>
    <w:rsid w:val="000C258F"/>
    <w:rsid w:val="000C56D9"/>
    <w:rsid w:val="000D2505"/>
    <w:rsid w:val="000E1177"/>
    <w:rsid w:val="000F24BE"/>
    <w:rsid w:val="000F2527"/>
    <w:rsid w:val="000F3809"/>
    <w:rsid w:val="00100AC0"/>
    <w:rsid w:val="00107835"/>
    <w:rsid w:val="00110E98"/>
    <w:rsid w:val="001133B6"/>
    <w:rsid w:val="0011678F"/>
    <w:rsid w:val="00122D60"/>
    <w:rsid w:val="00125E72"/>
    <w:rsid w:val="00141566"/>
    <w:rsid w:val="001464FC"/>
    <w:rsid w:val="0017763C"/>
    <w:rsid w:val="00181F74"/>
    <w:rsid w:val="00183ABF"/>
    <w:rsid w:val="001876E7"/>
    <w:rsid w:val="00187BB3"/>
    <w:rsid w:val="001D3E95"/>
    <w:rsid w:val="001E2631"/>
    <w:rsid w:val="001E7FD3"/>
    <w:rsid w:val="001F6777"/>
    <w:rsid w:val="0020079A"/>
    <w:rsid w:val="00203112"/>
    <w:rsid w:val="002116BE"/>
    <w:rsid w:val="00235025"/>
    <w:rsid w:val="00236DB3"/>
    <w:rsid w:val="002403C1"/>
    <w:rsid w:val="00245D07"/>
    <w:rsid w:val="0026033D"/>
    <w:rsid w:val="0026569D"/>
    <w:rsid w:val="00273715"/>
    <w:rsid w:val="002768F2"/>
    <w:rsid w:val="00282EBF"/>
    <w:rsid w:val="0028699E"/>
    <w:rsid w:val="00291074"/>
    <w:rsid w:val="002970B4"/>
    <w:rsid w:val="002A54D6"/>
    <w:rsid w:val="002A5E07"/>
    <w:rsid w:val="002A71E8"/>
    <w:rsid w:val="002B56E6"/>
    <w:rsid w:val="002C20FF"/>
    <w:rsid w:val="002D4ECE"/>
    <w:rsid w:val="002D74AE"/>
    <w:rsid w:val="002E2DC9"/>
    <w:rsid w:val="002E354A"/>
    <w:rsid w:val="002F10DB"/>
    <w:rsid w:val="002F14A0"/>
    <w:rsid w:val="002F5704"/>
    <w:rsid w:val="0030425B"/>
    <w:rsid w:val="00317B9A"/>
    <w:rsid w:val="003229C4"/>
    <w:rsid w:val="00344841"/>
    <w:rsid w:val="00355122"/>
    <w:rsid w:val="00355A51"/>
    <w:rsid w:val="00361658"/>
    <w:rsid w:val="0037601D"/>
    <w:rsid w:val="003800E0"/>
    <w:rsid w:val="00380D5D"/>
    <w:rsid w:val="00382C2B"/>
    <w:rsid w:val="003B4893"/>
    <w:rsid w:val="003C1700"/>
    <w:rsid w:val="003C36A3"/>
    <w:rsid w:val="003E71AD"/>
    <w:rsid w:val="003F2800"/>
    <w:rsid w:val="004036FA"/>
    <w:rsid w:val="00420151"/>
    <w:rsid w:val="00421908"/>
    <w:rsid w:val="0043000B"/>
    <w:rsid w:val="004351B8"/>
    <w:rsid w:val="00453CFA"/>
    <w:rsid w:val="00462562"/>
    <w:rsid w:val="00466D0B"/>
    <w:rsid w:val="00481E5A"/>
    <w:rsid w:val="00485FBB"/>
    <w:rsid w:val="00486F3F"/>
    <w:rsid w:val="004A1129"/>
    <w:rsid w:val="004A3B69"/>
    <w:rsid w:val="004B14D0"/>
    <w:rsid w:val="004B2293"/>
    <w:rsid w:val="004C0367"/>
    <w:rsid w:val="004C3153"/>
    <w:rsid w:val="004C45A3"/>
    <w:rsid w:val="004D54CC"/>
    <w:rsid w:val="004E4227"/>
    <w:rsid w:val="00503DFA"/>
    <w:rsid w:val="00515EE7"/>
    <w:rsid w:val="0054448F"/>
    <w:rsid w:val="005529C5"/>
    <w:rsid w:val="00560888"/>
    <w:rsid w:val="00565D22"/>
    <w:rsid w:val="00567D60"/>
    <w:rsid w:val="00573B63"/>
    <w:rsid w:val="0057555B"/>
    <w:rsid w:val="00576773"/>
    <w:rsid w:val="00582447"/>
    <w:rsid w:val="005835F0"/>
    <w:rsid w:val="00591538"/>
    <w:rsid w:val="005A0637"/>
    <w:rsid w:val="005A53F3"/>
    <w:rsid w:val="005B1BBE"/>
    <w:rsid w:val="005C1220"/>
    <w:rsid w:val="005C656F"/>
    <w:rsid w:val="005F4E85"/>
    <w:rsid w:val="006016F3"/>
    <w:rsid w:val="006052BE"/>
    <w:rsid w:val="00616EEB"/>
    <w:rsid w:val="00617863"/>
    <w:rsid w:val="00637D88"/>
    <w:rsid w:val="00654F84"/>
    <w:rsid w:val="00664139"/>
    <w:rsid w:val="00683ED4"/>
    <w:rsid w:val="006860D7"/>
    <w:rsid w:val="006A209C"/>
    <w:rsid w:val="006D4359"/>
    <w:rsid w:val="006E34EC"/>
    <w:rsid w:val="006F0FA4"/>
    <w:rsid w:val="006F4DB1"/>
    <w:rsid w:val="0071346F"/>
    <w:rsid w:val="00733F6D"/>
    <w:rsid w:val="007343DE"/>
    <w:rsid w:val="007361C4"/>
    <w:rsid w:val="0074239C"/>
    <w:rsid w:val="00764F13"/>
    <w:rsid w:val="00780B33"/>
    <w:rsid w:val="00784433"/>
    <w:rsid w:val="00797458"/>
    <w:rsid w:val="007A3349"/>
    <w:rsid w:val="007A38CC"/>
    <w:rsid w:val="007C3ABD"/>
    <w:rsid w:val="007C4266"/>
    <w:rsid w:val="007E4AA9"/>
    <w:rsid w:val="007F1706"/>
    <w:rsid w:val="0080051E"/>
    <w:rsid w:val="008119A2"/>
    <w:rsid w:val="00812582"/>
    <w:rsid w:val="00815A25"/>
    <w:rsid w:val="0082702D"/>
    <w:rsid w:val="008337C2"/>
    <w:rsid w:val="008445E3"/>
    <w:rsid w:val="00860229"/>
    <w:rsid w:val="00881147"/>
    <w:rsid w:val="008904BE"/>
    <w:rsid w:val="008969F4"/>
    <w:rsid w:val="008C2341"/>
    <w:rsid w:val="008C5153"/>
    <w:rsid w:val="008D239F"/>
    <w:rsid w:val="00904624"/>
    <w:rsid w:val="00907C7E"/>
    <w:rsid w:val="009163C7"/>
    <w:rsid w:val="00921525"/>
    <w:rsid w:val="009223DE"/>
    <w:rsid w:val="009373F9"/>
    <w:rsid w:val="00944C5F"/>
    <w:rsid w:val="00960EC0"/>
    <w:rsid w:val="00975D54"/>
    <w:rsid w:val="00990C12"/>
    <w:rsid w:val="009A1B1B"/>
    <w:rsid w:val="009A55CB"/>
    <w:rsid w:val="009B329A"/>
    <w:rsid w:val="009B3AC8"/>
    <w:rsid w:val="009C050E"/>
    <w:rsid w:val="009C5955"/>
    <w:rsid w:val="009D167F"/>
    <w:rsid w:val="009E327F"/>
    <w:rsid w:val="00A05358"/>
    <w:rsid w:val="00A07796"/>
    <w:rsid w:val="00A07F61"/>
    <w:rsid w:val="00A12F36"/>
    <w:rsid w:val="00A31F70"/>
    <w:rsid w:val="00A35E2F"/>
    <w:rsid w:val="00A44E82"/>
    <w:rsid w:val="00A6097D"/>
    <w:rsid w:val="00A62A00"/>
    <w:rsid w:val="00A658D3"/>
    <w:rsid w:val="00A67CAA"/>
    <w:rsid w:val="00A82B34"/>
    <w:rsid w:val="00A846CA"/>
    <w:rsid w:val="00A87245"/>
    <w:rsid w:val="00A90DB7"/>
    <w:rsid w:val="00A91801"/>
    <w:rsid w:val="00A94CCD"/>
    <w:rsid w:val="00AD2A39"/>
    <w:rsid w:val="00AE1563"/>
    <w:rsid w:val="00AF4D9B"/>
    <w:rsid w:val="00B06BE1"/>
    <w:rsid w:val="00B1351C"/>
    <w:rsid w:val="00B15DB6"/>
    <w:rsid w:val="00B204AF"/>
    <w:rsid w:val="00B239E1"/>
    <w:rsid w:val="00B33DBC"/>
    <w:rsid w:val="00B37DB1"/>
    <w:rsid w:val="00B52DD4"/>
    <w:rsid w:val="00B63B5B"/>
    <w:rsid w:val="00B666DB"/>
    <w:rsid w:val="00B70F10"/>
    <w:rsid w:val="00B77D67"/>
    <w:rsid w:val="00B80C28"/>
    <w:rsid w:val="00BA28AE"/>
    <w:rsid w:val="00BA5BF1"/>
    <w:rsid w:val="00BB0386"/>
    <w:rsid w:val="00BB1403"/>
    <w:rsid w:val="00BC6806"/>
    <w:rsid w:val="00BD3224"/>
    <w:rsid w:val="00BE01E6"/>
    <w:rsid w:val="00BF42C3"/>
    <w:rsid w:val="00C07688"/>
    <w:rsid w:val="00C1578D"/>
    <w:rsid w:val="00C24414"/>
    <w:rsid w:val="00C24666"/>
    <w:rsid w:val="00C25AAF"/>
    <w:rsid w:val="00C32936"/>
    <w:rsid w:val="00C52BD0"/>
    <w:rsid w:val="00C55640"/>
    <w:rsid w:val="00C5736A"/>
    <w:rsid w:val="00C778AC"/>
    <w:rsid w:val="00C82683"/>
    <w:rsid w:val="00CA75F7"/>
    <w:rsid w:val="00CC05CE"/>
    <w:rsid w:val="00CC208F"/>
    <w:rsid w:val="00CC6D55"/>
    <w:rsid w:val="00CD4D7B"/>
    <w:rsid w:val="00CD53DB"/>
    <w:rsid w:val="00CE3154"/>
    <w:rsid w:val="00CE6263"/>
    <w:rsid w:val="00CF3722"/>
    <w:rsid w:val="00CF41DD"/>
    <w:rsid w:val="00D11303"/>
    <w:rsid w:val="00D14803"/>
    <w:rsid w:val="00D17E9D"/>
    <w:rsid w:val="00D27042"/>
    <w:rsid w:val="00D363DB"/>
    <w:rsid w:val="00D42303"/>
    <w:rsid w:val="00D4431A"/>
    <w:rsid w:val="00D73F36"/>
    <w:rsid w:val="00D80D2E"/>
    <w:rsid w:val="00DA72B6"/>
    <w:rsid w:val="00DC65F3"/>
    <w:rsid w:val="00DE0DA2"/>
    <w:rsid w:val="00DE5262"/>
    <w:rsid w:val="00E00068"/>
    <w:rsid w:val="00E0580F"/>
    <w:rsid w:val="00E138D3"/>
    <w:rsid w:val="00E33A9F"/>
    <w:rsid w:val="00E51400"/>
    <w:rsid w:val="00E52A82"/>
    <w:rsid w:val="00E671DE"/>
    <w:rsid w:val="00E72A52"/>
    <w:rsid w:val="00E92C1D"/>
    <w:rsid w:val="00E94E4D"/>
    <w:rsid w:val="00EA24B6"/>
    <w:rsid w:val="00EB391B"/>
    <w:rsid w:val="00EB40E2"/>
    <w:rsid w:val="00EB6A19"/>
    <w:rsid w:val="00EB7189"/>
    <w:rsid w:val="00ED3285"/>
    <w:rsid w:val="00ED4589"/>
    <w:rsid w:val="00EE6794"/>
    <w:rsid w:val="00EF4AAA"/>
    <w:rsid w:val="00F065BC"/>
    <w:rsid w:val="00F076B1"/>
    <w:rsid w:val="00F10C8D"/>
    <w:rsid w:val="00F14219"/>
    <w:rsid w:val="00F14444"/>
    <w:rsid w:val="00F22DAA"/>
    <w:rsid w:val="00F24AE3"/>
    <w:rsid w:val="00F51224"/>
    <w:rsid w:val="00F72E32"/>
    <w:rsid w:val="00F739C9"/>
    <w:rsid w:val="00F749C0"/>
    <w:rsid w:val="00F75167"/>
    <w:rsid w:val="00F7586D"/>
    <w:rsid w:val="00F823A4"/>
    <w:rsid w:val="00F82F4E"/>
    <w:rsid w:val="00F93830"/>
    <w:rsid w:val="00FB3A1E"/>
    <w:rsid w:val="00FC7795"/>
    <w:rsid w:val="00FD525F"/>
    <w:rsid w:val="00FF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DAF950"/>
  <w15:docId w15:val="{979B8B92-9AE6-4BC1-89A0-86A86955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41"/>
    <w:rPr>
      <w:rFonts w:ascii="Tahoma" w:hAnsi="Tahoma" w:cs="Tahoma"/>
      <w:sz w:val="16"/>
      <w:szCs w:val="16"/>
    </w:rPr>
  </w:style>
  <w:style w:type="table" w:styleId="TableGrid">
    <w:name w:val="Table Grid"/>
    <w:basedOn w:val="TableNormal"/>
    <w:uiPriority w:val="59"/>
    <w:rsid w:val="00A8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46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846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846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Default">
    <w:name w:val="Default"/>
    <w:rsid w:val="00245D07"/>
    <w:pPr>
      <w:autoSpaceDE w:val="0"/>
      <w:autoSpaceDN w:val="0"/>
      <w:adjustRightInd w:val="0"/>
      <w:spacing w:after="0" w:line="240" w:lineRule="auto"/>
    </w:pPr>
    <w:rPr>
      <w:rFonts w:ascii="Sabon LT Std" w:hAnsi="Sabon LT Std" w:cs="Sabon LT Std"/>
      <w:color w:val="000000"/>
      <w:sz w:val="24"/>
      <w:szCs w:val="24"/>
    </w:rPr>
  </w:style>
  <w:style w:type="paragraph" w:styleId="FootnoteText">
    <w:name w:val="footnote text"/>
    <w:basedOn w:val="Normal"/>
    <w:link w:val="FootnoteTextChar"/>
    <w:semiHidden/>
    <w:rsid w:val="00110E98"/>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10E98"/>
    <w:rPr>
      <w:rFonts w:ascii="Times New Roman" w:eastAsia="Times New Roman" w:hAnsi="Times New Roman" w:cs="Times New Roman"/>
      <w:sz w:val="20"/>
      <w:szCs w:val="20"/>
    </w:rPr>
  </w:style>
  <w:style w:type="character" w:styleId="FootnoteReference">
    <w:name w:val="footnote reference"/>
    <w:semiHidden/>
    <w:rsid w:val="00110E98"/>
    <w:rPr>
      <w:rFonts w:cs="Times New Roman"/>
      <w:vertAlign w:val="superscript"/>
    </w:rPr>
  </w:style>
  <w:style w:type="character" w:styleId="Hyperlink">
    <w:name w:val="Hyperlink"/>
    <w:rsid w:val="00110E98"/>
    <w:rPr>
      <w:rFonts w:cs="Times New Roman"/>
      <w:color w:val="0000FF"/>
      <w:u w:val="single"/>
    </w:rPr>
  </w:style>
  <w:style w:type="paragraph" w:styleId="ListParagraph">
    <w:name w:val="List Paragraph"/>
    <w:basedOn w:val="Normal"/>
    <w:uiPriority w:val="34"/>
    <w:qFormat/>
    <w:rsid w:val="00D80D2E"/>
    <w:pPr>
      <w:ind w:left="720"/>
      <w:contextualSpacing/>
    </w:pPr>
  </w:style>
  <w:style w:type="paragraph" w:styleId="Header">
    <w:name w:val="header"/>
    <w:basedOn w:val="Normal"/>
    <w:link w:val="HeaderChar"/>
    <w:uiPriority w:val="99"/>
    <w:unhideWhenUsed/>
    <w:rsid w:val="00B2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F"/>
  </w:style>
  <w:style w:type="paragraph" w:styleId="Footer">
    <w:name w:val="footer"/>
    <w:basedOn w:val="Normal"/>
    <w:link w:val="FooterChar"/>
    <w:uiPriority w:val="99"/>
    <w:unhideWhenUsed/>
    <w:rsid w:val="00B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F"/>
  </w:style>
  <w:style w:type="character" w:styleId="CommentReference">
    <w:name w:val="annotation reference"/>
    <w:basedOn w:val="DefaultParagraphFont"/>
    <w:uiPriority w:val="99"/>
    <w:semiHidden/>
    <w:unhideWhenUsed/>
    <w:rsid w:val="00A07796"/>
    <w:rPr>
      <w:sz w:val="16"/>
      <w:szCs w:val="16"/>
    </w:rPr>
  </w:style>
  <w:style w:type="paragraph" w:styleId="CommentText">
    <w:name w:val="annotation text"/>
    <w:basedOn w:val="Normal"/>
    <w:link w:val="CommentTextChar"/>
    <w:uiPriority w:val="99"/>
    <w:semiHidden/>
    <w:unhideWhenUsed/>
    <w:rsid w:val="00A07796"/>
    <w:pPr>
      <w:spacing w:line="240" w:lineRule="auto"/>
    </w:pPr>
    <w:rPr>
      <w:sz w:val="20"/>
      <w:szCs w:val="20"/>
    </w:rPr>
  </w:style>
  <w:style w:type="character" w:customStyle="1" w:styleId="CommentTextChar">
    <w:name w:val="Comment Text Char"/>
    <w:basedOn w:val="DefaultParagraphFont"/>
    <w:link w:val="CommentText"/>
    <w:uiPriority w:val="99"/>
    <w:semiHidden/>
    <w:rsid w:val="00A07796"/>
    <w:rPr>
      <w:sz w:val="20"/>
      <w:szCs w:val="20"/>
    </w:rPr>
  </w:style>
  <w:style w:type="paragraph" w:styleId="CommentSubject">
    <w:name w:val="annotation subject"/>
    <w:basedOn w:val="CommentText"/>
    <w:next w:val="CommentText"/>
    <w:link w:val="CommentSubjectChar"/>
    <w:uiPriority w:val="99"/>
    <w:semiHidden/>
    <w:unhideWhenUsed/>
    <w:rsid w:val="00A07796"/>
    <w:rPr>
      <w:b/>
      <w:bCs/>
    </w:rPr>
  </w:style>
  <w:style w:type="character" w:customStyle="1" w:styleId="CommentSubjectChar">
    <w:name w:val="Comment Subject Char"/>
    <w:basedOn w:val="CommentTextChar"/>
    <w:link w:val="CommentSubject"/>
    <w:uiPriority w:val="99"/>
    <w:semiHidden/>
    <w:rsid w:val="00A07796"/>
    <w:rPr>
      <w:b/>
      <w:bCs/>
      <w:sz w:val="20"/>
      <w:szCs w:val="20"/>
    </w:rPr>
  </w:style>
  <w:style w:type="character" w:customStyle="1" w:styleId="docsearchterm">
    <w:name w:val="docsearchterm"/>
    <w:basedOn w:val="DefaultParagraphFont"/>
    <w:rsid w:val="00764F13"/>
  </w:style>
  <w:style w:type="paragraph" w:styleId="Revision">
    <w:name w:val="Revision"/>
    <w:hidden/>
    <w:uiPriority w:val="99"/>
    <w:semiHidden/>
    <w:rsid w:val="001133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600990">
      <w:bodyDiv w:val="1"/>
      <w:marLeft w:val="0"/>
      <w:marRight w:val="0"/>
      <w:marTop w:val="0"/>
      <w:marBottom w:val="0"/>
      <w:divBdr>
        <w:top w:val="none" w:sz="0" w:space="0" w:color="auto"/>
        <w:left w:val="none" w:sz="0" w:space="0" w:color="auto"/>
        <w:bottom w:val="none" w:sz="0" w:space="0" w:color="auto"/>
        <w:right w:val="none" w:sz="0" w:space="0" w:color="auto"/>
      </w:divBdr>
    </w:div>
    <w:div w:id="849757763">
      <w:bodyDiv w:val="1"/>
      <w:marLeft w:val="0"/>
      <w:marRight w:val="0"/>
      <w:marTop w:val="0"/>
      <w:marBottom w:val="0"/>
      <w:divBdr>
        <w:top w:val="none" w:sz="0" w:space="0" w:color="auto"/>
        <w:left w:val="none" w:sz="0" w:space="0" w:color="auto"/>
        <w:bottom w:val="none" w:sz="0" w:space="0" w:color="auto"/>
        <w:right w:val="none" w:sz="0" w:space="0" w:color="auto"/>
      </w:divBdr>
    </w:div>
    <w:div w:id="879633790">
      <w:bodyDiv w:val="1"/>
      <w:marLeft w:val="0"/>
      <w:marRight w:val="0"/>
      <w:marTop w:val="0"/>
      <w:marBottom w:val="0"/>
      <w:divBdr>
        <w:top w:val="none" w:sz="0" w:space="0" w:color="auto"/>
        <w:left w:val="none" w:sz="0" w:space="0" w:color="auto"/>
        <w:bottom w:val="none" w:sz="0" w:space="0" w:color="auto"/>
        <w:right w:val="none" w:sz="0" w:space="0" w:color="auto"/>
      </w:divBdr>
    </w:div>
    <w:div w:id="1419980658">
      <w:bodyDiv w:val="1"/>
      <w:marLeft w:val="0"/>
      <w:marRight w:val="0"/>
      <w:marTop w:val="0"/>
      <w:marBottom w:val="0"/>
      <w:divBdr>
        <w:top w:val="none" w:sz="0" w:space="0" w:color="auto"/>
        <w:left w:val="none" w:sz="0" w:space="0" w:color="auto"/>
        <w:bottom w:val="none" w:sz="0" w:space="0" w:color="auto"/>
        <w:right w:val="none" w:sz="0" w:space="0" w:color="auto"/>
      </w:divBdr>
    </w:div>
    <w:div w:id="1437216159">
      <w:bodyDiv w:val="1"/>
      <w:marLeft w:val="0"/>
      <w:marRight w:val="0"/>
      <w:marTop w:val="0"/>
      <w:marBottom w:val="0"/>
      <w:divBdr>
        <w:top w:val="none" w:sz="0" w:space="0" w:color="auto"/>
        <w:left w:val="none" w:sz="0" w:space="0" w:color="auto"/>
        <w:bottom w:val="none" w:sz="0" w:space="0" w:color="auto"/>
        <w:right w:val="none" w:sz="0" w:space="0" w:color="auto"/>
      </w:divBdr>
    </w:div>
    <w:div w:id="1468206458">
      <w:bodyDiv w:val="1"/>
      <w:marLeft w:val="0"/>
      <w:marRight w:val="0"/>
      <w:marTop w:val="0"/>
      <w:marBottom w:val="0"/>
      <w:divBdr>
        <w:top w:val="none" w:sz="0" w:space="0" w:color="auto"/>
        <w:left w:val="none" w:sz="0" w:space="0" w:color="auto"/>
        <w:bottom w:val="none" w:sz="0" w:space="0" w:color="auto"/>
        <w:right w:val="none" w:sz="0" w:space="0" w:color="auto"/>
      </w:divBdr>
    </w:div>
    <w:div w:id="1523471314">
      <w:bodyDiv w:val="1"/>
      <w:marLeft w:val="0"/>
      <w:marRight w:val="0"/>
      <w:marTop w:val="0"/>
      <w:marBottom w:val="0"/>
      <w:divBdr>
        <w:top w:val="none" w:sz="0" w:space="0" w:color="auto"/>
        <w:left w:val="none" w:sz="0" w:space="0" w:color="auto"/>
        <w:bottom w:val="none" w:sz="0" w:space="0" w:color="auto"/>
        <w:right w:val="none" w:sz="0" w:space="0" w:color="auto"/>
      </w:divBdr>
    </w:div>
    <w:div w:id="1628509470">
      <w:bodyDiv w:val="1"/>
      <w:marLeft w:val="0"/>
      <w:marRight w:val="0"/>
      <w:marTop w:val="0"/>
      <w:marBottom w:val="0"/>
      <w:divBdr>
        <w:top w:val="none" w:sz="0" w:space="0" w:color="auto"/>
        <w:left w:val="none" w:sz="0" w:space="0" w:color="auto"/>
        <w:bottom w:val="none" w:sz="0" w:space="0" w:color="auto"/>
        <w:right w:val="none" w:sz="0" w:space="0" w:color="auto"/>
      </w:divBdr>
    </w:div>
    <w:div w:id="1782841814">
      <w:bodyDiv w:val="1"/>
      <w:marLeft w:val="0"/>
      <w:marRight w:val="0"/>
      <w:marTop w:val="0"/>
      <w:marBottom w:val="0"/>
      <w:divBdr>
        <w:top w:val="none" w:sz="0" w:space="0" w:color="auto"/>
        <w:left w:val="none" w:sz="0" w:space="0" w:color="auto"/>
        <w:bottom w:val="none" w:sz="0" w:space="0" w:color="auto"/>
        <w:right w:val="none" w:sz="0" w:space="0" w:color="auto"/>
      </w:divBdr>
    </w:div>
    <w:div w:id="17991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lw.com/seminars/JohnNeillCi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C674B-8550-40B4-BB42-AB156377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Pokharel</dc:creator>
  <cp:lastModifiedBy>Liu, Fushang (DOR)</cp:lastModifiedBy>
  <cp:revision>13</cp:revision>
  <cp:lastPrinted>2020-01-28T19:08:00Z</cp:lastPrinted>
  <dcterms:created xsi:type="dcterms:W3CDTF">2021-02-01T20:59:00Z</dcterms:created>
  <dcterms:modified xsi:type="dcterms:W3CDTF">2021-02-03T22:47:00Z</dcterms:modified>
</cp:coreProperties>
</file>