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7F9F7" w14:textId="77777777" w:rsidR="002A1FA3" w:rsidRPr="00BF0616" w:rsidRDefault="002A1FA3" w:rsidP="002A1FA3">
      <w:pPr>
        <w:rPr>
          <w:rFonts w:ascii="Times New Roman" w:hAnsi="Times New Roman" w:cs="Times New Roman"/>
          <w:sz w:val="24"/>
          <w:szCs w:val="24"/>
        </w:rPr>
      </w:pPr>
      <w:r w:rsidRPr="00BF061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D04567" wp14:editId="1403564A">
            <wp:extent cx="3650615" cy="1105535"/>
            <wp:effectExtent l="1905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615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8D7350" w14:textId="77777777" w:rsidR="002A1FA3" w:rsidRPr="00435878" w:rsidRDefault="00531455" w:rsidP="002A1FA3">
      <w:pPr>
        <w:pStyle w:val="Default"/>
        <w:rPr>
          <w:b/>
          <w:bCs/>
          <w:sz w:val="28"/>
          <w:szCs w:val="28"/>
        </w:rPr>
      </w:pPr>
      <w:r w:rsidRPr="00435878">
        <w:rPr>
          <w:b/>
          <w:bCs/>
          <w:sz w:val="28"/>
          <w:szCs w:val="28"/>
        </w:rPr>
        <w:t xml:space="preserve">EEC </w:t>
      </w:r>
      <w:r w:rsidR="001079A3" w:rsidRPr="00435878">
        <w:rPr>
          <w:b/>
          <w:bCs/>
          <w:sz w:val="28"/>
          <w:szCs w:val="28"/>
        </w:rPr>
        <w:t xml:space="preserve">Background Record Check Unit </w:t>
      </w:r>
    </w:p>
    <w:p w14:paraId="218DA433" w14:textId="77777777" w:rsidR="002A1FA3" w:rsidRPr="00BF0616" w:rsidRDefault="002A1FA3" w:rsidP="002A1FA3">
      <w:pPr>
        <w:pStyle w:val="Default"/>
      </w:pPr>
    </w:p>
    <w:p w14:paraId="51E0EDBA" w14:textId="7DECB437" w:rsidR="002A1FA3" w:rsidRPr="00BF0616" w:rsidRDefault="002A1FA3" w:rsidP="002A1FA3">
      <w:pPr>
        <w:rPr>
          <w:rFonts w:ascii="Times New Roman" w:hAnsi="Times New Roman" w:cs="Times New Roman"/>
          <w:bCs/>
          <w:sz w:val="24"/>
          <w:szCs w:val="24"/>
        </w:rPr>
      </w:pPr>
      <w:r w:rsidRPr="00BF0616">
        <w:rPr>
          <w:rFonts w:ascii="Times New Roman" w:hAnsi="Times New Roman" w:cs="Times New Roman"/>
          <w:b/>
          <w:bCs/>
          <w:sz w:val="24"/>
          <w:szCs w:val="24"/>
        </w:rPr>
        <w:t xml:space="preserve">POLICY STATEMENT: </w:t>
      </w:r>
      <w:r w:rsidR="00225B26">
        <w:rPr>
          <w:rFonts w:ascii="Times New Roman" w:hAnsi="Times New Roman" w:cs="Times New Roman"/>
          <w:bCs/>
          <w:sz w:val="24"/>
          <w:szCs w:val="24"/>
        </w:rPr>
        <w:t>45 Day Turnaround Time for Background Record Check Process</w:t>
      </w:r>
      <w:r w:rsidR="001079A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0CD110" w14:textId="4D56FCCC" w:rsidR="00A24870" w:rsidRPr="00972DC2" w:rsidRDefault="002A1FA3" w:rsidP="00841870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BF0616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00DA6B55" w:rsidRPr="00BF06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56D64">
        <w:rPr>
          <w:rFonts w:ascii="Times New Roman" w:hAnsi="Times New Roman" w:cs="Times New Roman"/>
          <w:sz w:val="24"/>
          <w:szCs w:val="24"/>
        </w:rPr>
        <w:t>August 30</w:t>
      </w:r>
      <w:r w:rsidR="00C26DC8">
        <w:rPr>
          <w:rFonts w:ascii="Times New Roman" w:hAnsi="Times New Roman" w:cs="Times New Roman"/>
          <w:sz w:val="24"/>
          <w:szCs w:val="24"/>
        </w:rPr>
        <w:t xml:space="preserve">, 2018 </w:t>
      </w:r>
    </w:p>
    <w:p w14:paraId="2FBD1A25" w14:textId="7C01F64F" w:rsidR="00C26DC8" w:rsidRPr="00C56D64" w:rsidRDefault="001D5E69" w:rsidP="00C56D6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19150F"/>
          <w:sz w:val="26"/>
          <w:szCs w:val="26"/>
        </w:rPr>
      </w:pPr>
      <w:r w:rsidRPr="00C56D64">
        <w:rPr>
          <w:rFonts w:ascii="Times New Roman" w:eastAsia="Times New Roman" w:hAnsi="Times New Roman" w:cs="Times New Roman"/>
          <w:b/>
          <w:bCs/>
          <w:color w:val="19150F"/>
          <w:sz w:val="26"/>
          <w:szCs w:val="26"/>
        </w:rPr>
        <w:t>EEC Background Record Check Turnaround Time</w:t>
      </w:r>
    </w:p>
    <w:p w14:paraId="1071E244" w14:textId="77777777" w:rsidR="001D5E69" w:rsidRPr="00C56D64" w:rsidRDefault="001D5E69" w:rsidP="00225B26">
      <w:pPr>
        <w:spacing w:after="0"/>
        <w:contextualSpacing/>
        <w:rPr>
          <w:rFonts w:ascii="Times New Roman" w:eastAsia="Times New Roman" w:hAnsi="Times New Roman" w:cs="Times New Roman"/>
          <w:bCs/>
          <w:color w:val="19150F"/>
          <w:sz w:val="26"/>
          <w:szCs w:val="26"/>
        </w:rPr>
      </w:pPr>
    </w:p>
    <w:p w14:paraId="03D436A3" w14:textId="0E00D8E7" w:rsidR="00225B26" w:rsidRPr="00C56D64" w:rsidRDefault="00225B26" w:rsidP="00225B26">
      <w:pPr>
        <w:spacing w:after="0"/>
        <w:contextualSpacing/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</w:pPr>
      <w:r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>Under the federal Child Care and Development Fund (“CCDF”) regulations</w:t>
      </w:r>
      <w:r w:rsidR="00C26DC8"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 xml:space="preserve"> </w:t>
      </w:r>
      <w:r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 xml:space="preserve">at 45 CFR 98.43, the Department of Early Education and Care (EEC) must implement new background record check requirements. Section (e) of 45 CFR 98.43 requires that </w:t>
      </w:r>
      <w:r w:rsidR="00C26DC8"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 xml:space="preserve">EEC </w:t>
      </w:r>
      <w:r w:rsidR="007E71F9"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>process</w:t>
      </w:r>
      <w:r w:rsidR="00C26DC8"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 xml:space="preserve"> all relevant background record checks from </w:t>
      </w:r>
      <w:r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>all</w:t>
      </w:r>
      <w:r w:rsidR="000B749F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 xml:space="preserve"> relevant</w:t>
      </w:r>
      <w:r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 xml:space="preserve"> </w:t>
      </w:r>
      <w:r w:rsidR="00C26DC8"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>federal or state agenc</w:t>
      </w:r>
      <w:r w:rsidR="00594FCC"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>ies</w:t>
      </w:r>
      <w:r w:rsidR="00C26DC8"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>/repositor</w:t>
      </w:r>
      <w:r w:rsidR="00594FCC"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>ies</w:t>
      </w:r>
      <w:r w:rsidR="00C26DC8"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 xml:space="preserve"> within a maximum of 45</w:t>
      </w:r>
      <w:r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 xml:space="preserve"> calendar</w:t>
      </w:r>
      <w:r w:rsidR="00C26DC8"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 xml:space="preserve"> days</w:t>
      </w:r>
      <w:r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>.</w:t>
      </w:r>
      <w:r w:rsidR="00C26DC8"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 xml:space="preserve"> </w:t>
      </w:r>
      <w:r w:rsidR="000B749F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>Although CCDF regulations only apply to child care programs, EEC will apply this rule to residential and placement agencies.</w:t>
      </w:r>
    </w:p>
    <w:p w14:paraId="7230DA59" w14:textId="77777777" w:rsidR="00225B26" w:rsidRPr="00C56D64" w:rsidRDefault="00225B26" w:rsidP="00225B26">
      <w:pPr>
        <w:spacing w:after="0"/>
        <w:contextualSpacing/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</w:pPr>
    </w:p>
    <w:p w14:paraId="0E203232" w14:textId="03491EC3" w:rsidR="001D5E69" w:rsidRPr="000B749F" w:rsidRDefault="00225B26" w:rsidP="00225B26">
      <w:pPr>
        <w:spacing w:after="0"/>
        <w:contextualSpacing/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</w:pPr>
      <w:r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 xml:space="preserve">For purposes of this rule, the timeline begins on </w:t>
      </w:r>
      <w:r w:rsidR="00C26DC8"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 xml:space="preserve">the date </w:t>
      </w:r>
      <w:r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 xml:space="preserve">when </w:t>
      </w:r>
      <w:r w:rsidR="00C26DC8"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 xml:space="preserve">the candidate </w:t>
      </w:r>
      <w:r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>is</w:t>
      </w:r>
      <w:r w:rsidR="00C26DC8"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 xml:space="preserve"> fingerprinted for EEC.</w:t>
      </w:r>
      <w:r w:rsidRPr="000B749F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 xml:space="preserve"> </w:t>
      </w:r>
      <w:r w:rsidR="00EC2624"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>This</w:t>
      </w:r>
      <w:r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 xml:space="preserve"> requirement</w:t>
      </w:r>
      <w:r w:rsidR="00EC2624"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 xml:space="preserve"> includes all out of state criminal and child welfare background record checks where applicable.</w:t>
      </w:r>
      <w:r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 xml:space="preserve"> </w:t>
      </w:r>
      <w:r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>This 45 day turnaround policy excludes the time necessitated for the review of any relevant findings</w:t>
      </w:r>
      <w:r w:rsidRPr="000B749F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 xml:space="preserve">. </w:t>
      </w:r>
    </w:p>
    <w:p w14:paraId="19B082BD" w14:textId="77777777" w:rsidR="001D5E69" w:rsidRPr="000B749F" w:rsidRDefault="001D5E69" w:rsidP="00225B26">
      <w:pPr>
        <w:spacing w:after="0"/>
        <w:contextualSpacing/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</w:pPr>
    </w:p>
    <w:p w14:paraId="61BDB6F8" w14:textId="610DE686" w:rsidR="001D5E69" w:rsidRPr="000B749F" w:rsidRDefault="00225B26" w:rsidP="00225B26">
      <w:pPr>
        <w:spacing w:after="0"/>
        <w:contextualSpacing/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</w:pPr>
      <w:r w:rsidRPr="000B749F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>It i</w:t>
      </w:r>
      <w:r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>s EEC</w:t>
      </w:r>
      <w:r w:rsidRPr="000B749F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>’s</w:t>
      </w:r>
      <w:r w:rsidR="00C272F3"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 xml:space="preserve"> intent</w:t>
      </w:r>
      <w:r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 xml:space="preserve"> to turnaround the background record check process as quickly as possible</w:t>
      </w:r>
      <w:r w:rsidR="00C272F3"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>.</w:t>
      </w:r>
      <w:r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 xml:space="preserve"> </w:t>
      </w:r>
      <w:r w:rsidRPr="000B749F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 xml:space="preserve">EEC anticipates </w:t>
      </w:r>
      <w:r w:rsidR="00C272F3"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>releasing BRC results before</w:t>
      </w:r>
      <w:r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 xml:space="preserve"> the 45 day </w:t>
      </w:r>
      <w:r w:rsidRPr="000B749F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 xml:space="preserve">turnaround </w:t>
      </w:r>
      <w:r w:rsidR="00C272F3"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>deadline</w:t>
      </w:r>
      <w:r w:rsidRPr="00C56D64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 xml:space="preserve"> in most instances.</w:t>
      </w:r>
      <w:r w:rsidR="001D5E69" w:rsidRPr="000B749F"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  <w:t xml:space="preserve"> After EEC implements the full background record check process required by CCDBG, EEC will assess its turnaround time on a continuous basis to ensure that this requirement is met.</w:t>
      </w:r>
    </w:p>
    <w:p w14:paraId="26F75B2D" w14:textId="77777777" w:rsidR="00225B26" w:rsidRPr="00C56D64" w:rsidRDefault="00225B26" w:rsidP="00225B26">
      <w:pPr>
        <w:spacing w:after="0"/>
        <w:contextualSpacing/>
        <w:rPr>
          <w:rFonts w:ascii="Times New Roman" w:eastAsia="Times New Roman" w:hAnsi="Times New Roman" w:cs="Times New Roman"/>
          <w:bCs/>
          <w:color w:val="19150F"/>
          <w:sz w:val="26"/>
          <w:szCs w:val="26"/>
        </w:rPr>
      </w:pPr>
    </w:p>
    <w:p w14:paraId="05F89FF3" w14:textId="77777777" w:rsidR="00225B26" w:rsidRPr="00C56D64" w:rsidRDefault="00225B26" w:rsidP="00225B26">
      <w:pPr>
        <w:spacing w:after="0"/>
        <w:contextualSpacing/>
        <w:rPr>
          <w:rFonts w:ascii="Times New Roman" w:eastAsia="Times New Roman" w:hAnsi="Times New Roman" w:cs="Times New Roman"/>
          <w:bCs/>
          <w:color w:val="19150F"/>
          <w:sz w:val="26"/>
          <w:szCs w:val="26"/>
        </w:rPr>
      </w:pPr>
    </w:p>
    <w:p w14:paraId="04A0D44A" w14:textId="272DC6EE" w:rsidR="00EC2624" w:rsidRPr="00C56D64" w:rsidRDefault="00EC2624" w:rsidP="00C26DC8">
      <w:pPr>
        <w:spacing w:after="0"/>
        <w:contextualSpacing/>
        <w:rPr>
          <w:rFonts w:ascii="Times New Roman" w:eastAsia="Times New Roman" w:hAnsi="Times New Roman" w:cs="Times New Roman"/>
          <w:bCs/>
          <w:color w:val="19150F"/>
          <w:sz w:val="24"/>
          <w:szCs w:val="24"/>
        </w:rPr>
      </w:pPr>
    </w:p>
    <w:p w14:paraId="0F51C569" w14:textId="77777777" w:rsidR="00EC2624" w:rsidRDefault="00EC2624">
      <w:pPr>
        <w:spacing w:after="0"/>
        <w:contextualSpacing/>
        <w:rPr>
          <w:rFonts w:ascii="Times New Roman" w:eastAsia="Times New Roman" w:hAnsi="Times New Roman" w:cs="Times New Roman"/>
          <w:bCs/>
          <w:color w:val="19150F"/>
        </w:rPr>
      </w:pPr>
    </w:p>
    <w:p w14:paraId="2D9DF517" w14:textId="0F633FE9" w:rsidR="00A514CB" w:rsidRPr="007E71F9" w:rsidRDefault="00A514CB" w:rsidP="007E71F9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_GoBack"/>
      <w:bookmarkEnd w:id="0"/>
    </w:p>
    <w:sectPr w:rsidR="00A514CB" w:rsidRPr="007E71F9" w:rsidSect="0093086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C08C4" w14:textId="77777777" w:rsidR="00861164" w:rsidRDefault="00861164" w:rsidP="00B23EBA">
      <w:pPr>
        <w:spacing w:after="0" w:line="240" w:lineRule="auto"/>
      </w:pPr>
      <w:r>
        <w:separator/>
      </w:r>
    </w:p>
  </w:endnote>
  <w:endnote w:type="continuationSeparator" w:id="0">
    <w:p w14:paraId="28F02B28" w14:textId="77777777" w:rsidR="00861164" w:rsidRDefault="00861164" w:rsidP="00B2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C0E1A" w14:textId="40D6F4A9" w:rsidR="0011281D" w:rsidRPr="00087B6D" w:rsidRDefault="0011281D">
    <w:pPr>
      <w:pStyle w:val="Footer"/>
      <w:jc w:val="center"/>
      <w:rPr>
        <w:rFonts w:ascii="Times New Roman" w:hAnsi="Times New Roman" w:cs="Times New Roman"/>
      </w:rPr>
    </w:pPr>
  </w:p>
  <w:p w14:paraId="3965D104" w14:textId="7BB2BDB4" w:rsidR="0011281D" w:rsidRDefault="001128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D457E" w14:textId="77777777" w:rsidR="00861164" w:rsidRDefault="00861164" w:rsidP="00B23EBA">
      <w:pPr>
        <w:spacing w:after="0" w:line="240" w:lineRule="auto"/>
      </w:pPr>
      <w:r>
        <w:separator/>
      </w:r>
    </w:p>
  </w:footnote>
  <w:footnote w:type="continuationSeparator" w:id="0">
    <w:p w14:paraId="2ED2C69D" w14:textId="77777777" w:rsidR="00861164" w:rsidRDefault="00861164" w:rsidP="00B23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A2A6F"/>
    <w:multiLevelType w:val="hybridMultilevel"/>
    <w:tmpl w:val="F042B020"/>
    <w:lvl w:ilvl="0" w:tplc="73389440">
      <w:start w:val="1"/>
      <w:numFmt w:val="lowerLetter"/>
      <w:suff w:val="space"/>
      <w:lvlText w:val="(%1)"/>
      <w:lvlJc w:val="left"/>
      <w:pPr>
        <w:ind w:left="81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F7068"/>
    <w:multiLevelType w:val="hybridMultilevel"/>
    <w:tmpl w:val="90BAB34C"/>
    <w:lvl w:ilvl="0" w:tplc="84B20476">
      <w:start w:val="1"/>
      <w:numFmt w:val="decimal"/>
      <w:suff w:val="space"/>
      <w:lvlText w:val="(%1)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CB4EF7A8">
      <w:start w:val="1"/>
      <w:numFmt w:val="lowerLetter"/>
      <w:suff w:val="space"/>
      <w:lvlText w:val="(%2)"/>
      <w:lvlJc w:val="left"/>
      <w:pPr>
        <w:ind w:left="1440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F59AA"/>
    <w:multiLevelType w:val="hybridMultilevel"/>
    <w:tmpl w:val="9F9A7F68"/>
    <w:lvl w:ilvl="0" w:tplc="3F449B20">
      <w:start w:val="1"/>
      <w:numFmt w:val="decimal"/>
      <w:suff w:val="space"/>
      <w:lvlText w:val="(%1)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  <w:spacing w:val="1"/>
        <w:w w:val="99"/>
        <w:sz w:val="24"/>
        <w:szCs w:val="24"/>
      </w:rPr>
    </w:lvl>
    <w:lvl w:ilvl="1" w:tplc="912E26EA">
      <w:start w:val="1"/>
      <w:numFmt w:val="lowerLetter"/>
      <w:suff w:val="space"/>
      <w:lvlText w:val="(%2)"/>
      <w:lvlJc w:val="left"/>
      <w:pPr>
        <w:ind w:left="1440" w:hanging="360"/>
      </w:pPr>
      <w:rPr>
        <w:rFonts w:ascii="Times New Roman" w:eastAsia="Times New Roman" w:hAnsi="Times New Roman" w:hint="default"/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A3"/>
    <w:rsid w:val="00001DAA"/>
    <w:rsid w:val="00003900"/>
    <w:rsid w:val="000134FA"/>
    <w:rsid w:val="00014842"/>
    <w:rsid w:val="00015D7C"/>
    <w:rsid w:val="000278DF"/>
    <w:rsid w:val="00027F02"/>
    <w:rsid w:val="000346E1"/>
    <w:rsid w:val="000373D1"/>
    <w:rsid w:val="000423ED"/>
    <w:rsid w:val="00045649"/>
    <w:rsid w:val="000512A9"/>
    <w:rsid w:val="00062B4A"/>
    <w:rsid w:val="000725ED"/>
    <w:rsid w:val="00087B6D"/>
    <w:rsid w:val="00091140"/>
    <w:rsid w:val="00091D36"/>
    <w:rsid w:val="00094585"/>
    <w:rsid w:val="000B749F"/>
    <w:rsid w:val="000C078E"/>
    <w:rsid w:val="000C2194"/>
    <w:rsid w:val="000C6008"/>
    <w:rsid w:val="000D1277"/>
    <w:rsid w:val="000D26FA"/>
    <w:rsid w:val="000D530F"/>
    <w:rsid w:val="000D5E37"/>
    <w:rsid w:val="000E0070"/>
    <w:rsid w:val="00103B52"/>
    <w:rsid w:val="00105616"/>
    <w:rsid w:val="0010603E"/>
    <w:rsid w:val="00106C42"/>
    <w:rsid w:val="001079A3"/>
    <w:rsid w:val="00110FC9"/>
    <w:rsid w:val="0011281D"/>
    <w:rsid w:val="00127B52"/>
    <w:rsid w:val="001465E3"/>
    <w:rsid w:val="00153009"/>
    <w:rsid w:val="001541BC"/>
    <w:rsid w:val="00156E1A"/>
    <w:rsid w:val="001615EF"/>
    <w:rsid w:val="00166B08"/>
    <w:rsid w:val="00180D43"/>
    <w:rsid w:val="001825C1"/>
    <w:rsid w:val="00185D15"/>
    <w:rsid w:val="0019637D"/>
    <w:rsid w:val="001A21BF"/>
    <w:rsid w:val="001C769E"/>
    <w:rsid w:val="001C7F9F"/>
    <w:rsid w:val="001D43CD"/>
    <w:rsid w:val="001D5E69"/>
    <w:rsid w:val="001E17B2"/>
    <w:rsid w:val="00204CF7"/>
    <w:rsid w:val="00206E49"/>
    <w:rsid w:val="00206F67"/>
    <w:rsid w:val="00211FB6"/>
    <w:rsid w:val="00213639"/>
    <w:rsid w:val="00216185"/>
    <w:rsid w:val="00224586"/>
    <w:rsid w:val="00225B26"/>
    <w:rsid w:val="00226DB2"/>
    <w:rsid w:val="00230AE0"/>
    <w:rsid w:val="00233A3C"/>
    <w:rsid w:val="002354CC"/>
    <w:rsid w:val="00247059"/>
    <w:rsid w:val="00253030"/>
    <w:rsid w:val="00261C69"/>
    <w:rsid w:val="00267143"/>
    <w:rsid w:val="00281BED"/>
    <w:rsid w:val="002964E5"/>
    <w:rsid w:val="002A0C26"/>
    <w:rsid w:val="002A1FA3"/>
    <w:rsid w:val="002A6306"/>
    <w:rsid w:val="002C57A6"/>
    <w:rsid w:val="002C5945"/>
    <w:rsid w:val="00307063"/>
    <w:rsid w:val="00311071"/>
    <w:rsid w:val="00314D36"/>
    <w:rsid w:val="00317F79"/>
    <w:rsid w:val="0032230E"/>
    <w:rsid w:val="00336433"/>
    <w:rsid w:val="0034601C"/>
    <w:rsid w:val="00351FA7"/>
    <w:rsid w:val="00352B55"/>
    <w:rsid w:val="003534EB"/>
    <w:rsid w:val="0036587C"/>
    <w:rsid w:val="0038052F"/>
    <w:rsid w:val="00391842"/>
    <w:rsid w:val="00397E05"/>
    <w:rsid w:val="003A3558"/>
    <w:rsid w:val="003B6C59"/>
    <w:rsid w:val="003C230A"/>
    <w:rsid w:val="003C61B9"/>
    <w:rsid w:val="003D0353"/>
    <w:rsid w:val="003D4F15"/>
    <w:rsid w:val="003D7F39"/>
    <w:rsid w:val="003E49E1"/>
    <w:rsid w:val="003F2244"/>
    <w:rsid w:val="003F707F"/>
    <w:rsid w:val="003F76BB"/>
    <w:rsid w:val="00402B94"/>
    <w:rsid w:val="004049A3"/>
    <w:rsid w:val="004051D0"/>
    <w:rsid w:val="00413FB2"/>
    <w:rsid w:val="00421282"/>
    <w:rsid w:val="00435878"/>
    <w:rsid w:val="004448A1"/>
    <w:rsid w:val="0045447F"/>
    <w:rsid w:val="00454671"/>
    <w:rsid w:val="004850B2"/>
    <w:rsid w:val="004B1AB0"/>
    <w:rsid w:val="004C0967"/>
    <w:rsid w:val="004D5660"/>
    <w:rsid w:val="004F0D05"/>
    <w:rsid w:val="004F12C8"/>
    <w:rsid w:val="004F7E58"/>
    <w:rsid w:val="005054A0"/>
    <w:rsid w:val="005058C1"/>
    <w:rsid w:val="00511486"/>
    <w:rsid w:val="00513E51"/>
    <w:rsid w:val="00516187"/>
    <w:rsid w:val="005215E1"/>
    <w:rsid w:val="00531455"/>
    <w:rsid w:val="00542459"/>
    <w:rsid w:val="0054421A"/>
    <w:rsid w:val="00554A9B"/>
    <w:rsid w:val="00572F9F"/>
    <w:rsid w:val="00574A4A"/>
    <w:rsid w:val="00577BF7"/>
    <w:rsid w:val="00582E7B"/>
    <w:rsid w:val="005875EE"/>
    <w:rsid w:val="00591854"/>
    <w:rsid w:val="00594FCC"/>
    <w:rsid w:val="00596458"/>
    <w:rsid w:val="005B02D5"/>
    <w:rsid w:val="005C4F62"/>
    <w:rsid w:val="005D221A"/>
    <w:rsid w:val="005E1706"/>
    <w:rsid w:val="005F1659"/>
    <w:rsid w:val="005F39DC"/>
    <w:rsid w:val="00605E8C"/>
    <w:rsid w:val="00612CAD"/>
    <w:rsid w:val="0062311A"/>
    <w:rsid w:val="00634CE6"/>
    <w:rsid w:val="0063546B"/>
    <w:rsid w:val="00636867"/>
    <w:rsid w:val="006378B6"/>
    <w:rsid w:val="006517F8"/>
    <w:rsid w:val="00652CBB"/>
    <w:rsid w:val="00652E93"/>
    <w:rsid w:val="006531C3"/>
    <w:rsid w:val="00661A95"/>
    <w:rsid w:val="00662288"/>
    <w:rsid w:val="00670E62"/>
    <w:rsid w:val="00682550"/>
    <w:rsid w:val="006954D5"/>
    <w:rsid w:val="006A0C24"/>
    <w:rsid w:val="006A1A3A"/>
    <w:rsid w:val="006B062C"/>
    <w:rsid w:val="006B4367"/>
    <w:rsid w:val="006C2959"/>
    <w:rsid w:val="006D6213"/>
    <w:rsid w:val="006F3D0B"/>
    <w:rsid w:val="007137A9"/>
    <w:rsid w:val="00746151"/>
    <w:rsid w:val="00761E73"/>
    <w:rsid w:val="007635F8"/>
    <w:rsid w:val="007674EE"/>
    <w:rsid w:val="00772066"/>
    <w:rsid w:val="00786E07"/>
    <w:rsid w:val="00793460"/>
    <w:rsid w:val="007971E5"/>
    <w:rsid w:val="007B3338"/>
    <w:rsid w:val="007C7883"/>
    <w:rsid w:val="007D7B53"/>
    <w:rsid w:val="007E71F9"/>
    <w:rsid w:val="007E7EC5"/>
    <w:rsid w:val="007F31DC"/>
    <w:rsid w:val="007F4933"/>
    <w:rsid w:val="0080693E"/>
    <w:rsid w:val="008133BB"/>
    <w:rsid w:val="00814FCA"/>
    <w:rsid w:val="00815C48"/>
    <w:rsid w:val="00830597"/>
    <w:rsid w:val="00835094"/>
    <w:rsid w:val="008374D7"/>
    <w:rsid w:val="00841870"/>
    <w:rsid w:val="00842744"/>
    <w:rsid w:val="0084612A"/>
    <w:rsid w:val="00852EE8"/>
    <w:rsid w:val="00861164"/>
    <w:rsid w:val="008611A2"/>
    <w:rsid w:val="00867CB2"/>
    <w:rsid w:val="008752B9"/>
    <w:rsid w:val="008913BA"/>
    <w:rsid w:val="00891E0E"/>
    <w:rsid w:val="00895246"/>
    <w:rsid w:val="008A08D9"/>
    <w:rsid w:val="008A2786"/>
    <w:rsid w:val="008A67E9"/>
    <w:rsid w:val="008B7A50"/>
    <w:rsid w:val="008C5DAC"/>
    <w:rsid w:val="008D0BC7"/>
    <w:rsid w:val="008D7580"/>
    <w:rsid w:val="008D7A46"/>
    <w:rsid w:val="008E3C12"/>
    <w:rsid w:val="008F69E3"/>
    <w:rsid w:val="0090222B"/>
    <w:rsid w:val="00902936"/>
    <w:rsid w:val="00903B03"/>
    <w:rsid w:val="00903BE2"/>
    <w:rsid w:val="0091319B"/>
    <w:rsid w:val="009169C0"/>
    <w:rsid w:val="00930866"/>
    <w:rsid w:val="00935A43"/>
    <w:rsid w:val="00941694"/>
    <w:rsid w:val="009470E7"/>
    <w:rsid w:val="00950EE8"/>
    <w:rsid w:val="009555FE"/>
    <w:rsid w:val="00963764"/>
    <w:rsid w:val="00972DC2"/>
    <w:rsid w:val="009731BC"/>
    <w:rsid w:val="009848A4"/>
    <w:rsid w:val="00993ACF"/>
    <w:rsid w:val="00994DDA"/>
    <w:rsid w:val="009965C0"/>
    <w:rsid w:val="009B6668"/>
    <w:rsid w:val="009B7762"/>
    <w:rsid w:val="009D6649"/>
    <w:rsid w:val="009E2D5E"/>
    <w:rsid w:val="009E71FC"/>
    <w:rsid w:val="009F19D9"/>
    <w:rsid w:val="009F2B2D"/>
    <w:rsid w:val="009F4480"/>
    <w:rsid w:val="00A021FF"/>
    <w:rsid w:val="00A17BCA"/>
    <w:rsid w:val="00A24066"/>
    <w:rsid w:val="00A24870"/>
    <w:rsid w:val="00A26753"/>
    <w:rsid w:val="00A27A49"/>
    <w:rsid w:val="00A31471"/>
    <w:rsid w:val="00A32E6C"/>
    <w:rsid w:val="00A33379"/>
    <w:rsid w:val="00A4234E"/>
    <w:rsid w:val="00A45A3C"/>
    <w:rsid w:val="00A47BF6"/>
    <w:rsid w:val="00A514CB"/>
    <w:rsid w:val="00A52264"/>
    <w:rsid w:val="00A67B70"/>
    <w:rsid w:val="00A72241"/>
    <w:rsid w:val="00A72C07"/>
    <w:rsid w:val="00A82E0B"/>
    <w:rsid w:val="00A906A3"/>
    <w:rsid w:val="00A90ED6"/>
    <w:rsid w:val="00A92C7F"/>
    <w:rsid w:val="00AA1EBF"/>
    <w:rsid w:val="00AB2395"/>
    <w:rsid w:val="00AD1837"/>
    <w:rsid w:val="00AE1659"/>
    <w:rsid w:val="00AE3890"/>
    <w:rsid w:val="00AE3991"/>
    <w:rsid w:val="00AE4D6A"/>
    <w:rsid w:val="00AF295D"/>
    <w:rsid w:val="00AF38F0"/>
    <w:rsid w:val="00AF6E32"/>
    <w:rsid w:val="00B103FE"/>
    <w:rsid w:val="00B16D98"/>
    <w:rsid w:val="00B23EBA"/>
    <w:rsid w:val="00B247E4"/>
    <w:rsid w:val="00B24ABB"/>
    <w:rsid w:val="00B25F7F"/>
    <w:rsid w:val="00B3367E"/>
    <w:rsid w:val="00B45CE2"/>
    <w:rsid w:val="00B75FE3"/>
    <w:rsid w:val="00B82806"/>
    <w:rsid w:val="00B91E4C"/>
    <w:rsid w:val="00B93656"/>
    <w:rsid w:val="00B951D3"/>
    <w:rsid w:val="00BA465A"/>
    <w:rsid w:val="00BB4297"/>
    <w:rsid w:val="00BB4333"/>
    <w:rsid w:val="00BC12B3"/>
    <w:rsid w:val="00BC795C"/>
    <w:rsid w:val="00BD04F2"/>
    <w:rsid w:val="00BD3268"/>
    <w:rsid w:val="00BE1B09"/>
    <w:rsid w:val="00BE2BED"/>
    <w:rsid w:val="00BE41DB"/>
    <w:rsid w:val="00BF0616"/>
    <w:rsid w:val="00C26DC8"/>
    <w:rsid w:val="00C272F3"/>
    <w:rsid w:val="00C30CCC"/>
    <w:rsid w:val="00C35B2B"/>
    <w:rsid w:val="00C438BF"/>
    <w:rsid w:val="00C455E7"/>
    <w:rsid w:val="00C55BF8"/>
    <w:rsid w:val="00C56D00"/>
    <w:rsid w:val="00C56D64"/>
    <w:rsid w:val="00C62A08"/>
    <w:rsid w:val="00C675CF"/>
    <w:rsid w:val="00C675DA"/>
    <w:rsid w:val="00C72510"/>
    <w:rsid w:val="00C73B7C"/>
    <w:rsid w:val="00C81A66"/>
    <w:rsid w:val="00C8623D"/>
    <w:rsid w:val="00CB24F0"/>
    <w:rsid w:val="00CC11A9"/>
    <w:rsid w:val="00CC2618"/>
    <w:rsid w:val="00CC2C30"/>
    <w:rsid w:val="00CC3E71"/>
    <w:rsid w:val="00CD12D7"/>
    <w:rsid w:val="00CF3E93"/>
    <w:rsid w:val="00CF7D85"/>
    <w:rsid w:val="00D051F5"/>
    <w:rsid w:val="00D05557"/>
    <w:rsid w:val="00D06AE1"/>
    <w:rsid w:val="00D20B64"/>
    <w:rsid w:val="00D23860"/>
    <w:rsid w:val="00D23908"/>
    <w:rsid w:val="00D23C4E"/>
    <w:rsid w:val="00D264CD"/>
    <w:rsid w:val="00D267AF"/>
    <w:rsid w:val="00D303EF"/>
    <w:rsid w:val="00D4421D"/>
    <w:rsid w:val="00D500A7"/>
    <w:rsid w:val="00D56A87"/>
    <w:rsid w:val="00D64D18"/>
    <w:rsid w:val="00D86820"/>
    <w:rsid w:val="00DA679B"/>
    <w:rsid w:val="00DA6B55"/>
    <w:rsid w:val="00DC7CC4"/>
    <w:rsid w:val="00DD2FCF"/>
    <w:rsid w:val="00DF0D69"/>
    <w:rsid w:val="00DF5964"/>
    <w:rsid w:val="00E00819"/>
    <w:rsid w:val="00E12A6F"/>
    <w:rsid w:val="00E25DDC"/>
    <w:rsid w:val="00E2623E"/>
    <w:rsid w:val="00E4042B"/>
    <w:rsid w:val="00E43F02"/>
    <w:rsid w:val="00E46F42"/>
    <w:rsid w:val="00E5343D"/>
    <w:rsid w:val="00E55531"/>
    <w:rsid w:val="00E61ED9"/>
    <w:rsid w:val="00E64CE3"/>
    <w:rsid w:val="00E64F07"/>
    <w:rsid w:val="00E66800"/>
    <w:rsid w:val="00E71C05"/>
    <w:rsid w:val="00E71F1B"/>
    <w:rsid w:val="00E7480C"/>
    <w:rsid w:val="00E7588C"/>
    <w:rsid w:val="00E8490B"/>
    <w:rsid w:val="00E90FB4"/>
    <w:rsid w:val="00E9298D"/>
    <w:rsid w:val="00EA7DC5"/>
    <w:rsid w:val="00EB57F3"/>
    <w:rsid w:val="00EC2624"/>
    <w:rsid w:val="00EC7600"/>
    <w:rsid w:val="00EE16DE"/>
    <w:rsid w:val="00EE2903"/>
    <w:rsid w:val="00EE4004"/>
    <w:rsid w:val="00EE4CD2"/>
    <w:rsid w:val="00EE7746"/>
    <w:rsid w:val="00F112C0"/>
    <w:rsid w:val="00F20EDB"/>
    <w:rsid w:val="00F22694"/>
    <w:rsid w:val="00F258B7"/>
    <w:rsid w:val="00F31C63"/>
    <w:rsid w:val="00F350A2"/>
    <w:rsid w:val="00F64471"/>
    <w:rsid w:val="00F64A93"/>
    <w:rsid w:val="00F71C8F"/>
    <w:rsid w:val="00F74FD0"/>
    <w:rsid w:val="00FA464C"/>
    <w:rsid w:val="00FB29C3"/>
    <w:rsid w:val="00FB5FAF"/>
    <w:rsid w:val="00FB7F04"/>
    <w:rsid w:val="00FD0D58"/>
    <w:rsid w:val="00FD1305"/>
    <w:rsid w:val="00FD443E"/>
    <w:rsid w:val="00FE45E5"/>
    <w:rsid w:val="00FF01CC"/>
    <w:rsid w:val="00FF5B1A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2117DA44"/>
  <w15:docId w15:val="{7DCEE828-3368-47E4-837E-C385EAE5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FA3"/>
  </w:style>
  <w:style w:type="paragraph" w:styleId="Heading1">
    <w:name w:val="heading 1"/>
    <w:basedOn w:val="Normal"/>
    <w:next w:val="Normal"/>
    <w:link w:val="Heading1Char"/>
    <w:uiPriority w:val="9"/>
    <w:qFormat/>
    <w:rsid w:val="00AE4D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1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F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1F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3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EBA"/>
  </w:style>
  <w:style w:type="paragraph" w:styleId="Footer">
    <w:name w:val="footer"/>
    <w:basedOn w:val="Normal"/>
    <w:link w:val="FooterChar"/>
    <w:uiPriority w:val="99"/>
    <w:unhideWhenUsed/>
    <w:rsid w:val="00B23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EBA"/>
  </w:style>
  <w:style w:type="character" w:styleId="CommentReference">
    <w:name w:val="annotation reference"/>
    <w:basedOn w:val="DefaultParagraphFont"/>
    <w:uiPriority w:val="99"/>
    <w:semiHidden/>
    <w:unhideWhenUsed/>
    <w:rsid w:val="00F20E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E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E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E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E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6C4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534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34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34EB"/>
    <w:rPr>
      <w:vertAlign w:val="superscript"/>
    </w:rPr>
  </w:style>
  <w:style w:type="paragraph" w:styleId="NoSpacing">
    <w:name w:val="No Spacing"/>
    <w:uiPriority w:val="1"/>
    <w:qFormat/>
    <w:rsid w:val="00AF6E3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E4D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5058C1"/>
    <w:rPr>
      <w:color w:val="154285"/>
      <w:u w:val="single"/>
    </w:rPr>
  </w:style>
  <w:style w:type="paragraph" w:styleId="NormalWeb">
    <w:name w:val="Normal (Web)"/>
    <w:basedOn w:val="Normal"/>
    <w:uiPriority w:val="99"/>
    <w:unhideWhenUsed/>
    <w:rsid w:val="00505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58C1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8611A2"/>
    <w:pPr>
      <w:widowControl w:val="0"/>
      <w:spacing w:after="0" w:line="240" w:lineRule="auto"/>
      <w:ind w:left="8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611A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0929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7510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704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0296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8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349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1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572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7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4589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8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07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45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6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49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59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9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584">
          <w:marLeft w:val="72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727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0675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61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679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4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23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02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945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49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2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9554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0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3270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3922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37355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1228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9719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3407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0644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9594">
          <w:marLeft w:val="162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055">
          <w:marLeft w:val="162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6307">
          <w:marLeft w:val="162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746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3331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9050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455DB-553D-4C43-93DB-840FD4745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Sullivan</dc:creator>
  <cp:lastModifiedBy>Sullivan, Felicia (EEC)</cp:lastModifiedBy>
  <cp:revision>3</cp:revision>
  <cp:lastPrinted>2017-06-27T17:04:00Z</cp:lastPrinted>
  <dcterms:created xsi:type="dcterms:W3CDTF">2018-09-11T13:41:00Z</dcterms:created>
  <dcterms:modified xsi:type="dcterms:W3CDTF">2018-09-11T13:41:00Z</dcterms:modified>
</cp:coreProperties>
</file>