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1F" w:rsidRDefault="0071341F" w:rsidP="000B492E">
      <w:pPr>
        <w:tabs>
          <w:tab w:val="left" w:pos="3150"/>
        </w:tabs>
        <w:jc w:val="center"/>
        <w:outlineLvl w:val="0"/>
        <w:rPr>
          <w:rFonts w:ascii="Courier New" w:hAnsi="Courier New" w:cs="Courier New"/>
          <w:b/>
        </w:rPr>
      </w:pPr>
      <w:bookmarkStart w:id="0" w:name="_GoBack"/>
      <w:bookmarkEnd w:id="0"/>
      <w:r>
        <w:rPr>
          <w:rFonts w:ascii="Courier New" w:hAnsi="Courier New" w:cs="Courier New"/>
          <w:b/>
        </w:rPr>
        <w:t>COMMONWEALTH OF MASSACHUSETTS</w:t>
      </w:r>
    </w:p>
    <w:p w:rsidR="0071341F" w:rsidRDefault="0071341F" w:rsidP="0071341F">
      <w:pPr>
        <w:jc w:val="center"/>
        <w:rPr>
          <w:rFonts w:ascii="Courier New" w:hAnsi="Courier New" w:cs="Courier New"/>
          <w:b/>
        </w:rPr>
      </w:pPr>
    </w:p>
    <w:p w:rsidR="0071341F" w:rsidRDefault="0071341F" w:rsidP="0071341F">
      <w:pPr>
        <w:jc w:val="center"/>
        <w:outlineLvl w:val="0"/>
        <w:rPr>
          <w:rFonts w:ascii="Courier New" w:hAnsi="Courier New" w:cs="Courier New"/>
          <w:b/>
        </w:rPr>
      </w:pPr>
      <w:r>
        <w:rPr>
          <w:rFonts w:ascii="Courier New" w:hAnsi="Courier New" w:cs="Courier New"/>
          <w:b/>
        </w:rPr>
        <w:t>APPELLATE TAX BOARD</w:t>
      </w:r>
    </w:p>
    <w:p w:rsidR="0071341F" w:rsidRDefault="0071341F" w:rsidP="0071341F">
      <w:pPr>
        <w:jc w:val="center"/>
        <w:rPr>
          <w:rFonts w:ascii="Courier New" w:hAnsi="Courier New" w:cs="Courier New"/>
          <w:b/>
        </w:rPr>
      </w:pPr>
    </w:p>
    <w:p w:rsidR="0071341F" w:rsidRDefault="0071341F" w:rsidP="0071341F">
      <w:pPr>
        <w:jc w:val="center"/>
        <w:rPr>
          <w:rFonts w:ascii="Courier New" w:hAnsi="Courier New" w:cs="Courier New"/>
          <w:b/>
        </w:rPr>
      </w:pPr>
    </w:p>
    <w:p w:rsidR="0071341F" w:rsidRDefault="0071341F" w:rsidP="0071341F">
      <w:pPr>
        <w:jc w:val="center"/>
        <w:rPr>
          <w:rFonts w:ascii="Courier New" w:hAnsi="Courier New" w:cs="Courier New"/>
          <w:b/>
        </w:rPr>
      </w:pPr>
    </w:p>
    <w:p w:rsidR="0071341F" w:rsidRDefault="00624F48" w:rsidP="0071341F">
      <w:pPr>
        <w:rPr>
          <w:rFonts w:ascii="Courier New" w:hAnsi="Courier New" w:cs="Courier New"/>
          <w:b/>
        </w:rPr>
      </w:pPr>
      <w:r>
        <w:rPr>
          <w:rFonts w:ascii="Courier New" w:hAnsi="Courier New" w:cs="Courier New"/>
          <w:b/>
        </w:rPr>
        <w:t>5’S ENUF, LLC</w:t>
      </w:r>
      <w:r w:rsidR="002A28FF">
        <w:rPr>
          <w:rFonts w:ascii="Courier New" w:hAnsi="Courier New" w:cs="Courier New"/>
          <w:b/>
        </w:rPr>
        <w:tab/>
      </w:r>
      <w:r w:rsidR="00FE722F">
        <w:rPr>
          <w:rFonts w:ascii="Courier New" w:hAnsi="Courier New" w:cs="Courier New"/>
          <w:b/>
        </w:rPr>
        <w:t xml:space="preserve">   </w:t>
      </w:r>
      <w:r w:rsidR="00B17DFB">
        <w:rPr>
          <w:rFonts w:ascii="Courier New" w:hAnsi="Courier New" w:cs="Courier New"/>
          <w:b/>
        </w:rPr>
        <w:t>   </w:t>
      </w:r>
      <w:r>
        <w:rPr>
          <w:rFonts w:ascii="Courier New" w:hAnsi="Courier New" w:cs="Courier New"/>
          <w:b/>
        </w:rPr>
        <w:tab/>
      </w:r>
      <w:r>
        <w:rPr>
          <w:rFonts w:ascii="Courier New" w:hAnsi="Courier New" w:cs="Courier New"/>
          <w:b/>
        </w:rPr>
        <w:tab/>
      </w:r>
      <w:r w:rsidR="0021185D">
        <w:rPr>
          <w:rFonts w:ascii="Courier New" w:hAnsi="Courier New" w:cs="Courier New"/>
          <w:b/>
        </w:rPr>
        <w:t> </w:t>
      </w:r>
      <w:r w:rsidR="00FE722F">
        <w:rPr>
          <w:rFonts w:ascii="Courier New" w:hAnsi="Courier New" w:cs="Courier New"/>
          <w:b/>
        </w:rPr>
        <w:t>v.</w:t>
      </w:r>
      <w:r w:rsidR="00FE722F">
        <w:rPr>
          <w:rFonts w:ascii="Courier New" w:hAnsi="Courier New" w:cs="Courier New"/>
          <w:b/>
        </w:rPr>
        <w:tab/>
      </w:r>
      <w:r w:rsidR="002A28FF">
        <w:rPr>
          <w:rFonts w:ascii="Courier New" w:hAnsi="Courier New" w:cs="Courier New"/>
          <w:b/>
        </w:rPr>
        <w:tab/>
      </w:r>
      <w:r w:rsidR="00D067C8">
        <w:rPr>
          <w:rFonts w:ascii="Courier New" w:hAnsi="Courier New" w:cs="Courier New"/>
          <w:b/>
        </w:rPr>
        <w:t>  </w:t>
      </w:r>
      <w:r w:rsidR="00FE722F">
        <w:rPr>
          <w:rFonts w:ascii="Courier New" w:hAnsi="Courier New" w:cs="Courier New"/>
          <w:b/>
        </w:rPr>
        <w:t xml:space="preserve">BOARD OF ASSESSORS OF </w:t>
      </w:r>
    </w:p>
    <w:p w:rsidR="00FE722F" w:rsidRDefault="002A28FF" w:rsidP="0071341F">
      <w:pPr>
        <w:rPr>
          <w:rFonts w:ascii="Courier New" w:hAnsi="Courier New" w:cs="Courier New"/>
          <w:b/>
        </w:rPr>
      </w:pP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sidR="009B118A">
        <w:rPr>
          <w:rFonts w:ascii="Courier New" w:hAnsi="Courier New" w:cs="Courier New"/>
          <w:b/>
        </w:rPr>
        <w:tab/>
      </w:r>
      <w:r w:rsidR="009B118A">
        <w:rPr>
          <w:rFonts w:ascii="Courier New" w:hAnsi="Courier New" w:cs="Courier New"/>
          <w:b/>
        </w:rPr>
        <w:tab/>
      </w:r>
      <w:r w:rsidR="009B118A">
        <w:rPr>
          <w:rFonts w:ascii="Courier New" w:hAnsi="Courier New" w:cs="Courier New"/>
          <w:b/>
        </w:rPr>
        <w:tab/>
      </w:r>
      <w:r w:rsidR="00D067C8">
        <w:rPr>
          <w:rFonts w:ascii="Courier New" w:hAnsi="Courier New" w:cs="Courier New"/>
          <w:b/>
        </w:rPr>
        <w:t>  </w:t>
      </w:r>
      <w:r w:rsidR="009B118A">
        <w:rPr>
          <w:rFonts w:ascii="Courier New" w:hAnsi="Courier New" w:cs="Courier New"/>
          <w:b/>
        </w:rPr>
        <w:t xml:space="preserve">THE TOWN OF </w:t>
      </w:r>
      <w:r w:rsidR="00624F48">
        <w:rPr>
          <w:rFonts w:ascii="Courier New" w:hAnsi="Courier New" w:cs="Courier New"/>
          <w:b/>
        </w:rPr>
        <w:t>MONTEREY</w:t>
      </w:r>
    </w:p>
    <w:p w:rsidR="00D067C8" w:rsidRDefault="00D067C8" w:rsidP="0071341F">
      <w:pPr>
        <w:rPr>
          <w:rFonts w:ascii="Courier New" w:hAnsi="Courier New" w:cs="Courier New"/>
          <w:b/>
        </w:rPr>
      </w:pPr>
    </w:p>
    <w:p w:rsidR="00FE722F" w:rsidRPr="00FE722F" w:rsidRDefault="00FE722F" w:rsidP="0071341F">
      <w:pPr>
        <w:rPr>
          <w:rFonts w:ascii="Courier New" w:hAnsi="Courier New" w:cs="Courier New"/>
          <w:b/>
        </w:rPr>
      </w:pPr>
    </w:p>
    <w:p w:rsidR="0071341F" w:rsidRDefault="003902FB" w:rsidP="0071341F">
      <w:pPr>
        <w:rPr>
          <w:rFonts w:ascii="Courier New" w:hAnsi="Courier New" w:cs="Courier New"/>
        </w:rPr>
      </w:pPr>
      <w:r>
        <w:rPr>
          <w:rFonts w:ascii="Courier New" w:hAnsi="Courier New" w:cs="Courier New"/>
        </w:rPr>
        <w:t>Docket No</w:t>
      </w:r>
      <w:r w:rsidR="0071341F">
        <w:rPr>
          <w:rFonts w:ascii="Courier New" w:hAnsi="Courier New" w:cs="Courier New"/>
        </w:rPr>
        <w:t xml:space="preserve">. </w:t>
      </w:r>
      <w:r w:rsidR="00624F48">
        <w:rPr>
          <w:rFonts w:ascii="Courier New" w:hAnsi="Courier New" w:cs="Courier New"/>
        </w:rPr>
        <w:t>F324385</w:t>
      </w:r>
      <w:r w:rsidR="009B118A">
        <w:rPr>
          <w:rFonts w:ascii="Courier New" w:hAnsi="Courier New" w:cs="Courier New"/>
        </w:rPr>
        <w:tab/>
      </w:r>
      <w:r w:rsidR="00FE722F">
        <w:rPr>
          <w:rFonts w:ascii="Courier New" w:hAnsi="Courier New" w:cs="Courier New"/>
        </w:rPr>
        <w:tab/>
      </w:r>
      <w:r w:rsidR="00FE722F">
        <w:rPr>
          <w:rFonts w:ascii="Courier New" w:hAnsi="Courier New" w:cs="Courier New"/>
        </w:rPr>
        <w:tab/>
      </w:r>
      <w:r w:rsidR="0071341F">
        <w:rPr>
          <w:rFonts w:ascii="Courier New" w:hAnsi="Courier New" w:cs="Courier New"/>
        </w:rPr>
        <w:tab/>
        <w:t xml:space="preserve">   </w:t>
      </w:r>
      <w:r w:rsidR="00FE722F">
        <w:rPr>
          <w:rFonts w:ascii="Courier New" w:hAnsi="Courier New" w:cs="Courier New"/>
        </w:rPr>
        <w:tab/>
      </w:r>
      <w:r w:rsidR="00D067C8">
        <w:rPr>
          <w:rFonts w:ascii="Courier New" w:hAnsi="Courier New" w:cs="Courier New"/>
        </w:rPr>
        <w:t>  </w:t>
      </w:r>
      <w:r w:rsidR="0071341F">
        <w:rPr>
          <w:rFonts w:ascii="Courier New" w:hAnsi="Courier New" w:cs="Courier New"/>
        </w:rPr>
        <w:t>Promulgated:</w:t>
      </w:r>
      <w:r w:rsidR="00FE722F">
        <w:rPr>
          <w:rFonts w:ascii="Courier New" w:hAnsi="Courier New" w:cs="Courier New"/>
        </w:rPr>
        <w:t xml:space="preserve">  </w:t>
      </w:r>
      <w:r w:rsidR="00A8274F">
        <w:rPr>
          <w:rFonts w:ascii="Courier New" w:hAnsi="Courier New" w:cs="Courier New"/>
        </w:rPr>
        <w:tab/>
      </w:r>
      <w:r w:rsidR="00A8274F">
        <w:rPr>
          <w:rFonts w:ascii="Courier New" w:hAnsi="Courier New" w:cs="Courier New"/>
        </w:rPr>
        <w:tab/>
      </w:r>
      <w:r w:rsidR="00A8274F">
        <w:rPr>
          <w:rFonts w:ascii="Courier New" w:hAnsi="Courier New" w:cs="Courier New"/>
        </w:rPr>
        <w:tab/>
      </w:r>
      <w:r w:rsidR="00A8274F">
        <w:rPr>
          <w:rFonts w:ascii="Courier New" w:hAnsi="Courier New" w:cs="Courier New"/>
        </w:rPr>
        <w:tab/>
      </w:r>
      <w:r w:rsidR="00A8274F">
        <w:rPr>
          <w:rFonts w:ascii="Courier New" w:hAnsi="Courier New" w:cs="Courier New"/>
        </w:rPr>
        <w:tab/>
      </w:r>
      <w:r w:rsidR="00A8274F">
        <w:rPr>
          <w:rFonts w:ascii="Courier New" w:hAnsi="Courier New" w:cs="Courier New"/>
        </w:rPr>
        <w:tab/>
      </w:r>
      <w:r w:rsidR="001E5650">
        <w:rPr>
          <w:rFonts w:ascii="Courier New" w:hAnsi="Courier New" w:cs="Courier New"/>
        </w:rPr>
        <w:tab/>
      </w:r>
      <w:r w:rsidR="001E5650">
        <w:rPr>
          <w:rFonts w:ascii="Courier New" w:hAnsi="Courier New" w:cs="Courier New"/>
        </w:rPr>
        <w:tab/>
      </w:r>
      <w:r w:rsidR="001E5650">
        <w:rPr>
          <w:rFonts w:ascii="Courier New" w:hAnsi="Courier New" w:cs="Courier New"/>
        </w:rPr>
        <w:tab/>
      </w:r>
      <w:r w:rsidR="001E5650">
        <w:rPr>
          <w:rFonts w:ascii="Courier New" w:hAnsi="Courier New" w:cs="Courier New"/>
        </w:rPr>
        <w:tab/>
      </w:r>
      <w:r w:rsidR="00D067C8">
        <w:rPr>
          <w:rFonts w:ascii="Courier New" w:hAnsi="Courier New" w:cs="Courier New"/>
        </w:rPr>
        <w:t>  </w:t>
      </w:r>
      <w:r w:rsidR="00E2310F">
        <w:rPr>
          <w:rFonts w:ascii="Courier New" w:hAnsi="Courier New" w:cs="Courier New"/>
        </w:rPr>
        <w:t>May 22, 2018</w:t>
      </w:r>
    </w:p>
    <w:p w:rsidR="0071341F" w:rsidRDefault="0071341F" w:rsidP="0071341F">
      <w:pPr>
        <w:rPr>
          <w:rFonts w:ascii="Courier New" w:hAnsi="Courier New" w:cs="Courier New"/>
        </w:rPr>
      </w:pPr>
    </w:p>
    <w:p w:rsidR="00711E3E" w:rsidRDefault="00711E3E" w:rsidP="0071341F">
      <w:pPr>
        <w:rPr>
          <w:rFonts w:ascii="Courier New" w:hAnsi="Courier New" w:cs="Courier New"/>
        </w:rPr>
      </w:pPr>
    </w:p>
    <w:p w:rsidR="0071341F" w:rsidRDefault="0071341F" w:rsidP="00CE166B">
      <w:pPr>
        <w:spacing w:line="480" w:lineRule="auto"/>
        <w:jc w:val="both"/>
        <w:rPr>
          <w:rFonts w:ascii="Courier New" w:hAnsi="Courier New" w:cs="Courier New"/>
        </w:rPr>
      </w:pPr>
      <w:r>
        <w:rPr>
          <w:rFonts w:ascii="Courier New" w:hAnsi="Courier New" w:cs="Courier New"/>
        </w:rPr>
        <w:tab/>
      </w:r>
      <w:r w:rsidRPr="00CE166B">
        <w:rPr>
          <w:rFonts w:ascii="Courier New" w:hAnsi="Courier New" w:cs="Courier New"/>
        </w:rPr>
        <w:t>Th</w:t>
      </w:r>
      <w:r w:rsidR="00FE722F" w:rsidRPr="00CE166B">
        <w:rPr>
          <w:rFonts w:ascii="Courier New" w:hAnsi="Courier New" w:cs="Courier New"/>
        </w:rPr>
        <w:t>is is an</w:t>
      </w:r>
      <w:r w:rsidRPr="00CE166B">
        <w:rPr>
          <w:rFonts w:ascii="Courier New" w:hAnsi="Courier New" w:cs="Courier New"/>
        </w:rPr>
        <w:t xml:space="preserve"> appeal filed under the </w:t>
      </w:r>
      <w:r w:rsidR="00CE166B" w:rsidRPr="00CE166B">
        <w:rPr>
          <w:rFonts w:ascii="Courier New" w:hAnsi="Courier New" w:cs="Courier New"/>
        </w:rPr>
        <w:t xml:space="preserve">formal procedure pursuant to G.L. c. 59, §§ 64 and 65 from the refusal of </w:t>
      </w:r>
      <w:r w:rsidRPr="00CE166B">
        <w:rPr>
          <w:rFonts w:ascii="Courier New" w:hAnsi="Courier New" w:cs="Courier New"/>
        </w:rPr>
        <w:t xml:space="preserve">the </w:t>
      </w:r>
      <w:r w:rsidR="00871A1E" w:rsidRPr="00CE166B">
        <w:rPr>
          <w:rFonts w:ascii="Courier New" w:hAnsi="Courier New" w:cs="Courier New"/>
        </w:rPr>
        <w:t xml:space="preserve">Board of Assessors of the Town of </w:t>
      </w:r>
      <w:r w:rsidR="00624F48">
        <w:rPr>
          <w:rFonts w:ascii="Courier New" w:hAnsi="Courier New" w:cs="Courier New"/>
        </w:rPr>
        <w:t>Monterey</w:t>
      </w:r>
      <w:r w:rsidR="00871A1E" w:rsidRPr="00CE166B">
        <w:rPr>
          <w:rFonts w:ascii="Courier New" w:hAnsi="Courier New" w:cs="Courier New"/>
        </w:rPr>
        <w:t xml:space="preserve"> (“assessors” or “</w:t>
      </w:r>
      <w:r w:rsidRPr="00CE166B">
        <w:rPr>
          <w:rFonts w:ascii="Courier New" w:hAnsi="Courier New" w:cs="Courier New"/>
        </w:rPr>
        <w:t>appellee</w:t>
      </w:r>
      <w:r w:rsidR="00871A1E" w:rsidRPr="00CE166B">
        <w:rPr>
          <w:rFonts w:ascii="Courier New" w:hAnsi="Courier New" w:cs="Courier New"/>
        </w:rPr>
        <w:t>”)</w:t>
      </w:r>
      <w:r w:rsidRPr="00CE166B">
        <w:rPr>
          <w:rFonts w:ascii="Courier New" w:hAnsi="Courier New" w:cs="Courier New"/>
        </w:rPr>
        <w:t xml:space="preserve"> to abate </w:t>
      </w:r>
      <w:r w:rsidR="009B118A">
        <w:rPr>
          <w:rFonts w:ascii="Courier New" w:hAnsi="Courier New" w:cs="Courier New"/>
        </w:rPr>
        <w:t xml:space="preserve">a </w:t>
      </w:r>
      <w:r w:rsidRPr="00CE166B">
        <w:rPr>
          <w:rFonts w:ascii="Courier New" w:hAnsi="Courier New" w:cs="Courier New"/>
        </w:rPr>
        <w:t xml:space="preserve">tax on </w:t>
      </w:r>
      <w:r w:rsidR="0024124A" w:rsidRPr="00CE166B">
        <w:rPr>
          <w:rFonts w:ascii="Courier New" w:hAnsi="Courier New" w:cs="Courier New"/>
        </w:rPr>
        <w:t xml:space="preserve">certain </w:t>
      </w:r>
      <w:r w:rsidRPr="00CE166B">
        <w:rPr>
          <w:rFonts w:ascii="Courier New" w:hAnsi="Courier New" w:cs="Courier New"/>
        </w:rPr>
        <w:t>real</w:t>
      </w:r>
      <w:r w:rsidR="00685C12">
        <w:rPr>
          <w:rFonts w:ascii="Courier New" w:hAnsi="Courier New" w:cs="Courier New"/>
        </w:rPr>
        <w:t xml:space="preserve"> estate</w:t>
      </w:r>
      <w:r w:rsidRPr="00CE166B">
        <w:rPr>
          <w:rFonts w:ascii="Courier New" w:hAnsi="Courier New" w:cs="Courier New"/>
        </w:rPr>
        <w:t xml:space="preserve"> </w:t>
      </w:r>
      <w:r w:rsidR="006B14AB" w:rsidRPr="00CE166B">
        <w:rPr>
          <w:rFonts w:ascii="Courier New" w:hAnsi="Courier New" w:cs="Courier New"/>
        </w:rPr>
        <w:t>o</w:t>
      </w:r>
      <w:r w:rsidRPr="00CE166B">
        <w:rPr>
          <w:rFonts w:ascii="Courier New" w:hAnsi="Courier New" w:cs="Courier New"/>
        </w:rPr>
        <w:t xml:space="preserve">wned by and assessed to </w:t>
      </w:r>
      <w:r w:rsidR="003E24C6">
        <w:rPr>
          <w:rFonts w:ascii="Courier New" w:hAnsi="Courier New" w:cs="Courier New"/>
        </w:rPr>
        <w:t>5’s</w:t>
      </w:r>
      <w:r w:rsidR="0036760B">
        <w:rPr>
          <w:rFonts w:ascii="Courier New" w:hAnsi="Courier New" w:cs="Courier New"/>
        </w:rPr>
        <w:t> </w:t>
      </w:r>
      <w:r w:rsidR="003E24C6">
        <w:rPr>
          <w:rFonts w:ascii="Courier New" w:hAnsi="Courier New" w:cs="Courier New"/>
        </w:rPr>
        <w:t>Enuf</w:t>
      </w:r>
      <w:r w:rsidR="00624F48">
        <w:rPr>
          <w:rFonts w:ascii="Courier New" w:hAnsi="Courier New" w:cs="Courier New"/>
        </w:rPr>
        <w:t>, LLC</w:t>
      </w:r>
      <w:r w:rsidR="009B118A">
        <w:rPr>
          <w:rFonts w:ascii="Courier New" w:hAnsi="Courier New" w:cs="Courier New"/>
        </w:rPr>
        <w:t xml:space="preserve"> </w:t>
      </w:r>
      <w:r w:rsidR="00871A1E" w:rsidRPr="00CE166B">
        <w:rPr>
          <w:rFonts w:ascii="Courier New" w:hAnsi="Courier New" w:cs="Courier New"/>
        </w:rPr>
        <w:t>(“</w:t>
      </w:r>
      <w:r w:rsidR="00FE722F" w:rsidRPr="00CE166B">
        <w:rPr>
          <w:rFonts w:ascii="Courier New" w:hAnsi="Courier New" w:cs="Courier New"/>
        </w:rPr>
        <w:t>appellant</w:t>
      </w:r>
      <w:r w:rsidR="00871A1E" w:rsidRPr="00CE166B">
        <w:rPr>
          <w:rFonts w:ascii="Courier New" w:hAnsi="Courier New" w:cs="Courier New"/>
        </w:rPr>
        <w:t>”</w:t>
      </w:r>
      <w:r w:rsidR="00AD34F7">
        <w:rPr>
          <w:rFonts w:ascii="Courier New" w:hAnsi="Courier New" w:cs="Courier New"/>
        </w:rPr>
        <w:t xml:space="preserve"> or “LLC”</w:t>
      </w:r>
      <w:r w:rsidR="00871A1E" w:rsidRPr="00CE166B">
        <w:rPr>
          <w:rFonts w:ascii="Courier New" w:hAnsi="Courier New" w:cs="Courier New"/>
        </w:rPr>
        <w:t>)</w:t>
      </w:r>
      <w:r w:rsidR="00FE722F" w:rsidRPr="00CE166B">
        <w:rPr>
          <w:rFonts w:ascii="Courier New" w:hAnsi="Courier New" w:cs="Courier New"/>
        </w:rPr>
        <w:t xml:space="preserve"> </w:t>
      </w:r>
      <w:r w:rsidRPr="00CE166B">
        <w:rPr>
          <w:rFonts w:ascii="Courier New" w:hAnsi="Courier New" w:cs="Courier New"/>
        </w:rPr>
        <w:t>under G.L.</w:t>
      </w:r>
      <w:r w:rsidR="00B17DFB">
        <w:rPr>
          <w:rFonts w:ascii="Courier New" w:hAnsi="Courier New" w:cs="Courier New"/>
        </w:rPr>
        <w:t> </w:t>
      </w:r>
      <w:r w:rsidRPr="00CE166B">
        <w:rPr>
          <w:rFonts w:ascii="Courier New" w:hAnsi="Courier New" w:cs="Courier New"/>
        </w:rPr>
        <w:t>c.</w:t>
      </w:r>
      <w:r w:rsidR="00B17DFB">
        <w:rPr>
          <w:rFonts w:ascii="Courier New" w:hAnsi="Courier New" w:cs="Courier New"/>
        </w:rPr>
        <w:t> </w:t>
      </w:r>
      <w:r>
        <w:rPr>
          <w:rFonts w:ascii="Courier New" w:hAnsi="Courier New" w:cs="Courier New"/>
        </w:rPr>
        <w:t>59, §§ 11 and 38, for fiscal year</w:t>
      </w:r>
      <w:r w:rsidR="00E72826">
        <w:rPr>
          <w:rFonts w:ascii="Courier New" w:hAnsi="Courier New" w:cs="Courier New"/>
        </w:rPr>
        <w:t xml:space="preserve"> 20</w:t>
      </w:r>
      <w:r w:rsidR="006F7D32">
        <w:rPr>
          <w:rFonts w:ascii="Courier New" w:hAnsi="Courier New" w:cs="Courier New"/>
        </w:rPr>
        <w:t>1</w:t>
      </w:r>
      <w:r w:rsidR="00624F48">
        <w:rPr>
          <w:rFonts w:ascii="Courier New" w:hAnsi="Courier New" w:cs="Courier New"/>
        </w:rPr>
        <w:t>4</w:t>
      </w:r>
      <w:r w:rsidR="006B14AB">
        <w:rPr>
          <w:rFonts w:ascii="Courier New" w:hAnsi="Courier New" w:cs="Courier New"/>
        </w:rPr>
        <w:t xml:space="preserve"> (“fiscal year at issue”)</w:t>
      </w:r>
      <w:r>
        <w:rPr>
          <w:rFonts w:ascii="Courier New" w:hAnsi="Courier New" w:cs="Courier New"/>
        </w:rPr>
        <w:t>.</w:t>
      </w:r>
    </w:p>
    <w:p w:rsidR="0071341F" w:rsidRDefault="00FE722F" w:rsidP="0052609A">
      <w:pPr>
        <w:spacing w:line="480" w:lineRule="auto"/>
        <w:jc w:val="both"/>
        <w:rPr>
          <w:rFonts w:ascii="Courier New" w:hAnsi="Courier New" w:cs="Courier New"/>
        </w:rPr>
      </w:pPr>
      <w:r>
        <w:rPr>
          <w:rFonts w:ascii="Courier New" w:hAnsi="Courier New" w:cs="Courier New"/>
        </w:rPr>
        <w:tab/>
      </w:r>
      <w:r w:rsidR="006F7D32">
        <w:rPr>
          <w:rFonts w:ascii="Courier New" w:hAnsi="Courier New" w:cs="Courier New"/>
        </w:rPr>
        <w:t xml:space="preserve">Commissioner </w:t>
      </w:r>
      <w:r w:rsidR="00624F48">
        <w:rPr>
          <w:rFonts w:ascii="Courier New" w:hAnsi="Courier New" w:cs="Courier New"/>
        </w:rPr>
        <w:t>Chmielinski</w:t>
      </w:r>
      <w:r w:rsidR="009B118A">
        <w:rPr>
          <w:rFonts w:ascii="Courier New" w:hAnsi="Courier New" w:cs="Courier New"/>
        </w:rPr>
        <w:t xml:space="preserve"> </w:t>
      </w:r>
      <w:r w:rsidR="002A28FF" w:rsidRPr="00157839">
        <w:rPr>
          <w:rFonts w:ascii="Courier New" w:hAnsi="Courier New" w:cs="Courier New"/>
        </w:rPr>
        <w:t>heard th</w:t>
      </w:r>
      <w:r w:rsidR="009B118A">
        <w:rPr>
          <w:rFonts w:ascii="Courier New" w:hAnsi="Courier New" w:cs="Courier New"/>
        </w:rPr>
        <w:t>is</w:t>
      </w:r>
      <w:r w:rsidR="002A28FF" w:rsidRPr="00157839">
        <w:rPr>
          <w:rFonts w:ascii="Courier New" w:hAnsi="Courier New" w:cs="Courier New"/>
        </w:rPr>
        <w:t xml:space="preserve"> appeal</w:t>
      </w:r>
      <w:r w:rsidR="009B118A">
        <w:rPr>
          <w:rFonts w:ascii="Courier New" w:hAnsi="Courier New" w:cs="Courier New"/>
        </w:rPr>
        <w:t>.  Chai</w:t>
      </w:r>
      <w:r w:rsidR="006F7D32">
        <w:rPr>
          <w:rFonts w:ascii="Courier New" w:hAnsi="Courier New" w:cs="Courier New"/>
        </w:rPr>
        <w:t xml:space="preserve">rman Hammond and </w:t>
      </w:r>
      <w:r w:rsidR="002A28FF" w:rsidRPr="00157839">
        <w:rPr>
          <w:rFonts w:ascii="Courier New" w:hAnsi="Courier New" w:cs="Courier New"/>
        </w:rPr>
        <w:t xml:space="preserve">Commissioners Scharaffa, </w:t>
      </w:r>
      <w:r w:rsidR="00891C7A">
        <w:rPr>
          <w:rFonts w:ascii="Courier New" w:hAnsi="Courier New" w:cs="Courier New"/>
        </w:rPr>
        <w:t>Rose</w:t>
      </w:r>
      <w:r w:rsidR="007365F6">
        <w:rPr>
          <w:rFonts w:ascii="Courier New" w:hAnsi="Courier New" w:cs="Courier New"/>
        </w:rPr>
        <w:t>,</w:t>
      </w:r>
      <w:r w:rsidR="009B118A">
        <w:rPr>
          <w:rFonts w:ascii="Courier New" w:hAnsi="Courier New" w:cs="Courier New"/>
        </w:rPr>
        <w:t xml:space="preserve"> and Good joined him in the decision for the appellee</w:t>
      </w:r>
      <w:r w:rsidR="00330694">
        <w:rPr>
          <w:rFonts w:ascii="Courier New" w:hAnsi="Courier New" w:cs="Courier New"/>
        </w:rPr>
        <w:t xml:space="preserve">.  </w:t>
      </w:r>
      <w:r w:rsidR="0071341F">
        <w:rPr>
          <w:rFonts w:ascii="Courier New" w:hAnsi="Courier New" w:cs="Courier New"/>
        </w:rPr>
        <w:t xml:space="preserve"> </w:t>
      </w:r>
    </w:p>
    <w:p w:rsidR="0071341F" w:rsidRDefault="0071341F" w:rsidP="00D067C8">
      <w:pPr>
        <w:spacing w:line="480" w:lineRule="auto"/>
        <w:jc w:val="both"/>
        <w:rPr>
          <w:rFonts w:ascii="Courier New" w:hAnsi="Courier New" w:cs="Courier New"/>
        </w:rPr>
      </w:pPr>
      <w:r>
        <w:rPr>
          <w:rFonts w:ascii="Courier New" w:hAnsi="Courier New" w:cs="Courier New"/>
        </w:rPr>
        <w:tab/>
        <w:t xml:space="preserve">These findings of fact and report are made pursuant to a request by </w:t>
      </w:r>
      <w:r w:rsidR="00E72826">
        <w:rPr>
          <w:rFonts w:ascii="Courier New" w:hAnsi="Courier New" w:cs="Courier New"/>
        </w:rPr>
        <w:t xml:space="preserve">the </w:t>
      </w:r>
      <w:r w:rsidR="00B66ACC">
        <w:rPr>
          <w:rFonts w:ascii="Courier New" w:hAnsi="Courier New" w:cs="Courier New"/>
        </w:rPr>
        <w:t>appellant</w:t>
      </w:r>
      <w:r>
        <w:rPr>
          <w:rFonts w:ascii="Courier New" w:hAnsi="Courier New" w:cs="Courier New"/>
        </w:rPr>
        <w:t xml:space="preserve"> under G.L. c. 58A, § 13 and 831 CMR 1.32.</w:t>
      </w:r>
    </w:p>
    <w:p w:rsidR="00D067C8" w:rsidRDefault="00D067C8" w:rsidP="00D067C8">
      <w:pPr>
        <w:spacing w:line="480" w:lineRule="auto"/>
        <w:jc w:val="both"/>
        <w:rPr>
          <w:rFonts w:ascii="Courier New" w:hAnsi="Courier New" w:cs="Courier New"/>
        </w:rPr>
      </w:pPr>
    </w:p>
    <w:p w:rsidR="006F7D32" w:rsidRDefault="0071341F" w:rsidP="00B17DFB">
      <w:pPr>
        <w:spacing w:line="480" w:lineRule="auto"/>
        <w:jc w:val="both"/>
        <w:rPr>
          <w:rFonts w:ascii="Courier New" w:hAnsi="Courier New" w:cs="Courier New"/>
        </w:rPr>
      </w:pPr>
      <w:r>
        <w:rPr>
          <w:rFonts w:ascii="Courier New" w:hAnsi="Courier New" w:cs="Courier New"/>
        </w:rPr>
        <w:tab/>
      </w:r>
      <w:r w:rsidR="00333C21">
        <w:rPr>
          <w:rFonts w:ascii="Courier New" w:hAnsi="Courier New" w:cs="Courier New"/>
          <w:i/>
        </w:rPr>
        <w:t>G</w:t>
      </w:r>
      <w:r w:rsidR="00BC4F23">
        <w:rPr>
          <w:rFonts w:ascii="Courier New" w:hAnsi="Courier New" w:cs="Courier New"/>
          <w:i/>
        </w:rPr>
        <w:t xml:space="preserve">eorge M. Cain, </w:t>
      </w:r>
      <w:r w:rsidR="00CE1ABC">
        <w:rPr>
          <w:rFonts w:ascii="Courier New" w:hAnsi="Courier New" w:cs="Courier New"/>
        </w:rPr>
        <w:t>general m</w:t>
      </w:r>
      <w:r w:rsidR="00BC4F23">
        <w:rPr>
          <w:rFonts w:ascii="Courier New" w:hAnsi="Courier New" w:cs="Courier New"/>
        </w:rPr>
        <w:t>anager, for the appellant</w:t>
      </w:r>
      <w:r w:rsidR="00333C21">
        <w:rPr>
          <w:rFonts w:ascii="Courier New" w:hAnsi="Courier New" w:cs="Courier New"/>
          <w:i/>
        </w:rPr>
        <w:t>.</w:t>
      </w:r>
    </w:p>
    <w:p w:rsidR="00F05918" w:rsidRDefault="00B062D5" w:rsidP="00D067C8">
      <w:pPr>
        <w:spacing w:line="276" w:lineRule="auto"/>
        <w:jc w:val="both"/>
        <w:rPr>
          <w:rFonts w:ascii="Courier New" w:hAnsi="Courier New" w:cs="Courier New"/>
          <w:i/>
        </w:rPr>
      </w:pPr>
      <w:r>
        <w:rPr>
          <w:rFonts w:ascii="Courier New" w:hAnsi="Courier New" w:cs="Courier New"/>
        </w:rPr>
        <w:tab/>
      </w:r>
      <w:r w:rsidR="00333C21">
        <w:rPr>
          <w:rFonts w:ascii="Courier New" w:hAnsi="Courier New" w:cs="Courier New"/>
          <w:i/>
        </w:rPr>
        <w:t>Stanley Ross</w:t>
      </w:r>
      <w:r w:rsidR="00F05918">
        <w:rPr>
          <w:rFonts w:ascii="Courier New" w:hAnsi="Courier New" w:cs="Courier New"/>
          <w:i/>
        </w:rPr>
        <w:t xml:space="preserve">, </w:t>
      </w:r>
      <w:r w:rsidR="00891C7A">
        <w:rPr>
          <w:rFonts w:ascii="Courier New" w:hAnsi="Courier New" w:cs="Courier New"/>
        </w:rPr>
        <w:t xml:space="preserve">chairman </w:t>
      </w:r>
      <w:r w:rsidR="00F05918" w:rsidRPr="00F05918">
        <w:rPr>
          <w:rFonts w:ascii="Courier New" w:hAnsi="Courier New" w:cs="Courier New"/>
        </w:rPr>
        <w:t xml:space="preserve">of </w:t>
      </w:r>
      <w:r w:rsidR="00891C7A">
        <w:rPr>
          <w:rFonts w:ascii="Courier New" w:hAnsi="Courier New" w:cs="Courier New"/>
        </w:rPr>
        <w:t>the a</w:t>
      </w:r>
      <w:r w:rsidR="00F05918" w:rsidRPr="00F05918">
        <w:rPr>
          <w:rFonts w:ascii="Courier New" w:hAnsi="Courier New" w:cs="Courier New"/>
        </w:rPr>
        <w:t>ssessors</w:t>
      </w:r>
      <w:r w:rsidR="00E50489">
        <w:rPr>
          <w:rFonts w:ascii="Courier New" w:hAnsi="Courier New" w:cs="Courier New"/>
        </w:rPr>
        <w:t>,</w:t>
      </w:r>
      <w:r w:rsidR="00F05918" w:rsidRPr="00F05918">
        <w:rPr>
          <w:rFonts w:ascii="Courier New" w:hAnsi="Courier New" w:cs="Courier New"/>
        </w:rPr>
        <w:t xml:space="preserve"> and </w:t>
      </w:r>
      <w:r w:rsidR="0044063B">
        <w:rPr>
          <w:rFonts w:ascii="Courier New" w:hAnsi="Courier New" w:cs="Courier New"/>
          <w:i/>
        </w:rPr>
        <w:t xml:space="preserve">Robert </w:t>
      </w:r>
      <w:r w:rsidR="00F05918">
        <w:rPr>
          <w:rFonts w:ascii="Courier New" w:hAnsi="Courier New" w:cs="Courier New"/>
          <w:i/>
        </w:rPr>
        <w:t xml:space="preserve">Lazzarini, </w:t>
      </w:r>
      <w:r w:rsidR="00891C7A">
        <w:rPr>
          <w:rFonts w:ascii="Courier New" w:hAnsi="Courier New" w:cs="Courier New"/>
        </w:rPr>
        <w:t>m</w:t>
      </w:r>
      <w:r w:rsidR="00F05918" w:rsidRPr="00F05918">
        <w:rPr>
          <w:rFonts w:ascii="Courier New" w:hAnsi="Courier New" w:cs="Courier New"/>
        </w:rPr>
        <w:t>ember</w:t>
      </w:r>
      <w:r w:rsidR="00891C7A">
        <w:rPr>
          <w:rFonts w:ascii="Courier New" w:hAnsi="Courier New" w:cs="Courier New"/>
        </w:rPr>
        <w:t xml:space="preserve"> of the assessors</w:t>
      </w:r>
      <w:r w:rsidR="00F05918">
        <w:rPr>
          <w:rFonts w:ascii="Courier New" w:hAnsi="Courier New" w:cs="Courier New"/>
        </w:rPr>
        <w:t>, for the appellee</w:t>
      </w:r>
      <w:r w:rsidR="00F05918">
        <w:rPr>
          <w:rFonts w:ascii="Courier New" w:hAnsi="Courier New" w:cs="Courier New"/>
          <w:i/>
        </w:rPr>
        <w:t>.</w:t>
      </w:r>
    </w:p>
    <w:p w:rsidR="00F05918" w:rsidRDefault="00F05918" w:rsidP="00B17DFB">
      <w:pPr>
        <w:spacing w:line="480" w:lineRule="auto"/>
        <w:jc w:val="both"/>
        <w:rPr>
          <w:rFonts w:ascii="Courier New" w:hAnsi="Courier New" w:cs="Courier New"/>
          <w:i/>
        </w:rPr>
      </w:pPr>
    </w:p>
    <w:p w:rsidR="00D067C8" w:rsidRDefault="00D067C8">
      <w:pPr>
        <w:rPr>
          <w:rFonts w:ascii="Courier New" w:hAnsi="Courier New" w:cs="Courier New"/>
          <w:b/>
        </w:rPr>
      </w:pPr>
      <w:r>
        <w:rPr>
          <w:rFonts w:ascii="Courier New" w:hAnsi="Courier New" w:cs="Courier New"/>
          <w:b/>
        </w:rPr>
        <w:br w:type="page"/>
      </w:r>
    </w:p>
    <w:p w:rsidR="0020217A" w:rsidRPr="0020217A" w:rsidRDefault="0071341F" w:rsidP="0071341F">
      <w:pPr>
        <w:spacing w:line="480" w:lineRule="auto"/>
        <w:jc w:val="center"/>
        <w:outlineLvl w:val="0"/>
        <w:rPr>
          <w:rFonts w:ascii="Courier New" w:hAnsi="Courier New" w:cs="Courier New"/>
          <w:b/>
        </w:rPr>
      </w:pPr>
      <w:r w:rsidRPr="0020217A">
        <w:rPr>
          <w:rFonts w:ascii="Courier New" w:hAnsi="Courier New" w:cs="Courier New"/>
          <w:b/>
        </w:rPr>
        <w:lastRenderedPageBreak/>
        <w:t>FINDINGS OF FACT AND REPORT</w:t>
      </w:r>
    </w:p>
    <w:p w:rsidR="0020217A" w:rsidRPr="0020217A" w:rsidRDefault="0020217A" w:rsidP="0020217A">
      <w:pPr>
        <w:spacing w:line="480" w:lineRule="auto"/>
        <w:jc w:val="both"/>
        <w:rPr>
          <w:rFonts w:ascii="Courier New" w:hAnsi="Courier New" w:cs="Courier New"/>
        </w:rPr>
      </w:pPr>
      <w:r>
        <w:rPr>
          <w:rFonts w:ascii="Courier New" w:hAnsi="Courier New" w:cs="Courier New"/>
        </w:rPr>
        <w:tab/>
      </w:r>
      <w:r w:rsidR="00BC4F23">
        <w:rPr>
          <w:rFonts w:ascii="Courier New" w:hAnsi="Courier New" w:cs="Courier New"/>
        </w:rPr>
        <w:t xml:space="preserve">On the basis of the </w:t>
      </w:r>
      <w:r w:rsidR="0059281F">
        <w:rPr>
          <w:rFonts w:ascii="Courier New" w:hAnsi="Courier New" w:cs="Courier New"/>
        </w:rPr>
        <w:t>t</w:t>
      </w:r>
      <w:r w:rsidR="000A205E">
        <w:rPr>
          <w:rFonts w:ascii="Courier New" w:hAnsi="Courier New" w:cs="Courier New"/>
        </w:rPr>
        <w:t xml:space="preserve">estimony </w:t>
      </w:r>
      <w:r w:rsidR="0059281F">
        <w:rPr>
          <w:rFonts w:ascii="Courier New" w:hAnsi="Courier New" w:cs="Courier New"/>
        </w:rPr>
        <w:t xml:space="preserve">and exhibits </w:t>
      </w:r>
      <w:r w:rsidR="000A205E">
        <w:rPr>
          <w:rFonts w:ascii="Courier New" w:hAnsi="Courier New" w:cs="Courier New"/>
        </w:rPr>
        <w:t xml:space="preserve">offered </w:t>
      </w:r>
      <w:r w:rsidR="0059281F">
        <w:rPr>
          <w:rFonts w:ascii="Courier New" w:hAnsi="Courier New" w:cs="Courier New"/>
        </w:rPr>
        <w:t xml:space="preserve">into evidence at the hearing of this appeal, </w:t>
      </w:r>
      <w:r w:rsidRPr="0020217A">
        <w:rPr>
          <w:rFonts w:ascii="Courier New" w:hAnsi="Courier New" w:cs="Courier New"/>
        </w:rPr>
        <w:t>the Appellate Tax Board (“Board”) made the following findings of fact.</w:t>
      </w:r>
    </w:p>
    <w:p w:rsidR="006B17E4" w:rsidRDefault="00B61FD7" w:rsidP="0059281F">
      <w:pPr>
        <w:spacing w:line="480" w:lineRule="auto"/>
        <w:ind w:firstLine="720"/>
        <w:jc w:val="both"/>
        <w:rPr>
          <w:rFonts w:ascii="Courier New" w:hAnsi="Courier New" w:cs="Courier New"/>
        </w:rPr>
      </w:pPr>
      <w:r>
        <w:rPr>
          <w:rFonts w:ascii="Courier New" w:hAnsi="Courier New" w:cs="Courier New"/>
        </w:rPr>
        <w:t>On January 1, 20</w:t>
      </w:r>
      <w:r w:rsidR="006F7D32">
        <w:rPr>
          <w:rFonts w:ascii="Courier New" w:hAnsi="Courier New" w:cs="Courier New"/>
        </w:rPr>
        <w:t>1</w:t>
      </w:r>
      <w:r w:rsidR="00F05918">
        <w:rPr>
          <w:rFonts w:ascii="Courier New" w:hAnsi="Courier New" w:cs="Courier New"/>
        </w:rPr>
        <w:t>3</w:t>
      </w:r>
      <w:r w:rsidR="008C0B6C">
        <w:rPr>
          <w:rFonts w:ascii="Courier New" w:hAnsi="Courier New" w:cs="Courier New"/>
        </w:rPr>
        <w:t xml:space="preserve">, </w:t>
      </w:r>
      <w:r w:rsidR="0012010B">
        <w:rPr>
          <w:rFonts w:ascii="Courier New" w:hAnsi="Courier New" w:cs="Courier New"/>
        </w:rPr>
        <w:t xml:space="preserve">the relevant valuation and assessment date for the fiscal year at issue, </w:t>
      </w:r>
      <w:r w:rsidR="00871A1E">
        <w:rPr>
          <w:rFonts w:ascii="Courier New" w:hAnsi="Courier New" w:cs="Courier New"/>
        </w:rPr>
        <w:t>the appellant w</w:t>
      </w:r>
      <w:r w:rsidR="00F05918">
        <w:rPr>
          <w:rFonts w:ascii="Courier New" w:hAnsi="Courier New" w:cs="Courier New"/>
        </w:rPr>
        <w:t xml:space="preserve">as </w:t>
      </w:r>
      <w:r w:rsidR="00871A1E">
        <w:rPr>
          <w:rFonts w:ascii="Courier New" w:hAnsi="Courier New" w:cs="Courier New"/>
        </w:rPr>
        <w:t>the assessed owner of a</w:t>
      </w:r>
      <w:r w:rsidR="009A3782">
        <w:rPr>
          <w:rFonts w:ascii="Courier New" w:hAnsi="Courier New" w:cs="Courier New"/>
        </w:rPr>
        <w:t>n</w:t>
      </w:r>
      <w:r w:rsidR="008C70D9">
        <w:rPr>
          <w:rFonts w:ascii="Courier New" w:hAnsi="Courier New" w:cs="Courier New"/>
        </w:rPr>
        <w:t xml:space="preserve"> 8.861</w:t>
      </w:r>
      <w:r w:rsidR="008C0B6C">
        <w:rPr>
          <w:rFonts w:ascii="Courier New" w:hAnsi="Courier New" w:cs="Courier New"/>
        </w:rPr>
        <w:t xml:space="preserve">-acre parcel of </w:t>
      </w:r>
      <w:r w:rsidR="00EA709E">
        <w:rPr>
          <w:rFonts w:ascii="Courier New" w:hAnsi="Courier New" w:cs="Courier New"/>
        </w:rPr>
        <w:t>real estate i</w:t>
      </w:r>
      <w:r w:rsidR="00AD3C2B">
        <w:rPr>
          <w:rFonts w:ascii="Courier New" w:hAnsi="Courier New" w:cs="Courier New"/>
        </w:rPr>
        <w:t>mproved with a</w:t>
      </w:r>
      <w:r w:rsidR="00BD4276">
        <w:rPr>
          <w:rFonts w:ascii="Courier New" w:hAnsi="Courier New" w:cs="Courier New"/>
        </w:rPr>
        <w:t xml:space="preserve"> </w:t>
      </w:r>
      <w:r w:rsidR="00EA709E">
        <w:rPr>
          <w:rFonts w:ascii="Courier New" w:hAnsi="Courier New" w:cs="Courier New"/>
        </w:rPr>
        <w:t>single-family residence</w:t>
      </w:r>
      <w:r w:rsidR="00FD0F81">
        <w:rPr>
          <w:rFonts w:ascii="Courier New" w:hAnsi="Courier New" w:cs="Courier New"/>
        </w:rPr>
        <w:t xml:space="preserve"> </w:t>
      </w:r>
      <w:r w:rsidR="001D2C35">
        <w:rPr>
          <w:rFonts w:ascii="Courier New" w:hAnsi="Courier New" w:cs="Courier New"/>
        </w:rPr>
        <w:t xml:space="preserve">located at </w:t>
      </w:r>
      <w:r w:rsidR="008C70D9">
        <w:rPr>
          <w:rFonts w:ascii="Courier New" w:hAnsi="Courier New" w:cs="Courier New"/>
        </w:rPr>
        <w:t>9 Heron Pond Park</w:t>
      </w:r>
      <w:r w:rsidR="008C0B6C">
        <w:rPr>
          <w:rFonts w:ascii="Courier New" w:hAnsi="Courier New" w:cs="Courier New"/>
        </w:rPr>
        <w:t xml:space="preserve"> in </w:t>
      </w:r>
      <w:r w:rsidR="008C70D9">
        <w:rPr>
          <w:rFonts w:ascii="Courier New" w:hAnsi="Courier New" w:cs="Courier New"/>
        </w:rPr>
        <w:t>Monterey</w:t>
      </w:r>
      <w:r w:rsidR="008C0B6C">
        <w:rPr>
          <w:rFonts w:ascii="Courier New" w:hAnsi="Courier New" w:cs="Courier New"/>
        </w:rPr>
        <w:t xml:space="preserve"> (“subject property”). </w:t>
      </w:r>
      <w:r w:rsidR="0059281F">
        <w:rPr>
          <w:rFonts w:ascii="Courier New" w:hAnsi="Courier New" w:cs="Courier New"/>
        </w:rPr>
        <w:t xml:space="preserve"> </w:t>
      </w:r>
      <w:r w:rsidR="002B0E6A">
        <w:rPr>
          <w:rFonts w:ascii="Courier New" w:hAnsi="Courier New" w:cs="Courier New"/>
        </w:rPr>
        <w:t>For assessment purposes</w:t>
      </w:r>
      <w:r w:rsidR="00FC6A6E">
        <w:rPr>
          <w:rFonts w:ascii="Courier New" w:hAnsi="Courier New" w:cs="Courier New"/>
        </w:rPr>
        <w:t>,</w:t>
      </w:r>
      <w:r w:rsidR="002B0E6A">
        <w:rPr>
          <w:rFonts w:ascii="Courier New" w:hAnsi="Courier New" w:cs="Courier New"/>
        </w:rPr>
        <w:t xml:space="preserve"> the subject property is identified on the assessors’ map 212 as lot 007.    </w:t>
      </w:r>
      <w:r w:rsidR="0059281F">
        <w:rPr>
          <w:rFonts w:ascii="Courier New" w:hAnsi="Courier New" w:cs="Courier New"/>
        </w:rPr>
        <w:t xml:space="preserve">  </w:t>
      </w:r>
      <w:r w:rsidR="008C0B6C">
        <w:rPr>
          <w:rFonts w:ascii="Courier New" w:hAnsi="Courier New" w:cs="Courier New"/>
        </w:rPr>
        <w:t xml:space="preserve"> </w:t>
      </w:r>
    </w:p>
    <w:p w:rsidR="00B51BCE" w:rsidRDefault="0071341F" w:rsidP="00966934">
      <w:pPr>
        <w:spacing w:line="480" w:lineRule="auto"/>
        <w:ind w:firstLine="720"/>
        <w:jc w:val="both"/>
        <w:rPr>
          <w:rFonts w:ascii="Courier New" w:hAnsi="Courier New" w:cs="Courier New"/>
        </w:rPr>
      </w:pPr>
      <w:r>
        <w:rPr>
          <w:rFonts w:ascii="Courier New" w:hAnsi="Courier New" w:cs="Courier New"/>
        </w:rPr>
        <w:t xml:space="preserve">For </w:t>
      </w:r>
      <w:r w:rsidR="008C70D9">
        <w:rPr>
          <w:rFonts w:ascii="Courier New" w:hAnsi="Courier New" w:cs="Courier New"/>
        </w:rPr>
        <w:t>fiscal year 2014</w:t>
      </w:r>
      <w:r w:rsidR="00BF6E27">
        <w:rPr>
          <w:rFonts w:ascii="Courier New" w:hAnsi="Courier New" w:cs="Courier New"/>
        </w:rPr>
        <w:t>,</w:t>
      </w:r>
      <w:r>
        <w:rPr>
          <w:rFonts w:ascii="Courier New" w:hAnsi="Courier New" w:cs="Courier New"/>
        </w:rPr>
        <w:t xml:space="preserve"> the </w:t>
      </w:r>
      <w:r w:rsidR="00033138">
        <w:rPr>
          <w:rFonts w:ascii="Courier New" w:hAnsi="Courier New" w:cs="Courier New"/>
        </w:rPr>
        <w:t>ass</w:t>
      </w:r>
      <w:r>
        <w:rPr>
          <w:rFonts w:ascii="Courier New" w:hAnsi="Courier New" w:cs="Courier New"/>
        </w:rPr>
        <w:t>essors valued the subject property at $</w:t>
      </w:r>
      <w:r w:rsidR="008C70D9">
        <w:rPr>
          <w:rFonts w:ascii="Courier New" w:hAnsi="Courier New" w:cs="Courier New"/>
        </w:rPr>
        <w:t>1,350,000</w:t>
      </w:r>
      <w:r w:rsidR="00BF70E5">
        <w:rPr>
          <w:rFonts w:ascii="Courier New" w:hAnsi="Courier New" w:cs="Courier New"/>
        </w:rPr>
        <w:t xml:space="preserve"> and assessed a tax </w:t>
      </w:r>
      <w:r w:rsidR="008C70D9">
        <w:rPr>
          <w:rFonts w:ascii="Courier New" w:hAnsi="Courier New" w:cs="Courier New"/>
        </w:rPr>
        <w:t>thereon, at the rate of $6.08</w:t>
      </w:r>
      <w:r w:rsidR="00BF6E27">
        <w:rPr>
          <w:rFonts w:ascii="Courier New" w:hAnsi="Courier New" w:cs="Courier New"/>
        </w:rPr>
        <w:t xml:space="preserve"> per thousand, i</w:t>
      </w:r>
      <w:r w:rsidR="008C70D9">
        <w:rPr>
          <w:rFonts w:ascii="Courier New" w:hAnsi="Courier New" w:cs="Courier New"/>
        </w:rPr>
        <w:t>n the total amount of $8,208</w:t>
      </w:r>
      <w:r w:rsidR="00BF6E27">
        <w:rPr>
          <w:rFonts w:ascii="Courier New" w:hAnsi="Courier New" w:cs="Courier New"/>
        </w:rPr>
        <w:t>.</w:t>
      </w:r>
      <w:r w:rsidR="005B2159">
        <w:rPr>
          <w:rFonts w:ascii="Courier New" w:hAnsi="Courier New" w:cs="Courier New"/>
        </w:rPr>
        <w:t xml:space="preserve"> </w:t>
      </w:r>
      <w:r w:rsidR="00BF6E27">
        <w:rPr>
          <w:rFonts w:ascii="Courier New" w:hAnsi="Courier New" w:cs="Courier New"/>
        </w:rPr>
        <w:t xml:space="preserve"> In accordance with G.L. c. 59, </w:t>
      </w:r>
      <w:r w:rsidR="00A44D46">
        <w:rPr>
          <w:rFonts w:ascii="Courier New" w:hAnsi="Courier New" w:cs="Courier New"/>
        </w:rPr>
        <w:t xml:space="preserve">§ </w:t>
      </w:r>
      <w:r w:rsidR="00BF6E27">
        <w:rPr>
          <w:rFonts w:ascii="Courier New" w:hAnsi="Courier New" w:cs="Courier New"/>
        </w:rPr>
        <w:t>57C, t</w:t>
      </w:r>
      <w:r w:rsidR="00033138">
        <w:rPr>
          <w:rFonts w:ascii="Courier New" w:hAnsi="Courier New" w:cs="Courier New"/>
        </w:rPr>
        <w:t>he a</w:t>
      </w:r>
      <w:r w:rsidR="00B66ACC">
        <w:rPr>
          <w:rFonts w:ascii="Courier New" w:hAnsi="Courier New" w:cs="Courier New"/>
        </w:rPr>
        <w:t>ppellant</w:t>
      </w:r>
      <w:r w:rsidR="00BF70E5">
        <w:rPr>
          <w:rFonts w:ascii="Courier New" w:hAnsi="Courier New" w:cs="Courier New"/>
        </w:rPr>
        <w:t xml:space="preserve"> timely</w:t>
      </w:r>
      <w:r>
        <w:rPr>
          <w:rFonts w:ascii="Courier New" w:hAnsi="Courier New" w:cs="Courier New"/>
        </w:rPr>
        <w:t xml:space="preserve"> paid </w:t>
      </w:r>
      <w:r w:rsidR="0052609A">
        <w:rPr>
          <w:rFonts w:ascii="Courier New" w:hAnsi="Courier New" w:cs="Courier New"/>
        </w:rPr>
        <w:t xml:space="preserve">the tax </w:t>
      </w:r>
      <w:r w:rsidR="00BF70E5">
        <w:rPr>
          <w:rFonts w:ascii="Courier New" w:hAnsi="Courier New" w:cs="Courier New"/>
        </w:rPr>
        <w:t xml:space="preserve">due </w:t>
      </w:r>
      <w:r>
        <w:rPr>
          <w:rFonts w:ascii="Courier New" w:hAnsi="Courier New" w:cs="Courier New"/>
        </w:rPr>
        <w:t>without incurring interest</w:t>
      </w:r>
      <w:r w:rsidR="00BF6E27">
        <w:rPr>
          <w:rFonts w:ascii="Courier New" w:hAnsi="Courier New" w:cs="Courier New"/>
        </w:rPr>
        <w:t>.  O</w:t>
      </w:r>
      <w:r w:rsidR="00033138" w:rsidRPr="00F71753">
        <w:rPr>
          <w:rFonts w:ascii="Courier New" w:hAnsi="Courier New" w:cs="Courier New"/>
        </w:rPr>
        <w:t xml:space="preserve">n </w:t>
      </w:r>
      <w:r w:rsidR="00BF6E27">
        <w:rPr>
          <w:rFonts w:ascii="Courier New" w:hAnsi="Courier New" w:cs="Courier New"/>
        </w:rPr>
        <w:t>January 2</w:t>
      </w:r>
      <w:r w:rsidR="00897967">
        <w:rPr>
          <w:rFonts w:ascii="Courier New" w:hAnsi="Courier New" w:cs="Courier New"/>
        </w:rPr>
        <w:t>5</w:t>
      </w:r>
      <w:r w:rsidR="00BF6E27">
        <w:rPr>
          <w:rFonts w:ascii="Courier New" w:hAnsi="Courier New" w:cs="Courier New"/>
        </w:rPr>
        <w:t>, 201</w:t>
      </w:r>
      <w:r w:rsidR="00897967">
        <w:rPr>
          <w:rFonts w:ascii="Courier New" w:hAnsi="Courier New" w:cs="Courier New"/>
        </w:rPr>
        <w:t>4</w:t>
      </w:r>
      <w:r w:rsidR="00BF6E27">
        <w:rPr>
          <w:rFonts w:ascii="Courier New" w:hAnsi="Courier New" w:cs="Courier New"/>
        </w:rPr>
        <w:t>,</w:t>
      </w:r>
      <w:r w:rsidR="00A44D46">
        <w:rPr>
          <w:rFonts w:ascii="Courier New" w:hAnsi="Courier New" w:cs="Courier New"/>
        </w:rPr>
        <w:t xml:space="preserve"> in accordance with G.L. c. 59, </w:t>
      </w:r>
      <w:r w:rsidR="007365F6">
        <w:rPr>
          <w:rFonts w:ascii="Courier New" w:hAnsi="Courier New" w:cs="Courier New"/>
        </w:rPr>
        <w:t xml:space="preserve">§ </w:t>
      </w:r>
      <w:r w:rsidR="00A44D46">
        <w:rPr>
          <w:rFonts w:ascii="Courier New" w:hAnsi="Courier New" w:cs="Courier New"/>
        </w:rPr>
        <w:t>59,</w:t>
      </w:r>
      <w:r w:rsidR="0012010B">
        <w:rPr>
          <w:rFonts w:ascii="Courier New" w:hAnsi="Courier New" w:cs="Courier New"/>
        </w:rPr>
        <w:t xml:space="preserve"> the appellant</w:t>
      </w:r>
      <w:r w:rsidR="00891C7A">
        <w:rPr>
          <w:rFonts w:ascii="Courier New" w:hAnsi="Courier New" w:cs="Courier New"/>
        </w:rPr>
        <w:t xml:space="preserve"> timely filed </w:t>
      </w:r>
      <w:r w:rsidR="00CE1ABC">
        <w:rPr>
          <w:rFonts w:ascii="Courier New" w:hAnsi="Courier New" w:cs="Courier New"/>
        </w:rPr>
        <w:t xml:space="preserve">an </w:t>
      </w:r>
      <w:r w:rsidR="00897967">
        <w:rPr>
          <w:rFonts w:ascii="Courier New" w:hAnsi="Courier New" w:cs="Courier New"/>
        </w:rPr>
        <w:t>a</w:t>
      </w:r>
      <w:r w:rsidRPr="00F71753">
        <w:rPr>
          <w:rFonts w:ascii="Courier New" w:hAnsi="Courier New" w:cs="Courier New"/>
        </w:rPr>
        <w:t xml:space="preserve">batement </w:t>
      </w:r>
      <w:r w:rsidR="00891C7A">
        <w:rPr>
          <w:rFonts w:ascii="Courier New" w:hAnsi="Courier New" w:cs="Courier New"/>
        </w:rPr>
        <w:t xml:space="preserve">application </w:t>
      </w:r>
      <w:r w:rsidRPr="00F71753">
        <w:rPr>
          <w:rFonts w:ascii="Courier New" w:hAnsi="Courier New" w:cs="Courier New"/>
        </w:rPr>
        <w:t>with the assessors</w:t>
      </w:r>
      <w:r w:rsidR="008351E7">
        <w:rPr>
          <w:rFonts w:ascii="Courier New" w:hAnsi="Courier New" w:cs="Courier New"/>
        </w:rPr>
        <w:t xml:space="preserve">, which </w:t>
      </w:r>
      <w:r w:rsidR="00897967">
        <w:rPr>
          <w:rFonts w:ascii="Courier New" w:hAnsi="Courier New" w:cs="Courier New"/>
        </w:rPr>
        <w:t>was deemed denied on April 25, 2014</w:t>
      </w:r>
      <w:r w:rsidR="00D25F61">
        <w:rPr>
          <w:rFonts w:ascii="Courier New" w:hAnsi="Courier New" w:cs="Courier New"/>
        </w:rPr>
        <w:t>.</w:t>
      </w:r>
      <w:r w:rsidR="008351E7">
        <w:rPr>
          <w:rFonts w:ascii="Courier New" w:hAnsi="Courier New" w:cs="Courier New"/>
        </w:rPr>
        <w:t xml:space="preserve"> </w:t>
      </w:r>
      <w:r w:rsidR="00D25F61">
        <w:rPr>
          <w:rFonts w:ascii="Courier New" w:hAnsi="Courier New" w:cs="Courier New"/>
        </w:rPr>
        <w:t xml:space="preserve"> On June </w:t>
      </w:r>
      <w:r w:rsidR="00897967">
        <w:rPr>
          <w:rFonts w:ascii="Courier New" w:hAnsi="Courier New" w:cs="Courier New"/>
        </w:rPr>
        <w:t>27</w:t>
      </w:r>
      <w:r w:rsidR="00D25F61">
        <w:rPr>
          <w:rFonts w:ascii="Courier New" w:hAnsi="Courier New" w:cs="Courier New"/>
        </w:rPr>
        <w:t>, 201</w:t>
      </w:r>
      <w:r w:rsidR="00897967">
        <w:rPr>
          <w:rFonts w:ascii="Courier New" w:hAnsi="Courier New" w:cs="Courier New"/>
        </w:rPr>
        <w:t>4</w:t>
      </w:r>
      <w:r w:rsidR="00D25F61">
        <w:rPr>
          <w:rFonts w:ascii="Courier New" w:hAnsi="Courier New" w:cs="Courier New"/>
        </w:rPr>
        <w:t>, in accordance with G.L.</w:t>
      </w:r>
      <w:r w:rsidR="001E5650">
        <w:rPr>
          <w:rFonts w:ascii="Courier New" w:hAnsi="Courier New" w:cs="Courier New"/>
        </w:rPr>
        <w:t> </w:t>
      </w:r>
      <w:r w:rsidR="00D25F61">
        <w:rPr>
          <w:rFonts w:ascii="Courier New" w:hAnsi="Courier New" w:cs="Courier New"/>
        </w:rPr>
        <w:t>c.</w:t>
      </w:r>
      <w:r w:rsidR="001E5650">
        <w:rPr>
          <w:rFonts w:ascii="Courier New" w:hAnsi="Courier New" w:cs="Courier New"/>
        </w:rPr>
        <w:t> </w:t>
      </w:r>
      <w:r w:rsidR="00D25F61">
        <w:rPr>
          <w:rFonts w:ascii="Courier New" w:hAnsi="Courier New" w:cs="Courier New"/>
        </w:rPr>
        <w:t>59, §§ 64 and 65, t</w:t>
      </w:r>
      <w:r w:rsidR="00487F02">
        <w:rPr>
          <w:rFonts w:ascii="Courier New" w:hAnsi="Courier New" w:cs="Courier New"/>
        </w:rPr>
        <w:t>he appellant seasonabl</w:t>
      </w:r>
      <w:r w:rsidR="00D25F61">
        <w:rPr>
          <w:rFonts w:ascii="Courier New" w:hAnsi="Courier New" w:cs="Courier New"/>
        </w:rPr>
        <w:t>y filed an appeal with the Board</w:t>
      </w:r>
      <w:r w:rsidR="00BF70E5">
        <w:rPr>
          <w:rFonts w:ascii="Courier New" w:hAnsi="Courier New" w:cs="Courier New"/>
        </w:rPr>
        <w:t>.</w:t>
      </w:r>
      <w:r w:rsidR="00E97EE9" w:rsidRPr="00F71753">
        <w:rPr>
          <w:rFonts w:ascii="Courier New" w:hAnsi="Courier New" w:cs="Courier New"/>
        </w:rPr>
        <w:t xml:space="preserve"> </w:t>
      </w:r>
      <w:r w:rsidR="00D25F61">
        <w:rPr>
          <w:rFonts w:ascii="Courier New" w:hAnsi="Courier New" w:cs="Courier New"/>
        </w:rPr>
        <w:t xml:space="preserve"> </w:t>
      </w:r>
      <w:r w:rsidR="00B51BCE" w:rsidRPr="00F71753">
        <w:rPr>
          <w:rFonts w:ascii="Courier New" w:hAnsi="Courier New" w:cs="Courier New"/>
        </w:rPr>
        <w:t xml:space="preserve">On the basis of these facts, the Board found and ruled that it had jurisdiction </w:t>
      </w:r>
      <w:r w:rsidR="006B14AB">
        <w:rPr>
          <w:rFonts w:ascii="Courier New" w:hAnsi="Courier New" w:cs="Courier New"/>
        </w:rPr>
        <w:t>to hear and decide</w:t>
      </w:r>
      <w:r w:rsidR="00B51BCE" w:rsidRPr="00F71753">
        <w:rPr>
          <w:rFonts w:ascii="Courier New" w:hAnsi="Courier New" w:cs="Courier New"/>
        </w:rPr>
        <w:t xml:space="preserve"> th</w:t>
      </w:r>
      <w:r w:rsidR="006B14AB">
        <w:rPr>
          <w:rFonts w:ascii="Courier New" w:hAnsi="Courier New" w:cs="Courier New"/>
        </w:rPr>
        <w:t>is</w:t>
      </w:r>
      <w:r w:rsidR="00B51BCE" w:rsidRPr="00F71753">
        <w:rPr>
          <w:rFonts w:ascii="Courier New" w:hAnsi="Courier New" w:cs="Courier New"/>
        </w:rPr>
        <w:t xml:space="preserve"> appeal.</w:t>
      </w:r>
    </w:p>
    <w:p w:rsidR="005C542B" w:rsidRDefault="005C542B" w:rsidP="00966934">
      <w:pPr>
        <w:spacing w:line="480" w:lineRule="auto"/>
        <w:ind w:firstLine="720"/>
        <w:jc w:val="both"/>
        <w:rPr>
          <w:rFonts w:ascii="Courier New" w:hAnsi="Courier New" w:cs="Courier New"/>
        </w:rPr>
      </w:pPr>
    </w:p>
    <w:p w:rsidR="002B0E6A" w:rsidRDefault="002B0E6A" w:rsidP="0059281F">
      <w:pPr>
        <w:spacing w:line="480" w:lineRule="auto"/>
        <w:ind w:firstLine="720"/>
        <w:jc w:val="both"/>
        <w:rPr>
          <w:rFonts w:ascii="Courier New" w:hAnsi="Courier New" w:cs="Courier New"/>
        </w:rPr>
      </w:pPr>
      <w:r>
        <w:rPr>
          <w:rFonts w:ascii="Courier New" w:hAnsi="Courier New" w:cs="Courier New"/>
        </w:rPr>
        <w:lastRenderedPageBreak/>
        <w:t>The subject property is one of only 5 properties situated on a dirt road within a developed community interconnected by private, deeded rights</w:t>
      </w:r>
      <w:r w:rsidR="005C210C">
        <w:rPr>
          <w:rFonts w:ascii="Courier New" w:hAnsi="Courier New" w:cs="Courier New"/>
        </w:rPr>
        <w:t>-</w:t>
      </w:r>
      <w:r>
        <w:rPr>
          <w:rFonts w:ascii="Courier New" w:hAnsi="Courier New" w:cs="Courier New"/>
        </w:rPr>
        <w:t>of</w:t>
      </w:r>
      <w:r w:rsidR="005C210C">
        <w:rPr>
          <w:rFonts w:ascii="Courier New" w:hAnsi="Courier New" w:cs="Courier New"/>
        </w:rPr>
        <w:t>-</w:t>
      </w:r>
      <w:r>
        <w:rPr>
          <w:rFonts w:ascii="Courier New" w:hAnsi="Courier New" w:cs="Courier New"/>
        </w:rPr>
        <w:t>way</w:t>
      </w:r>
      <w:r w:rsidR="005C210C">
        <w:rPr>
          <w:rFonts w:ascii="Courier New" w:hAnsi="Courier New" w:cs="Courier New"/>
        </w:rPr>
        <w:t xml:space="preserve">, which </w:t>
      </w:r>
      <w:r>
        <w:rPr>
          <w:rFonts w:ascii="Courier New" w:hAnsi="Courier New" w:cs="Courier New"/>
        </w:rPr>
        <w:t xml:space="preserve">abuts 300 acres of preserved woodlands to the southeast and the Tyringham Valley (the “valley”) to the north.  </w:t>
      </w:r>
      <w:r w:rsidR="0059281F">
        <w:rPr>
          <w:rFonts w:ascii="Courier New" w:hAnsi="Courier New" w:cs="Courier New"/>
        </w:rPr>
        <w:t xml:space="preserve">The subject property is improved with a </w:t>
      </w:r>
      <w:r w:rsidR="00891C7A">
        <w:rPr>
          <w:rFonts w:ascii="Courier New" w:hAnsi="Courier New" w:cs="Courier New"/>
        </w:rPr>
        <w:t>2</w:t>
      </w:r>
      <w:r w:rsidR="0059281F">
        <w:rPr>
          <w:rFonts w:ascii="Courier New" w:hAnsi="Courier New" w:cs="Courier New"/>
        </w:rPr>
        <w:t xml:space="preserve">-story, custom-built, contemporary-style residence (“subject dwelling”).  </w:t>
      </w:r>
    </w:p>
    <w:p w:rsidR="0059281F" w:rsidRDefault="0059281F" w:rsidP="0059281F">
      <w:pPr>
        <w:spacing w:line="480" w:lineRule="auto"/>
        <w:ind w:firstLine="720"/>
        <w:jc w:val="both"/>
        <w:rPr>
          <w:rFonts w:ascii="Courier New" w:hAnsi="Courier New" w:cs="Courier New"/>
        </w:rPr>
      </w:pPr>
      <w:r>
        <w:rPr>
          <w:rFonts w:ascii="Courier New" w:hAnsi="Courier New" w:cs="Courier New"/>
        </w:rPr>
        <w:t xml:space="preserve">Built in 1999, the subject dwelling has 3,690 square feet of finished living area with a total of 10 rooms, including 4 bedrooms, as well as 2 full bathrooms, 2 </w:t>
      </w:r>
      <w:r w:rsidR="0045256C">
        <w:rPr>
          <w:rFonts w:ascii="Courier New" w:hAnsi="Courier New" w:cs="Courier New"/>
        </w:rPr>
        <w:t>half</w:t>
      </w:r>
      <w:r>
        <w:rPr>
          <w:rFonts w:ascii="Courier New" w:hAnsi="Courier New" w:cs="Courier New"/>
        </w:rPr>
        <w:t xml:space="preserve">-bathrooms, and 1 </w:t>
      </w:r>
      <w:r w:rsidR="0045256C">
        <w:rPr>
          <w:rFonts w:ascii="Courier New" w:hAnsi="Courier New" w:cs="Courier New"/>
        </w:rPr>
        <w:t>three-quarter</w:t>
      </w:r>
      <w:r>
        <w:rPr>
          <w:rFonts w:ascii="Courier New" w:hAnsi="Courier New" w:cs="Courier New"/>
        </w:rPr>
        <w:t xml:space="preserve">-bathroom.  </w:t>
      </w:r>
      <w:r w:rsidR="00F8384A">
        <w:rPr>
          <w:rFonts w:ascii="Courier New" w:hAnsi="Courier New" w:cs="Courier New"/>
        </w:rPr>
        <w:t>The dominant feature of the subject dwelling is the great room with its cathedral ceiling and stone fireplace that rise</w:t>
      </w:r>
      <w:r w:rsidR="00FC6A6E">
        <w:rPr>
          <w:rFonts w:ascii="Courier New" w:hAnsi="Courier New" w:cs="Courier New"/>
        </w:rPr>
        <w:t>s</w:t>
      </w:r>
      <w:r w:rsidR="00F8384A">
        <w:rPr>
          <w:rFonts w:ascii="Courier New" w:hAnsi="Courier New" w:cs="Courier New"/>
        </w:rPr>
        <w:t xml:space="preserve"> 25</w:t>
      </w:r>
      <w:r w:rsidR="00CE1ABC">
        <w:rPr>
          <w:rFonts w:ascii="Courier New" w:hAnsi="Courier New" w:cs="Courier New"/>
        </w:rPr>
        <w:t xml:space="preserve"> </w:t>
      </w:r>
      <w:r w:rsidR="00F8384A">
        <w:rPr>
          <w:rFonts w:ascii="Courier New" w:hAnsi="Courier New" w:cs="Courier New"/>
        </w:rPr>
        <w:t xml:space="preserve">feet above the floor.  The north wall of the great room has 10 architectural windows and French doors that provide sweeping views of the valley.  Additional </w:t>
      </w:r>
      <w:r>
        <w:rPr>
          <w:rFonts w:ascii="Courier New" w:hAnsi="Courier New" w:cs="Courier New"/>
        </w:rPr>
        <w:t xml:space="preserve">amenities include a </w:t>
      </w:r>
      <w:r w:rsidR="0045256C">
        <w:rPr>
          <w:rFonts w:ascii="Courier New" w:hAnsi="Courier New" w:cs="Courier New"/>
        </w:rPr>
        <w:t>second</w:t>
      </w:r>
      <w:r w:rsidR="00F8384A">
        <w:rPr>
          <w:rFonts w:ascii="Courier New" w:hAnsi="Courier New" w:cs="Courier New"/>
        </w:rPr>
        <w:t>-</w:t>
      </w:r>
      <w:r>
        <w:rPr>
          <w:rFonts w:ascii="Courier New" w:hAnsi="Courier New" w:cs="Courier New"/>
        </w:rPr>
        <w:t>story catwalk</w:t>
      </w:r>
      <w:r w:rsidR="00F8384A">
        <w:rPr>
          <w:rFonts w:ascii="Courier New" w:hAnsi="Courier New" w:cs="Courier New"/>
        </w:rPr>
        <w:t xml:space="preserve">, which overlooks the great room and </w:t>
      </w:r>
      <w:r>
        <w:rPr>
          <w:rFonts w:ascii="Courier New" w:hAnsi="Courier New" w:cs="Courier New"/>
        </w:rPr>
        <w:t xml:space="preserve">connects the </w:t>
      </w:r>
      <w:r w:rsidR="00F8384A">
        <w:rPr>
          <w:rFonts w:ascii="Courier New" w:hAnsi="Courier New" w:cs="Courier New"/>
        </w:rPr>
        <w:t>west</w:t>
      </w:r>
      <w:r>
        <w:rPr>
          <w:rFonts w:ascii="Courier New" w:hAnsi="Courier New" w:cs="Courier New"/>
        </w:rPr>
        <w:t xml:space="preserve">-side and </w:t>
      </w:r>
      <w:r w:rsidR="00F8384A">
        <w:rPr>
          <w:rFonts w:ascii="Courier New" w:hAnsi="Courier New" w:cs="Courier New"/>
        </w:rPr>
        <w:t>east</w:t>
      </w:r>
      <w:r>
        <w:rPr>
          <w:rFonts w:ascii="Courier New" w:hAnsi="Courier New" w:cs="Courier New"/>
        </w:rPr>
        <w:t>-side bedrooms</w:t>
      </w:r>
      <w:r w:rsidR="00F8384A">
        <w:rPr>
          <w:rFonts w:ascii="Courier New" w:hAnsi="Courier New" w:cs="Courier New"/>
        </w:rPr>
        <w:t>;</w:t>
      </w:r>
      <w:r w:rsidR="005B5A19">
        <w:rPr>
          <w:rFonts w:ascii="Courier New" w:hAnsi="Courier New" w:cs="Courier New"/>
        </w:rPr>
        <w:t xml:space="preserve"> a partially </w:t>
      </w:r>
      <w:r>
        <w:rPr>
          <w:rFonts w:ascii="Courier New" w:hAnsi="Courier New" w:cs="Courier New"/>
        </w:rPr>
        <w:t>finished walkout basement, which includes a bedroom, a bathroom, a family-room</w:t>
      </w:r>
      <w:r w:rsidR="002B0E6A">
        <w:rPr>
          <w:rFonts w:ascii="Courier New" w:hAnsi="Courier New" w:cs="Courier New"/>
        </w:rPr>
        <w:t>, and a mechanical room</w:t>
      </w:r>
      <w:r>
        <w:rPr>
          <w:rFonts w:ascii="Courier New" w:hAnsi="Courier New" w:cs="Courier New"/>
        </w:rPr>
        <w:t xml:space="preserve">; </w:t>
      </w:r>
      <w:r w:rsidR="00BA1481">
        <w:rPr>
          <w:rFonts w:ascii="Courier New" w:hAnsi="Courier New" w:cs="Courier New"/>
        </w:rPr>
        <w:t xml:space="preserve">central air conditioning; central vacuum; a 1,669-square-foot rear deck; </w:t>
      </w:r>
      <w:r>
        <w:rPr>
          <w:rFonts w:ascii="Courier New" w:hAnsi="Courier New" w:cs="Courier New"/>
        </w:rPr>
        <w:t>an attached 3-car garage; and</w:t>
      </w:r>
      <w:r w:rsidR="002B0E6A">
        <w:rPr>
          <w:rFonts w:ascii="Courier New" w:hAnsi="Courier New" w:cs="Courier New"/>
        </w:rPr>
        <w:t>,</w:t>
      </w:r>
      <w:r>
        <w:rPr>
          <w:rFonts w:ascii="Courier New" w:hAnsi="Courier New" w:cs="Courier New"/>
        </w:rPr>
        <w:t xml:space="preserve"> a 2-car detached garage with a </w:t>
      </w:r>
      <w:r w:rsidR="0045256C">
        <w:rPr>
          <w:rFonts w:ascii="Courier New" w:hAnsi="Courier New" w:cs="Courier New"/>
        </w:rPr>
        <w:t>second-</w:t>
      </w:r>
      <w:r>
        <w:rPr>
          <w:rFonts w:ascii="Courier New" w:hAnsi="Courier New" w:cs="Courier New"/>
        </w:rPr>
        <w:t>story, unfinished area.</w:t>
      </w:r>
      <w:r w:rsidR="002B0E6A">
        <w:rPr>
          <w:rFonts w:ascii="Courier New" w:hAnsi="Courier New" w:cs="Courier New"/>
        </w:rPr>
        <w:t xml:space="preserve">  Many of the house functions, including lights, heat, alarm, and door locks are remote controlled with the controls located in the mechanical room.  </w:t>
      </w:r>
      <w:r>
        <w:rPr>
          <w:rFonts w:ascii="Courier New" w:hAnsi="Courier New" w:cs="Courier New"/>
        </w:rPr>
        <w:t xml:space="preserve">The assessors list the </w:t>
      </w:r>
      <w:r>
        <w:rPr>
          <w:rFonts w:ascii="Courier New" w:hAnsi="Courier New" w:cs="Courier New"/>
        </w:rPr>
        <w:lastRenderedPageBreak/>
        <w:t xml:space="preserve">subject dwelling on the property record card as being in superb condition and assigned a grade of AA.  </w:t>
      </w:r>
    </w:p>
    <w:p w:rsidR="00FB4993" w:rsidRDefault="0059281F" w:rsidP="0059281F">
      <w:pPr>
        <w:spacing w:line="480" w:lineRule="auto"/>
        <w:ind w:firstLine="720"/>
        <w:jc w:val="both"/>
        <w:rPr>
          <w:rFonts w:ascii="Courier New" w:hAnsi="Courier New" w:cs="Courier New"/>
        </w:rPr>
      </w:pPr>
      <w:r>
        <w:rPr>
          <w:rFonts w:ascii="Courier New" w:hAnsi="Courier New" w:cs="Courier New"/>
        </w:rPr>
        <w:t xml:space="preserve">In support of its case that the subject property was overvalued for the fiscal year at issue, the appellant relied on the testimony of George M. Cain, general manager </w:t>
      </w:r>
      <w:r w:rsidR="00AD34F7">
        <w:rPr>
          <w:rFonts w:ascii="Courier New" w:hAnsi="Courier New" w:cs="Courier New"/>
        </w:rPr>
        <w:t xml:space="preserve">of the LLC </w:t>
      </w:r>
      <w:r>
        <w:rPr>
          <w:rFonts w:ascii="Courier New" w:hAnsi="Courier New" w:cs="Courier New"/>
        </w:rPr>
        <w:t>and resident of the subject property, and also offered into evidence several documents, including</w:t>
      </w:r>
      <w:r w:rsidR="00891C7A">
        <w:rPr>
          <w:rFonts w:ascii="Courier New" w:hAnsi="Courier New" w:cs="Courier New"/>
        </w:rPr>
        <w:t>:</w:t>
      </w:r>
      <w:r w:rsidR="005C542B">
        <w:rPr>
          <w:rFonts w:ascii="Courier New" w:hAnsi="Courier New" w:cs="Courier New"/>
        </w:rPr>
        <w:t xml:space="preserve"> </w:t>
      </w:r>
      <w:r w:rsidR="00891C7A">
        <w:rPr>
          <w:rFonts w:ascii="Courier New" w:hAnsi="Courier New" w:cs="Courier New"/>
        </w:rPr>
        <w:t xml:space="preserve"> </w:t>
      </w:r>
      <w:r w:rsidR="005C542B">
        <w:rPr>
          <w:rFonts w:ascii="Courier New" w:hAnsi="Courier New" w:cs="Courier New"/>
        </w:rPr>
        <w:t xml:space="preserve">a history of the subject property’s assessments dating back to fiscal year 2004; </w:t>
      </w:r>
      <w:r>
        <w:rPr>
          <w:rFonts w:ascii="Courier New" w:hAnsi="Courier New" w:cs="Courier New"/>
        </w:rPr>
        <w:t>a list</w:t>
      </w:r>
      <w:r w:rsidR="005C542B">
        <w:rPr>
          <w:rFonts w:ascii="Courier New" w:hAnsi="Courier New" w:cs="Courier New"/>
        </w:rPr>
        <w:t>ing</w:t>
      </w:r>
      <w:r>
        <w:rPr>
          <w:rFonts w:ascii="Courier New" w:hAnsi="Courier New" w:cs="Courier New"/>
        </w:rPr>
        <w:t xml:space="preserve"> of the Heron Pond Park </w:t>
      </w:r>
      <w:r w:rsidR="005C542B">
        <w:rPr>
          <w:rFonts w:ascii="Courier New" w:hAnsi="Courier New" w:cs="Courier New"/>
        </w:rPr>
        <w:t>neighborhood</w:t>
      </w:r>
      <w:r>
        <w:rPr>
          <w:rFonts w:ascii="Courier New" w:hAnsi="Courier New" w:cs="Courier New"/>
        </w:rPr>
        <w:t xml:space="preserve"> assessed values for the fiscal year at issue; the </w:t>
      </w:r>
      <w:r w:rsidR="00EB4E0C">
        <w:rPr>
          <w:rFonts w:ascii="Courier New" w:hAnsi="Courier New" w:cs="Courier New"/>
        </w:rPr>
        <w:t xml:space="preserve">Multiple Listing Service </w:t>
      </w:r>
      <w:r w:rsidR="00AE484E">
        <w:rPr>
          <w:rFonts w:ascii="Courier New" w:hAnsi="Courier New" w:cs="Courier New"/>
        </w:rPr>
        <w:t xml:space="preserve">(“MLS”) listing </w:t>
      </w:r>
      <w:r>
        <w:rPr>
          <w:rFonts w:ascii="Courier New" w:hAnsi="Courier New" w:cs="Courier New"/>
        </w:rPr>
        <w:t>for 72A Brett Road, which sold on March 27, 2015 for $1,100,000; and copies of 5 appraisal reports</w:t>
      </w:r>
      <w:r w:rsidR="00893E9E">
        <w:rPr>
          <w:rFonts w:ascii="Courier New" w:hAnsi="Courier New" w:cs="Courier New"/>
        </w:rPr>
        <w:t xml:space="preserve">, which were prepared </w:t>
      </w:r>
      <w:r w:rsidR="007B27D9">
        <w:rPr>
          <w:rFonts w:ascii="Courier New" w:hAnsi="Courier New" w:cs="Courier New"/>
        </w:rPr>
        <w:t xml:space="preserve">between </w:t>
      </w:r>
      <w:r w:rsidR="00893E9E">
        <w:rPr>
          <w:rFonts w:ascii="Courier New" w:hAnsi="Courier New" w:cs="Courier New"/>
        </w:rPr>
        <w:t xml:space="preserve">July 5, 2013 </w:t>
      </w:r>
      <w:r w:rsidR="007B27D9">
        <w:rPr>
          <w:rFonts w:ascii="Courier New" w:hAnsi="Courier New" w:cs="Courier New"/>
        </w:rPr>
        <w:t>and</w:t>
      </w:r>
      <w:r w:rsidR="00893E9E">
        <w:rPr>
          <w:rFonts w:ascii="Courier New" w:hAnsi="Courier New" w:cs="Courier New"/>
        </w:rPr>
        <w:t xml:space="preserve"> August 11, 2016</w:t>
      </w:r>
      <w:r w:rsidR="00FB4993">
        <w:rPr>
          <w:rFonts w:ascii="Courier New" w:hAnsi="Courier New" w:cs="Courier New"/>
        </w:rPr>
        <w:t>.</w:t>
      </w:r>
      <w:r w:rsidR="00893E9E">
        <w:rPr>
          <w:rFonts w:ascii="Courier New" w:hAnsi="Courier New" w:cs="Courier New"/>
        </w:rPr>
        <w:t xml:space="preserve">  </w:t>
      </w:r>
    </w:p>
    <w:p w:rsidR="00FB4993" w:rsidRDefault="006D2CC7" w:rsidP="0059281F">
      <w:pPr>
        <w:spacing w:line="480" w:lineRule="auto"/>
        <w:ind w:firstLine="720"/>
        <w:jc w:val="both"/>
        <w:rPr>
          <w:rFonts w:ascii="Courier New" w:hAnsi="Courier New" w:cs="Courier New"/>
        </w:rPr>
      </w:pPr>
      <w:r>
        <w:rPr>
          <w:rFonts w:ascii="Courier New" w:hAnsi="Courier New" w:cs="Courier New"/>
        </w:rPr>
        <w:t xml:space="preserve">With respect to the </w:t>
      </w:r>
      <w:r w:rsidR="004E4D27">
        <w:rPr>
          <w:rFonts w:ascii="Courier New" w:hAnsi="Courier New" w:cs="Courier New"/>
        </w:rPr>
        <w:t>l</w:t>
      </w:r>
      <w:r>
        <w:rPr>
          <w:rFonts w:ascii="Courier New" w:hAnsi="Courier New" w:cs="Courier New"/>
        </w:rPr>
        <w:t xml:space="preserve">isting </w:t>
      </w:r>
      <w:r w:rsidR="004E4D27">
        <w:rPr>
          <w:rFonts w:ascii="Courier New" w:hAnsi="Courier New" w:cs="Courier New"/>
        </w:rPr>
        <w:t xml:space="preserve">of assessments </w:t>
      </w:r>
      <w:r>
        <w:rPr>
          <w:rFonts w:ascii="Courier New" w:hAnsi="Courier New" w:cs="Courier New"/>
        </w:rPr>
        <w:t xml:space="preserve">for the neighboring properties located on Heron Pond Park, the appellant failed to provide any description of these properties </w:t>
      </w:r>
      <w:r w:rsidR="00E63CAB">
        <w:rPr>
          <w:rFonts w:ascii="Courier New" w:hAnsi="Courier New" w:cs="Courier New"/>
        </w:rPr>
        <w:t>or establish comp</w:t>
      </w:r>
      <w:r>
        <w:rPr>
          <w:rFonts w:ascii="Courier New" w:hAnsi="Courier New" w:cs="Courier New"/>
        </w:rPr>
        <w:t xml:space="preserve">arability </w:t>
      </w:r>
      <w:r w:rsidR="00E63CAB">
        <w:rPr>
          <w:rFonts w:ascii="Courier New" w:hAnsi="Courier New" w:cs="Courier New"/>
        </w:rPr>
        <w:t xml:space="preserve">with </w:t>
      </w:r>
      <w:r>
        <w:rPr>
          <w:rFonts w:ascii="Courier New" w:hAnsi="Courier New" w:cs="Courier New"/>
        </w:rPr>
        <w:t xml:space="preserve">the subject property.  </w:t>
      </w:r>
      <w:r w:rsidR="00FE3BF0">
        <w:rPr>
          <w:rFonts w:ascii="Courier New" w:hAnsi="Courier New" w:cs="Courier New"/>
        </w:rPr>
        <w:t xml:space="preserve">Regarding the appellant’s </w:t>
      </w:r>
      <w:r w:rsidR="002702D5">
        <w:rPr>
          <w:rFonts w:ascii="Courier New" w:hAnsi="Courier New" w:cs="Courier New"/>
        </w:rPr>
        <w:t xml:space="preserve">purportedly </w:t>
      </w:r>
      <w:r w:rsidR="00FE3BF0">
        <w:rPr>
          <w:rFonts w:ascii="Courier New" w:hAnsi="Courier New" w:cs="Courier New"/>
        </w:rPr>
        <w:t>comparable</w:t>
      </w:r>
      <w:r w:rsidR="00CE1ABC">
        <w:rPr>
          <w:rFonts w:ascii="Courier New" w:hAnsi="Courier New" w:cs="Courier New"/>
        </w:rPr>
        <w:t>-</w:t>
      </w:r>
      <w:r w:rsidR="00FE3BF0">
        <w:rPr>
          <w:rFonts w:ascii="Courier New" w:hAnsi="Courier New" w:cs="Courier New"/>
        </w:rPr>
        <w:t xml:space="preserve">sale </w:t>
      </w:r>
      <w:r w:rsidR="00CE1ABC">
        <w:rPr>
          <w:rFonts w:ascii="Courier New" w:hAnsi="Courier New" w:cs="Courier New"/>
        </w:rPr>
        <w:t xml:space="preserve">property </w:t>
      </w:r>
      <w:r w:rsidR="00FE3BF0">
        <w:rPr>
          <w:rFonts w:ascii="Courier New" w:hAnsi="Courier New" w:cs="Courier New"/>
        </w:rPr>
        <w:t>located at 72A Brett Road, a</w:t>
      </w:r>
      <w:r w:rsidR="00E63CAB">
        <w:rPr>
          <w:rFonts w:ascii="Courier New" w:hAnsi="Courier New" w:cs="Courier New"/>
        </w:rPr>
        <w:t xml:space="preserve">lthough there were numerous differences between the subject property and </w:t>
      </w:r>
      <w:r w:rsidR="00FE3BF0">
        <w:rPr>
          <w:rFonts w:ascii="Courier New" w:hAnsi="Courier New" w:cs="Courier New"/>
        </w:rPr>
        <w:t>the appellant’s purportedly comparable</w:t>
      </w:r>
      <w:r w:rsidR="00AE484E">
        <w:rPr>
          <w:rFonts w:ascii="Courier New" w:hAnsi="Courier New" w:cs="Courier New"/>
        </w:rPr>
        <w:t>-sale</w:t>
      </w:r>
      <w:r w:rsidR="00FE3BF0">
        <w:rPr>
          <w:rFonts w:ascii="Courier New" w:hAnsi="Courier New" w:cs="Courier New"/>
        </w:rPr>
        <w:t xml:space="preserve"> </w:t>
      </w:r>
      <w:r w:rsidR="00536A43">
        <w:rPr>
          <w:rFonts w:ascii="Courier New" w:hAnsi="Courier New" w:cs="Courier New"/>
        </w:rPr>
        <w:t>property</w:t>
      </w:r>
      <w:r w:rsidR="005B5A19">
        <w:rPr>
          <w:rFonts w:ascii="Courier New" w:hAnsi="Courier New" w:cs="Courier New"/>
        </w:rPr>
        <w:t xml:space="preserve"> -</w:t>
      </w:r>
      <w:r w:rsidR="00536A43">
        <w:rPr>
          <w:rFonts w:ascii="Courier New" w:hAnsi="Courier New" w:cs="Courier New"/>
        </w:rPr>
        <w:t xml:space="preserve"> </w:t>
      </w:r>
      <w:r w:rsidR="00891C7A">
        <w:rPr>
          <w:rFonts w:ascii="Courier New" w:hAnsi="Courier New" w:cs="Courier New"/>
        </w:rPr>
        <w:t>including</w:t>
      </w:r>
      <w:r w:rsidR="00E63CAB">
        <w:rPr>
          <w:rFonts w:ascii="Courier New" w:hAnsi="Courier New" w:cs="Courier New"/>
        </w:rPr>
        <w:t xml:space="preserve"> lot size</w:t>
      </w:r>
      <w:r w:rsidR="00CE1ABC">
        <w:rPr>
          <w:rFonts w:ascii="Courier New" w:hAnsi="Courier New" w:cs="Courier New"/>
        </w:rPr>
        <w:t>,</w:t>
      </w:r>
      <w:r w:rsidR="00E63CAB">
        <w:rPr>
          <w:rFonts w:ascii="Courier New" w:hAnsi="Courier New" w:cs="Courier New"/>
        </w:rPr>
        <w:t xml:space="preserve"> finished living area</w:t>
      </w:r>
      <w:r w:rsidR="00CE1ABC">
        <w:rPr>
          <w:rFonts w:ascii="Courier New" w:hAnsi="Courier New" w:cs="Courier New"/>
        </w:rPr>
        <w:t>,</w:t>
      </w:r>
      <w:r w:rsidR="00E63CAB">
        <w:rPr>
          <w:rFonts w:ascii="Courier New" w:hAnsi="Courier New" w:cs="Courier New"/>
        </w:rPr>
        <w:t xml:space="preserve"> amenities</w:t>
      </w:r>
      <w:r w:rsidR="00CE1ABC">
        <w:rPr>
          <w:rFonts w:ascii="Courier New" w:hAnsi="Courier New" w:cs="Courier New"/>
        </w:rPr>
        <w:t xml:space="preserve">, </w:t>
      </w:r>
      <w:r w:rsidR="00E63CAB">
        <w:rPr>
          <w:rFonts w:ascii="Courier New" w:hAnsi="Courier New" w:cs="Courier New"/>
        </w:rPr>
        <w:t>and building grade</w:t>
      </w:r>
      <w:r w:rsidR="00CE1ABC">
        <w:rPr>
          <w:rFonts w:ascii="Courier New" w:hAnsi="Courier New" w:cs="Courier New"/>
        </w:rPr>
        <w:t xml:space="preserve"> </w:t>
      </w:r>
      <w:r w:rsidR="00452D52">
        <w:rPr>
          <w:rFonts w:ascii="Courier New" w:hAnsi="Courier New" w:cs="Courier New"/>
        </w:rPr>
        <w:t>-</w:t>
      </w:r>
      <w:r w:rsidR="00891C7A">
        <w:rPr>
          <w:rFonts w:ascii="Courier New" w:hAnsi="Courier New" w:cs="Courier New"/>
        </w:rPr>
        <w:t xml:space="preserve"> </w:t>
      </w:r>
      <w:r w:rsidR="00E63CAB">
        <w:rPr>
          <w:rFonts w:ascii="Courier New" w:hAnsi="Courier New" w:cs="Courier New"/>
        </w:rPr>
        <w:t xml:space="preserve">the appellant did not </w:t>
      </w:r>
      <w:r w:rsidR="00891C7A">
        <w:rPr>
          <w:rFonts w:ascii="Courier New" w:hAnsi="Courier New" w:cs="Courier New"/>
        </w:rPr>
        <w:t xml:space="preserve">suggest </w:t>
      </w:r>
      <w:r w:rsidR="00E63CAB">
        <w:rPr>
          <w:rFonts w:ascii="Courier New" w:hAnsi="Courier New" w:cs="Courier New"/>
        </w:rPr>
        <w:t xml:space="preserve">any adjustments to the </w:t>
      </w:r>
      <w:r w:rsidR="00FE3BF0">
        <w:rPr>
          <w:rFonts w:ascii="Courier New" w:hAnsi="Courier New" w:cs="Courier New"/>
        </w:rPr>
        <w:t>purportedly comparable</w:t>
      </w:r>
      <w:r w:rsidR="00CE1ABC">
        <w:rPr>
          <w:rFonts w:ascii="Courier New" w:hAnsi="Courier New" w:cs="Courier New"/>
        </w:rPr>
        <w:t xml:space="preserve">-sale </w:t>
      </w:r>
      <w:r w:rsidR="00E63CAB">
        <w:rPr>
          <w:rFonts w:ascii="Courier New" w:hAnsi="Courier New" w:cs="Courier New"/>
        </w:rPr>
        <w:t>property’s s</w:t>
      </w:r>
      <w:r w:rsidR="00CE1ABC">
        <w:rPr>
          <w:rFonts w:ascii="Courier New" w:hAnsi="Courier New" w:cs="Courier New"/>
        </w:rPr>
        <w:t>elling</w:t>
      </w:r>
      <w:r w:rsidR="00E63CAB">
        <w:rPr>
          <w:rFonts w:ascii="Courier New" w:hAnsi="Courier New" w:cs="Courier New"/>
        </w:rPr>
        <w:t xml:space="preserve"> price to account for those differences.  The appellant </w:t>
      </w:r>
      <w:r w:rsidR="00E63CAB">
        <w:rPr>
          <w:rFonts w:ascii="Courier New" w:hAnsi="Courier New" w:cs="Courier New"/>
        </w:rPr>
        <w:lastRenderedPageBreak/>
        <w:t>also failed to make an adjustment for tim</w:t>
      </w:r>
      <w:r w:rsidR="00891C7A">
        <w:rPr>
          <w:rFonts w:ascii="Courier New" w:hAnsi="Courier New" w:cs="Courier New"/>
        </w:rPr>
        <w:t>e or market condition</w:t>
      </w:r>
      <w:r w:rsidR="00E63CAB">
        <w:rPr>
          <w:rFonts w:ascii="Courier New" w:hAnsi="Courier New" w:cs="Courier New"/>
        </w:rPr>
        <w:t xml:space="preserve"> to </w:t>
      </w:r>
      <w:r w:rsidR="00FE3BF0">
        <w:rPr>
          <w:rFonts w:ascii="Courier New" w:hAnsi="Courier New" w:cs="Courier New"/>
        </w:rPr>
        <w:t>account for the fact that this property sold more than 2 years after the relevant assessment date.</w:t>
      </w:r>
      <w:r>
        <w:rPr>
          <w:rFonts w:ascii="Courier New" w:hAnsi="Courier New" w:cs="Courier New"/>
        </w:rPr>
        <w:t xml:space="preserve"> </w:t>
      </w:r>
    </w:p>
    <w:p w:rsidR="00EB4E0C" w:rsidRDefault="00FE3BF0" w:rsidP="0059281F">
      <w:pPr>
        <w:spacing w:line="480" w:lineRule="auto"/>
        <w:ind w:firstLine="720"/>
        <w:jc w:val="both"/>
        <w:rPr>
          <w:rFonts w:ascii="Courier New" w:hAnsi="Courier New" w:cs="Courier New"/>
        </w:rPr>
      </w:pPr>
      <w:r>
        <w:rPr>
          <w:rFonts w:ascii="Courier New" w:hAnsi="Courier New" w:cs="Courier New"/>
        </w:rPr>
        <w:t xml:space="preserve">Lastly, the appellant offered into evidence 5 </w:t>
      </w:r>
      <w:r w:rsidR="00893E9E">
        <w:rPr>
          <w:rFonts w:ascii="Courier New" w:hAnsi="Courier New" w:cs="Courier New"/>
        </w:rPr>
        <w:t xml:space="preserve">appraisal reports </w:t>
      </w:r>
      <w:r>
        <w:rPr>
          <w:rFonts w:ascii="Courier New" w:hAnsi="Courier New" w:cs="Courier New"/>
        </w:rPr>
        <w:t xml:space="preserve">that </w:t>
      </w:r>
      <w:r w:rsidR="00AD34F7">
        <w:rPr>
          <w:rFonts w:ascii="Courier New" w:hAnsi="Courier New" w:cs="Courier New"/>
        </w:rPr>
        <w:t xml:space="preserve">were prepared by several </w:t>
      </w:r>
      <w:r w:rsidR="00FB4993">
        <w:rPr>
          <w:rFonts w:ascii="Courier New" w:hAnsi="Courier New" w:cs="Courier New"/>
        </w:rPr>
        <w:t>different appraisers, none of whom w</w:t>
      </w:r>
      <w:r w:rsidR="00AD34F7">
        <w:rPr>
          <w:rFonts w:ascii="Courier New" w:hAnsi="Courier New" w:cs="Courier New"/>
        </w:rPr>
        <w:t>ere presen</w:t>
      </w:r>
      <w:r w:rsidR="00EB4E0C">
        <w:rPr>
          <w:rFonts w:ascii="Courier New" w:hAnsi="Courier New" w:cs="Courier New"/>
        </w:rPr>
        <w:t xml:space="preserve">t at the hearing of this </w:t>
      </w:r>
      <w:r w:rsidR="00452D52">
        <w:rPr>
          <w:rFonts w:ascii="Courier New" w:hAnsi="Courier New" w:cs="Courier New"/>
        </w:rPr>
        <w:t>appeal.</w:t>
      </w:r>
    </w:p>
    <w:p w:rsidR="00C854DE" w:rsidRDefault="00AD34F7" w:rsidP="00966934">
      <w:pPr>
        <w:spacing w:line="480" w:lineRule="auto"/>
        <w:ind w:firstLine="720"/>
        <w:jc w:val="both"/>
        <w:rPr>
          <w:rFonts w:ascii="Courier New" w:hAnsi="Courier New" w:cs="Courier New"/>
        </w:rPr>
      </w:pPr>
      <w:r>
        <w:rPr>
          <w:rFonts w:ascii="Courier New" w:hAnsi="Courier New" w:cs="Courier New"/>
        </w:rPr>
        <w:t xml:space="preserve">For their part, the assessors relied on the </w:t>
      </w:r>
      <w:r w:rsidR="0093632A">
        <w:rPr>
          <w:rFonts w:ascii="Courier New" w:hAnsi="Courier New" w:cs="Courier New"/>
        </w:rPr>
        <w:t xml:space="preserve">testimony of Stanley Ross, chairman of the </w:t>
      </w:r>
      <w:r w:rsidR="00E06664">
        <w:rPr>
          <w:rFonts w:ascii="Courier New" w:hAnsi="Courier New" w:cs="Courier New"/>
        </w:rPr>
        <w:t>a</w:t>
      </w:r>
      <w:r w:rsidR="0093632A">
        <w:rPr>
          <w:rFonts w:ascii="Courier New" w:hAnsi="Courier New" w:cs="Courier New"/>
        </w:rPr>
        <w:t>ssessors, and also the introduction of several exhibits, including</w:t>
      </w:r>
      <w:r w:rsidR="00D4138E">
        <w:rPr>
          <w:rFonts w:ascii="Courier New" w:hAnsi="Courier New" w:cs="Courier New"/>
        </w:rPr>
        <w:t>:</w:t>
      </w:r>
      <w:r w:rsidR="0093632A">
        <w:rPr>
          <w:rFonts w:ascii="Courier New" w:hAnsi="Courier New" w:cs="Courier New"/>
        </w:rPr>
        <w:t xml:space="preserve"> </w:t>
      </w:r>
      <w:r w:rsidR="00D4138E">
        <w:rPr>
          <w:rFonts w:ascii="Courier New" w:hAnsi="Courier New" w:cs="Courier New"/>
        </w:rPr>
        <w:t xml:space="preserve"> </w:t>
      </w:r>
      <w:r>
        <w:rPr>
          <w:rFonts w:ascii="Courier New" w:hAnsi="Courier New" w:cs="Courier New"/>
        </w:rPr>
        <w:t>the subject property’s property record card</w:t>
      </w:r>
      <w:r w:rsidR="00EB4E0C">
        <w:rPr>
          <w:rFonts w:ascii="Courier New" w:hAnsi="Courier New" w:cs="Courier New"/>
        </w:rPr>
        <w:t xml:space="preserve"> for the fiscal year at issue</w:t>
      </w:r>
      <w:r w:rsidR="00D4138E">
        <w:rPr>
          <w:rFonts w:ascii="Courier New" w:hAnsi="Courier New" w:cs="Courier New"/>
        </w:rPr>
        <w:t>;</w:t>
      </w:r>
      <w:r>
        <w:rPr>
          <w:rFonts w:ascii="Courier New" w:hAnsi="Courier New" w:cs="Courier New"/>
        </w:rPr>
        <w:t xml:space="preserve"> the property record card for 72A Brett Road</w:t>
      </w:r>
      <w:r w:rsidR="00AE484E">
        <w:rPr>
          <w:rFonts w:ascii="Courier New" w:hAnsi="Courier New" w:cs="Courier New"/>
        </w:rPr>
        <w:t xml:space="preserve"> for the fiscal year at issue</w:t>
      </w:r>
      <w:r w:rsidR="00D4138E">
        <w:rPr>
          <w:rFonts w:ascii="Courier New" w:hAnsi="Courier New" w:cs="Courier New"/>
        </w:rPr>
        <w:t>;</w:t>
      </w:r>
      <w:r w:rsidR="00EB4E0C">
        <w:rPr>
          <w:rFonts w:ascii="Courier New" w:hAnsi="Courier New" w:cs="Courier New"/>
        </w:rPr>
        <w:t xml:space="preserve"> photographs of the subject property’s exterior</w:t>
      </w:r>
      <w:r w:rsidR="00D4138E">
        <w:rPr>
          <w:rFonts w:ascii="Courier New" w:hAnsi="Courier New" w:cs="Courier New"/>
        </w:rPr>
        <w:t>;</w:t>
      </w:r>
      <w:r w:rsidR="00EB4E0C">
        <w:rPr>
          <w:rFonts w:ascii="Courier New" w:hAnsi="Courier New" w:cs="Courier New"/>
        </w:rPr>
        <w:t xml:space="preserve"> a</w:t>
      </w:r>
      <w:r w:rsidR="00D4138E">
        <w:rPr>
          <w:rFonts w:ascii="Courier New" w:hAnsi="Courier New" w:cs="Courier New"/>
        </w:rPr>
        <w:t xml:space="preserve"> written description of the assessors’ method of assessing building grade and its application to the subject dwelling; and, an appraisal</w:t>
      </w:r>
      <w:r w:rsidR="00EB4E0C">
        <w:rPr>
          <w:rFonts w:ascii="Courier New" w:hAnsi="Courier New" w:cs="Courier New"/>
        </w:rPr>
        <w:t xml:space="preserve"> report prepared by </w:t>
      </w:r>
      <w:r w:rsidR="00CE1ABC">
        <w:rPr>
          <w:rFonts w:ascii="Courier New" w:hAnsi="Courier New" w:cs="Courier New"/>
        </w:rPr>
        <w:t>an appraiser</w:t>
      </w:r>
      <w:r w:rsidR="00EB4E0C">
        <w:rPr>
          <w:rFonts w:ascii="Courier New" w:hAnsi="Courier New" w:cs="Courier New"/>
        </w:rPr>
        <w:t xml:space="preserve"> who was not present at the hearing of this </w:t>
      </w:r>
      <w:r w:rsidR="00CE1ABC">
        <w:rPr>
          <w:rFonts w:ascii="Courier New" w:hAnsi="Courier New" w:cs="Courier New"/>
        </w:rPr>
        <w:t xml:space="preserve">appeal.  </w:t>
      </w:r>
    </w:p>
    <w:p w:rsidR="00FE3BF0" w:rsidRDefault="00FE3BF0" w:rsidP="00966934">
      <w:pPr>
        <w:spacing w:line="480" w:lineRule="auto"/>
        <w:ind w:firstLine="720"/>
        <w:jc w:val="both"/>
        <w:rPr>
          <w:rFonts w:ascii="Courier New" w:hAnsi="Courier New" w:cs="Courier New"/>
        </w:rPr>
      </w:pPr>
      <w:r>
        <w:rPr>
          <w:rFonts w:ascii="Courier New" w:hAnsi="Courier New" w:cs="Courier New"/>
        </w:rPr>
        <w:t xml:space="preserve">Mr. Ross testified that </w:t>
      </w:r>
      <w:r w:rsidR="00B930C0">
        <w:rPr>
          <w:rFonts w:ascii="Courier New" w:hAnsi="Courier New" w:cs="Courier New"/>
        </w:rPr>
        <w:t>he inspected the subject property’s exterior and interior on multiple occasions and</w:t>
      </w:r>
      <w:r w:rsidR="00536A43">
        <w:rPr>
          <w:rFonts w:ascii="Courier New" w:hAnsi="Courier New" w:cs="Courier New"/>
        </w:rPr>
        <w:t>,</w:t>
      </w:r>
      <w:r w:rsidR="00B930C0">
        <w:rPr>
          <w:rFonts w:ascii="Courier New" w:hAnsi="Courier New" w:cs="Courier New"/>
        </w:rPr>
        <w:t xml:space="preserve"> </w:t>
      </w:r>
      <w:r>
        <w:rPr>
          <w:rFonts w:ascii="Courier New" w:hAnsi="Courier New" w:cs="Courier New"/>
        </w:rPr>
        <w:t>based on the subject property’s construction</w:t>
      </w:r>
      <w:r w:rsidR="00536A43">
        <w:rPr>
          <w:rFonts w:ascii="Courier New" w:hAnsi="Courier New" w:cs="Courier New"/>
        </w:rPr>
        <w:t xml:space="preserve"> and</w:t>
      </w:r>
      <w:r>
        <w:rPr>
          <w:rFonts w:ascii="Courier New" w:hAnsi="Courier New" w:cs="Courier New"/>
        </w:rPr>
        <w:t xml:space="preserve"> architectural and aesthetic</w:t>
      </w:r>
      <w:r w:rsidR="00B930C0">
        <w:rPr>
          <w:rFonts w:ascii="Courier New" w:hAnsi="Courier New" w:cs="Courier New"/>
        </w:rPr>
        <w:t xml:space="preserve"> elements, </w:t>
      </w:r>
      <w:r>
        <w:rPr>
          <w:rFonts w:ascii="Courier New" w:hAnsi="Courier New" w:cs="Courier New"/>
        </w:rPr>
        <w:t xml:space="preserve">the subject property was assigned a building grade of AA Superb. </w:t>
      </w:r>
      <w:r w:rsidR="00DB6B51">
        <w:rPr>
          <w:rFonts w:ascii="Courier New" w:hAnsi="Courier New" w:cs="Courier New"/>
        </w:rPr>
        <w:t xml:space="preserve"> </w:t>
      </w:r>
      <w:r w:rsidR="00536A43">
        <w:rPr>
          <w:rFonts w:ascii="Courier New" w:hAnsi="Courier New" w:cs="Courier New"/>
        </w:rPr>
        <w:t>Mr. Ross also argued that the sale of 72A Brett Road</w:t>
      </w:r>
      <w:r w:rsidR="00DB6B51">
        <w:rPr>
          <w:rFonts w:ascii="Courier New" w:hAnsi="Courier New" w:cs="Courier New"/>
        </w:rPr>
        <w:t xml:space="preserve"> was not a qualified sale because the seller was a dying man who was eager to sell his property.</w:t>
      </w:r>
      <w:r w:rsidR="00B22BF1">
        <w:rPr>
          <w:rFonts w:ascii="Courier New" w:hAnsi="Courier New" w:cs="Courier New"/>
        </w:rPr>
        <w:t xml:space="preserve">  However, the assessors failed to provide any substantiating evidence.</w:t>
      </w:r>
      <w:r w:rsidR="00DB6B51">
        <w:rPr>
          <w:rFonts w:ascii="Courier New" w:hAnsi="Courier New" w:cs="Courier New"/>
        </w:rPr>
        <w:t xml:space="preserve"> </w:t>
      </w:r>
      <w:r w:rsidR="00536A43">
        <w:rPr>
          <w:rFonts w:ascii="Courier New" w:hAnsi="Courier New" w:cs="Courier New"/>
        </w:rPr>
        <w:t xml:space="preserve"> </w:t>
      </w:r>
    </w:p>
    <w:p w:rsidR="00404290" w:rsidRDefault="0051669F" w:rsidP="00404290">
      <w:pPr>
        <w:spacing w:line="480" w:lineRule="auto"/>
        <w:jc w:val="both"/>
        <w:rPr>
          <w:rFonts w:ascii="Courier New" w:hAnsi="Courier New" w:cs="Courier New"/>
        </w:rPr>
      </w:pPr>
      <w:r>
        <w:rPr>
          <w:rFonts w:ascii="Courier New" w:hAnsi="Courier New" w:cs="Courier New"/>
        </w:rPr>
        <w:lastRenderedPageBreak/>
        <w:tab/>
        <w:t>On the basis of the evidence presented, the Board found that the appellant failed to meet its burden of proving that the subject property was overvalued for the fiscal year at issue.</w:t>
      </w:r>
      <w:r w:rsidR="00893E9E">
        <w:rPr>
          <w:rFonts w:ascii="Courier New" w:hAnsi="Courier New" w:cs="Courier New"/>
        </w:rPr>
        <w:t xml:space="preserve">  The Board found that the appellant</w:t>
      </w:r>
      <w:r w:rsidR="00CF0A28">
        <w:rPr>
          <w:rFonts w:ascii="Courier New" w:hAnsi="Courier New" w:cs="Courier New"/>
        </w:rPr>
        <w:t xml:space="preserve">’s listing </w:t>
      </w:r>
      <w:r w:rsidR="002702D5">
        <w:rPr>
          <w:rFonts w:ascii="Courier New" w:hAnsi="Courier New" w:cs="Courier New"/>
        </w:rPr>
        <w:t xml:space="preserve">of assessments </w:t>
      </w:r>
      <w:r w:rsidR="00CF0A28">
        <w:rPr>
          <w:rFonts w:ascii="Courier New" w:hAnsi="Courier New" w:cs="Courier New"/>
        </w:rPr>
        <w:t xml:space="preserve">for neighboring properties on </w:t>
      </w:r>
      <w:r w:rsidR="00B930C0">
        <w:rPr>
          <w:rFonts w:ascii="Courier New" w:hAnsi="Courier New" w:cs="Courier New"/>
        </w:rPr>
        <w:t>Heron Pond Park</w:t>
      </w:r>
      <w:r w:rsidR="00CF0A28">
        <w:rPr>
          <w:rFonts w:ascii="Courier New" w:hAnsi="Courier New" w:cs="Courier New"/>
        </w:rPr>
        <w:t xml:space="preserve">, which failed to provide any description of the properties or make adjustments for differences with the subject property, offered </w:t>
      </w:r>
      <w:r w:rsidR="0072061E">
        <w:rPr>
          <w:rFonts w:ascii="Courier New" w:hAnsi="Courier New" w:cs="Courier New"/>
        </w:rPr>
        <w:t>little</w:t>
      </w:r>
      <w:r w:rsidR="00B930C0">
        <w:rPr>
          <w:rFonts w:ascii="Courier New" w:hAnsi="Courier New" w:cs="Courier New"/>
        </w:rPr>
        <w:t xml:space="preserve"> </w:t>
      </w:r>
      <w:r w:rsidR="00CF0A28">
        <w:rPr>
          <w:rFonts w:ascii="Courier New" w:hAnsi="Courier New" w:cs="Courier New"/>
        </w:rPr>
        <w:t xml:space="preserve">credible evidence of the subject property’s fair market value for the fiscal year at issue.  Similarly, the Board found that the appellant’s introduction of the MLS listing for 72A Brett Road, without </w:t>
      </w:r>
      <w:r w:rsidR="0072061E">
        <w:rPr>
          <w:rFonts w:ascii="Courier New" w:hAnsi="Courier New" w:cs="Courier New"/>
        </w:rPr>
        <w:t xml:space="preserve">any </w:t>
      </w:r>
      <w:r w:rsidR="00CF0A28">
        <w:rPr>
          <w:rFonts w:ascii="Courier New" w:hAnsi="Courier New" w:cs="Courier New"/>
        </w:rPr>
        <w:t xml:space="preserve">adjustments to account for </w:t>
      </w:r>
      <w:r w:rsidR="00CE1ABC">
        <w:rPr>
          <w:rFonts w:ascii="Courier New" w:hAnsi="Courier New" w:cs="Courier New"/>
        </w:rPr>
        <w:t xml:space="preserve">obvious </w:t>
      </w:r>
      <w:r w:rsidR="00CF0A28">
        <w:rPr>
          <w:rFonts w:ascii="Courier New" w:hAnsi="Courier New" w:cs="Courier New"/>
        </w:rPr>
        <w:t>differences with the subject property</w:t>
      </w:r>
      <w:r w:rsidR="00DB6B51">
        <w:rPr>
          <w:rFonts w:ascii="Courier New" w:hAnsi="Courier New" w:cs="Courier New"/>
        </w:rPr>
        <w:t xml:space="preserve"> </w:t>
      </w:r>
      <w:r w:rsidR="0072061E">
        <w:rPr>
          <w:rFonts w:ascii="Courier New" w:hAnsi="Courier New" w:cs="Courier New"/>
        </w:rPr>
        <w:t xml:space="preserve">or an adjustment for time or market conditions </w:t>
      </w:r>
      <w:r w:rsidR="00DB6B51">
        <w:rPr>
          <w:rFonts w:ascii="Courier New" w:hAnsi="Courier New" w:cs="Courier New"/>
        </w:rPr>
        <w:t>to account for the fact that the purportedly comparable property sold more than 2 years after the relevant date</w:t>
      </w:r>
      <w:r w:rsidR="002702D5">
        <w:rPr>
          <w:rFonts w:ascii="Courier New" w:hAnsi="Courier New" w:cs="Courier New"/>
        </w:rPr>
        <w:t xml:space="preserve"> of assessment</w:t>
      </w:r>
      <w:r w:rsidR="00DB6B51">
        <w:rPr>
          <w:rFonts w:ascii="Courier New" w:hAnsi="Courier New" w:cs="Courier New"/>
        </w:rPr>
        <w:t xml:space="preserve">, </w:t>
      </w:r>
      <w:r w:rsidR="00404290">
        <w:rPr>
          <w:rFonts w:ascii="Courier New" w:hAnsi="Courier New" w:cs="Courier New"/>
        </w:rPr>
        <w:t>failed to provide reliable evidence of value.</w:t>
      </w:r>
      <w:r w:rsidR="00CE1ABC">
        <w:rPr>
          <w:rFonts w:ascii="Courier New" w:hAnsi="Courier New" w:cs="Courier New"/>
        </w:rPr>
        <w:t xml:space="preserve">  </w:t>
      </w:r>
    </w:p>
    <w:p w:rsidR="00B06C70" w:rsidRDefault="00404290" w:rsidP="00404290">
      <w:pPr>
        <w:spacing w:line="480" w:lineRule="auto"/>
        <w:ind w:firstLine="720"/>
        <w:jc w:val="both"/>
        <w:rPr>
          <w:rFonts w:ascii="Courier New" w:hAnsi="Courier New" w:cs="Courier New"/>
        </w:rPr>
      </w:pPr>
      <w:r>
        <w:rPr>
          <w:rFonts w:ascii="Courier New" w:hAnsi="Courier New" w:cs="Courier New"/>
        </w:rPr>
        <w:t xml:space="preserve">Further, </w:t>
      </w:r>
      <w:r w:rsidR="00893E9E">
        <w:rPr>
          <w:rFonts w:ascii="Courier New" w:hAnsi="Courier New" w:cs="Courier New"/>
        </w:rPr>
        <w:t xml:space="preserve">the Board found that </w:t>
      </w:r>
      <w:r w:rsidR="00F83054">
        <w:rPr>
          <w:rFonts w:ascii="Courier New" w:hAnsi="Courier New" w:cs="Courier New"/>
        </w:rPr>
        <w:t>the appellant’s real estate apprais</w:t>
      </w:r>
      <w:r w:rsidR="00893E9E">
        <w:rPr>
          <w:rFonts w:ascii="Courier New" w:hAnsi="Courier New" w:cs="Courier New"/>
        </w:rPr>
        <w:t>al reports</w:t>
      </w:r>
      <w:r w:rsidR="00452D52">
        <w:rPr>
          <w:rFonts w:ascii="Courier New" w:hAnsi="Courier New" w:cs="Courier New"/>
        </w:rPr>
        <w:t>, as well as the appraisal reports offered by the assessors,</w:t>
      </w:r>
      <w:r w:rsidR="00D674A0">
        <w:rPr>
          <w:rFonts w:ascii="Courier New" w:hAnsi="Courier New" w:cs="Courier New"/>
        </w:rPr>
        <w:t xml:space="preserve"> were of limited evidentiary value because they were </w:t>
      </w:r>
      <w:r w:rsidR="00B22BF1">
        <w:rPr>
          <w:rFonts w:ascii="Courier New" w:hAnsi="Courier New" w:cs="Courier New"/>
        </w:rPr>
        <w:t xml:space="preserve">prepared by </w:t>
      </w:r>
      <w:r w:rsidR="00893E9E">
        <w:rPr>
          <w:rFonts w:ascii="Courier New" w:hAnsi="Courier New" w:cs="Courier New"/>
        </w:rPr>
        <w:t xml:space="preserve">appraisers </w:t>
      </w:r>
      <w:r w:rsidR="00CE1ABC">
        <w:rPr>
          <w:rFonts w:ascii="Courier New" w:hAnsi="Courier New" w:cs="Courier New"/>
        </w:rPr>
        <w:t>who</w:t>
      </w:r>
      <w:r w:rsidR="00B22BF1">
        <w:rPr>
          <w:rFonts w:ascii="Courier New" w:hAnsi="Courier New" w:cs="Courier New"/>
        </w:rPr>
        <w:t xml:space="preserve"> </w:t>
      </w:r>
      <w:r w:rsidR="00893E9E">
        <w:rPr>
          <w:rFonts w:ascii="Courier New" w:hAnsi="Courier New" w:cs="Courier New"/>
        </w:rPr>
        <w:t>were no</w:t>
      </w:r>
      <w:r w:rsidR="00F83054">
        <w:rPr>
          <w:rFonts w:ascii="Courier New" w:hAnsi="Courier New" w:cs="Courier New"/>
        </w:rPr>
        <w:t xml:space="preserve">t </w:t>
      </w:r>
      <w:r w:rsidR="009A1367">
        <w:rPr>
          <w:rFonts w:ascii="Courier New" w:hAnsi="Courier New" w:cs="Courier New"/>
        </w:rPr>
        <w:t xml:space="preserve">present </w:t>
      </w:r>
      <w:r w:rsidR="00F83054">
        <w:rPr>
          <w:rFonts w:ascii="Courier New" w:hAnsi="Courier New" w:cs="Courier New"/>
        </w:rPr>
        <w:t>at the hearing of this appeal and were, therefore, unavailable for cross-examination by the assessors</w:t>
      </w:r>
      <w:r w:rsidR="00CE1ABC">
        <w:rPr>
          <w:rFonts w:ascii="Courier New" w:hAnsi="Courier New" w:cs="Courier New"/>
        </w:rPr>
        <w:t xml:space="preserve"> or questioning by the Board</w:t>
      </w:r>
      <w:r w:rsidR="00F83054">
        <w:rPr>
          <w:rFonts w:ascii="Courier New" w:hAnsi="Courier New" w:cs="Courier New"/>
        </w:rPr>
        <w:t xml:space="preserve">.  </w:t>
      </w:r>
    </w:p>
    <w:p w:rsidR="00404290" w:rsidRDefault="00404290" w:rsidP="009A3782">
      <w:pPr>
        <w:spacing w:line="480" w:lineRule="auto"/>
        <w:ind w:firstLine="720"/>
        <w:jc w:val="both"/>
        <w:rPr>
          <w:rFonts w:ascii="Courier New" w:hAnsi="Courier New" w:cs="Courier New"/>
        </w:rPr>
      </w:pPr>
      <w:r>
        <w:rPr>
          <w:rFonts w:ascii="Courier New" w:hAnsi="Courier New" w:cs="Courier New"/>
        </w:rPr>
        <w:t xml:space="preserve">The Board therefore found and ruled that the appellant failed to meet its burden of proving that the subject property </w:t>
      </w:r>
      <w:r>
        <w:rPr>
          <w:rFonts w:ascii="Courier New" w:hAnsi="Courier New" w:cs="Courier New"/>
        </w:rPr>
        <w:lastRenderedPageBreak/>
        <w:t>was overvalued for the fiscal year at issue.  Accordingly, the Board issued a decision for the appellee in this appeal.</w:t>
      </w:r>
      <w:r>
        <w:rPr>
          <w:rFonts w:ascii="Courier New" w:hAnsi="Courier New" w:cs="Courier New"/>
        </w:rPr>
        <w:tab/>
      </w:r>
    </w:p>
    <w:p w:rsidR="00401252" w:rsidRDefault="00401252" w:rsidP="00401252">
      <w:pPr>
        <w:pStyle w:val="FootnoteText"/>
        <w:spacing w:line="480" w:lineRule="auto"/>
        <w:ind w:firstLine="720"/>
        <w:jc w:val="both"/>
        <w:rPr>
          <w:rFonts w:ascii="Courier New" w:hAnsi="Courier New" w:cs="Courier New"/>
          <w:sz w:val="24"/>
          <w:szCs w:val="24"/>
        </w:rPr>
      </w:pPr>
      <w:r>
        <w:rPr>
          <w:rFonts w:ascii="Courier New" w:hAnsi="Courier New" w:cs="Courier New"/>
          <w:sz w:val="24"/>
          <w:szCs w:val="24"/>
        </w:rPr>
        <w:t xml:space="preserve">  </w:t>
      </w:r>
    </w:p>
    <w:p w:rsidR="00CF387D" w:rsidRPr="00CF387D" w:rsidRDefault="00CF387D" w:rsidP="00A8274F">
      <w:pPr>
        <w:spacing w:line="480" w:lineRule="auto"/>
        <w:jc w:val="center"/>
        <w:rPr>
          <w:rFonts w:ascii="Courier New" w:hAnsi="Courier New" w:cs="Courier New"/>
          <w:b/>
        </w:rPr>
      </w:pPr>
      <w:r>
        <w:rPr>
          <w:rFonts w:ascii="Courier New" w:hAnsi="Courier New" w:cs="Courier New"/>
          <w:b/>
        </w:rPr>
        <w:t>OPINION</w:t>
      </w:r>
    </w:p>
    <w:p w:rsidR="006B01FB" w:rsidRDefault="00F91BEA" w:rsidP="00F05918">
      <w:pPr>
        <w:spacing w:line="480" w:lineRule="auto"/>
        <w:jc w:val="both"/>
        <w:rPr>
          <w:rFonts w:ascii="Courier New" w:hAnsi="Courier New" w:cs="Courier New"/>
        </w:rPr>
      </w:pPr>
      <w:r>
        <w:rPr>
          <w:rFonts w:ascii="Courier New" w:hAnsi="Courier New" w:cs="Courier New"/>
        </w:rPr>
        <w:tab/>
      </w:r>
      <w:r w:rsidR="00CF387D">
        <w:rPr>
          <w:rFonts w:ascii="Verdana" w:hAnsi="Verdana"/>
          <w:sz w:val="20"/>
          <w:szCs w:val="20"/>
        </w:rPr>
        <w:t> </w:t>
      </w:r>
      <w:r w:rsidR="00C55679">
        <w:rPr>
          <w:rFonts w:ascii="Courier New" w:hAnsi="Courier New" w:cs="Courier New"/>
        </w:rPr>
        <w:t xml:space="preserve">The assessors are required to assess real estate at its fair cash value.  G.L. c. 59, § 38.  Fair cash value is defined as the price on which a willing seller and a willing buyer in a free and open market will agree if both of them are fully informed and under no compulsion.  </w:t>
      </w:r>
      <w:r w:rsidR="00C55679">
        <w:rPr>
          <w:rFonts w:ascii="Courier New" w:hAnsi="Courier New" w:cs="Courier New"/>
          <w:b/>
          <w:bCs/>
          <w:i/>
          <w:iCs/>
        </w:rPr>
        <w:t>Boston Gas Co. v. Assessors of Boston</w:t>
      </w:r>
      <w:r w:rsidR="00C55679">
        <w:rPr>
          <w:rFonts w:ascii="Courier New" w:hAnsi="Courier New" w:cs="Courier New"/>
        </w:rPr>
        <w:t>, 334 Mass. 549, 566 (1956).</w:t>
      </w:r>
    </w:p>
    <w:p w:rsidR="001F6FAA" w:rsidRDefault="001F6FAA" w:rsidP="006B01FB">
      <w:pPr>
        <w:spacing w:line="480" w:lineRule="auto"/>
        <w:ind w:firstLine="720"/>
        <w:jc w:val="both"/>
        <w:rPr>
          <w:rFonts w:ascii="Courier New" w:eastAsia="Arial" w:hAnsi="Courier New" w:cs="Courier New"/>
          <w:color w:val="000000"/>
        </w:rPr>
      </w:pPr>
      <w:r w:rsidRPr="002547AC">
        <w:rPr>
          <w:rFonts w:ascii="Courier New" w:hAnsi="Courier New" w:cs="Courier New"/>
          <w:color w:val="333333"/>
        </w:rPr>
        <w:t>The appellant ha</w:t>
      </w:r>
      <w:r>
        <w:rPr>
          <w:rFonts w:ascii="Courier New" w:hAnsi="Courier New" w:cs="Courier New"/>
          <w:color w:val="333333"/>
        </w:rPr>
        <w:t>s</w:t>
      </w:r>
      <w:r w:rsidRPr="002547AC">
        <w:rPr>
          <w:rFonts w:ascii="Courier New" w:hAnsi="Courier New" w:cs="Courier New"/>
          <w:color w:val="333333"/>
        </w:rPr>
        <w:t xml:space="preserve"> the burden of proving that the</w:t>
      </w:r>
      <w:r>
        <w:rPr>
          <w:rFonts w:ascii="Courier New" w:hAnsi="Courier New" w:cs="Courier New"/>
          <w:color w:val="333333"/>
        </w:rPr>
        <w:t xml:space="preserve"> subject</w:t>
      </w:r>
      <w:r w:rsidRPr="002547AC">
        <w:rPr>
          <w:rFonts w:ascii="Courier New" w:hAnsi="Courier New" w:cs="Courier New"/>
          <w:color w:val="333333"/>
        </w:rPr>
        <w:t xml:space="preserve"> property ha</w:t>
      </w:r>
      <w:r>
        <w:rPr>
          <w:rFonts w:ascii="Courier New" w:hAnsi="Courier New" w:cs="Courier New"/>
          <w:color w:val="333333"/>
        </w:rPr>
        <w:t>d</w:t>
      </w:r>
      <w:r w:rsidRPr="002547AC">
        <w:rPr>
          <w:rFonts w:ascii="Courier New" w:hAnsi="Courier New" w:cs="Courier New"/>
          <w:color w:val="333333"/>
        </w:rPr>
        <w:t xml:space="preserve"> a lower value than that assessed. </w:t>
      </w:r>
      <w:r w:rsidRPr="002547AC">
        <w:rPr>
          <w:rFonts w:ascii="Courier New" w:hAnsi="Courier New" w:cs="Courier New"/>
        </w:rPr>
        <w:t xml:space="preserve">“‘The burden of proof is upon the [appellant] to make out </w:t>
      </w:r>
      <w:r>
        <w:rPr>
          <w:rFonts w:ascii="Courier New" w:hAnsi="Courier New" w:cs="Courier New"/>
        </w:rPr>
        <w:t>its</w:t>
      </w:r>
      <w:r w:rsidRPr="002547AC">
        <w:rPr>
          <w:rFonts w:ascii="Courier New" w:hAnsi="Courier New" w:cs="Courier New"/>
        </w:rPr>
        <w:t xml:space="preserve"> right as a matter of law to abatement of the tax.’”  </w:t>
      </w:r>
      <w:r w:rsidRPr="002547AC">
        <w:rPr>
          <w:rFonts w:ascii="Courier New" w:hAnsi="Courier New" w:cs="Courier New"/>
          <w:b/>
          <w:i/>
          <w:iCs/>
        </w:rPr>
        <w:t>Schlaiker v. Assessors of Great Barrington,</w:t>
      </w:r>
      <w:r w:rsidRPr="002547AC">
        <w:rPr>
          <w:rFonts w:ascii="Courier New" w:hAnsi="Courier New" w:cs="Courier New"/>
        </w:rPr>
        <w:t xml:space="preserve"> 365 </w:t>
      </w:r>
      <w:smartTag w:uri="urn:schemas-microsoft-com:office:smarttags" w:element="State">
        <w:r w:rsidRPr="002547AC">
          <w:rPr>
            <w:rFonts w:ascii="Courier New" w:hAnsi="Courier New" w:cs="Courier New"/>
          </w:rPr>
          <w:t>Mass.</w:t>
        </w:r>
      </w:smartTag>
      <w:r w:rsidRPr="002547AC">
        <w:rPr>
          <w:rFonts w:ascii="Courier New" w:hAnsi="Courier New" w:cs="Courier New"/>
        </w:rPr>
        <w:t xml:space="preserve"> 243, 245 (1974) </w:t>
      </w:r>
      <w:r>
        <w:rPr>
          <w:rFonts w:ascii="Courier New" w:hAnsi="Courier New" w:cs="Courier New"/>
        </w:rPr>
        <w:t>(</w:t>
      </w:r>
      <w:r w:rsidRPr="002547AC">
        <w:rPr>
          <w:rFonts w:ascii="Courier New" w:hAnsi="Courier New" w:cs="Courier New"/>
        </w:rPr>
        <w:t>quoting</w:t>
      </w:r>
      <w:r w:rsidRPr="002547AC">
        <w:rPr>
          <w:rFonts w:ascii="Courier New" w:hAnsi="Courier New" w:cs="Courier New"/>
          <w:i/>
          <w:iCs/>
        </w:rPr>
        <w:t xml:space="preserve"> </w:t>
      </w:r>
      <w:r w:rsidRPr="002547AC">
        <w:rPr>
          <w:rFonts w:ascii="Courier New" w:hAnsi="Courier New" w:cs="Courier New"/>
          <w:b/>
          <w:i/>
          <w:iCs/>
        </w:rPr>
        <w:t>Judson Freight Forwarding Co. v. Commonwealth</w:t>
      </w:r>
      <w:r w:rsidRPr="002547AC">
        <w:rPr>
          <w:rFonts w:ascii="Courier New" w:hAnsi="Courier New" w:cs="Courier New"/>
        </w:rPr>
        <w:t xml:space="preserve">, 242 </w:t>
      </w:r>
      <w:smartTag w:uri="urn:schemas-microsoft-com:office:smarttags" w:element="place">
        <w:smartTag w:uri="urn:schemas-microsoft-com:office:smarttags" w:element="State">
          <w:r w:rsidRPr="002547AC">
            <w:rPr>
              <w:rFonts w:ascii="Courier New" w:hAnsi="Courier New" w:cs="Courier New"/>
            </w:rPr>
            <w:t>Mass.</w:t>
          </w:r>
        </w:smartTag>
      </w:smartTag>
      <w:r w:rsidRPr="002547AC">
        <w:rPr>
          <w:rFonts w:ascii="Courier New" w:hAnsi="Courier New" w:cs="Courier New"/>
        </w:rPr>
        <w:t xml:space="preserve"> 47, 55 (1922)</w:t>
      </w:r>
      <w:r>
        <w:rPr>
          <w:rFonts w:ascii="Courier New" w:hAnsi="Courier New" w:cs="Courier New"/>
        </w:rPr>
        <w:t>)</w:t>
      </w:r>
      <w:r w:rsidRPr="002547AC">
        <w:rPr>
          <w:rFonts w:ascii="Courier New" w:hAnsi="Courier New" w:cs="Courier New"/>
        </w:rPr>
        <w:t>.</w:t>
      </w:r>
      <w:r>
        <w:rPr>
          <w:rFonts w:ascii="Courier New" w:hAnsi="Courier New" w:cs="Courier New"/>
        </w:rPr>
        <w:t xml:space="preserve"> </w:t>
      </w:r>
      <w:r w:rsidR="005B5A19">
        <w:rPr>
          <w:rFonts w:ascii="Courier New" w:eastAsia="Arial" w:hAnsi="Courier New" w:cs="Courier New"/>
          <w:color w:val="000000"/>
        </w:rPr>
        <w:t>“</w:t>
      </w:r>
      <w:r w:rsidRPr="001F6FAA">
        <w:rPr>
          <w:rFonts w:ascii="Courier New" w:eastAsia="Arial" w:hAnsi="Courier New" w:cs="Courier New"/>
          <w:color w:val="000000"/>
        </w:rPr>
        <w:t xml:space="preserve">[T]he board is entitled to </w:t>
      </w:r>
      <w:r w:rsidR="005B5A19">
        <w:rPr>
          <w:rFonts w:ascii="Courier New" w:eastAsia="Arial" w:hAnsi="Courier New" w:cs="Courier New"/>
          <w:color w:val="000000"/>
        </w:rPr>
        <w:t>‘</w:t>
      </w:r>
      <w:r w:rsidRPr="001F6FAA">
        <w:rPr>
          <w:rFonts w:ascii="Courier New" w:eastAsia="Arial" w:hAnsi="Courier New" w:cs="Courier New"/>
          <w:color w:val="000000"/>
        </w:rPr>
        <w:t>presume that the valuation made by the assessors [is] valid unless the taxpay</w:t>
      </w:r>
      <w:r w:rsidR="005B5A19">
        <w:rPr>
          <w:rFonts w:ascii="Courier New" w:eastAsia="Arial" w:hAnsi="Courier New" w:cs="Courier New"/>
          <w:color w:val="000000"/>
        </w:rPr>
        <w:t>ers . . . prov[e] the contrary.’”</w:t>
      </w:r>
      <w:r>
        <w:rPr>
          <w:rFonts w:ascii="Courier New" w:eastAsia="Arial" w:hAnsi="Courier New" w:cs="Courier New"/>
          <w:color w:val="000000"/>
        </w:rPr>
        <w:t xml:space="preserve">  </w:t>
      </w:r>
      <w:r>
        <w:rPr>
          <w:rFonts w:ascii="Courier New" w:eastAsia="Arial" w:hAnsi="Courier New" w:cs="Courier New"/>
          <w:b/>
          <w:i/>
          <w:color w:val="000000"/>
        </w:rPr>
        <w:t>General Electric Co. v. Assessors of Lynn</w:t>
      </w:r>
      <w:r>
        <w:rPr>
          <w:rFonts w:ascii="Courier New" w:eastAsia="Arial" w:hAnsi="Courier New" w:cs="Courier New"/>
          <w:color w:val="000000"/>
        </w:rPr>
        <w:t xml:space="preserve">, 393 Mass. 591, 598 (1984)(quoting </w:t>
      </w:r>
      <w:r>
        <w:rPr>
          <w:rFonts w:ascii="Courier New" w:eastAsia="Arial" w:hAnsi="Courier New" w:cs="Courier New"/>
          <w:b/>
          <w:i/>
          <w:color w:val="000000"/>
        </w:rPr>
        <w:t>Schlaiker</w:t>
      </w:r>
      <w:r>
        <w:rPr>
          <w:rFonts w:ascii="Courier New" w:eastAsia="Arial" w:hAnsi="Courier New" w:cs="Courier New"/>
          <w:color w:val="000000"/>
        </w:rPr>
        <w:t>, 365 Mass. at 245)).</w:t>
      </w:r>
    </w:p>
    <w:p w:rsidR="006B01FB" w:rsidRPr="0092332B" w:rsidRDefault="001F6FAA" w:rsidP="006B01FB">
      <w:pPr>
        <w:spacing w:line="480" w:lineRule="auto"/>
        <w:ind w:firstLine="720"/>
        <w:jc w:val="both"/>
        <w:rPr>
          <w:rFonts w:ascii="Courier New" w:hAnsi="Courier New" w:cs="Courier New"/>
        </w:rPr>
      </w:pPr>
      <w:r>
        <w:rPr>
          <w:rFonts w:ascii="Courier New" w:eastAsia="Arial" w:hAnsi="Courier New" w:cs="Courier New"/>
          <w:color w:val="000000"/>
        </w:rPr>
        <w:t>In appeals befor</w:t>
      </w:r>
      <w:r w:rsidR="006B01FB" w:rsidRPr="0092332B">
        <w:rPr>
          <w:rFonts w:ascii="Courier New" w:hAnsi="Courier New" w:cs="Courier New"/>
        </w:rPr>
        <w:t xml:space="preserve">e this Board, </w:t>
      </w:r>
      <w:r w:rsidR="006B01FB">
        <w:rPr>
          <w:rFonts w:ascii="Courier New" w:hAnsi="Courier New" w:cs="Courier New"/>
        </w:rPr>
        <w:t xml:space="preserve">a </w:t>
      </w:r>
      <w:r w:rsidR="006B01FB" w:rsidRPr="0092332B">
        <w:rPr>
          <w:rFonts w:ascii="Courier New" w:hAnsi="Courier New" w:cs="Courier New"/>
        </w:rPr>
        <w:t xml:space="preserve">taxpayer “‛may present persuasive evidence of overvaluation either by exposing flaws or errors in the assessors’ method of valuation, or by introducing </w:t>
      </w:r>
      <w:r w:rsidR="006B01FB" w:rsidRPr="0092332B">
        <w:rPr>
          <w:rFonts w:ascii="Courier New" w:hAnsi="Courier New" w:cs="Courier New"/>
        </w:rPr>
        <w:lastRenderedPageBreak/>
        <w:t xml:space="preserve">affirmative evidence of value which undermines the assessors’ valuation.’” </w:t>
      </w:r>
      <w:r w:rsidR="006B01FB" w:rsidRPr="0092332B">
        <w:rPr>
          <w:rFonts w:ascii="Courier New" w:hAnsi="Courier New" w:cs="Courier New"/>
          <w:b/>
          <w:i/>
        </w:rPr>
        <w:t>General Electric Co.</w:t>
      </w:r>
      <w:r w:rsidR="00AE484E">
        <w:rPr>
          <w:rFonts w:ascii="Courier New" w:hAnsi="Courier New" w:cs="Courier New"/>
          <w:b/>
          <w:i/>
        </w:rPr>
        <w:t xml:space="preserve">, </w:t>
      </w:r>
      <w:r w:rsidR="00AE484E">
        <w:rPr>
          <w:rFonts w:ascii="Courier New" w:hAnsi="Courier New" w:cs="Courier New"/>
        </w:rPr>
        <w:t xml:space="preserve">393 </w:t>
      </w:r>
      <w:r w:rsidR="006B01FB" w:rsidRPr="002547AC">
        <w:rPr>
          <w:rFonts w:ascii="Courier New" w:hAnsi="Courier New" w:cs="Courier New"/>
          <w:color w:val="333333"/>
        </w:rPr>
        <w:t>Mass.</w:t>
      </w:r>
      <w:r w:rsidR="006B01FB">
        <w:rPr>
          <w:rFonts w:ascii="Courier New" w:hAnsi="Courier New" w:cs="Courier New"/>
          <w:color w:val="333333"/>
        </w:rPr>
        <w:t xml:space="preserve"> </w:t>
      </w:r>
      <w:r w:rsidR="00AE484E">
        <w:rPr>
          <w:rFonts w:ascii="Courier New" w:hAnsi="Courier New" w:cs="Courier New"/>
          <w:color w:val="333333"/>
        </w:rPr>
        <w:t>at</w:t>
      </w:r>
      <w:r w:rsidR="006B01FB">
        <w:rPr>
          <w:rFonts w:ascii="Courier New" w:hAnsi="Courier New" w:cs="Courier New"/>
          <w:color w:val="333333"/>
        </w:rPr>
        <w:t xml:space="preserve"> 600</w:t>
      </w:r>
      <w:r w:rsidR="00AE484E">
        <w:rPr>
          <w:rFonts w:ascii="Courier New" w:hAnsi="Courier New" w:cs="Courier New"/>
          <w:color w:val="333333"/>
        </w:rPr>
        <w:t xml:space="preserve"> </w:t>
      </w:r>
      <w:r w:rsidR="006B01FB" w:rsidRPr="0092332B">
        <w:rPr>
          <w:rFonts w:ascii="Courier New" w:hAnsi="Courier New" w:cs="Courier New"/>
        </w:rPr>
        <w:t xml:space="preserve">(quoting </w:t>
      </w:r>
      <w:r w:rsidR="006B01FB" w:rsidRPr="0092332B">
        <w:rPr>
          <w:rFonts w:ascii="Courier New" w:hAnsi="Courier New" w:cs="Courier New"/>
          <w:b/>
          <w:i/>
        </w:rPr>
        <w:t>Donlon v. Assessors of Holliston</w:t>
      </w:r>
      <w:r w:rsidR="006B01FB" w:rsidRPr="0092332B">
        <w:rPr>
          <w:rFonts w:ascii="Courier New" w:hAnsi="Courier New" w:cs="Courier New"/>
        </w:rPr>
        <w:t xml:space="preserve">, 389 Mass. 848, 855 (1983)).  </w:t>
      </w:r>
    </w:p>
    <w:p w:rsidR="00136587" w:rsidRPr="00136587" w:rsidRDefault="00B8043D" w:rsidP="006B01FB">
      <w:pPr>
        <w:spacing w:line="480" w:lineRule="auto"/>
        <w:jc w:val="both"/>
        <w:rPr>
          <w:rFonts w:ascii="Courier New" w:hAnsi="Courier New" w:cs="Courier New"/>
        </w:rPr>
      </w:pPr>
      <w:r>
        <w:rPr>
          <w:rFonts w:ascii="Courier New" w:hAnsi="Courier New" w:cs="Courier New"/>
        </w:rPr>
        <w:tab/>
      </w:r>
      <w:r w:rsidR="005B5A19">
        <w:rPr>
          <w:rFonts w:ascii="Courier New" w:hAnsi="Courier New" w:cs="Courier New"/>
          <w:color w:val="373739"/>
          <w:shd w:val="clear" w:color="auto" w:fill="FFFFFF"/>
        </w:rPr>
        <w:t>“</w:t>
      </w:r>
      <w:r w:rsidR="00136587" w:rsidRPr="00136587">
        <w:rPr>
          <w:rFonts w:ascii="Courier New" w:hAnsi="Courier New" w:cs="Courier New"/>
          <w:color w:val="373739"/>
          <w:shd w:val="clear" w:color="auto" w:fill="FFFFFF"/>
        </w:rPr>
        <w:t>[S]ales of property usually furnish strong evidence of market value, provided they are arm's-length transactions and thus fairly represent what a buyer has been willing to pay for the property to a willing seller.</w:t>
      </w:r>
      <w:r w:rsidR="005B5A19">
        <w:rPr>
          <w:rFonts w:ascii="Courier New" w:hAnsi="Courier New" w:cs="Courier New"/>
          <w:color w:val="373739"/>
          <w:shd w:val="clear" w:color="auto" w:fill="FFFFFF"/>
        </w:rPr>
        <w:t>”</w:t>
      </w:r>
      <w:r w:rsidR="00136587">
        <w:rPr>
          <w:rFonts w:ascii="Courier New" w:hAnsi="Courier New" w:cs="Courier New"/>
          <w:color w:val="373739"/>
          <w:shd w:val="clear" w:color="auto" w:fill="FFFFFF"/>
        </w:rPr>
        <w:t xml:space="preserve"> </w:t>
      </w:r>
      <w:r w:rsidR="005B5A19">
        <w:rPr>
          <w:rFonts w:ascii="Courier New" w:hAnsi="Courier New" w:cs="Courier New"/>
          <w:color w:val="373739"/>
          <w:shd w:val="clear" w:color="auto" w:fill="FFFFFF"/>
        </w:rPr>
        <w:t xml:space="preserve"> </w:t>
      </w:r>
      <w:r w:rsidR="005B5A19">
        <w:rPr>
          <w:rFonts w:ascii="Courier New" w:hAnsi="Courier New" w:cs="Courier New"/>
          <w:b/>
          <w:i/>
          <w:color w:val="373739"/>
          <w:shd w:val="clear" w:color="auto" w:fill="FFFFFF"/>
        </w:rPr>
        <w:t xml:space="preserve">Foxboro Associates v. </w:t>
      </w:r>
      <w:r w:rsidR="00136587">
        <w:rPr>
          <w:rFonts w:ascii="Courier New" w:hAnsi="Courier New" w:cs="Courier New"/>
          <w:b/>
          <w:i/>
          <w:color w:val="373739"/>
          <w:shd w:val="clear" w:color="auto" w:fill="FFFFFF"/>
        </w:rPr>
        <w:t>Assessors of Foxborough</w:t>
      </w:r>
      <w:r w:rsidR="00136587">
        <w:rPr>
          <w:rFonts w:ascii="Courier New" w:hAnsi="Courier New" w:cs="Courier New"/>
          <w:color w:val="373739"/>
          <w:shd w:val="clear" w:color="auto" w:fill="FFFFFF"/>
        </w:rPr>
        <w:t>, 385 Mass. 679, 682 (1982).</w:t>
      </w:r>
      <w:r w:rsidR="00136587" w:rsidRPr="00136587">
        <w:rPr>
          <w:rStyle w:val="apple-converted-space"/>
          <w:rFonts w:ascii="Courier New" w:hAnsi="Courier New" w:cs="Courier New"/>
          <w:color w:val="373739"/>
          <w:shd w:val="clear" w:color="auto" w:fill="FFFFFF"/>
        </w:rPr>
        <w:t> </w:t>
      </w:r>
      <w:r w:rsidR="00136587">
        <w:rPr>
          <w:rStyle w:val="apple-converted-space"/>
          <w:rFonts w:ascii="Courier New" w:hAnsi="Courier New" w:cs="Courier New"/>
          <w:color w:val="373739"/>
          <w:shd w:val="clear" w:color="auto" w:fill="FFFFFF"/>
        </w:rPr>
        <w:t xml:space="preserve"> </w:t>
      </w:r>
      <w:r w:rsidR="00136587" w:rsidRPr="00136587">
        <w:rPr>
          <w:rFonts w:ascii="Courier New" w:hAnsi="Courier New" w:cs="Courier New"/>
          <w:color w:val="373739"/>
          <w:shd w:val="clear" w:color="auto" w:fill="FFFFFF"/>
        </w:rPr>
        <w:t>Sales of comparable realty should be within the same geographic area and within a reasonable time of the assessment date to be probative evidence for determining the value of the property at issue.</w:t>
      </w:r>
      <w:r w:rsidR="00136587" w:rsidRPr="00136587">
        <w:rPr>
          <w:rStyle w:val="apple-converted-space"/>
          <w:rFonts w:ascii="Courier New" w:hAnsi="Courier New" w:cs="Courier New"/>
          <w:color w:val="373739"/>
          <w:shd w:val="clear" w:color="auto" w:fill="FFFFFF"/>
        </w:rPr>
        <w:t> </w:t>
      </w:r>
      <w:r w:rsidR="00136587">
        <w:rPr>
          <w:rStyle w:val="apple-converted-space"/>
          <w:rFonts w:ascii="Courier New" w:hAnsi="Courier New" w:cs="Courier New"/>
          <w:color w:val="373739"/>
          <w:shd w:val="clear" w:color="auto" w:fill="FFFFFF"/>
        </w:rPr>
        <w:t xml:space="preserve"> </w:t>
      </w:r>
      <w:r w:rsidR="00136587" w:rsidRPr="00136587">
        <w:rPr>
          <w:rStyle w:val="ssit"/>
          <w:rFonts w:ascii="Courier New" w:hAnsi="Courier New" w:cs="Courier New"/>
          <w:b/>
          <w:bCs/>
          <w:i/>
          <w:iCs/>
          <w:color w:val="373739"/>
          <w:bdr w:val="none" w:sz="0" w:space="0" w:color="auto" w:frame="1"/>
          <w:shd w:val="clear" w:color="auto" w:fill="FFFFFF"/>
        </w:rPr>
        <w:t>Graham v. Assessors of West Tisbury,</w:t>
      </w:r>
      <w:r w:rsidR="00136587" w:rsidRPr="00136587">
        <w:rPr>
          <w:rStyle w:val="apple-converted-space"/>
          <w:rFonts w:ascii="Courier New" w:hAnsi="Courier New" w:cs="Courier New"/>
          <w:color w:val="373739"/>
          <w:shd w:val="clear" w:color="auto" w:fill="FFFFFF"/>
        </w:rPr>
        <w:t> </w:t>
      </w:r>
      <w:r w:rsidR="00136587" w:rsidRPr="00136587">
        <w:rPr>
          <w:rFonts w:ascii="Courier New" w:hAnsi="Courier New" w:cs="Courier New"/>
          <w:color w:val="373739"/>
          <w:shd w:val="clear" w:color="auto" w:fill="FFFFFF"/>
        </w:rPr>
        <w:t>Mass. ATB Findings of Fact and Reports 200</w:t>
      </w:r>
      <w:r w:rsidR="0021185D">
        <w:rPr>
          <w:rFonts w:ascii="Courier New" w:hAnsi="Courier New" w:cs="Courier New"/>
          <w:color w:val="373739"/>
          <w:shd w:val="clear" w:color="auto" w:fill="FFFFFF"/>
        </w:rPr>
        <w:t>7</w:t>
      </w:r>
      <w:r w:rsidR="00136587" w:rsidRPr="00136587">
        <w:rPr>
          <w:rFonts w:ascii="Courier New" w:hAnsi="Courier New" w:cs="Courier New"/>
          <w:color w:val="373739"/>
          <w:shd w:val="clear" w:color="auto" w:fill="FFFFFF"/>
        </w:rPr>
        <w:t>-321, 400 (citing</w:t>
      </w:r>
      <w:r w:rsidR="00136587">
        <w:rPr>
          <w:rFonts w:ascii="Courier New" w:hAnsi="Courier New" w:cs="Courier New"/>
          <w:color w:val="373739"/>
          <w:shd w:val="clear" w:color="auto" w:fill="FFFFFF"/>
        </w:rPr>
        <w:t xml:space="preserve"> </w:t>
      </w:r>
      <w:r w:rsidR="00136587">
        <w:rPr>
          <w:rFonts w:ascii="Courier New" w:hAnsi="Courier New" w:cs="Courier New"/>
          <w:b/>
          <w:i/>
          <w:color w:val="373739"/>
          <w:shd w:val="clear" w:color="auto" w:fill="FFFFFF"/>
        </w:rPr>
        <w:t>McCabe v. Chelsea</w:t>
      </w:r>
      <w:r w:rsidR="00136587">
        <w:rPr>
          <w:rFonts w:ascii="Courier New" w:hAnsi="Courier New" w:cs="Courier New"/>
          <w:color w:val="373739"/>
          <w:shd w:val="clear" w:color="auto" w:fill="FFFFFF"/>
        </w:rPr>
        <w:t>, 265</w:t>
      </w:r>
      <w:r w:rsidR="00D067C8">
        <w:rPr>
          <w:rFonts w:ascii="Courier New" w:hAnsi="Courier New" w:cs="Courier New"/>
          <w:color w:val="373739"/>
          <w:shd w:val="clear" w:color="auto" w:fill="FFFFFF"/>
        </w:rPr>
        <w:t> </w:t>
      </w:r>
      <w:r w:rsidR="00136587">
        <w:rPr>
          <w:rFonts w:ascii="Courier New" w:hAnsi="Courier New" w:cs="Courier New"/>
          <w:color w:val="373739"/>
          <w:shd w:val="clear" w:color="auto" w:fill="FFFFFF"/>
        </w:rPr>
        <w:t>Mass. 494, 496 (1929)),</w:t>
      </w:r>
      <w:r w:rsidR="00136587" w:rsidRPr="00136587">
        <w:rPr>
          <w:rStyle w:val="apple-converted-space"/>
          <w:rFonts w:ascii="Courier New" w:hAnsi="Courier New" w:cs="Courier New"/>
          <w:color w:val="373739"/>
          <w:shd w:val="clear" w:color="auto" w:fill="FFFFFF"/>
        </w:rPr>
        <w:t> </w:t>
      </w:r>
      <w:r w:rsidR="00136587" w:rsidRPr="00136587">
        <w:rPr>
          <w:rStyle w:val="ssit"/>
          <w:rFonts w:ascii="Courier New" w:hAnsi="Courier New" w:cs="Courier New"/>
          <w:i/>
          <w:iCs/>
          <w:color w:val="373739"/>
          <w:bdr w:val="none" w:sz="0" w:space="0" w:color="auto" w:frame="1"/>
          <w:shd w:val="clear" w:color="auto" w:fill="FFFFFF"/>
        </w:rPr>
        <w:t>aff'd,</w:t>
      </w:r>
      <w:r w:rsidR="00136587">
        <w:rPr>
          <w:rStyle w:val="ssit"/>
          <w:rFonts w:ascii="Courier New" w:hAnsi="Courier New" w:cs="Courier New"/>
          <w:i/>
          <w:iCs/>
          <w:color w:val="373739"/>
          <w:bdr w:val="none" w:sz="0" w:space="0" w:color="auto" w:frame="1"/>
          <w:shd w:val="clear" w:color="auto" w:fill="FFFFFF"/>
        </w:rPr>
        <w:t xml:space="preserve"> </w:t>
      </w:r>
      <w:r w:rsidR="00136587" w:rsidRPr="00DF6C7F">
        <w:rPr>
          <w:rStyle w:val="ssit"/>
          <w:rFonts w:ascii="Courier New" w:hAnsi="Courier New" w:cs="Courier New"/>
          <w:iCs/>
          <w:color w:val="373739"/>
          <w:bdr w:val="none" w:sz="0" w:space="0" w:color="auto" w:frame="1"/>
          <w:shd w:val="clear" w:color="auto" w:fill="FFFFFF"/>
        </w:rPr>
        <w:t xml:space="preserve">73 </w:t>
      </w:r>
      <w:r w:rsidR="00DF6C7F" w:rsidRPr="00DF6C7F">
        <w:rPr>
          <w:rStyle w:val="ssit"/>
          <w:rFonts w:ascii="Courier New" w:hAnsi="Courier New" w:cs="Courier New"/>
          <w:iCs/>
          <w:color w:val="373739"/>
          <w:bdr w:val="none" w:sz="0" w:space="0" w:color="auto" w:frame="1"/>
          <w:shd w:val="clear" w:color="auto" w:fill="FFFFFF"/>
        </w:rPr>
        <w:t>Mass. App. Ct. 1107 (2008).</w:t>
      </w:r>
      <w:r w:rsidR="00DF6C7F" w:rsidRPr="00136587">
        <w:rPr>
          <w:rFonts w:ascii="Courier New" w:hAnsi="Courier New" w:cs="Courier New"/>
          <w:color w:val="373739"/>
          <w:shd w:val="clear" w:color="auto" w:fill="FFFFFF"/>
        </w:rPr>
        <w:t xml:space="preserve"> </w:t>
      </w:r>
      <w:r w:rsidR="00136587" w:rsidRPr="00136587">
        <w:rPr>
          <w:rFonts w:ascii="Courier New" w:hAnsi="Courier New" w:cs="Courier New"/>
          <w:color w:val="373739"/>
          <w:shd w:val="clear" w:color="auto" w:fill="FFFFFF"/>
        </w:rPr>
        <w:t>Moreover, when comparable sales are used, allowances</w:t>
      </w:r>
      <w:r w:rsidR="0021185D">
        <w:rPr>
          <w:rFonts w:ascii="Courier New" w:hAnsi="Courier New" w:cs="Courier New"/>
          <w:color w:val="373739"/>
          <w:shd w:val="clear" w:color="auto" w:fill="FFFFFF"/>
        </w:rPr>
        <w:t> </w:t>
      </w:r>
      <w:r w:rsidR="00136587" w:rsidRPr="00136587">
        <w:rPr>
          <w:rFonts w:ascii="Courier New" w:hAnsi="Courier New" w:cs="Courier New"/>
          <w:color w:val="373739"/>
          <w:shd w:val="clear" w:color="auto" w:fill="FFFFFF"/>
        </w:rPr>
        <w:t>must be made for various factors which would otherwise cause dispariti</w:t>
      </w:r>
      <w:r w:rsidR="005B5A19">
        <w:rPr>
          <w:rFonts w:ascii="Courier New" w:hAnsi="Courier New" w:cs="Courier New"/>
          <w:color w:val="373739"/>
          <w:shd w:val="clear" w:color="auto" w:fill="FFFFFF"/>
        </w:rPr>
        <w:t>es in the comparable properties’</w:t>
      </w:r>
      <w:r w:rsidR="00136587" w:rsidRPr="00136587">
        <w:rPr>
          <w:rFonts w:ascii="Courier New" w:hAnsi="Courier New" w:cs="Courier New"/>
          <w:color w:val="373739"/>
          <w:shd w:val="clear" w:color="auto" w:fill="FFFFFF"/>
        </w:rPr>
        <w:t xml:space="preserve"> sale prices.</w:t>
      </w:r>
      <w:r w:rsidR="00136587" w:rsidRPr="00136587">
        <w:rPr>
          <w:rStyle w:val="apple-converted-space"/>
          <w:rFonts w:ascii="Courier New" w:hAnsi="Courier New" w:cs="Courier New"/>
          <w:color w:val="373739"/>
          <w:shd w:val="clear" w:color="auto" w:fill="FFFFFF"/>
        </w:rPr>
        <w:t> </w:t>
      </w:r>
      <w:r w:rsidR="00DF6C7F">
        <w:rPr>
          <w:rStyle w:val="apple-converted-space"/>
          <w:rFonts w:ascii="Courier New" w:hAnsi="Courier New" w:cs="Courier New"/>
          <w:color w:val="373739"/>
          <w:shd w:val="clear" w:color="auto" w:fill="FFFFFF"/>
        </w:rPr>
        <w:t xml:space="preserve"> </w:t>
      </w:r>
      <w:r w:rsidR="00136587" w:rsidRPr="00136587">
        <w:rPr>
          <w:rStyle w:val="ssit"/>
          <w:rFonts w:ascii="Courier New" w:hAnsi="Courier New" w:cs="Courier New"/>
          <w:i/>
          <w:iCs/>
          <w:color w:val="373739"/>
          <w:bdr w:val="none" w:sz="0" w:space="0" w:color="auto" w:frame="1"/>
          <w:shd w:val="clear" w:color="auto" w:fill="FFFFFF"/>
        </w:rPr>
        <w:t>See</w:t>
      </w:r>
      <w:r w:rsidR="00136587" w:rsidRPr="00136587">
        <w:rPr>
          <w:rStyle w:val="apple-converted-space"/>
          <w:rFonts w:ascii="Courier New" w:hAnsi="Courier New" w:cs="Courier New"/>
          <w:i/>
          <w:iCs/>
          <w:color w:val="373739"/>
          <w:bdr w:val="none" w:sz="0" w:space="0" w:color="auto" w:frame="1"/>
          <w:shd w:val="clear" w:color="auto" w:fill="FFFFFF"/>
        </w:rPr>
        <w:t> </w:t>
      </w:r>
      <w:r w:rsidR="00136587" w:rsidRPr="00136587">
        <w:rPr>
          <w:rStyle w:val="ssbf"/>
          <w:rFonts w:ascii="Courier New" w:hAnsi="Courier New" w:cs="Courier New"/>
          <w:b/>
          <w:bCs/>
          <w:i/>
          <w:iCs/>
          <w:color w:val="373739"/>
          <w:bdr w:val="none" w:sz="0" w:space="0" w:color="auto" w:frame="1"/>
          <w:shd w:val="clear" w:color="auto" w:fill="FFFFFF"/>
        </w:rPr>
        <w:t>Pembroke Industrial Park Co., Inc. v. Assessors of Pembroke,</w:t>
      </w:r>
      <w:r w:rsidR="00136587" w:rsidRPr="00136587">
        <w:rPr>
          <w:rStyle w:val="apple-converted-space"/>
          <w:rFonts w:ascii="Courier New" w:hAnsi="Courier New" w:cs="Courier New"/>
          <w:color w:val="373739"/>
          <w:shd w:val="clear" w:color="auto" w:fill="FFFFFF"/>
        </w:rPr>
        <w:t> </w:t>
      </w:r>
      <w:r w:rsidR="00136587" w:rsidRPr="00136587">
        <w:rPr>
          <w:rFonts w:ascii="Courier New" w:hAnsi="Courier New" w:cs="Courier New"/>
          <w:color w:val="373739"/>
          <w:shd w:val="clear" w:color="auto" w:fill="FFFFFF"/>
        </w:rPr>
        <w:t>Mass. ATB Findings of Fact and Reports 1998-1072, 1082 (and the cases cited therein).</w:t>
      </w:r>
    </w:p>
    <w:p w:rsidR="009E7DFA" w:rsidRDefault="00AB7934" w:rsidP="00E64B25">
      <w:pPr>
        <w:spacing w:line="480" w:lineRule="auto"/>
        <w:ind w:firstLine="720"/>
        <w:jc w:val="both"/>
        <w:rPr>
          <w:rFonts w:ascii="Courier New" w:hAnsi="Courier New" w:cs="Courier New"/>
        </w:rPr>
      </w:pPr>
      <w:r>
        <w:rPr>
          <w:rFonts w:ascii="Courier New" w:hAnsi="Courier New" w:cs="Courier New"/>
        </w:rPr>
        <w:t xml:space="preserve">Further, </w:t>
      </w:r>
      <w:r w:rsidR="003C5E01">
        <w:rPr>
          <w:rFonts w:ascii="Courier New" w:hAnsi="Courier New" w:cs="Courier New"/>
        </w:rPr>
        <w:t>G</w:t>
      </w:r>
      <w:r w:rsidR="00452D52">
        <w:rPr>
          <w:rFonts w:ascii="Courier New" w:hAnsi="Courier New" w:cs="Courier New"/>
        </w:rPr>
        <w:t xml:space="preserve">. </w:t>
      </w:r>
      <w:r w:rsidR="003C5E01">
        <w:rPr>
          <w:rFonts w:ascii="Courier New" w:hAnsi="Courier New" w:cs="Courier New"/>
        </w:rPr>
        <w:t>L</w:t>
      </w:r>
      <w:r w:rsidR="00452D52">
        <w:rPr>
          <w:rFonts w:ascii="Courier New" w:hAnsi="Courier New" w:cs="Courier New"/>
        </w:rPr>
        <w:t xml:space="preserve">. </w:t>
      </w:r>
      <w:r w:rsidR="00E776CA">
        <w:rPr>
          <w:rFonts w:ascii="Courier New" w:hAnsi="Courier New" w:cs="Courier New"/>
        </w:rPr>
        <w:t>c.</w:t>
      </w:r>
      <w:r w:rsidR="00B17DFB">
        <w:rPr>
          <w:rFonts w:ascii="Courier New" w:hAnsi="Courier New" w:cs="Courier New"/>
        </w:rPr>
        <w:t> </w:t>
      </w:r>
      <w:r w:rsidR="00E776CA">
        <w:rPr>
          <w:rFonts w:ascii="Courier New" w:hAnsi="Courier New" w:cs="Courier New"/>
        </w:rPr>
        <w:t>58A, § 12B provides</w:t>
      </w:r>
      <w:r w:rsidR="00E64B25">
        <w:rPr>
          <w:rFonts w:ascii="Courier New" w:hAnsi="Courier New" w:cs="Courier New"/>
        </w:rPr>
        <w:t>,</w:t>
      </w:r>
      <w:r w:rsidR="00E776CA">
        <w:rPr>
          <w:rFonts w:ascii="Courier New" w:hAnsi="Courier New" w:cs="Courier New"/>
        </w:rPr>
        <w:t xml:space="preserve"> in pertinent part</w:t>
      </w:r>
      <w:r w:rsidR="00E64B25">
        <w:rPr>
          <w:rFonts w:ascii="Courier New" w:hAnsi="Courier New" w:cs="Courier New"/>
        </w:rPr>
        <w:t>,</w:t>
      </w:r>
      <w:r w:rsidR="00E776CA">
        <w:rPr>
          <w:rFonts w:ascii="Courier New" w:hAnsi="Courier New" w:cs="Courier New"/>
        </w:rPr>
        <w:t xml:space="preserve"> that “at any hearing relative to the assessed fair cash valuation or classification of property, evidence as to fair cash valuation or classification of property at which assessors </w:t>
      </w:r>
      <w:r w:rsidR="00E776CA">
        <w:rPr>
          <w:rFonts w:ascii="Courier New" w:hAnsi="Courier New" w:cs="Courier New"/>
        </w:rPr>
        <w:lastRenderedPageBreak/>
        <w:t>have assessed other property of a comparable nature or class shall be admissible.”</w:t>
      </w:r>
      <w:r w:rsidR="004069FC">
        <w:rPr>
          <w:rFonts w:ascii="Courier New" w:hAnsi="Courier New" w:cs="Courier New"/>
        </w:rPr>
        <w:t xml:space="preserve"> </w:t>
      </w:r>
      <w:r w:rsidR="0092332B">
        <w:rPr>
          <w:rFonts w:ascii="Courier New" w:hAnsi="Courier New" w:cs="Courier New"/>
        </w:rPr>
        <w:t xml:space="preserve"> </w:t>
      </w:r>
      <w:r w:rsidR="004069FC">
        <w:rPr>
          <w:rFonts w:ascii="Courier New" w:hAnsi="Courier New" w:cs="Courier New"/>
        </w:rPr>
        <w:t xml:space="preserve">Thus, evidence of assessed values must relate to properties that are comparable to the </w:t>
      </w:r>
      <w:r w:rsidR="009621B1">
        <w:rPr>
          <w:rFonts w:ascii="Courier New" w:hAnsi="Courier New" w:cs="Courier New"/>
        </w:rPr>
        <w:t>subject p</w:t>
      </w:r>
      <w:r w:rsidR="004069FC">
        <w:rPr>
          <w:rFonts w:ascii="Courier New" w:hAnsi="Courier New" w:cs="Courier New"/>
        </w:rPr>
        <w:t xml:space="preserve">roperty, </w:t>
      </w:r>
      <w:r w:rsidR="004069FC" w:rsidRPr="00683D1E">
        <w:rPr>
          <w:rFonts w:ascii="Courier New" w:hAnsi="Courier New" w:cs="Courier New"/>
        </w:rPr>
        <w:t>i.e.</w:t>
      </w:r>
      <w:r w:rsidR="00A50327" w:rsidRPr="00683D1E">
        <w:rPr>
          <w:rFonts w:ascii="Courier New" w:hAnsi="Courier New" w:cs="Courier New"/>
        </w:rPr>
        <w:t>, properties</w:t>
      </w:r>
      <w:r w:rsidR="004069FC">
        <w:rPr>
          <w:rFonts w:ascii="Courier New" w:hAnsi="Courier New" w:cs="Courier New"/>
        </w:rPr>
        <w:t xml:space="preserve"> </w:t>
      </w:r>
      <w:r w:rsidR="00D71E56">
        <w:rPr>
          <w:rFonts w:ascii="Courier New" w:hAnsi="Courier New" w:cs="Courier New"/>
        </w:rPr>
        <w:t>th</w:t>
      </w:r>
      <w:r w:rsidR="004069FC">
        <w:rPr>
          <w:rFonts w:ascii="Courier New" w:hAnsi="Courier New" w:cs="Courier New"/>
        </w:rPr>
        <w:t>at</w:t>
      </w:r>
      <w:r w:rsidR="005B5A19">
        <w:rPr>
          <w:rFonts w:ascii="Courier New" w:hAnsi="Courier New" w:cs="Courier New"/>
        </w:rPr>
        <w:t xml:space="preserve"> share “fundamental similarities”</w:t>
      </w:r>
      <w:r w:rsidR="00D71E56">
        <w:rPr>
          <w:rFonts w:ascii="Courier New" w:hAnsi="Courier New" w:cs="Courier New"/>
        </w:rPr>
        <w:t xml:space="preserve"> with the subject property, including similar age, location, </w:t>
      </w:r>
      <w:r w:rsidR="009621B1">
        <w:rPr>
          <w:rFonts w:ascii="Courier New" w:hAnsi="Courier New" w:cs="Courier New"/>
        </w:rPr>
        <w:t xml:space="preserve">and </w:t>
      </w:r>
      <w:r w:rsidR="00D71E56">
        <w:rPr>
          <w:rFonts w:ascii="Courier New" w:hAnsi="Courier New" w:cs="Courier New"/>
        </w:rPr>
        <w:t xml:space="preserve">size.  </w:t>
      </w:r>
      <w:r w:rsidR="009621B1" w:rsidRPr="009621B1">
        <w:rPr>
          <w:rFonts w:ascii="Courier New" w:hAnsi="Courier New" w:cs="Courier New"/>
          <w:i/>
        </w:rPr>
        <w:t>See</w:t>
      </w:r>
      <w:r w:rsidR="009621B1">
        <w:rPr>
          <w:rFonts w:ascii="Courier New" w:hAnsi="Courier New" w:cs="Courier New"/>
        </w:rPr>
        <w:t xml:space="preserve"> </w:t>
      </w:r>
      <w:r w:rsidR="00D71E56">
        <w:rPr>
          <w:rFonts w:ascii="Courier New" w:hAnsi="Courier New" w:cs="Courier New"/>
          <w:b/>
          <w:i/>
        </w:rPr>
        <w:t>Lattuca v. Robsham</w:t>
      </w:r>
      <w:r w:rsidR="00D71E56">
        <w:rPr>
          <w:rFonts w:ascii="Courier New" w:hAnsi="Courier New" w:cs="Courier New"/>
        </w:rPr>
        <w:t xml:space="preserve">, 442 </w:t>
      </w:r>
      <w:smartTag w:uri="urn:schemas-microsoft-com:office:smarttags" w:element="place">
        <w:smartTag w:uri="urn:schemas-microsoft-com:office:smarttags" w:element="State">
          <w:r w:rsidR="00D71E56">
            <w:rPr>
              <w:rFonts w:ascii="Courier New" w:hAnsi="Courier New" w:cs="Courier New"/>
            </w:rPr>
            <w:t>Mass.</w:t>
          </w:r>
        </w:smartTag>
      </w:smartTag>
      <w:r w:rsidR="00D71E56">
        <w:rPr>
          <w:rFonts w:ascii="Courier New" w:hAnsi="Courier New" w:cs="Courier New"/>
        </w:rPr>
        <w:t xml:space="preserve"> 205, 216 (2004). </w:t>
      </w:r>
      <w:r w:rsidR="009621B1">
        <w:rPr>
          <w:rFonts w:ascii="Courier New" w:hAnsi="Courier New" w:cs="Courier New"/>
        </w:rPr>
        <w:t xml:space="preserve">Moreover, </w:t>
      </w:r>
      <w:r w:rsidR="009E7DFA">
        <w:rPr>
          <w:rFonts w:ascii="Courier New" w:hAnsi="Courier New" w:cs="Courier New"/>
        </w:rPr>
        <w:t xml:space="preserve">“without appropriate adjustments . . . the assessed values of [comparable] properties [do] not provide reliable indicator[s] of the subject’s fair cash value.” </w:t>
      </w:r>
      <w:r w:rsidR="009E7DFA">
        <w:rPr>
          <w:rFonts w:ascii="Courier New" w:hAnsi="Courier New" w:cs="Courier New"/>
          <w:b/>
          <w:i/>
        </w:rPr>
        <w:t xml:space="preserve">Lupacchino v. Assessors of </w:t>
      </w:r>
      <w:smartTag w:uri="urn:schemas-microsoft-com:office:smarttags" w:element="place">
        <w:smartTag w:uri="urn:schemas-microsoft-com:office:smarttags" w:element="City">
          <w:r w:rsidR="009E7DFA">
            <w:rPr>
              <w:rFonts w:ascii="Courier New" w:hAnsi="Courier New" w:cs="Courier New"/>
              <w:b/>
              <w:i/>
            </w:rPr>
            <w:t>Southborough</w:t>
          </w:r>
        </w:smartTag>
        <w:r w:rsidR="009E7DFA">
          <w:rPr>
            <w:rFonts w:ascii="Courier New" w:hAnsi="Courier New" w:cs="Courier New"/>
          </w:rPr>
          <w:t xml:space="preserve">, </w:t>
        </w:r>
        <w:smartTag w:uri="urn:schemas-microsoft-com:office:smarttags" w:element="State">
          <w:r w:rsidR="009E7DFA">
            <w:rPr>
              <w:rFonts w:ascii="Courier New" w:hAnsi="Courier New" w:cs="Courier New"/>
            </w:rPr>
            <w:t>Mass.</w:t>
          </w:r>
        </w:smartTag>
      </w:smartTag>
      <w:r w:rsidR="009E7DFA">
        <w:rPr>
          <w:rFonts w:ascii="Courier New" w:hAnsi="Courier New" w:cs="Courier New"/>
        </w:rPr>
        <w:t xml:space="preserve"> ATB Findings of Fact and Reports 2008-1253, 1269. </w:t>
      </w:r>
    </w:p>
    <w:p w:rsidR="00947F6F" w:rsidRDefault="0092332B" w:rsidP="00947F6F">
      <w:pPr>
        <w:spacing w:line="480" w:lineRule="auto"/>
        <w:jc w:val="both"/>
        <w:rPr>
          <w:rFonts w:ascii="Courier New" w:hAnsi="Courier New" w:cs="Courier New"/>
        </w:rPr>
      </w:pPr>
      <w:r>
        <w:rPr>
          <w:rFonts w:ascii="Courier New" w:hAnsi="Courier New" w:cs="Courier New"/>
        </w:rPr>
        <w:tab/>
        <w:t xml:space="preserve">In the present appeal, the appellant </w:t>
      </w:r>
      <w:r w:rsidR="00AB7934">
        <w:rPr>
          <w:rFonts w:ascii="Courier New" w:hAnsi="Courier New" w:cs="Courier New"/>
        </w:rPr>
        <w:t>contended that the subject property was overvalued for the fiscal year at issue.</w:t>
      </w:r>
      <w:r w:rsidR="00815941">
        <w:rPr>
          <w:rFonts w:ascii="Courier New" w:hAnsi="Courier New" w:cs="Courier New"/>
        </w:rPr>
        <w:t xml:space="preserve">  In support of its case, the appellant </w:t>
      </w:r>
      <w:r w:rsidR="00F24E27">
        <w:rPr>
          <w:rFonts w:ascii="Courier New" w:hAnsi="Courier New" w:cs="Courier New"/>
        </w:rPr>
        <w:t xml:space="preserve">offered into evidence </w:t>
      </w:r>
      <w:r w:rsidR="003F7777">
        <w:rPr>
          <w:rFonts w:ascii="Courier New" w:hAnsi="Courier New" w:cs="Courier New"/>
        </w:rPr>
        <w:t>the MLS listing for a property located in Monterey that sold in 2015</w:t>
      </w:r>
      <w:r w:rsidR="003E24C6">
        <w:rPr>
          <w:rFonts w:ascii="Courier New" w:hAnsi="Courier New" w:cs="Courier New"/>
        </w:rPr>
        <w:t>, but failed to make any adjustments for differences that existed between the subject property a</w:t>
      </w:r>
      <w:r w:rsidR="005B5A19">
        <w:rPr>
          <w:rFonts w:ascii="Courier New" w:hAnsi="Courier New" w:cs="Courier New"/>
        </w:rPr>
        <w:t xml:space="preserve">nd the purportedly </w:t>
      </w:r>
      <w:r w:rsidR="003E24C6">
        <w:rPr>
          <w:rFonts w:ascii="Courier New" w:hAnsi="Courier New" w:cs="Courier New"/>
        </w:rPr>
        <w:t>comparable</w:t>
      </w:r>
      <w:r w:rsidR="005B5A19">
        <w:rPr>
          <w:rFonts w:ascii="Courier New" w:hAnsi="Courier New" w:cs="Courier New"/>
        </w:rPr>
        <w:t>-</w:t>
      </w:r>
      <w:r w:rsidR="003E24C6">
        <w:rPr>
          <w:rFonts w:ascii="Courier New" w:hAnsi="Courier New" w:cs="Courier New"/>
        </w:rPr>
        <w:t>sale</w:t>
      </w:r>
      <w:r w:rsidR="005B5A19">
        <w:rPr>
          <w:rFonts w:ascii="Courier New" w:hAnsi="Courier New" w:cs="Courier New"/>
        </w:rPr>
        <w:t xml:space="preserve"> property</w:t>
      </w:r>
      <w:r w:rsidR="003F7777">
        <w:rPr>
          <w:rFonts w:ascii="Courier New" w:hAnsi="Courier New" w:cs="Courier New"/>
        </w:rPr>
        <w:t>.</w:t>
      </w:r>
      <w:r w:rsidR="003B626A">
        <w:rPr>
          <w:rFonts w:ascii="Courier New" w:hAnsi="Courier New" w:cs="Courier New"/>
        </w:rPr>
        <w:t xml:space="preserve">  The appellant also provided a listing of the assessments for the neighboring properties situated on Heron Pond Park.  With respect to the</w:t>
      </w:r>
      <w:r w:rsidR="00D3036C">
        <w:rPr>
          <w:rFonts w:ascii="Courier New" w:hAnsi="Courier New" w:cs="Courier New"/>
        </w:rPr>
        <w:t>se properties</w:t>
      </w:r>
      <w:r w:rsidR="003B626A">
        <w:rPr>
          <w:rFonts w:ascii="Courier New" w:hAnsi="Courier New" w:cs="Courier New"/>
        </w:rPr>
        <w:t xml:space="preserve">, the appellant failed to provide a description of the properties or draw any meaningful comparison to the subject property and establish comparability.  </w:t>
      </w:r>
      <w:r w:rsidR="00D3036C">
        <w:rPr>
          <w:rFonts w:ascii="Courier New" w:hAnsi="Courier New" w:cs="Courier New"/>
        </w:rPr>
        <w:t>Moreover, t</w:t>
      </w:r>
      <w:r w:rsidR="003B626A">
        <w:rPr>
          <w:rFonts w:ascii="Courier New" w:hAnsi="Courier New" w:cs="Courier New"/>
        </w:rPr>
        <w:t xml:space="preserve">he appellant </w:t>
      </w:r>
      <w:r w:rsidR="00D3036C">
        <w:rPr>
          <w:rFonts w:ascii="Courier New" w:hAnsi="Courier New" w:cs="Courier New"/>
        </w:rPr>
        <w:t>f</w:t>
      </w:r>
      <w:r w:rsidR="003B626A">
        <w:rPr>
          <w:rFonts w:ascii="Courier New" w:hAnsi="Courier New" w:cs="Courier New"/>
        </w:rPr>
        <w:t xml:space="preserve">ailed to make any adjustments between the subject property and the purportedly </w:t>
      </w:r>
      <w:r w:rsidR="003B626A">
        <w:rPr>
          <w:rFonts w:ascii="Courier New" w:hAnsi="Courier New" w:cs="Courier New"/>
        </w:rPr>
        <w:lastRenderedPageBreak/>
        <w:t xml:space="preserve">comparable-assessment properties.  </w:t>
      </w:r>
      <w:r w:rsidR="003E24C6">
        <w:rPr>
          <w:rFonts w:ascii="Courier New" w:hAnsi="Courier New" w:cs="Courier New"/>
        </w:rPr>
        <w:t xml:space="preserve">Absent </w:t>
      </w:r>
      <w:r w:rsidR="00D3036C">
        <w:rPr>
          <w:rFonts w:ascii="Courier New" w:hAnsi="Courier New" w:cs="Courier New"/>
        </w:rPr>
        <w:t xml:space="preserve">the </w:t>
      </w:r>
      <w:r w:rsidR="003B626A">
        <w:rPr>
          <w:rFonts w:ascii="Courier New" w:hAnsi="Courier New" w:cs="Courier New"/>
        </w:rPr>
        <w:t>establish</w:t>
      </w:r>
      <w:r w:rsidR="00D3036C">
        <w:rPr>
          <w:rFonts w:ascii="Courier New" w:hAnsi="Courier New" w:cs="Courier New"/>
        </w:rPr>
        <w:t>ment</w:t>
      </w:r>
      <w:r w:rsidR="003B626A">
        <w:rPr>
          <w:rFonts w:ascii="Courier New" w:hAnsi="Courier New" w:cs="Courier New"/>
        </w:rPr>
        <w:t xml:space="preserve"> </w:t>
      </w:r>
      <w:r w:rsidR="00D3036C">
        <w:rPr>
          <w:rFonts w:ascii="Courier New" w:hAnsi="Courier New" w:cs="Courier New"/>
        </w:rPr>
        <w:t xml:space="preserve">of </w:t>
      </w:r>
      <w:r w:rsidR="003B626A">
        <w:rPr>
          <w:rFonts w:ascii="Courier New" w:hAnsi="Courier New" w:cs="Courier New"/>
        </w:rPr>
        <w:t xml:space="preserve">basic comparability and </w:t>
      </w:r>
      <w:r w:rsidR="003E24C6">
        <w:rPr>
          <w:rFonts w:ascii="Courier New" w:hAnsi="Courier New" w:cs="Courier New"/>
        </w:rPr>
        <w:t xml:space="preserve">appropriate adjustments, the Board found that </w:t>
      </w:r>
      <w:r w:rsidR="00D3036C">
        <w:rPr>
          <w:rFonts w:ascii="Courier New" w:hAnsi="Courier New" w:cs="Courier New"/>
        </w:rPr>
        <w:t>t</w:t>
      </w:r>
      <w:r w:rsidR="003E24C6">
        <w:rPr>
          <w:rFonts w:ascii="Courier New" w:hAnsi="Courier New" w:cs="Courier New"/>
        </w:rPr>
        <w:t>he appellant’</w:t>
      </w:r>
      <w:r w:rsidR="005B5A19">
        <w:rPr>
          <w:rFonts w:ascii="Courier New" w:hAnsi="Courier New" w:cs="Courier New"/>
        </w:rPr>
        <w:t>s</w:t>
      </w:r>
      <w:r w:rsidR="003E24C6">
        <w:rPr>
          <w:rFonts w:ascii="Courier New" w:hAnsi="Courier New" w:cs="Courier New"/>
        </w:rPr>
        <w:t xml:space="preserve"> comparable-</w:t>
      </w:r>
      <w:r w:rsidR="003B626A">
        <w:rPr>
          <w:rFonts w:ascii="Courier New" w:hAnsi="Courier New" w:cs="Courier New"/>
        </w:rPr>
        <w:t xml:space="preserve">assessments </w:t>
      </w:r>
      <w:r w:rsidR="005B5A19">
        <w:rPr>
          <w:rFonts w:ascii="Courier New" w:hAnsi="Courier New" w:cs="Courier New"/>
        </w:rPr>
        <w:t>a</w:t>
      </w:r>
      <w:r w:rsidR="003B626A">
        <w:rPr>
          <w:rFonts w:ascii="Courier New" w:hAnsi="Courier New" w:cs="Courier New"/>
        </w:rPr>
        <w:t>nd comparable-sale</w:t>
      </w:r>
      <w:r w:rsidR="005B5A19">
        <w:rPr>
          <w:rFonts w:ascii="Courier New" w:hAnsi="Courier New" w:cs="Courier New"/>
        </w:rPr>
        <w:t>s</w:t>
      </w:r>
      <w:r w:rsidR="003E24C6">
        <w:rPr>
          <w:rFonts w:ascii="Courier New" w:hAnsi="Courier New" w:cs="Courier New"/>
        </w:rPr>
        <w:t xml:space="preserve"> data did </w:t>
      </w:r>
      <w:r w:rsidR="003E24C6" w:rsidRPr="00113951">
        <w:rPr>
          <w:rFonts w:ascii="Courier New" w:hAnsi="Courier New" w:cs="Courier New"/>
        </w:rPr>
        <w:t xml:space="preserve">not provide </w:t>
      </w:r>
      <w:r w:rsidR="003E24C6">
        <w:rPr>
          <w:rFonts w:ascii="Courier New" w:hAnsi="Courier New" w:cs="Courier New"/>
        </w:rPr>
        <w:t>a reliable indicator of the subject</w:t>
      </w:r>
      <w:r w:rsidR="003B626A">
        <w:rPr>
          <w:rFonts w:ascii="Courier New" w:hAnsi="Courier New" w:cs="Courier New"/>
        </w:rPr>
        <w:t xml:space="preserve"> property’s</w:t>
      </w:r>
      <w:r w:rsidR="003E24C6" w:rsidRPr="00113951">
        <w:rPr>
          <w:rFonts w:ascii="Courier New" w:hAnsi="Courier New" w:cs="Courier New"/>
        </w:rPr>
        <w:t xml:space="preserve"> fair cash value for the fiscal year at issue. </w:t>
      </w:r>
      <w:r w:rsidR="003E24C6" w:rsidRPr="00174FE5">
        <w:rPr>
          <w:rFonts w:ascii="Courier New" w:hAnsi="Courier New" w:cs="Courier New"/>
        </w:rPr>
        <w:t xml:space="preserve"> </w:t>
      </w:r>
      <w:r w:rsidR="003E24C6">
        <w:rPr>
          <w:rFonts w:ascii="Courier New" w:hAnsi="Courier New" w:cs="Courier New"/>
        </w:rPr>
        <w:t>“</w:t>
      </w:r>
      <w:r w:rsidR="003E24C6" w:rsidRPr="00D07E71">
        <w:rPr>
          <w:rFonts w:ascii="Courier New" w:hAnsi="Courier New" w:cs="Courier New"/>
        </w:rPr>
        <w:t xml:space="preserve">Adjustments for differences in the elements of comparison are made to the price of each comparable property . . . . The magnitude of the adjustment made for each element of comparison depends on how much that characteristic of the comparable property differs from the subject property.”  </w:t>
      </w:r>
      <w:r w:rsidR="003E24C6" w:rsidRPr="00D07E71">
        <w:rPr>
          <w:rFonts w:ascii="Courier New" w:hAnsi="Courier New" w:cs="Courier New"/>
          <w:bCs/>
          <w:smallCaps/>
        </w:rPr>
        <w:t xml:space="preserve">Appraisal Institute, </w:t>
      </w:r>
      <w:r w:rsidR="003E24C6" w:rsidRPr="00D07E71">
        <w:rPr>
          <w:rFonts w:ascii="Courier New" w:hAnsi="Courier New" w:cs="Courier New"/>
          <w:bCs/>
          <w:i/>
          <w:smallCaps/>
        </w:rPr>
        <w:t>The Appraisal of Real Estate</w:t>
      </w:r>
      <w:r w:rsidR="003E24C6" w:rsidRPr="00D07E71">
        <w:rPr>
          <w:rFonts w:ascii="Courier New" w:hAnsi="Courier New" w:cs="Courier New"/>
          <w:bCs/>
        </w:rPr>
        <w:t xml:space="preserve"> 322 (13</w:t>
      </w:r>
      <w:r w:rsidR="003E24C6" w:rsidRPr="00D07E71">
        <w:rPr>
          <w:rFonts w:ascii="Courier New" w:hAnsi="Courier New" w:cs="Courier New"/>
          <w:bCs/>
          <w:vertAlign w:val="superscript"/>
        </w:rPr>
        <w:t>th</w:t>
      </w:r>
      <w:r w:rsidR="003E24C6" w:rsidRPr="00D07E71">
        <w:rPr>
          <w:rFonts w:ascii="Courier New" w:hAnsi="Courier New" w:cs="Courier New"/>
          <w:bCs/>
        </w:rPr>
        <w:t xml:space="preserve"> ed., 2008).</w:t>
      </w:r>
      <w:r w:rsidR="00CE1ABC">
        <w:rPr>
          <w:rFonts w:ascii="Courier New" w:hAnsi="Courier New" w:cs="Courier New"/>
          <w:bCs/>
        </w:rPr>
        <w:t xml:space="preserve">  The Board also found that the actual sale price of the purportedly comparable-sale property </w:t>
      </w:r>
      <w:r w:rsidR="009A1367">
        <w:rPr>
          <w:rFonts w:ascii="Courier New" w:hAnsi="Courier New" w:cs="Courier New"/>
          <w:bCs/>
        </w:rPr>
        <w:t xml:space="preserve">at 72A Brett Road, which occurred </w:t>
      </w:r>
      <w:r w:rsidR="009A1367">
        <w:rPr>
          <w:rFonts w:ascii="Courier New" w:hAnsi="Courier New" w:cs="Courier New"/>
        </w:rPr>
        <w:t xml:space="preserve">more than 2 years after the relevant date of assessment, </w:t>
      </w:r>
      <w:r w:rsidR="00CE1ABC">
        <w:rPr>
          <w:rFonts w:ascii="Courier New" w:hAnsi="Courier New" w:cs="Courier New"/>
          <w:bCs/>
        </w:rPr>
        <w:t xml:space="preserve">was likely too remote to provide meaningful evidence of the subject property’s fair market value for the fiscal year at issue.  </w:t>
      </w:r>
      <w:r w:rsidR="00CE1ABC">
        <w:rPr>
          <w:rFonts w:ascii="Courier New" w:hAnsi="Courier New" w:cs="Courier New"/>
          <w:b/>
          <w:bCs/>
          <w:i/>
        </w:rPr>
        <w:t xml:space="preserve">Frederick D. Lewis, et ux v. Assessors of Lowell, </w:t>
      </w:r>
      <w:r w:rsidR="00947F6F">
        <w:rPr>
          <w:rFonts w:ascii="Courier New" w:hAnsi="Courier New" w:cs="Courier New"/>
          <w:bCs/>
        </w:rPr>
        <w:t>Mass</w:t>
      </w:r>
      <w:r w:rsidR="005B5A19">
        <w:rPr>
          <w:rFonts w:ascii="Courier New" w:hAnsi="Courier New" w:cs="Courier New"/>
          <w:bCs/>
        </w:rPr>
        <w:t>.</w:t>
      </w:r>
      <w:r w:rsidR="00947F6F">
        <w:rPr>
          <w:rFonts w:ascii="Courier New" w:hAnsi="Courier New" w:cs="Courier New"/>
          <w:bCs/>
        </w:rPr>
        <w:t xml:space="preserve"> ATB Findings of Fact and Reports 2015-182, 186.</w:t>
      </w:r>
      <w:r w:rsidR="003E24C6" w:rsidRPr="00D07E71">
        <w:rPr>
          <w:rFonts w:ascii="Courier New" w:hAnsi="Courier New" w:cs="Courier New"/>
        </w:rPr>
        <w:t xml:space="preserve"> </w:t>
      </w:r>
    </w:p>
    <w:p w:rsidR="003B626A" w:rsidRPr="00947F6F" w:rsidRDefault="00947F6F" w:rsidP="00947F6F">
      <w:pPr>
        <w:spacing w:line="480" w:lineRule="auto"/>
        <w:ind w:firstLine="720"/>
        <w:jc w:val="both"/>
        <w:rPr>
          <w:rFonts w:ascii="Courier New" w:hAnsi="Courier New" w:cs="Courier New"/>
        </w:rPr>
      </w:pPr>
      <w:r>
        <w:rPr>
          <w:rFonts w:ascii="Courier New" w:hAnsi="Courier New" w:cs="Courier New"/>
        </w:rPr>
        <w:t>Lastly</w:t>
      </w:r>
      <w:r w:rsidR="003E24C6">
        <w:rPr>
          <w:rFonts w:ascii="Courier New" w:hAnsi="Courier New" w:cs="Courier New"/>
        </w:rPr>
        <w:t>, t</w:t>
      </w:r>
      <w:r w:rsidR="00815941">
        <w:rPr>
          <w:rFonts w:ascii="Courier New" w:hAnsi="Courier New" w:cs="Courier New"/>
        </w:rPr>
        <w:t>he appraisal reports prepared by different appraisers</w:t>
      </w:r>
      <w:r>
        <w:rPr>
          <w:rFonts w:ascii="Courier New" w:hAnsi="Courier New" w:cs="Courier New"/>
        </w:rPr>
        <w:t xml:space="preserve"> included sales-comparison</w:t>
      </w:r>
      <w:r w:rsidR="00815941">
        <w:rPr>
          <w:rFonts w:ascii="Courier New" w:hAnsi="Courier New" w:cs="Courier New"/>
        </w:rPr>
        <w:t xml:space="preserve"> an</w:t>
      </w:r>
      <w:r w:rsidR="003E24C6">
        <w:rPr>
          <w:rFonts w:ascii="Courier New" w:hAnsi="Courier New" w:cs="Courier New"/>
        </w:rPr>
        <w:t>alyse</w:t>
      </w:r>
      <w:r w:rsidR="00815941">
        <w:rPr>
          <w:rFonts w:ascii="Courier New" w:hAnsi="Courier New" w:cs="Courier New"/>
        </w:rPr>
        <w:t xml:space="preserve">s of the subject property.  </w:t>
      </w:r>
      <w:r w:rsidR="00815941" w:rsidRPr="003D28C5">
        <w:rPr>
          <w:rFonts w:ascii="Courier New" w:eastAsia="Arial" w:hAnsi="Courier New" w:cs="Courier New"/>
          <w:color w:val="000000"/>
        </w:rPr>
        <w:t>However, n</w:t>
      </w:r>
      <w:r w:rsidR="003D28C5">
        <w:rPr>
          <w:rFonts w:ascii="Courier New" w:eastAsia="Arial" w:hAnsi="Courier New" w:cs="Courier New"/>
          <w:color w:val="000000"/>
        </w:rPr>
        <w:t>one of the</w:t>
      </w:r>
      <w:r w:rsidR="00815941" w:rsidRPr="003D28C5">
        <w:rPr>
          <w:rFonts w:ascii="Courier New" w:eastAsia="Arial" w:hAnsi="Courier New" w:cs="Courier New"/>
          <w:color w:val="000000"/>
        </w:rPr>
        <w:t xml:space="preserve"> appraiser</w:t>
      </w:r>
      <w:r w:rsidR="003D28C5">
        <w:rPr>
          <w:rFonts w:ascii="Courier New" w:eastAsia="Arial" w:hAnsi="Courier New" w:cs="Courier New"/>
          <w:color w:val="000000"/>
        </w:rPr>
        <w:t>s</w:t>
      </w:r>
      <w:r w:rsidR="00815941" w:rsidRPr="003D28C5">
        <w:rPr>
          <w:rFonts w:ascii="Courier New" w:eastAsia="Arial" w:hAnsi="Courier New" w:cs="Courier New"/>
          <w:color w:val="000000"/>
        </w:rPr>
        <w:t xml:space="preserve"> testified at the hearing nor w</w:t>
      </w:r>
      <w:r w:rsidR="003D28C5">
        <w:rPr>
          <w:rFonts w:ascii="Courier New" w:eastAsia="Arial" w:hAnsi="Courier New" w:cs="Courier New"/>
          <w:color w:val="000000"/>
        </w:rPr>
        <w:t>ere</w:t>
      </w:r>
      <w:r w:rsidR="00815941" w:rsidRPr="003D28C5">
        <w:rPr>
          <w:rFonts w:ascii="Courier New" w:eastAsia="Arial" w:hAnsi="Courier New" w:cs="Courier New"/>
          <w:color w:val="000000"/>
        </w:rPr>
        <w:t xml:space="preserve"> </w:t>
      </w:r>
      <w:r w:rsidR="005B5A19">
        <w:rPr>
          <w:rFonts w:ascii="Courier New" w:eastAsia="Arial" w:hAnsi="Courier New" w:cs="Courier New"/>
          <w:color w:val="000000"/>
        </w:rPr>
        <w:t xml:space="preserve">they </w:t>
      </w:r>
      <w:r w:rsidR="00815941" w:rsidRPr="003D28C5">
        <w:rPr>
          <w:rFonts w:ascii="Courier New" w:eastAsia="Arial" w:hAnsi="Courier New" w:cs="Courier New"/>
          <w:color w:val="000000"/>
        </w:rPr>
        <w:t xml:space="preserve">available for cross-examination by the appellee or for questioning by the Board. </w:t>
      </w:r>
      <w:r w:rsidR="003D28C5">
        <w:rPr>
          <w:rFonts w:ascii="Courier New" w:eastAsia="Arial" w:hAnsi="Courier New" w:cs="Courier New"/>
          <w:color w:val="000000"/>
        </w:rPr>
        <w:t xml:space="preserve"> </w:t>
      </w:r>
      <w:r w:rsidR="00815941" w:rsidRPr="003D28C5">
        <w:rPr>
          <w:rFonts w:ascii="Courier New" w:eastAsia="Arial" w:hAnsi="Courier New" w:cs="Courier New"/>
          <w:color w:val="000000"/>
        </w:rPr>
        <w:t xml:space="preserve">The Board therefore considered their opinions contained in the appraisal reports to </w:t>
      </w:r>
      <w:r w:rsidR="00815941" w:rsidRPr="003D28C5">
        <w:rPr>
          <w:rFonts w:ascii="Courier New" w:eastAsia="Arial" w:hAnsi="Courier New" w:cs="Courier New"/>
          <w:color w:val="000000"/>
        </w:rPr>
        <w:lastRenderedPageBreak/>
        <w:t xml:space="preserve">be unsubstantiated hearsay. </w:t>
      </w:r>
      <w:r w:rsidR="003D28C5">
        <w:rPr>
          <w:rFonts w:ascii="Courier New" w:eastAsia="Arial" w:hAnsi="Courier New" w:cs="Courier New"/>
          <w:color w:val="000000"/>
        </w:rPr>
        <w:t xml:space="preserve"> </w:t>
      </w:r>
      <w:r w:rsidR="00815941" w:rsidRPr="003D28C5">
        <w:rPr>
          <w:rFonts w:ascii="Courier New" w:eastAsia="Arial" w:hAnsi="Courier New" w:cs="Courier New"/>
          <w:b/>
          <w:i/>
          <w:color w:val="000000"/>
        </w:rPr>
        <w:t xml:space="preserve">Ward Brothers Realty Trust v. </w:t>
      </w:r>
      <w:r w:rsidR="00815941" w:rsidRPr="003B626A">
        <w:rPr>
          <w:rFonts w:ascii="Courier New" w:eastAsia="Arial" w:hAnsi="Courier New" w:cs="Courier New"/>
          <w:b/>
          <w:i/>
          <w:color w:val="000000"/>
        </w:rPr>
        <w:t>Assessors</w:t>
      </w:r>
      <w:r w:rsidR="00815941" w:rsidRPr="003D28C5">
        <w:rPr>
          <w:rFonts w:ascii="Courier New" w:eastAsia="Arial" w:hAnsi="Courier New" w:cs="Courier New"/>
          <w:b/>
          <w:i/>
          <w:color w:val="000000"/>
        </w:rPr>
        <w:t xml:space="preserve"> of Hingham</w:t>
      </w:r>
      <w:r w:rsidR="00815941" w:rsidRPr="003D28C5">
        <w:rPr>
          <w:rFonts w:ascii="Courier New" w:eastAsia="Arial" w:hAnsi="Courier New" w:cs="Courier New"/>
          <w:color w:val="000000"/>
        </w:rPr>
        <w:t>, Mass. ATB Findings of Fact and Reports 2012-515, 525 (rejecting opinion of value contained in an appraisal report as hearsay where</w:t>
      </w:r>
      <w:r w:rsidR="00815941" w:rsidRPr="003D28C5">
        <w:rPr>
          <w:rFonts w:ascii="Courier New" w:eastAsia="Arial" w:hAnsi="Courier New" w:cs="Courier New"/>
          <w:b/>
          <w:color w:val="000000"/>
        </w:rPr>
        <w:t> </w:t>
      </w:r>
      <w:r w:rsidR="00815941" w:rsidRPr="003D28C5">
        <w:rPr>
          <w:rFonts w:ascii="Courier New" w:eastAsia="Arial" w:hAnsi="Courier New" w:cs="Courier New"/>
          <w:color w:val="000000"/>
        </w:rPr>
        <w:t>author of the report did not testify at hearing).</w:t>
      </w:r>
    </w:p>
    <w:p w:rsidR="00177C77" w:rsidRDefault="00A50327" w:rsidP="003B626A">
      <w:pPr>
        <w:spacing w:line="480" w:lineRule="auto"/>
        <w:ind w:firstLine="720"/>
        <w:jc w:val="both"/>
      </w:pPr>
      <w:r>
        <w:rPr>
          <w:rFonts w:ascii="Courier New" w:hAnsi="Courier New" w:cs="Courier New"/>
        </w:rPr>
        <w:t xml:space="preserve">On the basis of the evidence </w:t>
      </w:r>
      <w:r w:rsidR="0059079E">
        <w:rPr>
          <w:rFonts w:ascii="Courier New" w:hAnsi="Courier New" w:cs="Courier New"/>
        </w:rPr>
        <w:t>presented</w:t>
      </w:r>
      <w:r>
        <w:rPr>
          <w:rFonts w:ascii="Courier New" w:hAnsi="Courier New" w:cs="Courier New"/>
        </w:rPr>
        <w:t xml:space="preserve">, the Board found and ruled that the appellant failed to meet </w:t>
      </w:r>
      <w:r w:rsidR="003E24C6">
        <w:rPr>
          <w:rFonts w:ascii="Courier New" w:hAnsi="Courier New" w:cs="Courier New"/>
        </w:rPr>
        <w:t>its</w:t>
      </w:r>
      <w:r>
        <w:rPr>
          <w:rFonts w:ascii="Courier New" w:hAnsi="Courier New" w:cs="Courier New"/>
        </w:rPr>
        <w:t xml:space="preserve"> burden of proving that the subject property was overvalued for the fiscal year at issue.  </w:t>
      </w:r>
      <w:r w:rsidR="009D3247">
        <w:rPr>
          <w:rFonts w:ascii="Courier New" w:hAnsi="Courier New" w:cs="Courier New"/>
        </w:rPr>
        <w:t xml:space="preserve">Accordingly, </w:t>
      </w:r>
      <w:r w:rsidR="007C1A3C" w:rsidRPr="00711E3E">
        <w:rPr>
          <w:rFonts w:ascii="Courier New" w:hAnsi="Courier New" w:cs="Courier New"/>
          <w:color w:val="333333"/>
        </w:rPr>
        <w:t xml:space="preserve">the </w:t>
      </w:r>
      <w:r w:rsidR="006F57FC" w:rsidRPr="00711E3E">
        <w:rPr>
          <w:rFonts w:ascii="Courier New" w:hAnsi="Courier New" w:cs="Courier New"/>
          <w:color w:val="333333"/>
        </w:rPr>
        <w:t>Board</w:t>
      </w:r>
      <w:r w:rsidR="007C1A3C" w:rsidRPr="00711E3E">
        <w:rPr>
          <w:rFonts w:ascii="Courier New" w:hAnsi="Courier New" w:cs="Courier New"/>
          <w:color w:val="333333"/>
        </w:rPr>
        <w:t xml:space="preserve"> issued a decision for the appell</w:t>
      </w:r>
      <w:r w:rsidR="009D3247">
        <w:rPr>
          <w:rFonts w:ascii="Courier New" w:hAnsi="Courier New" w:cs="Courier New"/>
          <w:color w:val="333333"/>
        </w:rPr>
        <w:t>ee</w:t>
      </w:r>
      <w:r w:rsidR="007C1A3C" w:rsidRPr="00711E3E">
        <w:rPr>
          <w:rFonts w:ascii="Courier New" w:hAnsi="Courier New" w:cs="Courier New"/>
          <w:color w:val="333333"/>
        </w:rPr>
        <w:t xml:space="preserve"> </w:t>
      </w:r>
      <w:r w:rsidR="009D3247">
        <w:rPr>
          <w:rFonts w:ascii="Courier New" w:hAnsi="Courier New" w:cs="Courier New"/>
          <w:color w:val="333333"/>
        </w:rPr>
        <w:t>in this appeal</w:t>
      </w:r>
      <w:r w:rsidR="00237C52" w:rsidRPr="00711E3E">
        <w:rPr>
          <w:rFonts w:ascii="Courier New" w:hAnsi="Courier New" w:cs="Courier New"/>
        </w:rPr>
        <w:t>.</w:t>
      </w:r>
      <w:r w:rsidR="00C55679">
        <w:t xml:space="preserve"> </w:t>
      </w:r>
    </w:p>
    <w:p w:rsidR="00731755" w:rsidRDefault="00C55679" w:rsidP="00177C77">
      <w:pPr>
        <w:spacing w:line="480" w:lineRule="auto"/>
        <w:ind w:firstLine="720"/>
        <w:jc w:val="both"/>
      </w:pPr>
      <w:r>
        <w:t xml:space="preserve"> </w:t>
      </w:r>
      <w:r>
        <w:tab/>
      </w:r>
      <w:r>
        <w:tab/>
      </w:r>
    </w:p>
    <w:p w:rsidR="00C55679" w:rsidRDefault="009D3247" w:rsidP="00C55679">
      <w:pPr>
        <w:pStyle w:val="BodyText2"/>
        <w:rPr>
          <w:b/>
          <w:bCs/>
        </w:rPr>
      </w:pPr>
      <w:r>
        <w:tab/>
      </w:r>
      <w:r w:rsidR="00731755">
        <w:tab/>
      </w:r>
      <w:r w:rsidR="00731755">
        <w:tab/>
      </w:r>
      <w:r w:rsidR="00D3036C">
        <w:tab/>
        <w:t xml:space="preserve">       </w:t>
      </w:r>
      <w:r w:rsidR="00B17DFB">
        <w:rPr>
          <w:b/>
        </w:rPr>
        <w:t xml:space="preserve">THE </w:t>
      </w:r>
      <w:r w:rsidR="00731755" w:rsidRPr="00731755">
        <w:rPr>
          <w:b/>
        </w:rPr>
        <w:t>A</w:t>
      </w:r>
      <w:r w:rsidR="00C55679" w:rsidRPr="00731755">
        <w:rPr>
          <w:b/>
          <w:bCs/>
        </w:rPr>
        <w:t>PPELLATE</w:t>
      </w:r>
      <w:r w:rsidR="00C55679">
        <w:rPr>
          <w:b/>
          <w:bCs/>
        </w:rPr>
        <w:t xml:space="preserve"> TAX BOARD</w:t>
      </w:r>
    </w:p>
    <w:p w:rsidR="00D067C8" w:rsidRDefault="00D067C8" w:rsidP="00C55679">
      <w:pPr>
        <w:pStyle w:val="BodyText2"/>
        <w:rPr>
          <w:b/>
          <w:bCs/>
        </w:rPr>
      </w:pPr>
    </w:p>
    <w:p w:rsidR="00731755" w:rsidRDefault="00C55679" w:rsidP="00C55679">
      <w:pPr>
        <w:pStyle w:val="BodyText2"/>
        <w:spacing w:line="240" w:lineRule="auto"/>
        <w:rPr>
          <w:b/>
          <w:bCs/>
        </w:rPr>
      </w:pPr>
      <w:r>
        <w:rPr>
          <w:b/>
          <w:bCs/>
        </w:rPr>
        <w:tab/>
      </w:r>
      <w:r>
        <w:rPr>
          <w:b/>
          <w:bCs/>
        </w:rPr>
        <w:tab/>
      </w:r>
      <w:r>
        <w:rPr>
          <w:b/>
          <w:bCs/>
        </w:rPr>
        <w:tab/>
      </w:r>
      <w:r w:rsidR="00731755">
        <w:rPr>
          <w:b/>
          <w:bCs/>
        </w:rPr>
        <w:t xml:space="preserve"> </w:t>
      </w:r>
    </w:p>
    <w:p w:rsidR="00731755" w:rsidRDefault="00C55679" w:rsidP="00C55679">
      <w:pPr>
        <w:pStyle w:val="BodyText2"/>
        <w:spacing w:line="240" w:lineRule="auto"/>
        <w:rPr>
          <w:b/>
          <w:bCs/>
        </w:rPr>
      </w:pPr>
      <w:r>
        <w:rPr>
          <w:b/>
          <w:bCs/>
        </w:rPr>
        <w:t xml:space="preserve">    </w:t>
      </w:r>
    </w:p>
    <w:p w:rsidR="00C55679" w:rsidRDefault="00B17DFB" w:rsidP="00B17DFB">
      <w:pPr>
        <w:pStyle w:val="BodyText2"/>
        <w:spacing w:line="240" w:lineRule="auto"/>
        <w:rPr>
          <w:b/>
          <w:bCs/>
          <w:u w:val="single"/>
        </w:rPr>
      </w:pPr>
      <w:r>
        <w:rPr>
          <w:b/>
          <w:bCs/>
        </w:rPr>
        <w:t xml:space="preserve">                       </w:t>
      </w:r>
      <w:r w:rsidR="00D3036C">
        <w:rPr>
          <w:b/>
          <w:bCs/>
        </w:rPr>
        <w:t xml:space="preserve"> </w:t>
      </w:r>
      <w:r w:rsidR="00C55679">
        <w:rPr>
          <w:b/>
          <w:bCs/>
        </w:rPr>
        <w:t>By:</w:t>
      </w:r>
      <w:r w:rsidR="00C55679">
        <w:rPr>
          <w:b/>
          <w:bCs/>
          <w:u w:val="single"/>
        </w:rPr>
        <w:tab/>
      </w:r>
      <w:r w:rsidR="00C55679">
        <w:rPr>
          <w:b/>
          <w:bCs/>
          <w:u w:val="single"/>
        </w:rPr>
        <w:tab/>
      </w:r>
      <w:r w:rsidR="00C55679">
        <w:rPr>
          <w:b/>
          <w:bCs/>
          <w:u w:val="single"/>
        </w:rPr>
        <w:tab/>
        <w:t xml:space="preserve">          </w:t>
      </w:r>
      <w:r w:rsidR="00C55679">
        <w:rPr>
          <w:b/>
          <w:bCs/>
          <w:u w:val="single"/>
        </w:rPr>
        <w:tab/>
        <w:t>____</w:t>
      </w:r>
    </w:p>
    <w:p w:rsidR="00C55679" w:rsidRDefault="00C55679" w:rsidP="00C55679">
      <w:pPr>
        <w:pStyle w:val="BodyText2"/>
        <w:spacing w:line="240" w:lineRule="auto"/>
        <w:rPr>
          <w:b/>
          <w:bCs/>
        </w:rPr>
      </w:pPr>
      <w:r>
        <w:rPr>
          <w:b/>
          <w:bCs/>
        </w:rPr>
        <w:tab/>
      </w:r>
      <w:r>
        <w:rPr>
          <w:b/>
          <w:bCs/>
        </w:rPr>
        <w:tab/>
      </w:r>
      <w:r>
        <w:rPr>
          <w:b/>
          <w:bCs/>
        </w:rPr>
        <w:tab/>
      </w:r>
      <w:r>
        <w:rPr>
          <w:b/>
          <w:bCs/>
        </w:rPr>
        <w:tab/>
        <w:t xml:space="preserve">  </w:t>
      </w:r>
      <w:r w:rsidR="009D3247">
        <w:rPr>
          <w:b/>
          <w:bCs/>
        </w:rPr>
        <w:tab/>
      </w:r>
      <w:r w:rsidR="00D3036C">
        <w:rPr>
          <w:b/>
          <w:bCs/>
        </w:rPr>
        <w:t xml:space="preserve">  </w:t>
      </w:r>
      <w:r>
        <w:rPr>
          <w:b/>
          <w:bCs/>
        </w:rPr>
        <w:t xml:space="preserve">Thomas W. Hammond, Jr., Chairman </w:t>
      </w:r>
    </w:p>
    <w:p w:rsidR="00731755" w:rsidRDefault="00731755" w:rsidP="00C55679">
      <w:pPr>
        <w:pStyle w:val="BodyText2"/>
        <w:spacing w:line="240" w:lineRule="auto"/>
        <w:ind w:firstLine="0"/>
        <w:rPr>
          <w:b/>
          <w:bCs/>
        </w:rPr>
      </w:pPr>
    </w:p>
    <w:p w:rsidR="00731755" w:rsidRDefault="00731755" w:rsidP="00C55679">
      <w:pPr>
        <w:pStyle w:val="BodyText2"/>
        <w:spacing w:line="240" w:lineRule="auto"/>
        <w:ind w:firstLine="0"/>
        <w:rPr>
          <w:b/>
          <w:bCs/>
        </w:rPr>
      </w:pPr>
    </w:p>
    <w:p w:rsidR="0021185D" w:rsidRDefault="0021185D" w:rsidP="00753C74">
      <w:pPr>
        <w:pStyle w:val="BodyText2"/>
        <w:spacing w:line="240" w:lineRule="auto"/>
        <w:ind w:firstLine="0"/>
        <w:rPr>
          <w:b/>
          <w:bCs/>
        </w:rPr>
      </w:pPr>
    </w:p>
    <w:p w:rsidR="0021185D" w:rsidRDefault="0021185D" w:rsidP="00753C74">
      <w:pPr>
        <w:pStyle w:val="BodyText2"/>
        <w:spacing w:line="240" w:lineRule="auto"/>
        <w:ind w:firstLine="0"/>
        <w:rPr>
          <w:b/>
          <w:bCs/>
        </w:rPr>
      </w:pPr>
    </w:p>
    <w:p w:rsidR="0021185D" w:rsidRDefault="0021185D" w:rsidP="00753C74">
      <w:pPr>
        <w:pStyle w:val="BodyText2"/>
        <w:spacing w:line="240" w:lineRule="auto"/>
        <w:ind w:firstLine="0"/>
        <w:rPr>
          <w:b/>
          <w:bCs/>
        </w:rPr>
      </w:pPr>
    </w:p>
    <w:p w:rsidR="00C240F7" w:rsidRDefault="00C240F7" w:rsidP="00C240F7">
      <w:pPr>
        <w:pStyle w:val="BodyText2"/>
        <w:spacing w:line="240" w:lineRule="auto"/>
        <w:ind w:firstLine="0"/>
        <w:rPr>
          <w:b/>
          <w:bCs/>
        </w:rPr>
      </w:pPr>
      <w:r>
        <w:rPr>
          <w:b/>
          <w:bCs/>
        </w:rPr>
        <w:t>A true copy,</w:t>
      </w:r>
    </w:p>
    <w:p w:rsidR="00C240F7" w:rsidRDefault="00C240F7" w:rsidP="00C240F7">
      <w:pPr>
        <w:pStyle w:val="BodyText2"/>
        <w:spacing w:line="240" w:lineRule="auto"/>
        <w:ind w:firstLine="0"/>
        <w:rPr>
          <w:b/>
          <w:bCs/>
        </w:rPr>
      </w:pPr>
    </w:p>
    <w:p w:rsidR="00C240F7" w:rsidRDefault="00C240F7" w:rsidP="00C240F7">
      <w:pPr>
        <w:pStyle w:val="BodyText2"/>
        <w:spacing w:line="240" w:lineRule="auto"/>
        <w:ind w:firstLine="0"/>
        <w:rPr>
          <w:b/>
          <w:bCs/>
        </w:rPr>
      </w:pPr>
    </w:p>
    <w:p w:rsidR="00C240F7" w:rsidRDefault="00C240F7" w:rsidP="00C240F7">
      <w:pPr>
        <w:pStyle w:val="BodyText2"/>
        <w:spacing w:line="240" w:lineRule="auto"/>
        <w:ind w:firstLine="0"/>
        <w:rPr>
          <w:b/>
          <w:bCs/>
          <w:u w:val="single"/>
        </w:rPr>
      </w:pPr>
      <w:r>
        <w:rPr>
          <w:b/>
          <w:bCs/>
        </w:rPr>
        <w:t>Attest:</w:t>
      </w:r>
      <w:r>
        <w:rPr>
          <w:b/>
          <w:bCs/>
          <w:u w:val="single"/>
        </w:rPr>
        <w:tab/>
      </w:r>
      <w:r>
        <w:rPr>
          <w:b/>
          <w:bCs/>
          <w:u w:val="single"/>
        </w:rPr>
        <w:tab/>
      </w:r>
      <w:r>
        <w:rPr>
          <w:b/>
          <w:bCs/>
          <w:u w:val="single"/>
        </w:rPr>
        <w:tab/>
      </w:r>
      <w:r>
        <w:rPr>
          <w:b/>
          <w:bCs/>
          <w:u w:val="single"/>
        </w:rPr>
        <w:tab/>
        <w:t>__</w:t>
      </w:r>
      <w:r>
        <w:rPr>
          <w:b/>
          <w:bCs/>
          <w:u w:val="single"/>
        </w:rPr>
        <w:tab/>
      </w:r>
    </w:p>
    <w:p w:rsidR="00C240F7" w:rsidRDefault="00C240F7" w:rsidP="00C240F7">
      <w:pPr>
        <w:pStyle w:val="BodyText2"/>
        <w:spacing w:line="240" w:lineRule="auto"/>
        <w:rPr>
          <w:b/>
          <w:bCs/>
        </w:rPr>
      </w:pPr>
      <w:r>
        <w:t xml:space="preserve">    </w:t>
      </w:r>
      <w:r>
        <w:rPr>
          <w:b/>
          <w:bCs/>
        </w:rPr>
        <w:t>Clerk of the Board</w:t>
      </w:r>
      <w:r>
        <w:rPr>
          <w:b/>
          <w:bCs/>
        </w:rPr>
        <w:br/>
      </w:r>
      <w:r>
        <w:rPr>
          <w:b/>
          <w:bCs/>
        </w:rPr>
        <w:br/>
      </w:r>
    </w:p>
    <w:p w:rsidR="0021185D" w:rsidRDefault="0021185D" w:rsidP="00753C74">
      <w:pPr>
        <w:pStyle w:val="BodyText2"/>
        <w:spacing w:line="240" w:lineRule="auto"/>
        <w:ind w:firstLine="0"/>
        <w:rPr>
          <w:b/>
          <w:bCs/>
        </w:rPr>
      </w:pPr>
    </w:p>
    <w:sectPr w:rsidR="0021185D" w:rsidSect="00C240F7">
      <w:footerReference w:type="even" r:id="rId8"/>
      <w:footerReference w:type="default" r:id="rId9"/>
      <w:pgSz w:w="12240" w:h="15840"/>
      <w:pgMar w:top="1440" w:right="1440" w:bottom="1440" w:left="1440" w:header="720" w:footer="432" w:gutter="0"/>
      <w:pgNumType w:start="1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42C" w:rsidRDefault="0039442C">
      <w:r>
        <w:separator/>
      </w:r>
    </w:p>
  </w:endnote>
  <w:endnote w:type="continuationSeparator" w:id="0">
    <w:p w:rsidR="0039442C" w:rsidRDefault="0039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B6C" w:rsidRDefault="008C0B6C" w:rsidP="00B75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0B6C" w:rsidRDefault="008C0B6C" w:rsidP="007134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C6" w:rsidRPr="00C240F7" w:rsidRDefault="00C240F7" w:rsidP="00C240F7">
    <w:pPr>
      <w:pStyle w:val="Footer"/>
      <w:jc w:val="center"/>
      <w:rPr>
        <w:rFonts w:ascii="Courier New" w:hAnsi="Courier New" w:cs="Courier New"/>
        <w:b/>
      </w:rPr>
    </w:pPr>
    <w:r w:rsidRPr="00C240F7">
      <w:rPr>
        <w:rFonts w:ascii="Courier New" w:hAnsi="Courier New" w:cs="Courier New"/>
        <w:b/>
      </w:rPr>
      <w:t>ATB 2018-</w:t>
    </w:r>
    <w:r w:rsidR="003E24C6" w:rsidRPr="00C240F7">
      <w:rPr>
        <w:rFonts w:ascii="Courier New" w:hAnsi="Courier New" w:cs="Courier New"/>
        <w:b/>
      </w:rPr>
      <w:fldChar w:fldCharType="begin"/>
    </w:r>
    <w:r w:rsidR="003E24C6" w:rsidRPr="00C240F7">
      <w:rPr>
        <w:rFonts w:ascii="Courier New" w:hAnsi="Courier New" w:cs="Courier New"/>
        <w:b/>
      </w:rPr>
      <w:instrText xml:space="preserve"> PAGE   \* MERGEFORMAT </w:instrText>
    </w:r>
    <w:r w:rsidR="003E24C6" w:rsidRPr="00C240F7">
      <w:rPr>
        <w:rFonts w:ascii="Courier New" w:hAnsi="Courier New" w:cs="Courier New"/>
        <w:b/>
      </w:rPr>
      <w:fldChar w:fldCharType="separate"/>
    </w:r>
    <w:r w:rsidR="0050330A">
      <w:rPr>
        <w:rFonts w:ascii="Courier New" w:hAnsi="Courier New" w:cs="Courier New"/>
        <w:b/>
        <w:noProof/>
      </w:rPr>
      <w:t>150</w:t>
    </w:r>
    <w:r w:rsidR="003E24C6" w:rsidRPr="00C240F7">
      <w:rPr>
        <w:rFonts w:ascii="Courier New" w:hAnsi="Courier New" w:cs="Courier New"/>
        <w:b/>
        <w:noProof/>
      </w:rPr>
      <w:fldChar w:fldCharType="end"/>
    </w:r>
  </w:p>
  <w:p w:rsidR="005E5DF1" w:rsidRDefault="005E5DF1" w:rsidP="005E5DF1">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42C" w:rsidRDefault="0039442C">
      <w:r>
        <w:separator/>
      </w:r>
    </w:p>
  </w:footnote>
  <w:footnote w:type="continuationSeparator" w:id="0">
    <w:p w:rsidR="0039442C" w:rsidRDefault="00394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1F"/>
    <w:rsid w:val="00002761"/>
    <w:rsid w:val="000167FD"/>
    <w:rsid w:val="00024684"/>
    <w:rsid w:val="00026453"/>
    <w:rsid w:val="00027B03"/>
    <w:rsid w:val="00033138"/>
    <w:rsid w:val="0003503C"/>
    <w:rsid w:val="00036B1B"/>
    <w:rsid w:val="00043C5B"/>
    <w:rsid w:val="0004700E"/>
    <w:rsid w:val="00051A93"/>
    <w:rsid w:val="00052D0C"/>
    <w:rsid w:val="00063103"/>
    <w:rsid w:val="0006488B"/>
    <w:rsid w:val="000649E3"/>
    <w:rsid w:val="0006735D"/>
    <w:rsid w:val="000775EE"/>
    <w:rsid w:val="00080377"/>
    <w:rsid w:val="00082D6C"/>
    <w:rsid w:val="0008373D"/>
    <w:rsid w:val="0009288E"/>
    <w:rsid w:val="00096B09"/>
    <w:rsid w:val="00097B57"/>
    <w:rsid w:val="000A0FE9"/>
    <w:rsid w:val="000A205E"/>
    <w:rsid w:val="000B1D8B"/>
    <w:rsid w:val="000B492E"/>
    <w:rsid w:val="000B6494"/>
    <w:rsid w:val="000C74EA"/>
    <w:rsid w:val="000C7EBC"/>
    <w:rsid w:val="000D2E28"/>
    <w:rsid w:val="000D75B5"/>
    <w:rsid w:val="000E2CEB"/>
    <w:rsid w:val="000E5DE5"/>
    <w:rsid w:val="000E5E56"/>
    <w:rsid w:val="000E68DA"/>
    <w:rsid w:val="000E6F4D"/>
    <w:rsid w:val="000F0B4A"/>
    <w:rsid w:val="000F12A2"/>
    <w:rsid w:val="000F33E1"/>
    <w:rsid w:val="000F4DC2"/>
    <w:rsid w:val="001002F6"/>
    <w:rsid w:val="00100D8D"/>
    <w:rsid w:val="00105B87"/>
    <w:rsid w:val="00115EA6"/>
    <w:rsid w:val="0011752F"/>
    <w:rsid w:val="0012010B"/>
    <w:rsid w:val="00120D51"/>
    <w:rsid w:val="00130AF9"/>
    <w:rsid w:val="0013176C"/>
    <w:rsid w:val="00133ECD"/>
    <w:rsid w:val="00136587"/>
    <w:rsid w:val="00141045"/>
    <w:rsid w:val="001427EA"/>
    <w:rsid w:val="00144DBA"/>
    <w:rsid w:val="001476AC"/>
    <w:rsid w:val="00152054"/>
    <w:rsid w:val="00164B40"/>
    <w:rsid w:val="001662F9"/>
    <w:rsid w:val="00170100"/>
    <w:rsid w:val="001725E5"/>
    <w:rsid w:val="001735F1"/>
    <w:rsid w:val="00173E35"/>
    <w:rsid w:val="00175AC0"/>
    <w:rsid w:val="00177C77"/>
    <w:rsid w:val="00180EEF"/>
    <w:rsid w:val="00181D0B"/>
    <w:rsid w:val="00184A26"/>
    <w:rsid w:val="00186654"/>
    <w:rsid w:val="0018790A"/>
    <w:rsid w:val="0019505D"/>
    <w:rsid w:val="00197F2F"/>
    <w:rsid w:val="001A0DC0"/>
    <w:rsid w:val="001A155C"/>
    <w:rsid w:val="001A21A5"/>
    <w:rsid w:val="001A58A5"/>
    <w:rsid w:val="001C07AB"/>
    <w:rsid w:val="001C2032"/>
    <w:rsid w:val="001C319B"/>
    <w:rsid w:val="001C3B24"/>
    <w:rsid w:val="001C52E0"/>
    <w:rsid w:val="001D2C35"/>
    <w:rsid w:val="001E5650"/>
    <w:rsid w:val="001F004A"/>
    <w:rsid w:val="001F330D"/>
    <w:rsid w:val="001F5309"/>
    <w:rsid w:val="001F6FAA"/>
    <w:rsid w:val="0020217A"/>
    <w:rsid w:val="0020395E"/>
    <w:rsid w:val="0020421E"/>
    <w:rsid w:val="002049B3"/>
    <w:rsid w:val="00204A4E"/>
    <w:rsid w:val="00204C19"/>
    <w:rsid w:val="00206440"/>
    <w:rsid w:val="002079BB"/>
    <w:rsid w:val="00211785"/>
    <w:rsid w:val="0021185D"/>
    <w:rsid w:val="002130E2"/>
    <w:rsid w:val="00217ED4"/>
    <w:rsid w:val="00220CF8"/>
    <w:rsid w:val="00230285"/>
    <w:rsid w:val="002303D8"/>
    <w:rsid w:val="002344D8"/>
    <w:rsid w:val="00236294"/>
    <w:rsid w:val="00237C52"/>
    <w:rsid w:val="0024124A"/>
    <w:rsid w:val="00242727"/>
    <w:rsid w:val="00247ED2"/>
    <w:rsid w:val="00253CE6"/>
    <w:rsid w:val="00261A82"/>
    <w:rsid w:val="002620B9"/>
    <w:rsid w:val="0026307F"/>
    <w:rsid w:val="00266E56"/>
    <w:rsid w:val="0026730B"/>
    <w:rsid w:val="002702AE"/>
    <w:rsid w:val="002702D5"/>
    <w:rsid w:val="0027041D"/>
    <w:rsid w:val="0028624F"/>
    <w:rsid w:val="00294D6F"/>
    <w:rsid w:val="002A062A"/>
    <w:rsid w:val="002A07EF"/>
    <w:rsid w:val="002A28FF"/>
    <w:rsid w:val="002A6635"/>
    <w:rsid w:val="002B0E6A"/>
    <w:rsid w:val="002B5AEE"/>
    <w:rsid w:val="002C2AC8"/>
    <w:rsid w:val="002C66A6"/>
    <w:rsid w:val="002C6F10"/>
    <w:rsid w:val="002D136D"/>
    <w:rsid w:val="002D51CF"/>
    <w:rsid w:val="002D6405"/>
    <w:rsid w:val="002E1100"/>
    <w:rsid w:val="002E1996"/>
    <w:rsid w:val="002E271A"/>
    <w:rsid w:val="002E5C7D"/>
    <w:rsid w:val="002F3F2A"/>
    <w:rsid w:val="00301EB8"/>
    <w:rsid w:val="00306FCA"/>
    <w:rsid w:val="0030736E"/>
    <w:rsid w:val="00310D0C"/>
    <w:rsid w:val="003122E1"/>
    <w:rsid w:val="003126B9"/>
    <w:rsid w:val="003238EA"/>
    <w:rsid w:val="003240FB"/>
    <w:rsid w:val="00327CBA"/>
    <w:rsid w:val="00330694"/>
    <w:rsid w:val="0033243F"/>
    <w:rsid w:val="00333C21"/>
    <w:rsid w:val="00334ADE"/>
    <w:rsid w:val="003425A6"/>
    <w:rsid w:val="0034277D"/>
    <w:rsid w:val="00347D23"/>
    <w:rsid w:val="00350864"/>
    <w:rsid w:val="00352DE8"/>
    <w:rsid w:val="00354084"/>
    <w:rsid w:val="003556BE"/>
    <w:rsid w:val="00356768"/>
    <w:rsid w:val="00362E74"/>
    <w:rsid w:val="00363166"/>
    <w:rsid w:val="00365365"/>
    <w:rsid w:val="0036760B"/>
    <w:rsid w:val="00367775"/>
    <w:rsid w:val="00370B85"/>
    <w:rsid w:val="00373613"/>
    <w:rsid w:val="00377691"/>
    <w:rsid w:val="003902FB"/>
    <w:rsid w:val="0039442C"/>
    <w:rsid w:val="003963B3"/>
    <w:rsid w:val="003A021D"/>
    <w:rsid w:val="003A1298"/>
    <w:rsid w:val="003A43B3"/>
    <w:rsid w:val="003A647A"/>
    <w:rsid w:val="003B15DD"/>
    <w:rsid w:val="003B3E9B"/>
    <w:rsid w:val="003B626A"/>
    <w:rsid w:val="003C5E01"/>
    <w:rsid w:val="003D0A55"/>
    <w:rsid w:val="003D28C5"/>
    <w:rsid w:val="003D2B8A"/>
    <w:rsid w:val="003D50F4"/>
    <w:rsid w:val="003D71FA"/>
    <w:rsid w:val="003E0388"/>
    <w:rsid w:val="003E0C2F"/>
    <w:rsid w:val="003E2376"/>
    <w:rsid w:val="003E24C6"/>
    <w:rsid w:val="003E3108"/>
    <w:rsid w:val="003E46F9"/>
    <w:rsid w:val="003E4D7A"/>
    <w:rsid w:val="003E5C9E"/>
    <w:rsid w:val="003E6831"/>
    <w:rsid w:val="003F2EF0"/>
    <w:rsid w:val="003F4E55"/>
    <w:rsid w:val="003F7777"/>
    <w:rsid w:val="003F7828"/>
    <w:rsid w:val="00401252"/>
    <w:rsid w:val="0040160D"/>
    <w:rsid w:val="00404290"/>
    <w:rsid w:val="004069FC"/>
    <w:rsid w:val="00413096"/>
    <w:rsid w:val="0042377B"/>
    <w:rsid w:val="00423879"/>
    <w:rsid w:val="0043054A"/>
    <w:rsid w:val="00437FDA"/>
    <w:rsid w:val="0044063B"/>
    <w:rsid w:val="00441AD6"/>
    <w:rsid w:val="00445104"/>
    <w:rsid w:val="00446C55"/>
    <w:rsid w:val="0045256C"/>
    <w:rsid w:val="00452D52"/>
    <w:rsid w:val="00452D6C"/>
    <w:rsid w:val="00453144"/>
    <w:rsid w:val="0045417B"/>
    <w:rsid w:val="004575E1"/>
    <w:rsid w:val="0046671F"/>
    <w:rsid w:val="004771D5"/>
    <w:rsid w:val="004867E5"/>
    <w:rsid w:val="00487F02"/>
    <w:rsid w:val="00490D07"/>
    <w:rsid w:val="00496375"/>
    <w:rsid w:val="004A1D41"/>
    <w:rsid w:val="004A3261"/>
    <w:rsid w:val="004A5502"/>
    <w:rsid w:val="004A5E20"/>
    <w:rsid w:val="004B4938"/>
    <w:rsid w:val="004B714C"/>
    <w:rsid w:val="004C03B4"/>
    <w:rsid w:val="004C1457"/>
    <w:rsid w:val="004C4151"/>
    <w:rsid w:val="004D011B"/>
    <w:rsid w:val="004D0F00"/>
    <w:rsid w:val="004D6E4C"/>
    <w:rsid w:val="004E4D27"/>
    <w:rsid w:val="004E542F"/>
    <w:rsid w:val="004F6F71"/>
    <w:rsid w:val="004F74E4"/>
    <w:rsid w:val="00502298"/>
    <w:rsid w:val="0050330A"/>
    <w:rsid w:val="005053AB"/>
    <w:rsid w:val="0050669C"/>
    <w:rsid w:val="00506781"/>
    <w:rsid w:val="00507223"/>
    <w:rsid w:val="00514E9C"/>
    <w:rsid w:val="0051669F"/>
    <w:rsid w:val="005204D0"/>
    <w:rsid w:val="00524F88"/>
    <w:rsid w:val="0052609A"/>
    <w:rsid w:val="00527B42"/>
    <w:rsid w:val="00531C11"/>
    <w:rsid w:val="00533F4E"/>
    <w:rsid w:val="00533F51"/>
    <w:rsid w:val="00535218"/>
    <w:rsid w:val="00535D19"/>
    <w:rsid w:val="00536A43"/>
    <w:rsid w:val="00542292"/>
    <w:rsid w:val="00542922"/>
    <w:rsid w:val="00542969"/>
    <w:rsid w:val="00545A1F"/>
    <w:rsid w:val="005460F5"/>
    <w:rsid w:val="00552A28"/>
    <w:rsid w:val="00552D7C"/>
    <w:rsid w:val="00557359"/>
    <w:rsid w:val="0055791B"/>
    <w:rsid w:val="00561F70"/>
    <w:rsid w:val="005628F3"/>
    <w:rsid w:val="005641EF"/>
    <w:rsid w:val="005726E7"/>
    <w:rsid w:val="00575277"/>
    <w:rsid w:val="0058242D"/>
    <w:rsid w:val="0059079E"/>
    <w:rsid w:val="0059281F"/>
    <w:rsid w:val="0059301B"/>
    <w:rsid w:val="005A6DA1"/>
    <w:rsid w:val="005B17EF"/>
    <w:rsid w:val="005B2159"/>
    <w:rsid w:val="005B4705"/>
    <w:rsid w:val="005B5503"/>
    <w:rsid w:val="005B5A19"/>
    <w:rsid w:val="005C210C"/>
    <w:rsid w:val="005C2839"/>
    <w:rsid w:val="005C32B0"/>
    <w:rsid w:val="005C4778"/>
    <w:rsid w:val="005C542B"/>
    <w:rsid w:val="005C713C"/>
    <w:rsid w:val="005D1AC1"/>
    <w:rsid w:val="005D1C28"/>
    <w:rsid w:val="005D52E9"/>
    <w:rsid w:val="005D58D3"/>
    <w:rsid w:val="005E5DF1"/>
    <w:rsid w:val="005E5FC5"/>
    <w:rsid w:val="005F7ADD"/>
    <w:rsid w:val="00604CD7"/>
    <w:rsid w:val="00606E86"/>
    <w:rsid w:val="00617C20"/>
    <w:rsid w:val="006205F3"/>
    <w:rsid w:val="0062188C"/>
    <w:rsid w:val="00621D37"/>
    <w:rsid w:val="00624F48"/>
    <w:rsid w:val="00626502"/>
    <w:rsid w:val="00634028"/>
    <w:rsid w:val="006348D9"/>
    <w:rsid w:val="00641014"/>
    <w:rsid w:val="0064371A"/>
    <w:rsid w:val="0064416B"/>
    <w:rsid w:val="006612EA"/>
    <w:rsid w:val="0066378D"/>
    <w:rsid w:val="00665860"/>
    <w:rsid w:val="0067455E"/>
    <w:rsid w:val="0067497A"/>
    <w:rsid w:val="006765FF"/>
    <w:rsid w:val="00676969"/>
    <w:rsid w:val="0068254C"/>
    <w:rsid w:val="00683D1E"/>
    <w:rsid w:val="00685C12"/>
    <w:rsid w:val="0069039A"/>
    <w:rsid w:val="0069603E"/>
    <w:rsid w:val="006A6B71"/>
    <w:rsid w:val="006A6DED"/>
    <w:rsid w:val="006A6F0A"/>
    <w:rsid w:val="006B01FB"/>
    <w:rsid w:val="006B021A"/>
    <w:rsid w:val="006B14AB"/>
    <w:rsid w:val="006B17E4"/>
    <w:rsid w:val="006B460D"/>
    <w:rsid w:val="006C11B3"/>
    <w:rsid w:val="006C690B"/>
    <w:rsid w:val="006D2A38"/>
    <w:rsid w:val="006D2CC7"/>
    <w:rsid w:val="006E162F"/>
    <w:rsid w:val="006E2048"/>
    <w:rsid w:val="006E3BF2"/>
    <w:rsid w:val="006F4D6B"/>
    <w:rsid w:val="006F57FC"/>
    <w:rsid w:val="006F5A6F"/>
    <w:rsid w:val="006F7D32"/>
    <w:rsid w:val="0070496C"/>
    <w:rsid w:val="0070585B"/>
    <w:rsid w:val="00706AE1"/>
    <w:rsid w:val="00711E3E"/>
    <w:rsid w:val="0071341F"/>
    <w:rsid w:val="0072061E"/>
    <w:rsid w:val="00727E20"/>
    <w:rsid w:val="00731755"/>
    <w:rsid w:val="00732B56"/>
    <w:rsid w:val="007355BA"/>
    <w:rsid w:val="00735728"/>
    <w:rsid w:val="007365F6"/>
    <w:rsid w:val="00740535"/>
    <w:rsid w:val="007414FC"/>
    <w:rsid w:val="00746C88"/>
    <w:rsid w:val="00753C74"/>
    <w:rsid w:val="007571A0"/>
    <w:rsid w:val="00772A4B"/>
    <w:rsid w:val="00774F0C"/>
    <w:rsid w:val="007774FB"/>
    <w:rsid w:val="007825F6"/>
    <w:rsid w:val="00782F3C"/>
    <w:rsid w:val="0079287D"/>
    <w:rsid w:val="00793F3F"/>
    <w:rsid w:val="007A2262"/>
    <w:rsid w:val="007A7117"/>
    <w:rsid w:val="007A7533"/>
    <w:rsid w:val="007A7825"/>
    <w:rsid w:val="007B0A3E"/>
    <w:rsid w:val="007B27D9"/>
    <w:rsid w:val="007B5FC9"/>
    <w:rsid w:val="007C1A3C"/>
    <w:rsid w:val="007E0E14"/>
    <w:rsid w:val="007E1730"/>
    <w:rsid w:val="007E3596"/>
    <w:rsid w:val="007E6AB7"/>
    <w:rsid w:val="007F1241"/>
    <w:rsid w:val="007F1AC8"/>
    <w:rsid w:val="007F1DBA"/>
    <w:rsid w:val="007F3F64"/>
    <w:rsid w:val="00800328"/>
    <w:rsid w:val="008009E2"/>
    <w:rsid w:val="008016EA"/>
    <w:rsid w:val="00803334"/>
    <w:rsid w:val="0080496E"/>
    <w:rsid w:val="008114A4"/>
    <w:rsid w:val="00815941"/>
    <w:rsid w:val="008232A0"/>
    <w:rsid w:val="0082338A"/>
    <w:rsid w:val="0082631D"/>
    <w:rsid w:val="00830F4C"/>
    <w:rsid w:val="00831BD3"/>
    <w:rsid w:val="00834CDA"/>
    <w:rsid w:val="008351E7"/>
    <w:rsid w:val="00836CE6"/>
    <w:rsid w:val="00840357"/>
    <w:rsid w:val="00841586"/>
    <w:rsid w:val="00846C5E"/>
    <w:rsid w:val="00853D58"/>
    <w:rsid w:val="008564CB"/>
    <w:rsid w:val="00857BAD"/>
    <w:rsid w:val="00857C9A"/>
    <w:rsid w:val="00860D79"/>
    <w:rsid w:val="008641A4"/>
    <w:rsid w:val="00871A1E"/>
    <w:rsid w:val="008776B1"/>
    <w:rsid w:val="0087770E"/>
    <w:rsid w:val="008818D1"/>
    <w:rsid w:val="008834E0"/>
    <w:rsid w:val="00886D5B"/>
    <w:rsid w:val="0089028D"/>
    <w:rsid w:val="00891C7A"/>
    <w:rsid w:val="00893E9E"/>
    <w:rsid w:val="00896937"/>
    <w:rsid w:val="00897967"/>
    <w:rsid w:val="008A0268"/>
    <w:rsid w:val="008A16F1"/>
    <w:rsid w:val="008A4F92"/>
    <w:rsid w:val="008A7D1F"/>
    <w:rsid w:val="008B178E"/>
    <w:rsid w:val="008B2C06"/>
    <w:rsid w:val="008B4ACD"/>
    <w:rsid w:val="008B5387"/>
    <w:rsid w:val="008B551C"/>
    <w:rsid w:val="008C05C9"/>
    <w:rsid w:val="008C0B6C"/>
    <w:rsid w:val="008C3BC2"/>
    <w:rsid w:val="008C7065"/>
    <w:rsid w:val="008C70D9"/>
    <w:rsid w:val="008D75D6"/>
    <w:rsid w:val="008E0FB4"/>
    <w:rsid w:val="008E1461"/>
    <w:rsid w:val="008E478C"/>
    <w:rsid w:val="008F1C25"/>
    <w:rsid w:val="008F4886"/>
    <w:rsid w:val="00907BDD"/>
    <w:rsid w:val="00907F70"/>
    <w:rsid w:val="00910EAE"/>
    <w:rsid w:val="00915744"/>
    <w:rsid w:val="009158C1"/>
    <w:rsid w:val="00921328"/>
    <w:rsid w:val="0092332B"/>
    <w:rsid w:val="00924CC9"/>
    <w:rsid w:val="00933EC6"/>
    <w:rsid w:val="0093632A"/>
    <w:rsid w:val="0094188F"/>
    <w:rsid w:val="00943973"/>
    <w:rsid w:val="00943CD1"/>
    <w:rsid w:val="009442AA"/>
    <w:rsid w:val="00947F6F"/>
    <w:rsid w:val="00955A04"/>
    <w:rsid w:val="009560C0"/>
    <w:rsid w:val="00956455"/>
    <w:rsid w:val="00961B2C"/>
    <w:rsid w:val="009621B1"/>
    <w:rsid w:val="00964712"/>
    <w:rsid w:val="00966934"/>
    <w:rsid w:val="00972F61"/>
    <w:rsid w:val="009746A0"/>
    <w:rsid w:val="00977742"/>
    <w:rsid w:val="00980713"/>
    <w:rsid w:val="00980B16"/>
    <w:rsid w:val="00985405"/>
    <w:rsid w:val="00985CAB"/>
    <w:rsid w:val="00991637"/>
    <w:rsid w:val="00994301"/>
    <w:rsid w:val="009A1367"/>
    <w:rsid w:val="009A3782"/>
    <w:rsid w:val="009A7B85"/>
    <w:rsid w:val="009B118A"/>
    <w:rsid w:val="009B7294"/>
    <w:rsid w:val="009C2874"/>
    <w:rsid w:val="009D0277"/>
    <w:rsid w:val="009D0459"/>
    <w:rsid w:val="009D1B9C"/>
    <w:rsid w:val="009D2570"/>
    <w:rsid w:val="009D3247"/>
    <w:rsid w:val="009E320D"/>
    <w:rsid w:val="009E7DFA"/>
    <w:rsid w:val="009F208A"/>
    <w:rsid w:val="009F4920"/>
    <w:rsid w:val="009F6FC6"/>
    <w:rsid w:val="009F7832"/>
    <w:rsid w:val="00A00647"/>
    <w:rsid w:val="00A0103B"/>
    <w:rsid w:val="00A0569C"/>
    <w:rsid w:val="00A228AE"/>
    <w:rsid w:val="00A233FC"/>
    <w:rsid w:val="00A2396F"/>
    <w:rsid w:val="00A25D85"/>
    <w:rsid w:val="00A26C05"/>
    <w:rsid w:val="00A27FC6"/>
    <w:rsid w:val="00A30795"/>
    <w:rsid w:val="00A3691C"/>
    <w:rsid w:val="00A4081B"/>
    <w:rsid w:val="00A44D46"/>
    <w:rsid w:val="00A46A84"/>
    <w:rsid w:val="00A47112"/>
    <w:rsid w:val="00A47791"/>
    <w:rsid w:val="00A50327"/>
    <w:rsid w:val="00A51A2E"/>
    <w:rsid w:val="00A52416"/>
    <w:rsid w:val="00A55107"/>
    <w:rsid w:val="00A625FB"/>
    <w:rsid w:val="00A647F4"/>
    <w:rsid w:val="00A64CBB"/>
    <w:rsid w:val="00A66188"/>
    <w:rsid w:val="00A718AB"/>
    <w:rsid w:val="00A8174F"/>
    <w:rsid w:val="00A8274F"/>
    <w:rsid w:val="00A8565D"/>
    <w:rsid w:val="00A87C54"/>
    <w:rsid w:val="00A9105E"/>
    <w:rsid w:val="00A971B1"/>
    <w:rsid w:val="00AA44B9"/>
    <w:rsid w:val="00AA5662"/>
    <w:rsid w:val="00AA619D"/>
    <w:rsid w:val="00AB0C85"/>
    <w:rsid w:val="00AB1381"/>
    <w:rsid w:val="00AB2274"/>
    <w:rsid w:val="00AB23FC"/>
    <w:rsid w:val="00AB4FDF"/>
    <w:rsid w:val="00AB7934"/>
    <w:rsid w:val="00AC18A8"/>
    <w:rsid w:val="00AC52A8"/>
    <w:rsid w:val="00AD34F7"/>
    <w:rsid w:val="00AD3C2B"/>
    <w:rsid w:val="00AD4DBD"/>
    <w:rsid w:val="00AD656C"/>
    <w:rsid w:val="00AD7C25"/>
    <w:rsid w:val="00AD7CBD"/>
    <w:rsid w:val="00AE2A3D"/>
    <w:rsid w:val="00AE3224"/>
    <w:rsid w:val="00AE484E"/>
    <w:rsid w:val="00AF0D64"/>
    <w:rsid w:val="00AF14A1"/>
    <w:rsid w:val="00AF5FE0"/>
    <w:rsid w:val="00B012E7"/>
    <w:rsid w:val="00B02544"/>
    <w:rsid w:val="00B0309F"/>
    <w:rsid w:val="00B04DA7"/>
    <w:rsid w:val="00B062D5"/>
    <w:rsid w:val="00B06C70"/>
    <w:rsid w:val="00B10EB3"/>
    <w:rsid w:val="00B1423D"/>
    <w:rsid w:val="00B170AD"/>
    <w:rsid w:val="00B17DFB"/>
    <w:rsid w:val="00B21B2A"/>
    <w:rsid w:val="00B221D1"/>
    <w:rsid w:val="00B225FF"/>
    <w:rsid w:val="00B22BF1"/>
    <w:rsid w:val="00B343D9"/>
    <w:rsid w:val="00B348F2"/>
    <w:rsid w:val="00B35061"/>
    <w:rsid w:val="00B431B2"/>
    <w:rsid w:val="00B446EA"/>
    <w:rsid w:val="00B449BA"/>
    <w:rsid w:val="00B449C1"/>
    <w:rsid w:val="00B45DC7"/>
    <w:rsid w:val="00B51BCE"/>
    <w:rsid w:val="00B51F06"/>
    <w:rsid w:val="00B52505"/>
    <w:rsid w:val="00B5672E"/>
    <w:rsid w:val="00B61FD7"/>
    <w:rsid w:val="00B6245A"/>
    <w:rsid w:val="00B62CCE"/>
    <w:rsid w:val="00B66ABC"/>
    <w:rsid w:val="00B66ACC"/>
    <w:rsid w:val="00B67C52"/>
    <w:rsid w:val="00B70D11"/>
    <w:rsid w:val="00B729FF"/>
    <w:rsid w:val="00B7506F"/>
    <w:rsid w:val="00B75078"/>
    <w:rsid w:val="00B75E71"/>
    <w:rsid w:val="00B8043D"/>
    <w:rsid w:val="00B80EAE"/>
    <w:rsid w:val="00B812E0"/>
    <w:rsid w:val="00B82008"/>
    <w:rsid w:val="00B828A5"/>
    <w:rsid w:val="00B84EB0"/>
    <w:rsid w:val="00B8526B"/>
    <w:rsid w:val="00B86B8A"/>
    <w:rsid w:val="00B9276A"/>
    <w:rsid w:val="00B930C0"/>
    <w:rsid w:val="00B93C7F"/>
    <w:rsid w:val="00B94EAC"/>
    <w:rsid w:val="00BA13D3"/>
    <w:rsid w:val="00BA1481"/>
    <w:rsid w:val="00BA72C9"/>
    <w:rsid w:val="00BA73D2"/>
    <w:rsid w:val="00BB16E7"/>
    <w:rsid w:val="00BC0070"/>
    <w:rsid w:val="00BC171D"/>
    <w:rsid w:val="00BC4F23"/>
    <w:rsid w:val="00BC5A03"/>
    <w:rsid w:val="00BD4276"/>
    <w:rsid w:val="00BD4F01"/>
    <w:rsid w:val="00BD54E2"/>
    <w:rsid w:val="00BD6578"/>
    <w:rsid w:val="00BE3AB7"/>
    <w:rsid w:val="00BF0BCC"/>
    <w:rsid w:val="00BF6E27"/>
    <w:rsid w:val="00BF70E5"/>
    <w:rsid w:val="00C05AC9"/>
    <w:rsid w:val="00C131A0"/>
    <w:rsid w:val="00C15013"/>
    <w:rsid w:val="00C17F17"/>
    <w:rsid w:val="00C20521"/>
    <w:rsid w:val="00C23C98"/>
    <w:rsid w:val="00C240F7"/>
    <w:rsid w:val="00C257AC"/>
    <w:rsid w:val="00C362DC"/>
    <w:rsid w:val="00C42380"/>
    <w:rsid w:val="00C42532"/>
    <w:rsid w:val="00C457F4"/>
    <w:rsid w:val="00C46FD6"/>
    <w:rsid w:val="00C5108B"/>
    <w:rsid w:val="00C51FF4"/>
    <w:rsid w:val="00C52576"/>
    <w:rsid w:val="00C529A2"/>
    <w:rsid w:val="00C55679"/>
    <w:rsid w:val="00C55DE4"/>
    <w:rsid w:val="00C629BC"/>
    <w:rsid w:val="00C631BE"/>
    <w:rsid w:val="00C6356C"/>
    <w:rsid w:val="00C65059"/>
    <w:rsid w:val="00C709EE"/>
    <w:rsid w:val="00C72F8E"/>
    <w:rsid w:val="00C7648B"/>
    <w:rsid w:val="00C77728"/>
    <w:rsid w:val="00C81079"/>
    <w:rsid w:val="00C854DE"/>
    <w:rsid w:val="00C92E9C"/>
    <w:rsid w:val="00C967C9"/>
    <w:rsid w:val="00CA0C1D"/>
    <w:rsid w:val="00CA10BB"/>
    <w:rsid w:val="00CA31F7"/>
    <w:rsid w:val="00CA3C63"/>
    <w:rsid w:val="00CA7B1B"/>
    <w:rsid w:val="00CB2998"/>
    <w:rsid w:val="00CB30C4"/>
    <w:rsid w:val="00CC1868"/>
    <w:rsid w:val="00CC4472"/>
    <w:rsid w:val="00CC6934"/>
    <w:rsid w:val="00CC7940"/>
    <w:rsid w:val="00CD14F9"/>
    <w:rsid w:val="00CD3B10"/>
    <w:rsid w:val="00CD3E9F"/>
    <w:rsid w:val="00CD5BC3"/>
    <w:rsid w:val="00CE166B"/>
    <w:rsid w:val="00CE16B5"/>
    <w:rsid w:val="00CE17E9"/>
    <w:rsid w:val="00CE1ABC"/>
    <w:rsid w:val="00CE3EAB"/>
    <w:rsid w:val="00CE4712"/>
    <w:rsid w:val="00CE5AB8"/>
    <w:rsid w:val="00CE5B55"/>
    <w:rsid w:val="00CE5F7F"/>
    <w:rsid w:val="00CF0A28"/>
    <w:rsid w:val="00CF187C"/>
    <w:rsid w:val="00CF1A5E"/>
    <w:rsid w:val="00CF387D"/>
    <w:rsid w:val="00D018C4"/>
    <w:rsid w:val="00D067C8"/>
    <w:rsid w:val="00D069ED"/>
    <w:rsid w:val="00D1368D"/>
    <w:rsid w:val="00D15F05"/>
    <w:rsid w:val="00D22732"/>
    <w:rsid w:val="00D25A64"/>
    <w:rsid w:val="00D25F61"/>
    <w:rsid w:val="00D3036C"/>
    <w:rsid w:val="00D33E8C"/>
    <w:rsid w:val="00D36B03"/>
    <w:rsid w:val="00D37CCE"/>
    <w:rsid w:val="00D4138E"/>
    <w:rsid w:val="00D41488"/>
    <w:rsid w:val="00D47052"/>
    <w:rsid w:val="00D52967"/>
    <w:rsid w:val="00D60F6A"/>
    <w:rsid w:val="00D6180E"/>
    <w:rsid w:val="00D674A0"/>
    <w:rsid w:val="00D67B23"/>
    <w:rsid w:val="00D70549"/>
    <w:rsid w:val="00D71E4B"/>
    <w:rsid w:val="00D71E56"/>
    <w:rsid w:val="00D72218"/>
    <w:rsid w:val="00D724C4"/>
    <w:rsid w:val="00D7382E"/>
    <w:rsid w:val="00D75A33"/>
    <w:rsid w:val="00D83071"/>
    <w:rsid w:val="00D83BC6"/>
    <w:rsid w:val="00D85B60"/>
    <w:rsid w:val="00D8658A"/>
    <w:rsid w:val="00D86B64"/>
    <w:rsid w:val="00D87240"/>
    <w:rsid w:val="00D943A0"/>
    <w:rsid w:val="00DA0AB4"/>
    <w:rsid w:val="00DA46F5"/>
    <w:rsid w:val="00DB3805"/>
    <w:rsid w:val="00DB6B51"/>
    <w:rsid w:val="00DB796F"/>
    <w:rsid w:val="00DC3FEB"/>
    <w:rsid w:val="00DC55DB"/>
    <w:rsid w:val="00DD0D8C"/>
    <w:rsid w:val="00DD7457"/>
    <w:rsid w:val="00DE0526"/>
    <w:rsid w:val="00DE0B85"/>
    <w:rsid w:val="00DE2029"/>
    <w:rsid w:val="00DE269D"/>
    <w:rsid w:val="00DE400E"/>
    <w:rsid w:val="00DF11DE"/>
    <w:rsid w:val="00DF6C7F"/>
    <w:rsid w:val="00E0461C"/>
    <w:rsid w:val="00E06437"/>
    <w:rsid w:val="00E06664"/>
    <w:rsid w:val="00E11609"/>
    <w:rsid w:val="00E130C6"/>
    <w:rsid w:val="00E15B05"/>
    <w:rsid w:val="00E21182"/>
    <w:rsid w:val="00E21BBF"/>
    <w:rsid w:val="00E2310F"/>
    <w:rsid w:val="00E3229C"/>
    <w:rsid w:val="00E327A5"/>
    <w:rsid w:val="00E34BB2"/>
    <w:rsid w:val="00E34C77"/>
    <w:rsid w:val="00E371E8"/>
    <w:rsid w:val="00E50489"/>
    <w:rsid w:val="00E50511"/>
    <w:rsid w:val="00E50FB3"/>
    <w:rsid w:val="00E51525"/>
    <w:rsid w:val="00E5223D"/>
    <w:rsid w:val="00E54E48"/>
    <w:rsid w:val="00E56EA2"/>
    <w:rsid w:val="00E611F5"/>
    <w:rsid w:val="00E63CAB"/>
    <w:rsid w:val="00E64B25"/>
    <w:rsid w:val="00E661B8"/>
    <w:rsid w:val="00E66A5B"/>
    <w:rsid w:val="00E72826"/>
    <w:rsid w:val="00E776CA"/>
    <w:rsid w:val="00E80563"/>
    <w:rsid w:val="00E846CC"/>
    <w:rsid w:val="00E87CEE"/>
    <w:rsid w:val="00E949A3"/>
    <w:rsid w:val="00E95408"/>
    <w:rsid w:val="00E97A22"/>
    <w:rsid w:val="00E97EE9"/>
    <w:rsid w:val="00EA16B2"/>
    <w:rsid w:val="00EA2779"/>
    <w:rsid w:val="00EA3936"/>
    <w:rsid w:val="00EA709E"/>
    <w:rsid w:val="00EB06B0"/>
    <w:rsid w:val="00EB2D3F"/>
    <w:rsid w:val="00EB4B47"/>
    <w:rsid w:val="00EB4E0C"/>
    <w:rsid w:val="00EB508E"/>
    <w:rsid w:val="00EB5F7B"/>
    <w:rsid w:val="00EB603C"/>
    <w:rsid w:val="00EC0710"/>
    <w:rsid w:val="00EC1D39"/>
    <w:rsid w:val="00ED1EE8"/>
    <w:rsid w:val="00ED2D8E"/>
    <w:rsid w:val="00ED412F"/>
    <w:rsid w:val="00ED6E42"/>
    <w:rsid w:val="00EE3015"/>
    <w:rsid w:val="00EF68BF"/>
    <w:rsid w:val="00F02993"/>
    <w:rsid w:val="00F02E5B"/>
    <w:rsid w:val="00F044A2"/>
    <w:rsid w:val="00F05402"/>
    <w:rsid w:val="00F05918"/>
    <w:rsid w:val="00F13888"/>
    <w:rsid w:val="00F14C91"/>
    <w:rsid w:val="00F20E3F"/>
    <w:rsid w:val="00F24E27"/>
    <w:rsid w:val="00F25839"/>
    <w:rsid w:val="00F42EC3"/>
    <w:rsid w:val="00F4656E"/>
    <w:rsid w:val="00F47578"/>
    <w:rsid w:val="00F51BC3"/>
    <w:rsid w:val="00F55E47"/>
    <w:rsid w:val="00F563BF"/>
    <w:rsid w:val="00F57DFB"/>
    <w:rsid w:val="00F57F20"/>
    <w:rsid w:val="00F6287B"/>
    <w:rsid w:val="00F6459A"/>
    <w:rsid w:val="00F71753"/>
    <w:rsid w:val="00F722EE"/>
    <w:rsid w:val="00F72F6C"/>
    <w:rsid w:val="00F83054"/>
    <w:rsid w:val="00F83714"/>
    <w:rsid w:val="00F8384A"/>
    <w:rsid w:val="00F8564C"/>
    <w:rsid w:val="00F85CEE"/>
    <w:rsid w:val="00F8746C"/>
    <w:rsid w:val="00F909EB"/>
    <w:rsid w:val="00F91BEA"/>
    <w:rsid w:val="00F951EB"/>
    <w:rsid w:val="00FA1AC4"/>
    <w:rsid w:val="00FA3C2F"/>
    <w:rsid w:val="00FA6122"/>
    <w:rsid w:val="00FA7CA6"/>
    <w:rsid w:val="00FB150F"/>
    <w:rsid w:val="00FB1BC6"/>
    <w:rsid w:val="00FB4993"/>
    <w:rsid w:val="00FC080E"/>
    <w:rsid w:val="00FC1924"/>
    <w:rsid w:val="00FC5EDB"/>
    <w:rsid w:val="00FC69D7"/>
    <w:rsid w:val="00FC6A6E"/>
    <w:rsid w:val="00FC70A1"/>
    <w:rsid w:val="00FD0F81"/>
    <w:rsid w:val="00FD1578"/>
    <w:rsid w:val="00FD3C46"/>
    <w:rsid w:val="00FE0AFB"/>
    <w:rsid w:val="00FE153E"/>
    <w:rsid w:val="00FE3BF0"/>
    <w:rsid w:val="00FE4451"/>
    <w:rsid w:val="00FE59D4"/>
    <w:rsid w:val="00FE722F"/>
    <w:rsid w:val="00FF4889"/>
    <w:rsid w:val="00FF60FC"/>
    <w:rsid w:val="00FF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4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41F"/>
    <w:pPr>
      <w:tabs>
        <w:tab w:val="center" w:pos="4320"/>
        <w:tab w:val="right" w:pos="8640"/>
      </w:tabs>
    </w:pPr>
  </w:style>
  <w:style w:type="character" w:styleId="PageNumber">
    <w:name w:val="page number"/>
    <w:basedOn w:val="DefaultParagraphFont"/>
    <w:rsid w:val="0071341F"/>
  </w:style>
  <w:style w:type="character" w:customStyle="1" w:styleId="term1">
    <w:name w:val="term1"/>
    <w:rsid w:val="00FA3C2F"/>
    <w:rPr>
      <w:b/>
      <w:bCs/>
    </w:rPr>
  </w:style>
  <w:style w:type="paragraph" w:styleId="FootnoteText">
    <w:name w:val="footnote text"/>
    <w:basedOn w:val="Normal"/>
    <w:link w:val="FootnoteTextChar"/>
    <w:uiPriority w:val="99"/>
    <w:semiHidden/>
    <w:rsid w:val="00FA3C2F"/>
    <w:rPr>
      <w:sz w:val="20"/>
      <w:szCs w:val="20"/>
    </w:rPr>
  </w:style>
  <w:style w:type="character" w:styleId="FootnoteReference">
    <w:name w:val="footnote reference"/>
    <w:semiHidden/>
    <w:rsid w:val="00FA3C2F"/>
    <w:rPr>
      <w:vertAlign w:val="superscript"/>
    </w:rPr>
  </w:style>
  <w:style w:type="table" w:styleId="TableGrid">
    <w:name w:val="Table Grid"/>
    <w:basedOn w:val="TableNormal"/>
    <w:rsid w:val="00F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11">
    <w:name w:val="pmterms11"/>
    <w:rsid w:val="005B4705"/>
    <w:rPr>
      <w:b/>
      <w:bCs/>
      <w:i w:val="0"/>
      <w:iCs w:val="0"/>
      <w:color w:val="000000"/>
    </w:rPr>
  </w:style>
  <w:style w:type="paragraph" w:styleId="Header">
    <w:name w:val="header"/>
    <w:basedOn w:val="Normal"/>
    <w:rsid w:val="003D0A55"/>
    <w:pPr>
      <w:tabs>
        <w:tab w:val="center" w:pos="4320"/>
        <w:tab w:val="right" w:pos="8640"/>
      </w:tabs>
    </w:pPr>
  </w:style>
  <w:style w:type="paragraph" w:styleId="BalloonText">
    <w:name w:val="Balloon Text"/>
    <w:basedOn w:val="Normal"/>
    <w:semiHidden/>
    <w:rsid w:val="00B04DA7"/>
    <w:rPr>
      <w:rFonts w:ascii="Tahoma" w:hAnsi="Tahoma" w:cs="Tahoma"/>
      <w:sz w:val="16"/>
      <w:szCs w:val="16"/>
    </w:rPr>
  </w:style>
  <w:style w:type="character" w:styleId="Hyperlink">
    <w:name w:val="Hyperlink"/>
    <w:uiPriority w:val="99"/>
    <w:rsid w:val="00CF387D"/>
    <w:rPr>
      <w:color w:val="0000FF"/>
      <w:u w:val="single"/>
    </w:rPr>
  </w:style>
  <w:style w:type="paragraph" w:styleId="BodyText2">
    <w:name w:val="Body Text 2"/>
    <w:basedOn w:val="Normal"/>
    <w:rsid w:val="00C55679"/>
    <w:pPr>
      <w:autoSpaceDE w:val="0"/>
      <w:autoSpaceDN w:val="0"/>
      <w:spacing w:line="480" w:lineRule="auto"/>
      <w:ind w:firstLine="720"/>
      <w:jc w:val="both"/>
    </w:pPr>
    <w:rPr>
      <w:rFonts w:ascii="Courier New" w:hAnsi="Courier New" w:cs="Courier New"/>
    </w:rPr>
  </w:style>
  <w:style w:type="paragraph" w:styleId="BodyText">
    <w:name w:val="Body Text"/>
    <w:basedOn w:val="Normal"/>
    <w:link w:val="BodyTextChar"/>
    <w:rsid w:val="00C55679"/>
    <w:pPr>
      <w:autoSpaceDE w:val="0"/>
      <w:autoSpaceDN w:val="0"/>
      <w:spacing w:after="120"/>
    </w:pPr>
  </w:style>
  <w:style w:type="paragraph" w:styleId="EndnoteText">
    <w:name w:val="endnote text"/>
    <w:basedOn w:val="Normal"/>
    <w:link w:val="EndnoteTextChar"/>
    <w:rsid w:val="00DA46F5"/>
    <w:rPr>
      <w:sz w:val="20"/>
      <w:szCs w:val="20"/>
    </w:rPr>
  </w:style>
  <w:style w:type="character" w:customStyle="1" w:styleId="EndnoteTextChar">
    <w:name w:val="Endnote Text Char"/>
    <w:basedOn w:val="DefaultParagraphFont"/>
    <w:link w:val="EndnoteText"/>
    <w:rsid w:val="00DA46F5"/>
  </w:style>
  <w:style w:type="character" w:styleId="EndnoteReference">
    <w:name w:val="endnote reference"/>
    <w:rsid w:val="00DA46F5"/>
    <w:rPr>
      <w:vertAlign w:val="superscript"/>
    </w:rPr>
  </w:style>
  <w:style w:type="character" w:customStyle="1" w:styleId="FootnoteTextChar">
    <w:name w:val="Footnote Text Char"/>
    <w:link w:val="FootnoteText"/>
    <w:uiPriority w:val="99"/>
    <w:semiHidden/>
    <w:locked/>
    <w:rsid w:val="00CE166B"/>
    <w:rPr>
      <w:lang w:val="en-US" w:eastAsia="en-US" w:bidi="ar-SA"/>
    </w:rPr>
  </w:style>
  <w:style w:type="character" w:customStyle="1" w:styleId="BodyTextChar">
    <w:name w:val="Body Text Char"/>
    <w:link w:val="BodyText"/>
    <w:locked/>
    <w:rsid w:val="00FA1AC4"/>
    <w:rPr>
      <w:sz w:val="24"/>
      <w:szCs w:val="24"/>
      <w:lang w:val="en-US" w:eastAsia="en-US" w:bidi="ar-SA"/>
    </w:rPr>
  </w:style>
  <w:style w:type="character" w:customStyle="1" w:styleId="FooterChar">
    <w:name w:val="Footer Char"/>
    <w:link w:val="Footer"/>
    <w:uiPriority w:val="99"/>
    <w:rsid w:val="008A4F92"/>
    <w:rPr>
      <w:sz w:val="24"/>
      <w:szCs w:val="24"/>
    </w:rPr>
  </w:style>
  <w:style w:type="paragraph" w:customStyle="1" w:styleId="Normal1">
    <w:name w:val="Normal_1"/>
    <w:qFormat/>
    <w:rsid w:val="00F57DFB"/>
    <w:rPr>
      <w:sz w:val="24"/>
      <w:szCs w:val="24"/>
    </w:rPr>
  </w:style>
  <w:style w:type="character" w:customStyle="1" w:styleId="apple-converted-space">
    <w:name w:val="apple-converted-space"/>
    <w:rsid w:val="00136587"/>
  </w:style>
  <w:style w:type="character" w:customStyle="1" w:styleId="ssbf">
    <w:name w:val="ss_bf"/>
    <w:rsid w:val="00136587"/>
  </w:style>
  <w:style w:type="character" w:customStyle="1" w:styleId="ssit">
    <w:name w:val="ss_it"/>
    <w:rsid w:val="00136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4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41F"/>
    <w:pPr>
      <w:tabs>
        <w:tab w:val="center" w:pos="4320"/>
        <w:tab w:val="right" w:pos="8640"/>
      </w:tabs>
    </w:pPr>
  </w:style>
  <w:style w:type="character" w:styleId="PageNumber">
    <w:name w:val="page number"/>
    <w:basedOn w:val="DefaultParagraphFont"/>
    <w:rsid w:val="0071341F"/>
  </w:style>
  <w:style w:type="character" w:customStyle="1" w:styleId="term1">
    <w:name w:val="term1"/>
    <w:rsid w:val="00FA3C2F"/>
    <w:rPr>
      <w:b/>
      <w:bCs/>
    </w:rPr>
  </w:style>
  <w:style w:type="paragraph" w:styleId="FootnoteText">
    <w:name w:val="footnote text"/>
    <w:basedOn w:val="Normal"/>
    <w:link w:val="FootnoteTextChar"/>
    <w:uiPriority w:val="99"/>
    <w:semiHidden/>
    <w:rsid w:val="00FA3C2F"/>
    <w:rPr>
      <w:sz w:val="20"/>
      <w:szCs w:val="20"/>
    </w:rPr>
  </w:style>
  <w:style w:type="character" w:styleId="FootnoteReference">
    <w:name w:val="footnote reference"/>
    <w:semiHidden/>
    <w:rsid w:val="00FA3C2F"/>
    <w:rPr>
      <w:vertAlign w:val="superscript"/>
    </w:rPr>
  </w:style>
  <w:style w:type="table" w:styleId="TableGrid">
    <w:name w:val="Table Grid"/>
    <w:basedOn w:val="TableNormal"/>
    <w:rsid w:val="00F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11">
    <w:name w:val="pmterms11"/>
    <w:rsid w:val="005B4705"/>
    <w:rPr>
      <w:b/>
      <w:bCs/>
      <w:i w:val="0"/>
      <w:iCs w:val="0"/>
      <w:color w:val="000000"/>
    </w:rPr>
  </w:style>
  <w:style w:type="paragraph" w:styleId="Header">
    <w:name w:val="header"/>
    <w:basedOn w:val="Normal"/>
    <w:rsid w:val="003D0A55"/>
    <w:pPr>
      <w:tabs>
        <w:tab w:val="center" w:pos="4320"/>
        <w:tab w:val="right" w:pos="8640"/>
      </w:tabs>
    </w:pPr>
  </w:style>
  <w:style w:type="paragraph" w:styleId="BalloonText">
    <w:name w:val="Balloon Text"/>
    <w:basedOn w:val="Normal"/>
    <w:semiHidden/>
    <w:rsid w:val="00B04DA7"/>
    <w:rPr>
      <w:rFonts w:ascii="Tahoma" w:hAnsi="Tahoma" w:cs="Tahoma"/>
      <w:sz w:val="16"/>
      <w:szCs w:val="16"/>
    </w:rPr>
  </w:style>
  <w:style w:type="character" w:styleId="Hyperlink">
    <w:name w:val="Hyperlink"/>
    <w:uiPriority w:val="99"/>
    <w:rsid w:val="00CF387D"/>
    <w:rPr>
      <w:color w:val="0000FF"/>
      <w:u w:val="single"/>
    </w:rPr>
  </w:style>
  <w:style w:type="paragraph" w:styleId="BodyText2">
    <w:name w:val="Body Text 2"/>
    <w:basedOn w:val="Normal"/>
    <w:rsid w:val="00C55679"/>
    <w:pPr>
      <w:autoSpaceDE w:val="0"/>
      <w:autoSpaceDN w:val="0"/>
      <w:spacing w:line="480" w:lineRule="auto"/>
      <w:ind w:firstLine="720"/>
      <w:jc w:val="both"/>
    </w:pPr>
    <w:rPr>
      <w:rFonts w:ascii="Courier New" w:hAnsi="Courier New" w:cs="Courier New"/>
    </w:rPr>
  </w:style>
  <w:style w:type="paragraph" w:styleId="BodyText">
    <w:name w:val="Body Text"/>
    <w:basedOn w:val="Normal"/>
    <w:link w:val="BodyTextChar"/>
    <w:rsid w:val="00C55679"/>
    <w:pPr>
      <w:autoSpaceDE w:val="0"/>
      <w:autoSpaceDN w:val="0"/>
      <w:spacing w:after="120"/>
    </w:pPr>
  </w:style>
  <w:style w:type="paragraph" w:styleId="EndnoteText">
    <w:name w:val="endnote text"/>
    <w:basedOn w:val="Normal"/>
    <w:link w:val="EndnoteTextChar"/>
    <w:rsid w:val="00DA46F5"/>
    <w:rPr>
      <w:sz w:val="20"/>
      <w:szCs w:val="20"/>
    </w:rPr>
  </w:style>
  <w:style w:type="character" w:customStyle="1" w:styleId="EndnoteTextChar">
    <w:name w:val="Endnote Text Char"/>
    <w:basedOn w:val="DefaultParagraphFont"/>
    <w:link w:val="EndnoteText"/>
    <w:rsid w:val="00DA46F5"/>
  </w:style>
  <w:style w:type="character" w:styleId="EndnoteReference">
    <w:name w:val="endnote reference"/>
    <w:rsid w:val="00DA46F5"/>
    <w:rPr>
      <w:vertAlign w:val="superscript"/>
    </w:rPr>
  </w:style>
  <w:style w:type="character" w:customStyle="1" w:styleId="FootnoteTextChar">
    <w:name w:val="Footnote Text Char"/>
    <w:link w:val="FootnoteText"/>
    <w:uiPriority w:val="99"/>
    <w:semiHidden/>
    <w:locked/>
    <w:rsid w:val="00CE166B"/>
    <w:rPr>
      <w:lang w:val="en-US" w:eastAsia="en-US" w:bidi="ar-SA"/>
    </w:rPr>
  </w:style>
  <w:style w:type="character" w:customStyle="1" w:styleId="BodyTextChar">
    <w:name w:val="Body Text Char"/>
    <w:link w:val="BodyText"/>
    <w:locked/>
    <w:rsid w:val="00FA1AC4"/>
    <w:rPr>
      <w:sz w:val="24"/>
      <w:szCs w:val="24"/>
      <w:lang w:val="en-US" w:eastAsia="en-US" w:bidi="ar-SA"/>
    </w:rPr>
  </w:style>
  <w:style w:type="character" w:customStyle="1" w:styleId="FooterChar">
    <w:name w:val="Footer Char"/>
    <w:link w:val="Footer"/>
    <w:uiPriority w:val="99"/>
    <w:rsid w:val="008A4F92"/>
    <w:rPr>
      <w:sz w:val="24"/>
      <w:szCs w:val="24"/>
    </w:rPr>
  </w:style>
  <w:style w:type="paragraph" w:customStyle="1" w:styleId="Normal1">
    <w:name w:val="Normal_1"/>
    <w:qFormat/>
    <w:rsid w:val="00F57DFB"/>
    <w:rPr>
      <w:sz w:val="24"/>
      <w:szCs w:val="24"/>
    </w:rPr>
  </w:style>
  <w:style w:type="character" w:customStyle="1" w:styleId="apple-converted-space">
    <w:name w:val="apple-converted-space"/>
    <w:rsid w:val="00136587"/>
  </w:style>
  <w:style w:type="character" w:customStyle="1" w:styleId="ssbf">
    <w:name w:val="ss_bf"/>
    <w:rsid w:val="00136587"/>
  </w:style>
  <w:style w:type="character" w:customStyle="1" w:styleId="ssit">
    <w:name w:val="ss_it"/>
    <w:rsid w:val="0013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7791">
      <w:bodyDiv w:val="1"/>
      <w:marLeft w:val="0"/>
      <w:marRight w:val="0"/>
      <w:marTop w:val="0"/>
      <w:marBottom w:val="0"/>
      <w:divBdr>
        <w:top w:val="none" w:sz="0" w:space="0" w:color="auto"/>
        <w:left w:val="none" w:sz="0" w:space="0" w:color="auto"/>
        <w:bottom w:val="none" w:sz="0" w:space="0" w:color="auto"/>
        <w:right w:val="none" w:sz="0" w:space="0" w:color="auto"/>
      </w:divBdr>
    </w:div>
    <w:div w:id="68164617">
      <w:bodyDiv w:val="1"/>
      <w:marLeft w:val="0"/>
      <w:marRight w:val="0"/>
      <w:marTop w:val="0"/>
      <w:marBottom w:val="0"/>
      <w:divBdr>
        <w:top w:val="none" w:sz="0" w:space="0" w:color="auto"/>
        <w:left w:val="none" w:sz="0" w:space="0" w:color="auto"/>
        <w:bottom w:val="none" w:sz="0" w:space="0" w:color="auto"/>
        <w:right w:val="none" w:sz="0" w:space="0" w:color="auto"/>
      </w:divBdr>
    </w:div>
    <w:div w:id="358510369">
      <w:bodyDiv w:val="1"/>
      <w:marLeft w:val="0"/>
      <w:marRight w:val="0"/>
      <w:marTop w:val="0"/>
      <w:marBottom w:val="0"/>
      <w:divBdr>
        <w:top w:val="none" w:sz="0" w:space="0" w:color="auto"/>
        <w:left w:val="none" w:sz="0" w:space="0" w:color="auto"/>
        <w:bottom w:val="none" w:sz="0" w:space="0" w:color="auto"/>
        <w:right w:val="none" w:sz="0" w:space="0" w:color="auto"/>
      </w:divBdr>
    </w:div>
    <w:div w:id="438960801">
      <w:bodyDiv w:val="1"/>
      <w:marLeft w:val="0"/>
      <w:marRight w:val="0"/>
      <w:marTop w:val="0"/>
      <w:marBottom w:val="0"/>
      <w:divBdr>
        <w:top w:val="none" w:sz="0" w:space="0" w:color="auto"/>
        <w:left w:val="none" w:sz="0" w:space="0" w:color="auto"/>
        <w:bottom w:val="none" w:sz="0" w:space="0" w:color="auto"/>
        <w:right w:val="none" w:sz="0" w:space="0" w:color="auto"/>
      </w:divBdr>
    </w:div>
    <w:div w:id="636180626">
      <w:bodyDiv w:val="1"/>
      <w:marLeft w:val="0"/>
      <w:marRight w:val="0"/>
      <w:marTop w:val="0"/>
      <w:marBottom w:val="0"/>
      <w:divBdr>
        <w:top w:val="none" w:sz="0" w:space="0" w:color="auto"/>
        <w:left w:val="none" w:sz="0" w:space="0" w:color="auto"/>
        <w:bottom w:val="none" w:sz="0" w:space="0" w:color="auto"/>
        <w:right w:val="none" w:sz="0" w:space="0" w:color="auto"/>
      </w:divBdr>
      <w:divsChild>
        <w:div w:id="1790732920">
          <w:marLeft w:val="0"/>
          <w:marRight w:val="0"/>
          <w:marTop w:val="0"/>
          <w:marBottom w:val="0"/>
          <w:divBdr>
            <w:top w:val="none" w:sz="0" w:space="0" w:color="auto"/>
            <w:left w:val="none" w:sz="0" w:space="0" w:color="auto"/>
            <w:bottom w:val="none" w:sz="0" w:space="0" w:color="auto"/>
            <w:right w:val="none" w:sz="0" w:space="0" w:color="auto"/>
          </w:divBdr>
          <w:divsChild>
            <w:div w:id="718280795">
              <w:marLeft w:val="0"/>
              <w:marRight w:val="0"/>
              <w:marTop w:val="0"/>
              <w:marBottom w:val="0"/>
              <w:divBdr>
                <w:top w:val="none" w:sz="0" w:space="0" w:color="auto"/>
                <w:left w:val="none" w:sz="0" w:space="0" w:color="auto"/>
                <w:bottom w:val="none" w:sz="0" w:space="0" w:color="auto"/>
                <w:right w:val="none" w:sz="0" w:space="0" w:color="auto"/>
              </w:divBdr>
              <w:divsChild>
                <w:div w:id="1459298244">
                  <w:marLeft w:val="0"/>
                  <w:marRight w:val="0"/>
                  <w:marTop w:val="0"/>
                  <w:marBottom w:val="0"/>
                  <w:divBdr>
                    <w:top w:val="none" w:sz="0" w:space="0" w:color="auto"/>
                    <w:left w:val="none" w:sz="0" w:space="0" w:color="auto"/>
                    <w:bottom w:val="none" w:sz="0" w:space="0" w:color="auto"/>
                    <w:right w:val="none" w:sz="0" w:space="0" w:color="auto"/>
                  </w:divBdr>
                  <w:divsChild>
                    <w:div w:id="12815687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09853">
      <w:bodyDiv w:val="1"/>
      <w:marLeft w:val="0"/>
      <w:marRight w:val="0"/>
      <w:marTop w:val="0"/>
      <w:marBottom w:val="0"/>
      <w:divBdr>
        <w:top w:val="none" w:sz="0" w:space="0" w:color="auto"/>
        <w:left w:val="none" w:sz="0" w:space="0" w:color="auto"/>
        <w:bottom w:val="none" w:sz="0" w:space="0" w:color="auto"/>
        <w:right w:val="none" w:sz="0" w:space="0" w:color="auto"/>
      </w:divBdr>
    </w:div>
    <w:div w:id="871764287">
      <w:bodyDiv w:val="1"/>
      <w:marLeft w:val="0"/>
      <w:marRight w:val="0"/>
      <w:marTop w:val="0"/>
      <w:marBottom w:val="0"/>
      <w:divBdr>
        <w:top w:val="none" w:sz="0" w:space="0" w:color="auto"/>
        <w:left w:val="none" w:sz="0" w:space="0" w:color="auto"/>
        <w:bottom w:val="none" w:sz="0" w:space="0" w:color="auto"/>
        <w:right w:val="none" w:sz="0" w:space="0" w:color="auto"/>
      </w:divBdr>
    </w:div>
    <w:div w:id="1106772051">
      <w:bodyDiv w:val="1"/>
      <w:marLeft w:val="0"/>
      <w:marRight w:val="0"/>
      <w:marTop w:val="0"/>
      <w:marBottom w:val="0"/>
      <w:divBdr>
        <w:top w:val="none" w:sz="0" w:space="0" w:color="auto"/>
        <w:left w:val="none" w:sz="0" w:space="0" w:color="auto"/>
        <w:bottom w:val="none" w:sz="0" w:space="0" w:color="auto"/>
        <w:right w:val="none" w:sz="0" w:space="0" w:color="auto"/>
      </w:divBdr>
      <w:divsChild>
        <w:div w:id="508106091">
          <w:marLeft w:val="0"/>
          <w:marRight w:val="0"/>
          <w:marTop w:val="0"/>
          <w:marBottom w:val="0"/>
          <w:divBdr>
            <w:top w:val="none" w:sz="0" w:space="0" w:color="auto"/>
            <w:left w:val="none" w:sz="0" w:space="0" w:color="auto"/>
            <w:bottom w:val="none" w:sz="0" w:space="0" w:color="auto"/>
            <w:right w:val="none" w:sz="0" w:space="0" w:color="auto"/>
          </w:divBdr>
          <w:divsChild>
            <w:div w:id="1074165355">
              <w:marLeft w:val="0"/>
              <w:marRight w:val="0"/>
              <w:marTop w:val="0"/>
              <w:marBottom w:val="0"/>
              <w:divBdr>
                <w:top w:val="none" w:sz="0" w:space="0" w:color="auto"/>
                <w:left w:val="none" w:sz="0" w:space="0" w:color="auto"/>
                <w:bottom w:val="none" w:sz="0" w:space="0" w:color="auto"/>
                <w:right w:val="none" w:sz="0" w:space="0" w:color="auto"/>
              </w:divBdr>
              <w:divsChild>
                <w:div w:id="610823597">
                  <w:marLeft w:val="0"/>
                  <w:marRight w:val="0"/>
                  <w:marTop w:val="0"/>
                  <w:marBottom w:val="0"/>
                  <w:divBdr>
                    <w:top w:val="none" w:sz="0" w:space="0" w:color="auto"/>
                    <w:left w:val="none" w:sz="0" w:space="0" w:color="auto"/>
                    <w:bottom w:val="none" w:sz="0" w:space="0" w:color="auto"/>
                    <w:right w:val="none" w:sz="0" w:space="0" w:color="auto"/>
                  </w:divBdr>
                  <w:divsChild>
                    <w:div w:id="49210989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941415">
      <w:bodyDiv w:val="1"/>
      <w:marLeft w:val="0"/>
      <w:marRight w:val="0"/>
      <w:marTop w:val="0"/>
      <w:marBottom w:val="0"/>
      <w:divBdr>
        <w:top w:val="none" w:sz="0" w:space="0" w:color="auto"/>
        <w:left w:val="none" w:sz="0" w:space="0" w:color="auto"/>
        <w:bottom w:val="none" w:sz="0" w:space="0" w:color="auto"/>
        <w:right w:val="none" w:sz="0" w:space="0" w:color="auto"/>
      </w:divBdr>
    </w:div>
    <w:div w:id="1330015761">
      <w:bodyDiv w:val="1"/>
      <w:marLeft w:val="0"/>
      <w:marRight w:val="0"/>
      <w:marTop w:val="0"/>
      <w:marBottom w:val="0"/>
      <w:divBdr>
        <w:top w:val="none" w:sz="0" w:space="0" w:color="auto"/>
        <w:left w:val="none" w:sz="0" w:space="0" w:color="auto"/>
        <w:bottom w:val="none" w:sz="0" w:space="0" w:color="auto"/>
        <w:right w:val="none" w:sz="0" w:space="0" w:color="auto"/>
      </w:divBdr>
    </w:div>
    <w:div w:id="1770924806">
      <w:bodyDiv w:val="1"/>
      <w:marLeft w:val="0"/>
      <w:marRight w:val="0"/>
      <w:marTop w:val="0"/>
      <w:marBottom w:val="0"/>
      <w:divBdr>
        <w:top w:val="none" w:sz="0" w:space="0" w:color="auto"/>
        <w:left w:val="none" w:sz="0" w:space="0" w:color="auto"/>
        <w:bottom w:val="none" w:sz="0" w:space="0" w:color="auto"/>
        <w:right w:val="none" w:sz="0" w:space="0" w:color="auto"/>
      </w:divBdr>
    </w:div>
    <w:div w:id="2033410193">
      <w:bodyDiv w:val="1"/>
      <w:marLeft w:val="0"/>
      <w:marRight w:val="0"/>
      <w:marTop w:val="0"/>
      <w:marBottom w:val="0"/>
      <w:divBdr>
        <w:top w:val="none" w:sz="0" w:space="0" w:color="auto"/>
        <w:left w:val="none" w:sz="0" w:space="0" w:color="auto"/>
        <w:bottom w:val="none" w:sz="0" w:space="0" w:color="auto"/>
        <w:right w:val="none" w:sz="0" w:space="0" w:color="auto"/>
      </w:divBdr>
    </w:div>
    <w:div w:id="20533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91A52-C9BF-4525-805B-87D45C0D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2248</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ATB, Comm of Mass.</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Administrator</dc:creator>
  <cp:lastModifiedBy>ANF</cp:lastModifiedBy>
  <cp:revision>2</cp:revision>
  <cp:lastPrinted>2018-05-22T13:47:00Z</cp:lastPrinted>
  <dcterms:created xsi:type="dcterms:W3CDTF">2018-05-22T14:40:00Z</dcterms:created>
  <dcterms:modified xsi:type="dcterms:W3CDTF">2018-05-22T14:40:00Z</dcterms:modified>
</cp:coreProperties>
</file>