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sz w:val="20"/>
        </w:rPr>
      </w:pPr>
      <w:r>
        <w:rPr>
          <w:sz w:val="20"/>
        </w:rPr>
        <w:drawing>
          <wp:inline distT="0" distB="0" distL="0" distR="0">
            <wp:extent cx="901686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86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6"/>
        </w:rPr>
      </w:pPr>
    </w:p>
    <w:p>
      <w:pPr>
        <w:spacing w:line="185" w:lineRule="exact" w:before="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BAKER</w:t>
      </w:r>
    </w:p>
    <w:p>
      <w:pPr>
        <w:spacing w:before="0"/>
        <w:ind w:left="97" w:right="3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5" w:lineRule="exact" w:before="12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POLITO</w:t>
      </w:r>
    </w:p>
    <w:p>
      <w:pPr>
        <w:spacing w:line="162" w:lineRule="exact" w:before="0"/>
        <w:ind w:left="97" w:right="28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4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0"/>
        </w:rPr>
        <w:t> </w:t>
      </w:r>
      <w:r>
        <w:rPr/>
        <w:t>Commonwealth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Massachusetts</w:t>
      </w:r>
    </w:p>
    <w:p>
      <w:pPr>
        <w:spacing w:before="0"/>
        <w:ind w:left="116" w:right="47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line="321" w:lineRule="exact" w:before="0"/>
        <w:ind w:left="172" w:right="104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line="185" w:lineRule="exact" w:before="124"/>
        <w:ind w:left="99" w:right="100" w:firstLine="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MARYLOU</w:t>
      </w:r>
      <w:r>
        <w:rPr>
          <w:rFonts w:ascii="Arial Rounded MT Bold"/>
          <w:spacing w:val="1"/>
          <w:sz w:val="16"/>
        </w:rPr>
        <w:t> </w:t>
      </w:r>
      <w:r>
        <w:rPr>
          <w:rFonts w:ascii="Arial Rounded MT Bold"/>
          <w:spacing w:val="-2"/>
          <w:sz w:val="16"/>
        </w:rPr>
        <w:t>SUDDERS</w:t>
      </w:r>
    </w:p>
    <w:p>
      <w:pPr>
        <w:spacing w:before="0"/>
        <w:ind w:left="587" w:right="587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20"/>
        <w:ind w:left="99" w:right="10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COOKE</w:t>
      </w:r>
    </w:p>
    <w:p>
      <w:pPr>
        <w:spacing w:line="162" w:lineRule="exact" w:before="0"/>
        <w:ind w:left="99" w:right="10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spacing w:after="0" w:line="162" w:lineRule="exact"/>
        <w:jc w:val="center"/>
        <w:rPr>
          <w:rFonts w:ascii="Arial Rounded MT Bold"/>
          <w:sz w:val="14"/>
        </w:rPr>
        <w:sectPr>
          <w:type w:val="continuous"/>
          <w:pgSz w:w="12240" w:h="15840"/>
          <w:pgMar w:top="560" w:bottom="280" w:left="700" w:right="680"/>
          <w:cols w:num="3" w:equalWidth="0">
            <w:col w:w="1745" w:space="732"/>
            <w:col w:w="6269" w:space="243"/>
            <w:col w:w="1871"/>
          </w:cols>
        </w:sectPr>
      </w:pPr>
    </w:p>
    <w:p>
      <w:pPr>
        <w:pStyle w:val="BodyText"/>
        <w:rPr>
          <w:rFonts w:ascii="Arial Rounded MT Bold"/>
          <w:sz w:val="26"/>
        </w:rPr>
      </w:pPr>
    </w:p>
    <w:p>
      <w:pPr>
        <w:pStyle w:val="BodyText"/>
        <w:spacing w:before="1"/>
        <w:rPr>
          <w:rFonts w:ascii="Arial Rounded MT Bold"/>
          <w:sz w:val="31"/>
        </w:rPr>
      </w:pPr>
    </w:p>
    <w:p>
      <w:pPr>
        <w:tabs>
          <w:tab w:pos="2540" w:val="left" w:leader="none"/>
        </w:tabs>
        <w:spacing w:before="0"/>
        <w:ind w:left="38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TO:</w:t>
      </w:r>
      <w:r>
        <w:rPr>
          <w:b/>
          <w:sz w:val="24"/>
        </w:rPr>
        <w:tab/>
        <w:t>BSAS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LICENSEES,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PROVIDERS,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STAKEHOLDERS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45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380" w:right="0" w:firstLine="0"/>
        <w:jc w:val="left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560" w:bottom="280" w:left="700" w:right="680"/>
          <w:cols w:num="2" w:equalWidth="0">
            <w:col w:w="8807" w:space="84"/>
            <w:col w:w="1969"/>
          </w:cols>
        </w:sectPr>
      </w:pPr>
    </w:p>
    <w:p>
      <w:pPr>
        <w:pStyle w:val="BodyText"/>
        <w:spacing w:before="3"/>
        <w:rPr>
          <w:rFonts w:ascii="Arial"/>
          <w:b/>
          <w:sz w:val="18"/>
        </w:rPr>
      </w:pPr>
      <w:r>
        <w:rPr/>
        <w:pict>
          <v:rect style="position:absolute;margin-left:459.75pt;margin-top:114.5pt;width:142.85pt;height:89.45pt;mso-position-horizontal-relative:page;mso-position-vertical-relative:page;z-index:-15783936" id="docshape1" filled="true" fillcolor="#ffffff" stroked="false">
            <v:fill type="solid"/>
            <w10:wrap type="none"/>
          </v:rect>
        </w:pict>
      </w:r>
    </w:p>
    <w:p>
      <w:pPr>
        <w:tabs>
          <w:tab w:pos="2540" w:val="left" w:leader="none"/>
        </w:tabs>
        <w:spacing w:before="90"/>
        <w:ind w:left="2540" w:right="1537" w:hanging="2161"/>
        <w:jc w:val="left"/>
        <w:rPr>
          <w:b/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  <w:t>DEIRDRE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CALVERT,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DIRECTOR,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BUREAU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SUBSTANCE ADDICTION SERVICES</w:t>
      </w:r>
    </w:p>
    <w:p>
      <w:pPr>
        <w:pStyle w:val="BodyText"/>
        <w:spacing w:before="1"/>
        <w:rPr>
          <w:b/>
          <w:sz w:val="26"/>
        </w:rPr>
      </w:pPr>
    </w:p>
    <w:p>
      <w:pPr>
        <w:tabs>
          <w:tab w:pos="2540" w:val="left" w:leader="none"/>
        </w:tabs>
        <w:spacing w:before="1"/>
        <w:ind w:left="2540" w:right="398" w:hanging="2161"/>
        <w:jc w:val="both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UPDATES TO REGULATIONS RELATED TO SPECIAL PROJECTS </w:t>
      </w:r>
      <w:r>
        <w:rPr>
          <w:b/>
          <w:sz w:val="24"/>
        </w:rPr>
        <w:t>105 CMR 164.000 – LICENSURE OF SUBSTANCE USE DISORDER TREATMENT PROGRAMS</w:t>
      </w:r>
    </w:p>
    <w:p>
      <w:pPr>
        <w:pStyle w:val="BodyText"/>
        <w:rPr>
          <w:b/>
          <w:sz w:val="26"/>
        </w:rPr>
      </w:pPr>
    </w:p>
    <w:p>
      <w:pPr>
        <w:tabs>
          <w:tab w:pos="2540" w:val="left" w:leader="none"/>
        </w:tabs>
        <w:spacing w:before="1"/>
        <w:ind w:left="380" w:right="0" w:firstLine="0"/>
        <w:jc w:val="left"/>
        <w:rPr>
          <w:b/>
          <w:sz w:val="24"/>
        </w:rPr>
      </w:pPr>
      <w:r>
        <w:rPr/>
        <w:pict>
          <v:rect style="position:absolute;margin-left:52.5pt;margin-top:14.793118pt;width:507.06pt;height:1.5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  <w:t>NOVEMBER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11,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2022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before="90"/>
        <w:ind w:left="380" w:right="565"/>
        <w:jc w:val="both"/>
      </w:pPr>
      <w:r>
        <w:rPr/>
        <w:t>The purpose of this memo is to issue guidance to</w:t>
      </w:r>
      <w:r>
        <w:rPr>
          <w:spacing w:val="-2"/>
        </w:rPr>
        <w:t> </w:t>
      </w:r>
      <w:r>
        <w:rPr/>
        <w:t>all providers licensed/approved by the Massachusetts Department of Public Health’s (DPH) Bureau of Substance Addiction Services (BSAS) regarding new requirements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BSAS’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i/>
        </w:rPr>
        <w:t>Licensure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Substance</w:t>
      </w:r>
      <w:r>
        <w:rPr>
          <w:i/>
          <w:spacing w:val="-3"/>
        </w:rPr>
        <w:t> </w:t>
      </w:r>
      <w:r>
        <w:rPr>
          <w:i/>
        </w:rPr>
        <w:t>Use</w:t>
      </w:r>
      <w:r>
        <w:rPr>
          <w:i/>
          <w:spacing w:val="-3"/>
        </w:rPr>
        <w:t> </w:t>
      </w:r>
      <w:r>
        <w:rPr>
          <w:i/>
        </w:rPr>
        <w:t>Disorder</w:t>
      </w:r>
      <w:r>
        <w:rPr>
          <w:i/>
        </w:rPr>
        <w:t> Treatment Programs</w:t>
      </w:r>
      <w:r>
        <w:rPr/>
        <w:t>, 105 CMR 164.000.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380" w:right="464"/>
      </w:pPr>
      <w:r>
        <w:rPr/>
        <w:t>This</w:t>
      </w:r>
      <w:r>
        <w:rPr>
          <w:spacing w:val="-4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seeks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inform</w:t>
      </w:r>
      <w:r>
        <w:rPr>
          <w:spacing w:val="-3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particular sections that pertain to Special Projects.</w:t>
      </w:r>
    </w:p>
    <w:p>
      <w:pPr>
        <w:pStyle w:val="BodyText"/>
      </w:pPr>
    </w:p>
    <w:p>
      <w:pPr>
        <w:pStyle w:val="BodyText"/>
        <w:ind w:left="380" w:right="464"/>
      </w:pPr>
      <w:r>
        <w:rPr/>
        <w:t>BSAS</w:t>
      </w:r>
      <w:r>
        <w:rPr>
          <w:spacing w:val="-4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facts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encourages</w:t>
      </w:r>
      <w:r>
        <w:rPr>
          <w:spacing w:val="-3"/>
        </w:rPr>
        <w:t> </w:t>
      </w:r>
      <w:r>
        <w:rPr/>
        <w:t>stakeholders with specific questions to contact your Regional License Inspector: </w:t>
      </w:r>
      <w:hyperlink r:id="rId7">
        <w:r>
          <w:rPr>
            <w:color w:val="0000FF"/>
            <w:u w:val="single" w:color="0000FF"/>
          </w:rPr>
          <w:t>https://www.mass.gov/service-</w:t>
        </w:r>
      </w:hyperlink>
      <w:r>
        <w:rPr>
          <w:color w:val="0000FF"/>
        </w:rPr>
        <w:t> </w:t>
      </w:r>
      <w:hyperlink r:id="rId7">
        <w:r>
          <w:rPr>
            <w:color w:val="0000FF"/>
            <w:spacing w:val="-2"/>
            <w:u w:val="single" w:color="0000FF"/>
          </w:rPr>
          <w:t>details/information-for-licensed-substance-use-disorder-treatment-programs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380"/>
      </w:pPr>
      <w:r>
        <w:rPr/>
        <w:t>BSAS</w:t>
      </w:r>
      <w:r>
        <w:rPr>
          <w:spacing w:val="-3"/>
        </w:rPr>
        <w:t> </w:t>
      </w:r>
      <w:r>
        <w:rPr/>
        <w:t>encourages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providers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updated</w:t>
      </w:r>
      <w:r>
        <w:rPr>
          <w:spacing w:val="-2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entirety,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found</w:t>
      </w:r>
    </w:p>
    <w:p>
      <w:pPr>
        <w:pStyle w:val="BodyText"/>
        <w:ind w:left="380" w:right="405"/>
      </w:pP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link:</w:t>
      </w:r>
      <w:r>
        <w:rPr>
          <w:spacing w:val="34"/>
        </w:rPr>
        <w:t> </w:t>
      </w:r>
      <w:hyperlink r:id="rId8">
        <w:r>
          <w:rPr>
            <w:color w:val="0000FF"/>
            <w:u w:val="single" w:color="0000FF"/>
          </w:rPr>
          <w:t>https://www.mass.gov/regulations/105-CMR-16400-licensure-of-substance-abuse-</w:t>
        </w:r>
      </w:hyperlink>
      <w:r>
        <w:rPr>
          <w:color w:val="0000FF"/>
        </w:rPr>
        <w:t> </w:t>
      </w:r>
      <w:hyperlink r:id="rId8">
        <w:r>
          <w:rPr>
            <w:color w:val="0000FF"/>
            <w:spacing w:val="-2"/>
            <w:u w:val="single" w:color="0000FF"/>
          </w:rPr>
          <w:t>treatment-programs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380" w:right="0" w:firstLine="0"/>
        <w:jc w:val="left"/>
        <w:rPr>
          <w:sz w:val="24"/>
        </w:rPr>
      </w:pPr>
      <w:r>
        <w:rPr>
          <w:b/>
          <w:sz w:val="24"/>
          <w:u w:val="single"/>
        </w:rPr>
        <w:t>Revisions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Related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Special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Projects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(105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CMR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164.099)</w:t>
      </w:r>
      <w:r>
        <w:rPr>
          <w:spacing w:val="-2"/>
          <w:sz w:val="24"/>
          <w:u w:val="single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380" w:right="405" w:firstLine="0"/>
        <w:jc w:val="left"/>
        <w:rPr>
          <w:sz w:val="24"/>
        </w:rPr>
      </w:pPr>
      <w:r>
        <w:rPr>
          <w:sz w:val="24"/>
        </w:rPr>
        <w:t>The Special Projects license or approval was not previously identified in 105 CMR 164.000. This licensure or approval will support </w:t>
      </w:r>
      <w:r>
        <w:rPr>
          <w:b/>
          <w:sz w:val="24"/>
        </w:rPr>
        <w:t>the delivery of substance use treatment for programs with a unique treatment model that meets the immediate need(s) of a special population that is determined to be underserved by existing licensed or approved substance use disorder (SUD) treatment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models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align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settings</w:t>
      </w:r>
      <w:r>
        <w:rPr>
          <w:spacing w:val="-3"/>
          <w:sz w:val="24"/>
        </w:rPr>
        <w:t> </w:t>
      </w:r>
      <w:r>
        <w:rPr>
          <w:sz w:val="24"/>
        </w:rPr>
        <w:t>outlined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105</w:t>
      </w:r>
      <w:r>
        <w:rPr>
          <w:spacing w:val="-3"/>
          <w:sz w:val="24"/>
        </w:rPr>
        <w:t> </w:t>
      </w:r>
      <w:r>
        <w:rPr>
          <w:sz w:val="24"/>
        </w:rPr>
        <w:t>CMR </w:t>
      </w:r>
      <w:r>
        <w:rPr>
          <w:spacing w:val="-2"/>
          <w:sz w:val="24"/>
        </w:rPr>
        <w:t>164.000.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560" w:bottom="280" w:left="700" w:right="680"/>
        </w:sectPr>
      </w:pPr>
    </w:p>
    <w:p>
      <w:pPr>
        <w:pStyle w:val="BodyText"/>
        <w:spacing w:before="60"/>
        <w:ind w:left="380"/>
      </w:pP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innovative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substance</w:t>
      </w:r>
      <w:r>
        <w:rPr>
          <w:spacing w:val="-3"/>
        </w:rPr>
        <w:t> </w:t>
      </w:r>
      <w:r>
        <w:rPr/>
        <w:t>use disorder services.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1269" w:hanging="360"/>
        <w:jc w:val="left"/>
        <w:rPr>
          <w:sz w:val="24"/>
        </w:rPr>
      </w:pP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pose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threat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delivered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 evidenced-based and trauma-informed manner while demonstrating positive outcomes.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projects</w:t>
      </w:r>
      <w:r>
        <w:rPr>
          <w:spacing w:val="-1"/>
          <w:sz w:val="24"/>
        </w:rPr>
        <w:t> </w:t>
      </w:r>
      <w:r>
        <w:rPr>
          <w:sz w:val="24"/>
        </w:rPr>
        <w:t>may be</w:t>
      </w:r>
      <w:r>
        <w:rPr>
          <w:spacing w:val="-1"/>
          <w:sz w:val="24"/>
        </w:rPr>
        <w:t> </w:t>
      </w:r>
      <w:r>
        <w:rPr>
          <w:sz w:val="24"/>
        </w:rPr>
        <w:t>time-limited</w:t>
      </w:r>
      <w:r>
        <w:rPr>
          <w:spacing w:val="-1"/>
          <w:sz w:val="24"/>
        </w:rPr>
        <w:t> </w:t>
      </w:r>
      <w:r>
        <w:rPr>
          <w:sz w:val="24"/>
        </w:rPr>
        <w:t>and be</w:t>
      </w:r>
      <w:r>
        <w:rPr>
          <w:spacing w:val="-1"/>
          <w:sz w:val="24"/>
        </w:rPr>
        <w:t> </w:t>
      </w:r>
      <w:r>
        <w:rPr>
          <w:sz w:val="24"/>
        </w:rPr>
        <w:t>subject to</w:t>
      </w:r>
      <w:r>
        <w:rPr>
          <w:spacing w:val="-1"/>
          <w:sz w:val="24"/>
        </w:rPr>
        <w:t> </w:t>
      </w:r>
      <w:r>
        <w:rPr>
          <w:sz w:val="24"/>
        </w:rPr>
        <w:t>conditions by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1014" w:hanging="360"/>
        <w:jc w:val="left"/>
        <w:rPr>
          <w:sz w:val="24"/>
        </w:rPr>
      </w:pPr>
      <w:r>
        <w:rPr>
          <w:sz w:val="24"/>
        </w:rPr>
        <w:t>Any proposal for a special project license or approval from the Department must meet the definition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“Substance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Disorder</w:t>
      </w:r>
      <w:r>
        <w:rPr>
          <w:spacing w:val="-4"/>
          <w:sz w:val="24"/>
        </w:rPr>
        <w:t> </w:t>
      </w:r>
      <w:r>
        <w:rPr>
          <w:sz w:val="24"/>
        </w:rPr>
        <w:t>Treatment”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“Substance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Disorder</w:t>
      </w:r>
      <w:r>
        <w:rPr>
          <w:spacing w:val="-4"/>
          <w:sz w:val="24"/>
        </w:rPr>
        <w:t> </w:t>
      </w:r>
      <w:r>
        <w:rPr>
          <w:sz w:val="24"/>
        </w:rPr>
        <w:t>Treatment Program” under 105 CMR 164.005.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80" w:right="0" w:firstLine="0"/>
        <w:jc w:val="left"/>
        <w:rPr>
          <w:sz w:val="24"/>
        </w:rPr>
      </w:pPr>
      <w:r>
        <w:rPr>
          <w:b/>
          <w:sz w:val="24"/>
          <w:u w:val="single"/>
        </w:rPr>
        <w:t>Application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Process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Expectations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Compliance</w:t>
      </w:r>
      <w:r>
        <w:rPr>
          <w:spacing w:val="-2"/>
          <w:sz w:val="24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380" w:right="464"/>
      </w:pP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manner</w:t>
      </w:r>
      <w:r>
        <w:rPr>
          <w:spacing w:val="-3"/>
        </w:rPr>
        <w:t> </w:t>
      </w:r>
      <w:r>
        <w:rPr/>
        <w:t>prescribed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Department.</w:t>
      </w:r>
    </w:p>
    <w:p>
      <w:pPr>
        <w:pStyle w:val="BodyText"/>
      </w:pPr>
    </w:p>
    <w:p>
      <w:pPr>
        <w:pStyle w:val="BodyText"/>
        <w:spacing w:line="276" w:lineRule="exact" w:before="1"/>
        <w:ind w:left="380"/>
      </w:pP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102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immediate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service,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example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health </w:t>
      </w:r>
      <w:r>
        <w:rPr>
          <w:spacing w:val="-2"/>
          <w:sz w:val="24"/>
        </w:rPr>
        <w:t>emergency.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2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innovative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satisfy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need.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105</w:t>
      </w:r>
      <w:r>
        <w:rPr>
          <w:spacing w:val="-1"/>
          <w:sz w:val="24"/>
        </w:rPr>
        <w:t> </w:t>
      </w:r>
      <w:r>
        <w:rPr>
          <w:sz w:val="24"/>
        </w:rPr>
        <w:t>CMR</w:t>
      </w:r>
      <w:r>
        <w:rPr>
          <w:spacing w:val="-1"/>
          <w:sz w:val="24"/>
        </w:rPr>
        <w:t> </w:t>
      </w:r>
      <w:r>
        <w:rPr>
          <w:sz w:val="24"/>
        </w:rPr>
        <w:t>164.000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One.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components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105</w:t>
      </w:r>
      <w:r>
        <w:rPr>
          <w:spacing w:val="-1"/>
          <w:sz w:val="24"/>
        </w:rPr>
        <w:t> </w:t>
      </w:r>
      <w:r>
        <w:rPr>
          <w:sz w:val="24"/>
        </w:rPr>
        <w:t>CMR</w:t>
      </w:r>
      <w:r>
        <w:rPr>
          <w:spacing w:val="-2"/>
          <w:sz w:val="24"/>
        </w:rPr>
        <w:t> </w:t>
      </w:r>
      <w:r>
        <w:rPr>
          <w:sz w:val="24"/>
        </w:rPr>
        <w:t>164.000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Two.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498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innovative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evidence-based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consistent</w:t>
      </w:r>
      <w:r>
        <w:rPr>
          <w:spacing w:val="-3"/>
          <w:sz w:val="24"/>
        </w:rPr>
        <w:t> </w:t>
      </w:r>
      <w:r>
        <w:rPr>
          <w:sz w:val="24"/>
        </w:rPr>
        <w:t>with medical efficacy.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380" w:right="469"/>
      </w:pPr>
      <w:r>
        <w:rPr/>
        <w:t>Special Projects may require a waiver pursuant to 105 CMR 164.023 for certain regulatory requirements,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diligence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all applicable state and federal requirements.</w:t>
      </w:r>
    </w:p>
    <w:sectPr>
      <w:pgSz w:w="12240" w:h="15840"/>
      <w:pgMar w:top="138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0"/>
      <w:ind w:left="116" w:right="49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https://www.mass.gov/service-details/information-for-licensed-substance-use-disorder-treatment-programs" TargetMode="External"/><Relationship Id="rId8" Type="http://schemas.openxmlformats.org/officeDocument/2006/relationships/hyperlink" Target="https://www.mass.gov/regulations/105-CMR-16400-licensure-of-substance-abuse-treatment-programs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2022-11-01T15:10:16Z</dcterms:created>
  <dcterms:modified xsi:type="dcterms:W3CDTF">2022-11-01T15:10:16Z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  <property fmtid="{D5CDD505-2E9C-101B-9397-08002B2CF9AE}" pid="5" name="Producer">
    <vt:lpwstr>Microsoft® Word for Microsoft 365</vt:lpwstr>
  </property>
</Properties>
</file>