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E01BF" w14:textId="32FEC4B4" w:rsidR="006B74C7" w:rsidRPr="006B74C7" w:rsidRDefault="006B74C7" w:rsidP="006B74C7">
      <w:pPr>
        <w:spacing w:line="240" w:lineRule="auto"/>
        <w:jc w:val="center"/>
        <w:rPr>
          <w:rFonts w:ascii="Arial" w:hAnsi="Arial" w:cs="Arial"/>
          <w:b/>
          <w:bCs/>
          <w:sz w:val="28"/>
          <w:szCs w:val="28"/>
        </w:rPr>
      </w:pPr>
      <w:r w:rsidRPr="006B74C7">
        <w:rPr>
          <w:rFonts w:ascii="Arial" w:hAnsi="Arial" w:cs="Arial"/>
          <w:b/>
          <w:bCs/>
          <w:sz w:val="28"/>
          <w:szCs w:val="28"/>
        </w:rPr>
        <w:t>POSSESSION OF A (FIREARM) (RIFLE) (SHOTGUN) WITHOUT A LICENSE OUTSIDE OF HOME OR BUSINESS</w:t>
      </w:r>
    </w:p>
    <w:p w14:paraId="1825DF42" w14:textId="77777777" w:rsidR="006B74C7" w:rsidRDefault="006B74C7" w:rsidP="006B74C7">
      <w:pPr>
        <w:pStyle w:val="BodyText"/>
        <w:kinsoku w:val="0"/>
        <w:overflowPunct w:val="0"/>
        <w:ind w:left="840" w:right="836"/>
        <w:jc w:val="center"/>
        <w:rPr>
          <w:b w:val="0"/>
          <w:bCs w:val="0"/>
          <w:sz w:val="20"/>
          <w:szCs w:val="20"/>
        </w:rPr>
      </w:pPr>
      <w:r>
        <w:rPr>
          <w:b w:val="0"/>
          <w:bCs w:val="0"/>
          <w:sz w:val="20"/>
          <w:szCs w:val="20"/>
        </w:rPr>
        <w:t>G.L. c. 269, § 10(a)</w:t>
      </w:r>
    </w:p>
    <w:p w14:paraId="6EE9B9B2" w14:textId="77777777" w:rsidR="007E542D" w:rsidRDefault="007E542D" w:rsidP="006B74C7">
      <w:pPr>
        <w:pStyle w:val="BodyText"/>
        <w:kinsoku w:val="0"/>
        <w:overflowPunct w:val="0"/>
        <w:ind w:left="840" w:right="836"/>
        <w:jc w:val="center"/>
        <w:rPr>
          <w:b w:val="0"/>
          <w:bCs w:val="0"/>
          <w:sz w:val="20"/>
          <w:szCs w:val="20"/>
        </w:rPr>
      </w:pPr>
    </w:p>
    <w:p w14:paraId="7FF2A11E" w14:textId="77777777" w:rsidR="006B74C7" w:rsidRDefault="006B74C7" w:rsidP="006B74C7">
      <w:pPr>
        <w:pStyle w:val="BodyText"/>
        <w:kinsoku w:val="0"/>
        <w:overflowPunct w:val="0"/>
        <w:ind w:left="840" w:right="836"/>
        <w:jc w:val="center"/>
        <w:rPr>
          <w:b w:val="0"/>
          <w:bCs w:val="0"/>
          <w:sz w:val="20"/>
          <w:szCs w:val="20"/>
        </w:rPr>
      </w:pPr>
    </w:p>
    <w:p w14:paraId="1A1BFA4E" w14:textId="25CF9E44" w:rsidR="006B74C7" w:rsidRDefault="006B74C7" w:rsidP="006B74C7">
      <w:pPr>
        <w:pStyle w:val="BodyText"/>
        <w:kinsoku w:val="0"/>
        <w:overflowPunct w:val="0"/>
        <w:spacing w:line="266" w:lineRule="auto"/>
        <w:ind w:left="720" w:right="720"/>
        <w:jc w:val="both"/>
        <w:rPr>
          <w:b w:val="0"/>
          <w:bCs w:val="0"/>
          <w:sz w:val="20"/>
          <w:szCs w:val="20"/>
        </w:rPr>
      </w:pPr>
      <w:r w:rsidRPr="003F6BC6">
        <w:rPr>
          <w:b w:val="0"/>
          <w:bCs w:val="0"/>
          <w:sz w:val="20"/>
          <w:szCs w:val="20"/>
        </w:rPr>
        <w:t xml:space="preserve">The offense found in G.L. c. 269, § 10(a) </w:t>
      </w:r>
      <w:r w:rsidR="007066AC">
        <w:rPr>
          <w:b w:val="0"/>
          <w:bCs w:val="0"/>
          <w:sz w:val="20"/>
          <w:szCs w:val="20"/>
        </w:rPr>
        <w:t xml:space="preserve">was previously </w:t>
      </w:r>
      <w:r w:rsidRPr="003F6BC6">
        <w:rPr>
          <w:b w:val="0"/>
          <w:bCs w:val="0"/>
          <w:sz w:val="20"/>
          <w:szCs w:val="20"/>
        </w:rPr>
        <w:t>referred to as “carrying” a firearm</w:t>
      </w:r>
      <w:r w:rsidR="003802A3">
        <w:rPr>
          <w:b w:val="0"/>
          <w:bCs w:val="0"/>
          <w:sz w:val="20"/>
          <w:szCs w:val="20"/>
        </w:rPr>
        <w:t xml:space="preserve"> and </w:t>
      </w:r>
      <w:r w:rsidR="000A761A">
        <w:rPr>
          <w:b w:val="0"/>
          <w:bCs w:val="0"/>
          <w:sz w:val="20"/>
          <w:szCs w:val="20"/>
        </w:rPr>
        <w:t>required movement of the firearm as an element.  “Carrying” has since been removed from the statutory language and replaced with pos</w:t>
      </w:r>
      <w:r w:rsidR="007B5AA0">
        <w:rPr>
          <w:b w:val="0"/>
          <w:bCs w:val="0"/>
          <w:sz w:val="20"/>
          <w:szCs w:val="20"/>
        </w:rPr>
        <w:t xml:space="preserve">session.  See </w:t>
      </w:r>
      <w:r w:rsidRPr="003F6BC6">
        <w:rPr>
          <w:b w:val="0"/>
          <w:bCs w:val="0"/>
          <w:sz w:val="20"/>
          <w:szCs w:val="20"/>
        </w:rPr>
        <w:t>St. 1990, c. 511 (effective January 2, 1991)</w:t>
      </w:r>
      <w:r w:rsidR="007B5AA0">
        <w:rPr>
          <w:b w:val="0"/>
          <w:bCs w:val="0"/>
          <w:sz w:val="20"/>
          <w:szCs w:val="20"/>
        </w:rPr>
        <w:t>.  As such</w:t>
      </w:r>
      <w:r w:rsidR="004C0586">
        <w:rPr>
          <w:b w:val="0"/>
          <w:bCs w:val="0"/>
          <w:sz w:val="20"/>
          <w:szCs w:val="20"/>
        </w:rPr>
        <w:t>,</w:t>
      </w:r>
      <w:r w:rsidR="007B5AA0">
        <w:rPr>
          <w:b w:val="0"/>
          <w:bCs w:val="0"/>
          <w:sz w:val="20"/>
          <w:szCs w:val="20"/>
        </w:rPr>
        <w:t xml:space="preserve"> the title of the instruction has been updated to reflect this change.</w:t>
      </w:r>
    </w:p>
    <w:p w14:paraId="43BE628D" w14:textId="77777777" w:rsidR="006B74C7" w:rsidRDefault="006B74C7" w:rsidP="006B74C7">
      <w:pPr>
        <w:spacing w:line="240" w:lineRule="auto"/>
        <w:rPr>
          <w:rFonts w:ascii="Arial" w:hAnsi="Arial" w:cs="Arial"/>
          <w:b/>
          <w:bCs/>
          <w:sz w:val="24"/>
          <w:szCs w:val="24"/>
        </w:rPr>
      </w:pPr>
    </w:p>
    <w:p w14:paraId="31FC4AA7" w14:textId="77777777" w:rsidR="006B74C7" w:rsidRPr="00DF64F3" w:rsidRDefault="006B74C7" w:rsidP="006B74C7">
      <w:pPr>
        <w:spacing w:line="480" w:lineRule="auto"/>
        <w:ind w:firstLine="720"/>
        <w:rPr>
          <w:rFonts w:ascii="Arial" w:hAnsi="Arial" w:cs="Arial"/>
          <w:b/>
          <w:bCs/>
          <w:sz w:val="28"/>
          <w:szCs w:val="28"/>
        </w:rPr>
      </w:pPr>
      <w:r w:rsidRPr="00DF64F3">
        <w:rPr>
          <w:rFonts w:ascii="Arial" w:hAnsi="Arial" w:cs="Arial"/>
          <w:b/>
          <w:bCs/>
          <w:sz w:val="28"/>
          <w:szCs w:val="28"/>
        </w:rPr>
        <w:t xml:space="preserve">The defendant is charged with knowingly possessing a </w:t>
      </w:r>
      <w:r>
        <w:rPr>
          <w:rFonts w:ascii="Arial" w:hAnsi="Arial" w:cs="Arial"/>
          <w:b/>
          <w:bCs/>
          <w:sz w:val="28"/>
          <w:szCs w:val="28"/>
        </w:rPr>
        <w:t>(</w:t>
      </w:r>
      <w:r w:rsidRPr="00DF64F3">
        <w:rPr>
          <w:rFonts w:ascii="Arial" w:hAnsi="Arial" w:cs="Arial"/>
          <w:b/>
          <w:bCs/>
          <w:sz w:val="28"/>
          <w:szCs w:val="28"/>
        </w:rPr>
        <w:t>firearm</w:t>
      </w:r>
      <w:r>
        <w:rPr>
          <w:rFonts w:ascii="Arial" w:hAnsi="Arial" w:cs="Arial"/>
          <w:b/>
          <w:bCs/>
          <w:sz w:val="28"/>
          <w:szCs w:val="28"/>
        </w:rPr>
        <w:t xml:space="preserve">) (rifle) (shotgun) </w:t>
      </w:r>
      <w:r w:rsidRPr="00DF64F3">
        <w:rPr>
          <w:rFonts w:ascii="Arial" w:hAnsi="Arial" w:cs="Arial"/>
          <w:b/>
          <w:bCs/>
          <w:sz w:val="28"/>
          <w:szCs w:val="28"/>
        </w:rPr>
        <w:t xml:space="preserve">unlawfully. </w:t>
      </w:r>
    </w:p>
    <w:p w14:paraId="36C8ABF4" w14:textId="3EF94607" w:rsidR="006B74C7" w:rsidRPr="00DF64F3" w:rsidRDefault="006B74C7" w:rsidP="006B74C7">
      <w:pPr>
        <w:spacing w:line="480" w:lineRule="auto"/>
        <w:ind w:firstLine="720"/>
        <w:rPr>
          <w:rFonts w:ascii="Arial" w:hAnsi="Arial" w:cs="Arial"/>
          <w:b/>
          <w:bCs/>
          <w:sz w:val="28"/>
          <w:szCs w:val="28"/>
        </w:rPr>
      </w:pPr>
      <w:r>
        <w:rPr>
          <w:rFonts w:ascii="Arial" w:hAnsi="Arial" w:cs="Arial"/>
          <w:b/>
          <w:bCs/>
          <w:sz w:val="28"/>
          <w:szCs w:val="28"/>
        </w:rPr>
        <w:t>T</w:t>
      </w:r>
      <w:r w:rsidRPr="00DF64F3">
        <w:rPr>
          <w:rFonts w:ascii="Arial" w:hAnsi="Arial" w:cs="Arial"/>
          <w:b/>
          <w:bCs/>
          <w:sz w:val="28"/>
          <w:szCs w:val="28"/>
        </w:rPr>
        <w:t>o prove the defendant guilty of this offense, the Commonwealth must prove the following</w:t>
      </w:r>
      <w:r>
        <w:rPr>
          <w:rFonts w:ascii="Arial" w:hAnsi="Arial" w:cs="Arial"/>
          <w:b/>
          <w:bCs/>
          <w:sz w:val="28"/>
          <w:szCs w:val="28"/>
        </w:rPr>
        <w:t xml:space="preserve"> </w:t>
      </w:r>
      <w:r w:rsidR="00005457">
        <w:rPr>
          <w:rFonts w:ascii="Arial" w:hAnsi="Arial" w:cs="Arial"/>
          <w:b/>
          <w:bCs/>
          <w:sz w:val="28"/>
          <w:szCs w:val="28"/>
        </w:rPr>
        <w:t>(</w:t>
      </w:r>
      <w:r>
        <w:rPr>
          <w:rFonts w:ascii="Arial" w:hAnsi="Arial" w:cs="Arial"/>
          <w:b/>
          <w:bCs/>
          <w:sz w:val="28"/>
          <w:szCs w:val="28"/>
        </w:rPr>
        <w:t>four</w:t>
      </w:r>
      <w:r w:rsidR="00005457">
        <w:rPr>
          <w:rFonts w:ascii="Arial" w:hAnsi="Arial" w:cs="Arial"/>
          <w:b/>
          <w:bCs/>
          <w:sz w:val="28"/>
          <w:szCs w:val="28"/>
        </w:rPr>
        <w:t>) (five)</w:t>
      </w:r>
      <w:r>
        <w:rPr>
          <w:rFonts w:ascii="Arial" w:hAnsi="Arial" w:cs="Arial"/>
          <w:b/>
          <w:bCs/>
          <w:sz w:val="28"/>
          <w:szCs w:val="28"/>
        </w:rPr>
        <w:t xml:space="preserve"> </w:t>
      </w:r>
      <w:r w:rsidRPr="00DF64F3">
        <w:rPr>
          <w:rFonts w:ascii="Arial" w:hAnsi="Arial" w:cs="Arial"/>
          <w:b/>
          <w:bCs/>
          <w:sz w:val="28"/>
          <w:szCs w:val="28"/>
        </w:rPr>
        <w:t xml:space="preserve">things beyond a reasonable doubt: </w:t>
      </w:r>
    </w:p>
    <w:p w14:paraId="4B798DD3" w14:textId="56126B74" w:rsidR="006B74C7" w:rsidRPr="00DF64F3" w:rsidRDefault="006B74C7" w:rsidP="006B74C7">
      <w:pPr>
        <w:spacing w:line="480" w:lineRule="auto"/>
        <w:ind w:firstLine="720"/>
        <w:rPr>
          <w:rFonts w:ascii="Arial" w:hAnsi="Arial" w:cs="Arial"/>
          <w:b/>
          <w:bCs/>
          <w:sz w:val="28"/>
          <w:szCs w:val="28"/>
        </w:rPr>
      </w:pPr>
      <w:r w:rsidRPr="00FB6323">
        <w:rPr>
          <w:rFonts w:ascii="Arial" w:hAnsi="Arial" w:cs="Arial"/>
          <w:b/>
          <w:bCs/>
          <w:i/>
          <w:iCs/>
          <w:sz w:val="28"/>
          <w:szCs w:val="28"/>
        </w:rPr>
        <w:t>First</w:t>
      </w:r>
      <w:r w:rsidRPr="00DF64F3">
        <w:rPr>
          <w:rFonts w:ascii="Arial" w:hAnsi="Arial" w:cs="Arial"/>
          <w:b/>
          <w:bCs/>
          <w:sz w:val="28"/>
          <w:szCs w:val="28"/>
        </w:rPr>
        <w:t xml:space="preserve">: That the defendant </w:t>
      </w:r>
      <w:r>
        <w:rPr>
          <w:rFonts w:ascii="Arial" w:hAnsi="Arial" w:cs="Arial"/>
          <w:b/>
          <w:bCs/>
          <w:sz w:val="28"/>
          <w:szCs w:val="28"/>
        </w:rPr>
        <w:t>(</w:t>
      </w:r>
      <w:r w:rsidRPr="00532739">
        <w:rPr>
          <w:rFonts w:ascii="Arial" w:hAnsi="Arial" w:cs="Arial"/>
          <w:b/>
          <w:bCs/>
          <w:sz w:val="28"/>
          <w:szCs w:val="28"/>
          <w:bdr w:val="single" w:sz="4" w:space="0" w:color="auto"/>
        </w:rPr>
        <w:t>A</w:t>
      </w:r>
      <w:proofErr w:type="gramStart"/>
      <w:r w:rsidRPr="00532739">
        <w:rPr>
          <w:rFonts w:ascii="Arial" w:hAnsi="Arial" w:cs="Arial"/>
          <w:b/>
          <w:bCs/>
          <w:sz w:val="28"/>
          <w:szCs w:val="28"/>
          <w:bdr w:val="single" w:sz="4" w:space="0" w:color="auto"/>
        </w:rPr>
        <w:t>:</w:t>
      </w:r>
      <w:r>
        <w:rPr>
          <w:rFonts w:ascii="Arial" w:hAnsi="Arial" w:cs="Arial"/>
          <w:b/>
          <w:bCs/>
          <w:sz w:val="28"/>
          <w:szCs w:val="28"/>
        </w:rPr>
        <w:t xml:space="preserve">  </w:t>
      </w:r>
      <w:r w:rsidRPr="00DF64F3">
        <w:rPr>
          <w:rFonts w:ascii="Arial" w:hAnsi="Arial" w:cs="Arial"/>
          <w:b/>
          <w:bCs/>
          <w:sz w:val="28"/>
          <w:szCs w:val="28"/>
        </w:rPr>
        <w:t>had</w:t>
      </w:r>
      <w:proofErr w:type="gramEnd"/>
      <w:r w:rsidRPr="00DF64F3">
        <w:rPr>
          <w:rFonts w:ascii="Arial" w:hAnsi="Arial" w:cs="Arial"/>
          <w:b/>
          <w:bCs/>
          <w:sz w:val="28"/>
          <w:szCs w:val="28"/>
        </w:rPr>
        <w:t xml:space="preserve"> a</w:t>
      </w:r>
      <w:r>
        <w:rPr>
          <w:rFonts w:ascii="Arial" w:hAnsi="Arial" w:cs="Arial"/>
          <w:b/>
          <w:bCs/>
          <w:sz w:val="28"/>
          <w:szCs w:val="28"/>
        </w:rPr>
        <w:t xml:space="preserve">n item </w:t>
      </w:r>
      <w:r w:rsidRPr="00DF64F3">
        <w:rPr>
          <w:rFonts w:ascii="Arial" w:hAnsi="Arial" w:cs="Arial"/>
          <w:b/>
          <w:bCs/>
          <w:sz w:val="28"/>
          <w:szCs w:val="28"/>
        </w:rPr>
        <w:t>under their control in a vehicle</w:t>
      </w:r>
      <w:r>
        <w:rPr>
          <w:rFonts w:ascii="Arial" w:hAnsi="Arial" w:cs="Arial"/>
          <w:b/>
          <w:bCs/>
          <w:sz w:val="28"/>
          <w:szCs w:val="28"/>
        </w:rPr>
        <w:t xml:space="preserve">) </w:t>
      </w:r>
      <w:r w:rsidR="005E3E75">
        <w:rPr>
          <w:rFonts w:ascii="Arial" w:hAnsi="Arial" w:cs="Arial"/>
          <w:b/>
          <w:bCs/>
          <w:sz w:val="28"/>
          <w:szCs w:val="28"/>
        </w:rPr>
        <w:t xml:space="preserve">(or) </w:t>
      </w:r>
      <w:r>
        <w:rPr>
          <w:rFonts w:ascii="Arial" w:hAnsi="Arial" w:cs="Arial"/>
          <w:b/>
          <w:bCs/>
          <w:sz w:val="28"/>
          <w:szCs w:val="28"/>
        </w:rPr>
        <w:t>(</w:t>
      </w:r>
      <w:r w:rsidRPr="00532739">
        <w:rPr>
          <w:rFonts w:ascii="Arial" w:hAnsi="Arial" w:cs="Arial"/>
          <w:b/>
          <w:bCs/>
          <w:sz w:val="28"/>
          <w:szCs w:val="28"/>
          <w:bdr w:val="single" w:sz="4" w:space="0" w:color="auto"/>
        </w:rPr>
        <w:t>B:</w:t>
      </w:r>
      <w:r>
        <w:rPr>
          <w:rFonts w:ascii="Arial" w:hAnsi="Arial" w:cs="Arial"/>
          <w:b/>
          <w:bCs/>
          <w:sz w:val="28"/>
          <w:szCs w:val="28"/>
        </w:rPr>
        <w:t xml:space="preserve">  </w:t>
      </w:r>
      <w:r w:rsidRPr="00DF64F3">
        <w:rPr>
          <w:rFonts w:ascii="Arial" w:hAnsi="Arial" w:cs="Arial"/>
          <w:b/>
          <w:bCs/>
          <w:sz w:val="28"/>
          <w:szCs w:val="28"/>
        </w:rPr>
        <w:t>possessed a</w:t>
      </w:r>
      <w:r>
        <w:rPr>
          <w:rFonts w:ascii="Arial" w:hAnsi="Arial" w:cs="Arial"/>
          <w:b/>
          <w:bCs/>
          <w:sz w:val="28"/>
          <w:szCs w:val="28"/>
        </w:rPr>
        <w:t>n item</w:t>
      </w:r>
      <w:proofErr w:type="gramStart"/>
      <w:r>
        <w:rPr>
          <w:rFonts w:ascii="Arial" w:hAnsi="Arial" w:cs="Arial"/>
          <w:b/>
          <w:bCs/>
          <w:sz w:val="28"/>
          <w:szCs w:val="28"/>
        </w:rPr>
        <w:t>)</w:t>
      </w:r>
      <w:r w:rsidRPr="00DF64F3">
        <w:rPr>
          <w:rFonts w:ascii="Arial" w:hAnsi="Arial" w:cs="Arial"/>
          <w:b/>
          <w:bCs/>
          <w:sz w:val="28"/>
          <w:szCs w:val="28"/>
        </w:rPr>
        <w:t>;</w:t>
      </w:r>
      <w:proofErr w:type="gramEnd"/>
      <w:r w:rsidRPr="00DF64F3">
        <w:rPr>
          <w:rFonts w:ascii="Arial" w:hAnsi="Arial" w:cs="Arial"/>
          <w:b/>
          <w:bCs/>
          <w:sz w:val="28"/>
          <w:szCs w:val="28"/>
        </w:rPr>
        <w:t xml:space="preserve"> </w:t>
      </w:r>
    </w:p>
    <w:p w14:paraId="1142BDDC" w14:textId="2CDCF516" w:rsidR="006B74C7" w:rsidRDefault="006B74C7" w:rsidP="006B74C7">
      <w:pPr>
        <w:spacing w:line="480" w:lineRule="auto"/>
        <w:ind w:firstLine="720"/>
        <w:rPr>
          <w:rFonts w:ascii="Arial" w:hAnsi="Arial" w:cs="Arial"/>
          <w:b/>
          <w:bCs/>
          <w:sz w:val="28"/>
          <w:szCs w:val="28"/>
        </w:rPr>
      </w:pPr>
      <w:r w:rsidRPr="00FB6323">
        <w:rPr>
          <w:rFonts w:ascii="Arial" w:hAnsi="Arial" w:cs="Arial"/>
          <w:b/>
          <w:bCs/>
          <w:i/>
          <w:iCs/>
          <w:sz w:val="28"/>
          <w:szCs w:val="28"/>
        </w:rPr>
        <w:t>Second</w:t>
      </w:r>
      <w:r w:rsidRPr="00DF64F3">
        <w:rPr>
          <w:rFonts w:ascii="Arial" w:hAnsi="Arial" w:cs="Arial"/>
          <w:b/>
          <w:bCs/>
          <w:sz w:val="28"/>
          <w:szCs w:val="28"/>
        </w:rPr>
        <w:t xml:space="preserve">: That </w:t>
      </w:r>
      <w:r>
        <w:rPr>
          <w:rFonts w:ascii="Arial" w:hAnsi="Arial" w:cs="Arial"/>
          <w:b/>
          <w:bCs/>
          <w:sz w:val="28"/>
          <w:szCs w:val="28"/>
        </w:rPr>
        <w:t>the item</w:t>
      </w:r>
      <w:r w:rsidRPr="00DF64F3">
        <w:rPr>
          <w:rFonts w:ascii="Arial" w:hAnsi="Arial" w:cs="Arial"/>
          <w:b/>
          <w:bCs/>
          <w:sz w:val="28"/>
          <w:szCs w:val="28"/>
        </w:rPr>
        <w:t xml:space="preserve"> the defendant</w:t>
      </w:r>
      <w:r>
        <w:rPr>
          <w:rFonts w:ascii="Arial" w:hAnsi="Arial" w:cs="Arial"/>
          <w:b/>
          <w:bCs/>
          <w:sz w:val="28"/>
          <w:szCs w:val="28"/>
        </w:rPr>
        <w:t xml:space="preserve"> </w:t>
      </w:r>
      <w:r w:rsidRPr="00DF64F3">
        <w:rPr>
          <w:rFonts w:ascii="Arial" w:hAnsi="Arial" w:cs="Arial"/>
          <w:b/>
          <w:bCs/>
          <w:sz w:val="28"/>
          <w:szCs w:val="28"/>
        </w:rPr>
        <w:t>(</w:t>
      </w:r>
      <w:r w:rsidR="008E3CDF" w:rsidRPr="00F15425">
        <w:rPr>
          <w:rFonts w:ascii="Arial" w:hAnsi="Arial" w:cs="Arial"/>
          <w:b/>
          <w:bCs/>
          <w:sz w:val="28"/>
          <w:szCs w:val="28"/>
          <w:bdr w:val="single" w:sz="4" w:space="0" w:color="auto"/>
        </w:rPr>
        <w:t>A</w:t>
      </w:r>
      <w:proofErr w:type="gramStart"/>
      <w:r w:rsidR="008E3CDF" w:rsidRPr="00F15425">
        <w:rPr>
          <w:rFonts w:ascii="Arial" w:hAnsi="Arial" w:cs="Arial"/>
          <w:b/>
          <w:bCs/>
          <w:sz w:val="28"/>
          <w:szCs w:val="28"/>
          <w:bdr w:val="single" w:sz="4" w:space="0" w:color="auto"/>
        </w:rPr>
        <w:t>:</w:t>
      </w:r>
      <w:r w:rsidR="008E3CDF">
        <w:rPr>
          <w:rFonts w:ascii="Arial" w:hAnsi="Arial" w:cs="Arial"/>
          <w:b/>
          <w:bCs/>
          <w:sz w:val="28"/>
          <w:szCs w:val="28"/>
        </w:rPr>
        <w:t xml:space="preserve">  </w:t>
      </w:r>
      <w:r w:rsidRPr="00DF64F3">
        <w:rPr>
          <w:rFonts w:ascii="Arial" w:hAnsi="Arial" w:cs="Arial"/>
          <w:b/>
          <w:bCs/>
          <w:sz w:val="28"/>
          <w:szCs w:val="28"/>
        </w:rPr>
        <w:t>had</w:t>
      </w:r>
      <w:proofErr w:type="gramEnd"/>
      <w:r w:rsidRPr="00DF64F3">
        <w:rPr>
          <w:rFonts w:ascii="Arial" w:hAnsi="Arial" w:cs="Arial"/>
          <w:b/>
          <w:bCs/>
          <w:sz w:val="28"/>
          <w:szCs w:val="28"/>
        </w:rPr>
        <w:t xml:space="preserve"> under their control in a vehicle) (</w:t>
      </w:r>
      <w:r w:rsidR="008E3CDF" w:rsidRPr="00325724">
        <w:rPr>
          <w:rFonts w:ascii="Arial" w:hAnsi="Arial" w:cs="Arial"/>
          <w:b/>
          <w:bCs/>
          <w:sz w:val="28"/>
          <w:szCs w:val="28"/>
          <w:bdr w:val="single" w:sz="4" w:space="0" w:color="auto"/>
        </w:rPr>
        <w:t>B:</w:t>
      </w:r>
      <w:r w:rsidR="008E3CDF">
        <w:rPr>
          <w:rFonts w:ascii="Arial" w:hAnsi="Arial" w:cs="Arial"/>
          <w:b/>
          <w:bCs/>
          <w:sz w:val="28"/>
          <w:szCs w:val="28"/>
        </w:rPr>
        <w:t xml:space="preserve">  </w:t>
      </w:r>
      <w:r w:rsidRPr="00DF64F3">
        <w:rPr>
          <w:rFonts w:ascii="Arial" w:hAnsi="Arial" w:cs="Arial"/>
          <w:b/>
          <w:bCs/>
          <w:sz w:val="28"/>
          <w:szCs w:val="28"/>
        </w:rPr>
        <w:t xml:space="preserve">possessed) met the legal definition of a </w:t>
      </w:r>
      <w:r>
        <w:rPr>
          <w:rFonts w:ascii="Arial" w:hAnsi="Arial" w:cs="Arial"/>
          <w:b/>
          <w:bCs/>
          <w:sz w:val="28"/>
          <w:szCs w:val="28"/>
        </w:rPr>
        <w:t>(</w:t>
      </w:r>
      <w:r w:rsidRPr="00DF64F3">
        <w:rPr>
          <w:rFonts w:ascii="Arial" w:hAnsi="Arial" w:cs="Arial"/>
          <w:b/>
          <w:bCs/>
          <w:sz w:val="28"/>
          <w:szCs w:val="28"/>
        </w:rPr>
        <w:t>firearm</w:t>
      </w:r>
      <w:r>
        <w:rPr>
          <w:rFonts w:ascii="Arial" w:hAnsi="Arial" w:cs="Arial"/>
          <w:b/>
          <w:bCs/>
          <w:sz w:val="28"/>
          <w:szCs w:val="28"/>
        </w:rPr>
        <w:t>) (rifle) (shotgun</w:t>
      </w:r>
      <w:proofErr w:type="gramStart"/>
      <w:r>
        <w:rPr>
          <w:rFonts w:ascii="Arial" w:hAnsi="Arial" w:cs="Arial"/>
          <w:b/>
          <w:bCs/>
          <w:sz w:val="28"/>
          <w:szCs w:val="28"/>
        </w:rPr>
        <w:t>)</w:t>
      </w:r>
      <w:r w:rsidRPr="00DF64F3">
        <w:rPr>
          <w:rFonts w:ascii="Arial" w:hAnsi="Arial" w:cs="Arial"/>
          <w:b/>
          <w:bCs/>
          <w:sz w:val="28"/>
          <w:szCs w:val="28"/>
        </w:rPr>
        <w:t>;</w:t>
      </w:r>
      <w:proofErr w:type="gramEnd"/>
      <w:r w:rsidRPr="00DF64F3">
        <w:rPr>
          <w:rFonts w:ascii="Arial" w:hAnsi="Arial" w:cs="Arial"/>
          <w:b/>
          <w:bCs/>
          <w:sz w:val="28"/>
          <w:szCs w:val="28"/>
        </w:rPr>
        <w:t xml:space="preserve">  </w:t>
      </w:r>
    </w:p>
    <w:p w14:paraId="487A4B1B" w14:textId="6939099D" w:rsidR="006B74C7" w:rsidRDefault="006B74C7" w:rsidP="006B74C7">
      <w:pPr>
        <w:spacing w:line="480" w:lineRule="auto"/>
        <w:ind w:firstLine="720"/>
        <w:rPr>
          <w:rFonts w:ascii="Arial" w:hAnsi="Arial" w:cs="Arial"/>
          <w:b/>
          <w:bCs/>
          <w:sz w:val="28"/>
          <w:szCs w:val="28"/>
        </w:rPr>
      </w:pPr>
      <w:r w:rsidRPr="00FB6323">
        <w:rPr>
          <w:rFonts w:ascii="Arial" w:hAnsi="Arial" w:cs="Arial"/>
          <w:b/>
          <w:bCs/>
          <w:i/>
          <w:iCs/>
          <w:sz w:val="28"/>
          <w:szCs w:val="28"/>
        </w:rPr>
        <w:t>Third</w:t>
      </w:r>
      <w:r w:rsidRPr="00DF64F3">
        <w:rPr>
          <w:rFonts w:ascii="Arial" w:hAnsi="Arial" w:cs="Arial"/>
          <w:b/>
          <w:bCs/>
          <w:sz w:val="28"/>
          <w:szCs w:val="28"/>
        </w:rPr>
        <w:t xml:space="preserve">: That the defendant </w:t>
      </w:r>
      <w:r w:rsidRPr="00DB3056">
        <w:rPr>
          <w:rFonts w:ascii="Arial" w:hAnsi="Arial" w:cs="Arial"/>
          <w:b/>
          <w:bCs/>
          <w:i/>
          <w:iCs/>
          <w:sz w:val="28"/>
          <w:szCs w:val="28"/>
        </w:rPr>
        <w:t>knew</w:t>
      </w:r>
      <w:r w:rsidRPr="00DF64F3">
        <w:rPr>
          <w:rFonts w:ascii="Arial" w:hAnsi="Arial" w:cs="Arial"/>
          <w:b/>
          <w:bCs/>
          <w:sz w:val="28"/>
          <w:szCs w:val="28"/>
        </w:rPr>
        <w:t xml:space="preserve"> that they</w:t>
      </w:r>
      <w:r>
        <w:rPr>
          <w:rFonts w:ascii="Arial" w:hAnsi="Arial" w:cs="Arial"/>
          <w:b/>
          <w:bCs/>
          <w:sz w:val="28"/>
          <w:szCs w:val="28"/>
        </w:rPr>
        <w:t xml:space="preserve"> [</w:t>
      </w:r>
      <w:r w:rsidR="00F25A4F" w:rsidRPr="00F25A4F">
        <w:rPr>
          <w:rFonts w:ascii="Arial" w:hAnsi="Arial" w:cs="Arial"/>
          <w:b/>
          <w:bCs/>
          <w:sz w:val="28"/>
          <w:szCs w:val="28"/>
          <w:bdr w:val="single" w:sz="4" w:space="0" w:color="auto"/>
        </w:rPr>
        <w:t>A</w:t>
      </w:r>
      <w:proofErr w:type="gramStart"/>
      <w:r w:rsidR="00F25A4F" w:rsidRPr="00F25A4F">
        <w:rPr>
          <w:rFonts w:ascii="Arial" w:hAnsi="Arial" w:cs="Arial"/>
          <w:b/>
          <w:bCs/>
          <w:sz w:val="28"/>
          <w:szCs w:val="28"/>
          <w:bdr w:val="single" w:sz="4" w:space="0" w:color="auto"/>
        </w:rPr>
        <w:t>:</w:t>
      </w:r>
      <w:r w:rsidR="00F25A4F">
        <w:rPr>
          <w:rFonts w:ascii="Arial" w:hAnsi="Arial" w:cs="Arial"/>
          <w:b/>
          <w:bCs/>
          <w:sz w:val="28"/>
          <w:szCs w:val="28"/>
        </w:rPr>
        <w:t xml:space="preserve">  </w:t>
      </w:r>
      <w:r w:rsidRPr="00DF64F3">
        <w:rPr>
          <w:rFonts w:ascii="Arial" w:hAnsi="Arial" w:cs="Arial"/>
          <w:b/>
          <w:bCs/>
          <w:sz w:val="28"/>
          <w:szCs w:val="28"/>
        </w:rPr>
        <w:t>had</w:t>
      </w:r>
      <w:proofErr w:type="gramEnd"/>
      <w:r w:rsidRPr="00DF64F3">
        <w:rPr>
          <w:rFonts w:ascii="Arial" w:hAnsi="Arial" w:cs="Arial"/>
          <w:b/>
          <w:bCs/>
          <w:sz w:val="28"/>
          <w:szCs w:val="28"/>
        </w:rPr>
        <w:t xml:space="preserve"> a </w:t>
      </w:r>
      <w:r>
        <w:rPr>
          <w:rFonts w:ascii="Arial" w:hAnsi="Arial" w:cs="Arial"/>
          <w:b/>
          <w:bCs/>
          <w:sz w:val="28"/>
          <w:szCs w:val="28"/>
        </w:rPr>
        <w:t>(</w:t>
      </w:r>
      <w:r w:rsidRPr="00DF64F3">
        <w:rPr>
          <w:rFonts w:ascii="Arial" w:hAnsi="Arial" w:cs="Arial"/>
          <w:b/>
          <w:bCs/>
          <w:sz w:val="28"/>
          <w:szCs w:val="28"/>
        </w:rPr>
        <w:t>firearm</w:t>
      </w:r>
      <w:r>
        <w:rPr>
          <w:rFonts w:ascii="Arial" w:hAnsi="Arial" w:cs="Arial"/>
          <w:b/>
          <w:bCs/>
          <w:sz w:val="28"/>
          <w:szCs w:val="28"/>
        </w:rPr>
        <w:t xml:space="preserve">) (rifle) (shotgun) </w:t>
      </w:r>
      <w:r w:rsidRPr="00DF64F3">
        <w:rPr>
          <w:rFonts w:ascii="Arial" w:hAnsi="Arial" w:cs="Arial"/>
          <w:b/>
          <w:bCs/>
          <w:sz w:val="28"/>
          <w:szCs w:val="28"/>
        </w:rPr>
        <w:t>under their control in a vehicle</w:t>
      </w:r>
      <w:r>
        <w:rPr>
          <w:rFonts w:ascii="Arial" w:hAnsi="Arial" w:cs="Arial"/>
          <w:b/>
          <w:bCs/>
          <w:sz w:val="28"/>
          <w:szCs w:val="28"/>
        </w:rPr>
        <w:t>]</w:t>
      </w:r>
      <w:r w:rsidRPr="00DF64F3">
        <w:rPr>
          <w:rFonts w:ascii="Arial" w:hAnsi="Arial" w:cs="Arial"/>
          <w:b/>
          <w:bCs/>
          <w:sz w:val="28"/>
          <w:szCs w:val="28"/>
        </w:rPr>
        <w:t xml:space="preserve"> </w:t>
      </w:r>
      <w:r>
        <w:rPr>
          <w:rFonts w:ascii="Arial" w:hAnsi="Arial" w:cs="Arial"/>
          <w:b/>
          <w:bCs/>
          <w:sz w:val="28"/>
          <w:szCs w:val="28"/>
        </w:rPr>
        <w:t>[</w:t>
      </w:r>
      <w:r w:rsidR="00F25A4F" w:rsidRPr="00F25A4F">
        <w:rPr>
          <w:rFonts w:ascii="Arial" w:hAnsi="Arial" w:cs="Arial"/>
          <w:b/>
          <w:bCs/>
          <w:sz w:val="28"/>
          <w:szCs w:val="28"/>
          <w:bdr w:val="single" w:sz="4" w:space="0" w:color="auto"/>
        </w:rPr>
        <w:t>B:</w:t>
      </w:r>
      <w:r w:rsidR="00F25A4F">
        <w:rPr>
          <w:rFonts w:ascii="Arial" w:hAnsi="Arial" w:cs="Arial"/>
          <w:b/>
          <w:bCs/>
          <w:sz w:val="28"/>
          <w:szCs w:val="28"/>
        </w:rPr>
        <w:t xml:space="preserve">  </w:t>
      </w:r>
      <w:r w:rsidRPr="00DF64F3">
        <w:rPr>
          <w:rFonts w:ascii="Arial" w:hAnsi="Arial" w:cs="Arial"/>
          <w:b/>
          <w:bCs/>
          <w:sz w:val="28"/>
          <w:szCs w:val="28"/>
        </w:rPr>
        <w:t xml:space="preserve">possessed a </w:t>
      </w:r>
      <w:r>
        <w:rPr>
          <w:rFonts w:ascii="Arial" w:hAnsi="Arial" w:cs="Arial"/>
          <w:b/>
          <w:bCs/>
          <w:sz w:val="28"/>
          <w:szCs w:val="28"/>
        </w:rPr>
        <w:t>(</w:t>
      </w:r>
      <w:r w:rsidRPr="00DF64F3">
        <w:rPr>
          <w:rFonts w:ascii="Arial" w:hAnsi="Arial" w:cs="Arial"/>
          <w:b/>
          <w:bCs/>
          <w:sz w:val="28"/>
          <w:szCs w:val="28"/>
        </w:rPr>
        <w:t>firearm)</w:t>
      </w:r>
      <w:r w:rsidRPr="00DA4FE3">
        <w:rPr>
          <w:rFonts w:ascii="Arial" w:hAnsi="Arial" w:cs="Arial"/>
          <w:b/>
          <w:bCs/>
          <w:sz w:val="28"/>
          <w:szCs w:val="28"/>
        </w:rPr>
        <w:t xml:space="preserve"> </w:t>
      </w:r>
      <w:r>
        <w:rPr>
          <w:rFonts w:ascii="Arial" w:hAnsi="Arial" w:cs="Arial"/>
          <w:b/>
          <w:bCs/>
          <w:sz w:val="28"/>
          <w:szCs w:val="28"/>
        </w:rPr>
        <w:t xml:space="preserve">(rifle) (shotgun)]; </w:t>
      </w:r>
      <w:r w:rsidR="00325724">
        <w:rPr>
          <w:rFonts w:ascii="Arial" w:hAnsi="Arial" w:cs="Arial"/>
          <w:b/>
          <w:bCs/>
          <w:sz w:val="28"/>
          <w:szCs w:val="28"/>
        </w:rPr>
        <w:t>and</w:t>
      </w:r>
    </w:p>
    <w:p w14:paraId="16A02EC4" w14:textId="503AEBCD" w:rsidR="006B74C7" w:rsidRDefault="006B74C7" w:rsidP="006B74C7">
      <w:pPr>
        <w:spacing w:line="480" w:lineRule="auto"/>
        <w:ind w:firstLine="720"/>
        <w:rPr>
          <w:rFonts w:ascii="Arial" w:hAnsi="Arial" w:cs="Arial"/>
          <w:b/>
          <w:bCs/>
          <w:sz w:val="28"/>
          <w:szCs w:val="28"/>
        </w:rPr>
      </w:pPr>
      <w:r>
        <w:rPr>
          <w:rFonts w:ascii="Arial" w:hAnsi="Arial" w:cs="Arial"/>
          <w:b/>
          <w:bCs/>
          <w:i/>
          <w:iCs/>
          <w:sz w:val="28"/>
          <w:szCs w:val="28"/>
        </w:rPr>
        <w:lastRenderedPageBreak/>
        <w:t>Fourth</w:t>
      </w:r>
      <w:proofErr w:type="gramStart"/>
      <w:r w:rsidRPr="00DF64F3">
        <w:rPr>
          <w:rFonts w:ascii="Arial" w:hAnsi="Arial" w:cs="Arial"/>
          <w:b/>
          <w:bCs/>
          <w:sz w:val="28"/>
          <w:szCs w:val="28"/>
        </w:rPr>
        <w:t xml:space="preserve">: </w:t>
      </w:r>
      <w:r>
        <w:rPr>
          <w:rFonts w:ascii="Arial" w:hAnsi="Arial" w:cs="Arial"/>
          <w:b/>
          <w:bCs/>
          <w:sz w:val="28"/>
          <w:szCs w:val="28"/>
        </w:rPr>
        <w:t xml:space="preserve"> T</w:t>
      </w:r>
      <w:r w:rsidRPr="00DF64F3">
        <w:rPr>
          <w:rFonts w:ascii="Arial" w:hAnsi="Arial" w:cs="Arial"/>
          <w:b/>
          <w:bCs/>
          <w:sz w:val="28"/>
          <w:szCs w:val="28"/>
        </w:rPr>
        <w:t>hat</w:t>
      </w:r>
      <w:proofErr w:type="gramEnd"/>
      <w:r w:rsidRPr="00DF64F3">
        <w:rPr>
          <w:rFonts w:ascii="Arial" w:hAnsi="Arial" w:cs="Arial"/>
          <w:b/>
          <w:bCs/>
          <w:sz w:val="28"/>
          <w:szCs w:val="28"/>
        </w:rPr>
        <w:t xml:space="preserve"> the defendant did not have a valid </w:t>
      </w:r>
      <w:bookmarkStart w:id="0" w:name="_Hlk135056325"/>
      <w:r w:rsidR="003317A0">
        <w:rPr>
          <w:rFonts w:ascii="Arial" w:hAnsi="Arial" w:cs="Arial"/>
          <w:b/>
          <w:bCs/>
          <w:sz w:val="28"/>
          <w:szCs w:val="28"/>
        </w:rPr>
        <w:t>license to possess a</w:t>
      </w:r>
      <w:r w:rsidRPr="00DF64F3">
        <w:rPr>
          <w:rFonts w:ascii="Arial" w:hAnsi="Arial" w:cs="Arial"/>
          <w:b/>
          <w:bCs/>
          <w:sz w:val="28"/>
          <w:szCs w:val="28"/>
        </w:rPr>
        <w:t xml:space="preserve"> </w:t>
      </w:r>
      <w:r w:rsidR="003317A0">
        <w:rPr>
          <w:rFonts w:ascii="Arial" w:hAnsi="Arial" w:cs="Arial"/>
          <w:b/>
          <w:bCs/>
          <w:sz w:val="28"/>
          <w:szCs w:val="28"/>
        </w:rPr>
        <w:t>(</w:t>
      </w:r>
      <w:r w:rsidRPr="00DF64F3">
        <w:rPr>
          <w:rFonts w:ascii="Arial" w:hAnsi="Arial" w:cs="Arial"/>
          <w:b/>
          <w:bCs/>
          <w:sz w:val="28"/>
          <w:szCs w:val="28"/>
        </w:rPr>
        <w:t>firearm</w:t>
      </w:r>
      <w:bookmarkEnd w:id="0"/>
      <w:r w:rsidR="003317A0">
        <w:rPr>
          <w:rFonts w:ascii="Arial" w:hAnsi="Arial" w:cs="Arial"/>
          <w:b/>
          <w:bCs/>
          <w:sz w:val="28"/>
          <w:szCs w:val="28"/>
        </w:rPr>
        <w:t xml:space="preserve">) </w:t>
      </w:r>
      <w:r w:rsidR="003317A0" w:rsidDel="00E831A6">
        <w:rPr>
          <w:rFonts w:ascii="Arial" w:hAnsi="Arial" w:cs="Arial"/>
          <w:b/>
          <w:bCs/>
          <w:sz w:val="28"/>
          <w:szCs w:val="28"/>
        </w:rPr>
        <w:t>(rifle) (shotgun)</w:t>
      </w:r>
      <w:r w:rsidR="00E60ECB">
        <w:rPr>
          <w:rFonts w:ascii="Arial" w:hAnsi="Arial" w:cs="Arial"/>
          <w:b/>
          <w:bCs/>
          <w:sz w:val="28"/>
          <w:szCs w:val="28"/>
        </w:rPr>
        <w:t>;</w:t>
      </w:r>
      <w:r w:rsidR="00372B37">
        <w:rPr>
          <w:rFonts w:ascii="Arial" w:hAnsi="Arial" w:cs="Arial"/>
          <w:b/>
          <w:bCs/>
          <w:sz w:val="28"/>
          <w:szCs w:val="28"/>
        </w:rPr>
        <w:t xml:space="preserve"> </w:t>
      </w:r>
      <w:r w:rsidR="00E60ECB">
        <w:rPr>
          <w:rFonts w:ascii="Arial" w:hAnsi="Arial" w:cs="Arial"/>
          <w:b/>
          <w:bCs/>
          <w:sz w:val="28"/>
          <w:szCs w:val="28"/>
        </w:rPr>
        <w:t>(</w:t>
      </w:r>
      <w:r w:rsidR="00372B37">
        <w:rPr>
          <w:rFonts w:ascii="Arial" w:hAnsi="Arial" w:cs="Arial"/>
          <w:b/>
          <w:bCs/>
          <w:sz w:val="28"/>
          <w:szCs w:val="28"/>
        </w:rPr>
        <w:t>and</w:t>
      </w:r>
      <w:r w:rsidR="00E60ECB">
        <w:rPr>
          <w:rFonts w:ascii="Arial" w:hAnsi="Arial" w:cs="Arial"/>
          <w:b/>
          <w:bCs/>
          <w:sz w:val="28"/>
          <w:szCs w:val="28"/>
        </w:rPr>
        <w:t>)</w:t>
      </w:r>
    </w:p>
    <w:p w14:paraId="1A2ED485" w14:textId="77777777" w:rsidR="006B74C7" w:rsidRDefault="006B74C7" w:rsidP="006B74C7">
      <w:pPr>
        <w:tabs>
          <w:tab w:val="left" w:pos="8640"/>
        </w:tabs>
        <w:ind w:right="720"/>
        <w:rPr>
          <w:rFonts w:ascii="Arial" w:hAnsi="Arial" w:cs="Arial"/>
          <w:i/>
          <w:iCs/>
          <w:sz w:val="24"/>
          <w:szCs w:val="24"/>
        </w:rPr>
      </w:pPr>
      <w:r w:rsidRPr="00B36DBE">
        <w:rPr>
          <w:rFonts w:ascii="Arial" w:hAnsi="Arial" w:cs="Arial"/>
          <w:i/>
          <w:iCs/>
          <w:sz w:val="24"/>
          <w:szCs w:val="24"/>
        </w:rPr>
        <w:t>If there is evidence of one of the statutory exceptions</w:t>
      </w:r>
      <w:r>
        <w:rPr>
          <w:rFonts w:ascii="Arial" w:hAnsi="Arial" w:cs="Arial"/>
          <w:i/>
          <w:iCs/>
          <w:sz w:val="24"/>
          <w:szCs w:val="24"/>
        </w:rPr>
        <w:t xml:space="preserve"> or exemptions</w:t>
      </w:r>
      <w:r w:rsidRPr="00B36DBE">
        <w:rPr>
          <w:rFonts w:ascii="Arial" w:hAnsi="Arial" w:cs="Arial"/>
          <w:i/>
          <w:iCs/>
          <w:sz w:val="24"/>
          <w:szCs w:val="24"/>
        </w:rPr>
        <w:t>, use one of the following</w:t>
      </w:r>
      <w:r>
        <w:rPr>
          <w:rFonts w:ascii="Arial" w:hAnsi="Arial" w:cs="Arial"/>
          <w:i/>
          <w:iCs/>
          <w:sz w:val="24"/>
          <w:szCs w:val="24"/>
        </w:rPr>
        <w:t xml:space="preserve"> in the final charge</w:t>
      </w:r>
      <w:r w:rsidRPr="00B36DBE">
        <w:rPr>
          <w:rFonts w:ascii="Arial" w:hAnsi="Arial" w:cs="Arial"/>
          <w:i/>
          <w:iCs/>
          <w:sz w:val="24"/>
          <w:szCs w:val="24"/>
        </w:rPr>
        <w:t xml:space="preserve">: </w:t>
      </w:r>
    </w:p>
    <w:p w14:paraId="119BB874" w14:textId="77777777" w:rsidR="006B74C7" w:rsidRPr="00B36DBE" w:rsidRDefault="006B74C7" w:rsidP="006B74C7">
      <w:pPr>
        <w:pStyle w:val="ListParagraph"/>
        <w:pBdr>
          <w:left w:val="single" w:sz="4" w:space="1" w:color="auto"/>
          <w:right w:val="single" w:sz="4" w:space="1" w:color="auto"/>
        </w:pBdr>
        <w:ind w:right="720"/>
        <w:rPr>
          <w:rFonts w:ascii="Arial" w:hAnsi="Arial" w:cs="Arial"/>
          <w:sz w:val="24"/>
          <w:szCs w:val="24"/>
        </w:rPr>
      </w:pPr>
      <w:r w:rsidRPr="00B36DBE">
        <w:rPr>
          <w:rFonts w:ascii="Arial" w:hAnsi="Arial" w:cs="Arial"/>
          <w:i/>
          <w:iCs/>
          <w:sz w:val="20"/>
          <w:szCs w:val="20"/>
          <w:bdr w:val="single" w:sz="4" w:space="0" w:color="auto"/>
        </w:rPr>
        <w:t>A</w:t>
      </w:r>
      <w:r w:rsidRPr="00B36DBE">
        <w:rPr>
          <w:rFonts w:ascii="Arial" w:hAnsi="Arial" w:cs="Arial"/>
          <w:i/>
          <w:iCs/>
          <w:sz w:val="24"/>
          <w:szCs w:val="24"/>
          <w:bdr w:val="single" w:sz="4" w:space="0" w:color="auto"/>
        </w:rPr>
        <w:t xml:space="preserve">.  </w:t>
      </w:r>
      <w:r w:rsidRPr="00F4151D">
        <w:rPr>
          <w:rFonts w:ascii="Arial" w:hAnsi="Arial" w:cs="Arial"/>
          <w:i/>
          <w:iCs/>
          <w:sz w:val="24"/>
          <w:szCs w:val="24"/>
          <w:bdr w:val="single" w:sz="4" w:space="0" w:color="auto"/>
        </w:rPr>
        <w:t>If there is evidence that the place of possession was the defendant’s residence or place of business</w:t>
      </w:r>
      <w:r w:rsidRPr="00F4151D">
        <w:rPr>
          <w:rFonts w:ascii="Arial" w:hAnsi="Arial" w:cs="Arial"/>
          <w:sz w:val="24"/>
          <w:szCs w:val="24"/>
          <w:bdr w:val="single" w:sz="4" w:space="0" w:color="auto"/>
        </w:rPr>
        <w:t>.</w:t>
      </w:r>
      <w:r w:rsidRPr="00B36DBE">
        <w:rPr>
          <w:rFonts w:ascii="Arial" w:hAnsi="Arial" w:cs="Arial"/>
          <w:sz w:val="24"/>
          <w:szCs w:val="24"/>
        </w:rPr>
        <w:t xml:space="preserve"> </w:t>
      </w:r>
    </w:p>
    <w:p w14:paraId="1DFFEE38" w14:textId="55D76F42" w:rsidR="006B74C7" w:rsidDel="00E831A6" w:rsidRDefault="006B74C7" w:rsidP="006B74C7">
      <w:pPr>
        <w:pBdr>
          <w:left w:val="single" w:sz="4" w:space="1" w:color="auto"/>
          <w:right w:val="single" w:sz="4" w:space="1" w:color="auto"/>
        </w:pBdr>
        <w:spacing w:line="480" w:lineRule="auto"/>
        <w:ind w:left="720" w:right="720"/>
        <w:rPr>
          <w:rFonts w:ascii="Arial" w:hAnsi="Arial" w:cs="Arial"/>
          <w:b/>
          <w:bCs/>
          <w:sz w:val="28"/>
          <w:szCs w:val="28"/>
        </w:rPr>
      </w:pPr>
      <w:r>
        <w:rPr>
          <w:rFonts w:ascii="Arial" w:hAnsi="Arial" w:cs="Arial"/>
          <w:b/>
          <w:bCs/>
          <w:i/>
          <w:iCs/>
          <w:sz w:val="28"/>
          <w:szCs w:val="28"/>
        </w:rPr>
        <w:t>Fifth</w:t>
      </w:r>
      <w:proofErr w:type="gramStart"/>
      <w:r w:rsidRPr="00DF64F3" w:rsidDel="00E831A6">
        <w:rPr>
          <w:rFonts w:ascii="Arial" w:hAnsi="Arial" w:cs="Arial"/>
          <w:b/>
          <w:bCs/>
          <w:sz w:val="28"/>
          <w:szCs w:val="28"/>
        </w:rPr>
        <w:t xml:space="preserve">: </w:t>
      </w:r>
      <w:r w:rsidDel="00E831A6">
        <w:rPr>
          <w:rFonts w:ascii="Arial" w:hAnsi="Arial" w:cs="Arial"/>
          <w:b/>
          <w:bCs/>
          <w:sz w:val="28"/>
          <w:szCs w:val="28"/>
        </w:rPr>
        <w:t xml:space="preserve"> T</w:t>
      </w:r>
      <w:r w:rsidRPr="00DF64F3" w:rsidDel="00E831A6">
        <w:rPr>
          <w:rFonts w:ascii="Arial" w:hAnsi="Arial" w:cs="Arial"/>
          <w:b/>
          <w:bCs/>
          <w:sz w:val="28"/>
          <w:szCs w:val="28"/>
        </w:rPr>
        <w:t>hat</w:t>
      </w:r>
      <w:proofErr w:type="gramEnd"/>
      <w:r w:rsidRPr="00DF64F3" w:rsidDel="00E831A6">
        <w:rPr>
          <w:rFonts w:ascii="Arial" w:hAnsi="Arial" w:cs="Arial"/>
          <w:b/>
          <w:bCs/>
          <w:sz w:val="28"/>
          <w:szCs w:val="28"/>
        </w:rPr>
        <w:t xml:space="preserve"> the defendant possessed the </w:t>
      </w:r>
      <w:r w:rsidDel="00E831A6">
        <w:rPr>
          <w:rFonts w:ascii="Arial" w:hAnsi="Arial" w:cs="Arial"/>
          <w:b/>
          <w:bCs/>
          <w:sz w:val="28"/>
          <w:szCs w:val="28"/>
        </w:rPr>
        <w:t>(</w:t>
      </w:r>
      <w:r w:rsidRPr="00DF64F3" w:rsidDel="00E831A6">
        <w:rPr>
          <w:rFonts w:ascii="Arial" w:hAnsi="Arial" w:cs="Arial"/>
          <w:b/>
          <w:bCs/>
          <w:sz w:val="28"/>
          <w:szCs w:val="28"/>
        </w:rPr>
        <w:t>firearm</w:t>
      </w:r>
      <w:r w:rsidDel="00E831A6">
        <w:rPr>
          <w:rFonts w:ascii="Arial" w:hAnsi="Arial" w:cs="Arial"/>
          <w:b/>
          <w:bCs/>
          <w:sz w:val="28"/>
          <w:szCs w:val="28"/>
        </w:rPr>
        <w:t xml:space="preserve">) (rifle) (shotgun) </w:t>
      </w:r>
      <w:r w:rsidRPr="00DF64F3" w:rsidDel="00E831A6">
        <w:rPr>
          <w:rFonts w:ascii="Arial" w:hAnsi="Arial" w:cs="Arial"/>
          <w:b/>
          <w:bCs/>
          <w:sz w:val="28"/>
          <w:szCs w:val="28"/>
        </w:rPr>
        <w:t xml:space="preserve">outside of their residence or place of business. </w:t>
      </w:r>
      <w:r w:rsidDel="00E831A6">
        <w:rPr>
          <w:rFonts w:ascii="Arial" w:hAnsi="Arial" w:cs="Arial"/>
          <w:b/>
          <w:bCs/>
          <w:sz w:val="28"/>
          <w:szCs w:val="28"/>
        </w:rPr>
        <w:t xml:space="preserve"> </w:t>
      </w:r>
    </w:p>
    <w:p w14:paraId="7E629708" w14:textId="77777777" w:rsidR="006B74C7" w:rsidRDefault="006B74C7" w:rsidP="006B74C7">
      <w:pPr>
        <w:pBdr>
          <w:left w:val="single" w:sz="4" w:space="1" w:color="auto"/>
          <w:right w:val="single" w:sz="4" w:space="1" w:color="auto"/>
        </w:pBdr>
        <w:tabs>
          <w:tab w:val="left" w:pos="720"/>
        </w:tabs>
        <w:spacing w:after="0" w:line="480" w:lineRule="auto"/>
        <w:ind w:left="720" w:right="720"/>
        <w:rPr>
          <w:rFonts w:ascii="Arial" w:hAnsi="Arial" w:cs="Arial"/>
          <w:b/>
          <w:bCs/>
          <w:sz w:val="28"/>
          <w:szCs w:val="28"/>
        </w:rPr>
      </w:pPr>
      <w:r>
        <w:rPr>
          <w:rFonts w:ascii="Arial" w:hAnsi="Arial" w:cs="Arial"/>
          <w:b/>
          <w:bCs/>
          <w:sz w:val="28"/>
          <w:szCs w:val="28"/>
        </w:rPr>
        <w:tab/>
      </w:r>
      <w:r w:rsidRPr="00DF64F3">
        <w:rPr>
          <w:rFonts w:ascii="Arial" w:hAnsi="Arial" w:cs="Arial"/>
          <w:b/>
          <w:bCs/>
          <w:sz w:val="28"/>
          <w:szCs w:val="28"/>
        </w:rPr>
        <w:t xml:space="preserve">A person’s residence or place of business does not include common areas of an apartment or office building, but only areas that are under that person’s exclusive control. </w:t>
      </w:r>
    </w:p>
    <w:p w14:paraId="2749130E" w14:textId="5C73C35C" w:rsidR="006B74C7" w:rsidRDefault="006B74C7" w:rsidP="006B74C7">
      <w:pPr>
        <w:pBdr>
          <w:left w:val="single" w:sz="4" w:space="1" w:color="auto"/>
          <w:right w:val="single" w:sz="4" w:space="1" w:color="auto"/>
        </w:pBdr>
        <w:tabs>
          <w:tab w:val="left" w:pos="720"/>
        </w:tabs>
        <w:spacing w:after="0" w:line="240" w:lineRule="auto"/>
        <w:ind w:left="720" w:right="720"/>
        <w:rPr>
          <w:rFonts w:ascii="Arial" w:hAnsi="Arial" w:cs="Arial"/>
          <w:color w:val="000000"/>
          <w:sz w:val="20"/>
          <w:szCs w:val="20"/>
          <w:bdr w:val="none" w:sz="0" w:space="0" w:color="auto" w:frame="1"/>
        </w:rPr>
      </w:pPr>
      <w:r w:rsidRPr="006B5F09">
        <w:rPr>
          <w:rFonts w:ascii="Arial" w:hAnsi="Arial" w:cs="Arial"/>
          <w:sz w:val="20"/>
          <w:szCs w:val="20"/>
        </w:rPr>
        <w:t>See</w:t>
      </w:r>
      <w:r>
        <w:rPr>
          <w:rFonts w:ascii="Arial" w:hAnsi="Arial" w:cs="Arial"/>
          <w:color w:val="000000"/>
          <w:sz w:val="20"/>
          <w:szCs w:val="20"/>
          <w:bdr w:val="none" w:sz="0" w:space="0" w:color="auto" w:frame="1"/>
        </w:rPr>
        <w:t xml:space="preserve"> </w:t>
      </w:r>
      <w:r w:rsidRPr="00067AFA">
        <w:rPr>
          <w:rFonts w:ascii="Arial" w:hAnsi="Arial" w:cs="Arial"/>
          <w:i/>
          <w:iCs/>
          <w:color w:val="000000"/>
          <w:sz w:val="20"/>
          <w:szCs w:val="20"/>
          <w:bdr w:val="none" w:sz="0" w:space="0" w:color="auto" w:frame="1"/>
        </w:rPr>
        <w:t>Commonwealth v. Guardado</w:t>
      </w:r>
      <w:r>
        <w:rPr>
          <w:rFonts w:ascii="Arial" w:hAnsi="Arial" w:cs="Arial"/>
          <w:color w:val="000000"/>
          <w:sz w:val="20"/>
          <w:szCs w:val="20"/>
          <w:bdr w:val="none" w:sz="0" w:space="0" w:color="auto" w:frame="1"/>
        </w:rPr>
        <w:t xml:space="preserve">, 491 Mass. 666, 682-685 (2023); </w:t>
      </w:r>
      <w:r w:rsidRPr="006B5F09">
        <w:rPr>
          <w:rFonts w:ascii="Arial" w:hAnsi="Arial" w:cs="Arial"/>
          <w:i/>
          <w:iCs/>
          <w:sz w:val="20"/>
          <w:szCs w:val="20"/>
        </w:rPr>
        <w:t>Commonwealth v. Coren,</w:t>
      </w:r>
      <w:r>
        <w:rPr>
          <w:rFonts w:ascii="Arial" w:hAnsi="Arial" w:cs="Arial"/>
          <w:i/>
          <w:iCs/>
          <w:sz w:val="20"/>
          <w:szCs w:val="20"/>
        </w:rPr>
        <w:t xml:space="preserve"> </w:t>
      </w:r>
      <w:r w:rsidRPr="006B5F09">
        <w:rPr>
          <w:rFonts w:ascii="Arial" w:hAnsi="Arial" w:cs="Arial"/>
          <w:sz w:val="20"/>
          <w:szCs w:val="20"/>
        </w:rPr>
        <w:t>437 Mass. 723, 7</w:t>
      </w:r>
      <w:r>
        <w:rPr>
          <w:rFonts w:ascii="Arial" w:hAnsi="Arial" w:cs="Arial"/>
          <w:sz w:val="20"/>
          <w:szCs w:val="20"/>
        </w:rPr>
        <w:t>3</w:t>
      </w:r>
      <w:r w:rsidRPr="006B5F09">
        <w:rPr>
          <w:rFonts w:ascii="Arial" w:hAnsi="Arial" w:cs="Arial"/>
          <w:sz w:val="20"/>
          <w:szCs w:val="20"/>
        </w:rPr>
        <w:t>4 (2002</w:t>
      </w:r>
      <w:r w:rsidR="003317A0">
        <w:rPr>
          <w:rFonts w:ascii="Arial" w:hAnsi="Arial" w:cs="Arial"/>
          <w:sz w:val="20"/>
          <w:szCs w:val="20"/>
        </w:rPr>
        <w:t>)</w:t>
      </w:r>
      <w:r w:rsidRPr="006B5F09">
        <w:rPr>
          <w:rFonts w:ascii="Arial" w:hAnsi="Arial" w:cs="Arial"/>
          <w:sz w:val="20"/>
          <w:szCs w:val="20"/>
        </w:rPr>
        <w:t>;</w:t>
      </w:r>
      <w:r w:rsidRPr="006B5F09">
        <w:rPr>
          <w:rFonts w:ascii="Arial" w:hAnsi="Arial" w:cs="Arial"/>
          <w:b/>
          <w:bCs/>
          <w:sz w:val="20"/>
          <w:szCs w:val="20"/>
        </w:rPr>
        <w:t xml:space="preserve"> </w:t>
      </w:r>
      <w:r w:rsidRPr="006B5F09">
        <w:rPr>
          <w:rFonts w:ascii="Arial" w:hAnsi="Arial" w:cs="Arial"/>
          <w:i/>
          <w:iCs/>
          <w:sz w:val="20"/>
          <w:szCs w:val="20"/>
        </w:rPr>
        <w:t>Commonwealth v. Seay</w:t>
      </w:r>
      <w:r w:rsidRPr="006B5F09">
        <w:rPr>
          <w:rFonts w:ascii="Arial" w:hAnsi="Arial" w:cs="Arial"/>
          <w:sz w:val="20"/>
          <w:szCs w:val="20"/>
        </w:rPr>
        <w:t>, 376 Mass. 735, 743 (1978).</w:t>
      </w:r>
      <w:r>
        <w:rPr>
          <w:rFonts w:ascii="Arial" w:hAnsi="Arial" w:cs="Arial"/>
          <w:sz w:val="20"/>
          <w:szCs w:val="20"/>
        </w:rPr>
        <w:t xml:space="preserve">  </w:t>
      </w:r>
      <w:r w:rsidRPr="00067AFA">
        <w:rPr>
          <w:rFonts w:ascii="Arial" w:hAnsi="Arial" w:cs="Arial"/>
          <w:color w:val="000000"/>
          <w:sz w:val="20"/>
          <w:szCs w:val="20"/>
          <w:bdr w:val="none" w:sz="0" w:space="0" w:color="auto" w:frame="1"/>
        </w:rPr>
        <w:t>If a defendant's firearm is stored within his or her vehicle, the residence exemption applies only if the vehicle is located within or on the defendant's residence.</w:t>
      </w:r>
      <w:r>
        <w:rPr>
          <w:rFonts w:ascii="Arial" w:hAnsi="Arial" w:cs="Arial"/>
          <w:color w:val="000000"/>
          <w:sz w:val="20"/>
          <w:szCs w:val="20"/>
          <w:bdr w:val="none" w:sz="0" w:space="0" w:color="auto" w:frame="1"/>
        </w:rPr>
        <w:t xml:space="preserve"> See </w:t>
      </w:r>
      <w:r w:rsidRPr="00067AFA">
        <w:rPr>
          <w:rFonts w:ascii="Arial" w:hAnsi="Arial" w:cs="Arial"/>
          <w:i/>
          <w:iCs/>
          <w:color w:val="000000"/>
          <w:sz w:val="20"/>
          <w:szCs w:val="20"/>
          <w:bdr w:val="none" w:sz="0" w:space="0" w:color="auto" w:frame="1"/>
        </w:rPr>
        <w:t>Commonwealth v. Harris</w:t>
      </w:r>
      <w:r>
        <w:rPr>
          <w:rFonts w:ascii="Arial" w:hAnsi="Arial" w:cs="Arial"/>
          <w:color w:val="000000"/>
          <w:sz w:val="20"/>
          <w:szCs w:val="20"/>
          <w:bdr w:val="none" w:sz="0" w:space="0" w:color="auto" w:frame="1"/>
        </w:rPr>
        <w:t xml:space="preserve">, 481 Mass. 767, 780 (2019).  </w:t>
      </w:r>
    </w:p>
    <w:p w14:paraId="601A7D08" w14:textId="733B8939" w:rsidR="00BC59E5" w:rsidRDefault="00BC59E5" w:rsidP="006B74C7">
      <w:pPr>
        <w:pBdr>
          <w:left w:val="single" w:sz="4" w:space="1" w:color="auto"/>
          <w:right w:val="single" w:sz="4" w:space="1" w:color="auto"/>
        </w:pBdr>
        <w:tabs>
          <w:tab w:val="left" w:pos="720"/>
        </w:tabs>
        <w:spacing w:after="0" w:line="240" w:lineRule="auto"/>
        <w:ind w:left="720" w:right="720"/>
        <w:rPr>
          <w:rFonts w:ascii="Arial" w:hAnsi="Arial" w:cs="Arial"/>
          <w:color w:val="000000"/>
          <w:sz w:val="20"/>
          <w:szCs w:val="20"/>
          <w:bdr w:val="none" w:sz="0" w:space="0" w:color="auto" w:frame="1"/>
        </w:rPr>
      </w:pPr>
    </w:p>
    <w:p w14:paraId="4E0C506F" w14:textId="2144C948" w:rsidR="00BC59E5" w:rsidRPr="002B6CB5" w:rsidRDefault="00682BF5" w:rsidP="006B74C7">
      <w:pPr>
        <w:pBdr>
          <w:left w:val="single" w:sz="4" w:space="1" w:color="auto"/>
          <w:right w:val="single" w:sz="4" w:space="1" w:color="auto"/>
        </w:pBdr>
        <w:tabs>
          <w:tab w:val="left" w:pos="720"/>
        </w:tabs>
        <w:spacing w:after="0" w:line="240" w:lineRule="auto"/>
        <w:ind w:left="720" w:right="720"/>
        <w:rPr>
          <w:rFonts w:ascii="Arial" w:hAnsi="Arial" w:cs="Arial"/>
          <w:color w:val="000000"/>
          <w:sz w:val="20"/>
          <w:szCs w:val="20"/>
          <w:bdr w:val="none" w:sz="0" w:space="0" w:color="auto" w:frame="1"/>
        </w:rPr>
      </w:pPr>
      <w:r>
        <w:rPr>
          <w:rFonts w:ascii="Arial" w:hAnsi="Arial" w:cs="Arial"/>
          <w:color w:val="000000"/>
          <w:sz w:val="20"/>
          <w:szCs w:val="20"/>
          <w:bdr w:val="none" w:sz="0" w:space="0" w:color="auto" w:frame="1"/>
        </w:rPr>
        <w:t>I</w:t>
      </w:r>
      <w:r w:rsidR="00BC59E5">
        <w:rPr>
          <w:rFonts w:ascii="Arial" w:hAnsi="Arial" w:cs="Arial"/>
          <w:color w:val="000000"/>
          <w:sz w:val="20"/>
          <w:szCs w:val="20"/>
          <w:bdr w:val="none" w:sz="0" w:space="0" w:color="auto" w:frame="1"/>
        </w:rPr>
        <w:t xml:space="preserve">n </w:t>
      </w:r>
      <w:r w:rsidR="00BC59E5" w:rsidRPr="00F322F5">
        <w:rPr>
          <w:rFonts w:ascii="Arial" w:hAnsi="Arial" w:cs="Arial"/>
          <w:i/>
          <w:iCs/>
          <w:color w:val="000000"/>
          <w:sz w:val="20"/>
          <w:szCs w:val="20"/>
          <w:bdr w:val="none" w:sz="0" w:space="0" w:color="auto" w:frame="1"/>
        </w:rPr>
        <w:t>Guardado</w:t>
      </w:r>
      <w:r w:rsidR="00BC59E5">
        <w:rPr>
          <w:rFonts w:ascii="Arial" w:hAnsi="Arial" w:cs="Arial"/>
          <w:color w:val="000000"/>
          <w:sz w:val="20"/>
          <w:szCs w:val="20"/>
          <w:bdr w:val="none" w:sz="0" w:space="0" w:color="auto" w:frame="1"/>
        </w:rPr>
        <w:t>, the</w:t>
      </w:r>
      <w:r>
        <w:rPr>
          <w:rFonts w:ascii="Arial" w:hAnsi="Arial" w:cs="Arial"/>
          <w:color w:val="000000"/>
          <w:sz w:val="20"/>
          <w:szCs w:val="20"/>
          <w:bdr w:val="none" w:sz="0" w:space="0" w:color="auto" w:frame="1"/>
        </w:rPr>
        <w:t xml:space="preserve"> Supreme Judicial Court </w:t>
      </w:r>
      <w:r w:rsidR="00B749B4">
        <w:rPr>
          <w:rFonts w:ascii="Arial" w:hAnsi="Arial" w:cs="Arial"/>
          <w:color w:val="000000"/>
          <w:sz w:val="20"/>
          <w:szCs w:val="20"/>
          <w:bdr w:val="none" w:sz="0" w:space="0" w:color="auto" w:frame="1"/>
        </w:rPr>
        <w:t xml:space="preserve">found “no compelling reason” to “upend our established precedent” that the </w:t>
      </w:r>
      <w:r w:rsidR="00522B33">
        <w:rPr>
          <w:rFonts w:ascii="Arial" w:hAnsi="Arial" w:cs="Arial"/>
          <w:color w:val="000000"/>
          <w:sz w:val="20"/>
          <w:szCs w:val="20"/>
          <w:bdr w:val="none" w:sz="0" w:space="0" w:color="auto" w:frame="1"/>
        </w:rPr>
        <w:t>residence or place of business exemption is an affirmative defense</w:t>
      </w:r>
      <w:r w:rsidR="00E75EF3">
        <w:rPr>
          <w:rFonts w:ascii="Arial" w:hAnsi="Arial" w:cs="Arial"/>
          <w:color w:val="000000"/>
          <w:sz w:val="20"/>
          <w:szCs w:val="20"/>
          <w:bdr w:val="none" w:sz="0" w:space="0" w:color="auto" w:frame="1"/>
        </w:rPr>
        <w:t xml:space="preserve">.  </w:t>
      </w:r>
      <w:r w:rsidR="00E75EF3" w:rsidRPr="00134EEA">
        <w:rPr>
          <w:rFonts w:ascii="Arial" w:hAnsi="Arial" w:cs="Arial"/>
          <w:i/>
          <w:iCs/>
          <w:color w:val="000000"/>
          <w:sz w:val="20"/>
          <w:szCs w:val="20"/>
          <w:bdr w:val="none" w:sz="0" w:space="0" w:color="auto" w:frame="1"/>
        </w:rPr>
        <w:t>Id</w:t>
      </w:r>
      <w:r w:rsidR="00134EEA">
        <w:rPr>
          <w:rFonts w:ascii="Arial" w:hAnsi="Arial" w:cs="Arial"/>
          <w:i/>
          <w:iCs/>
          <w:color w:val="000000"/>
          <w:sz w:val="20"/>
          <w:szCs w:val="20"/>
          <w:bdr w:val="none" w:sz="0" w:space="0" w:color="auto" w:frame="1"/>
        </w:rPr>
        <w:t>.</w:t>
      </w:r>
      <w:r w:rsidR="00E75EF3">
        <w:rPr>
          <w:rFonts w:ascii="Arial" w:hAnsi="Arial" w:cs="Arial"/>
          <w:color w:val="000000"/>
          <w:sz w:val="20"/>
          <w:szCs w:val="20"/>
          <w:bdr w:val="none" w:sz="0" w:space="0" w:color="auto" w:frame="1"/>
        </w:rPr>
        <w:t xml:space="preserve"> at 83.  </w:t>
      </w:r>
      <w:r w:rsidR="00134EEA">
        <w:rPr>
          <w:rFonts w:ascii="Arial" w:hAnsi="Arial" w:cs="Arial"/>
          <w:color w:val="000000"/>
          <w:sz w:val="20"/>
          <w:szCs w:val="20"/>
          <w:bdr w:val="none" w:sz="0" w:space="0" w:color="auto" w:frame="1"/>
        </w:rPr>
        <w:t>Judges must</w:t>
      </w:r>
      <w:r w:rsidR="00962767">
        <w:rPr>
          <w:rFonts w:ascii="Arial" w:hAnsi="Arial" w:cs="Arial"/>
          <w:color w:val="000000"/>
          <w:sz w:val="20"/>
          <w:szCs w:val="20"/>
          <w:bdr w:val="none" w:sz="0" w:space="0" w:color="auto" w:frame="1"/>
        </w:rPr>
        <w:t xml:space="preserve"> instruct on the </w:t>
      </w:r>
      <w:r w:rsidR="00134EEA">
        <w:rPr>
          <w:rFonts w:ascii="Arial" w:hAnsi="Arial" w:cs="Arial"/>
          <w:color w:val="000000"/>
          <w:sz w:val="20"/>
          <w:szCs w:val="20"/>
          <w:bdr w:val="none" w:sz="0" w:space="0" w:color="auto" w:frame="1"/>
        </w:rPr>
        <w:t xml:space="preserve">exemption </w:t>
      </w:r>
      <w:r w:rsidR="00962767">
        <w:rPr>
          <w:rFonts w:ascii="Arial" w:hAnsi="Arial" w:cs="Arial"/>
          <w:color w:val="000000"/>
          <w:sz w:val="20"/>
          <w:szCs w:val="20"/>
          <w:bdr w:val="none" w:sz="0" w:space="0" w:color="auto" w:frame="1"/>
        </w:rPr>
        <w:t xml:space="preserve">only if there </w:t>
      </w:r>
      <w:r w:rsidR="00134EEA">
        <w:rPr>
          <w:rFonts w:ascii="Arial" w:hAnsi="Arial" w:cs="Arial"/>
          <w:color w:val="000000"/>
          <w:sz w:val="20"/>
          <w:szCs w:val="20"/>
          <w:bdr w:val="none" w:sz="0" w:space="0" w:color="auto" w:frame="1"/>
        </w:rPr>
        <w:t>is</w:t>
      </w:r>
      <w:r w:rsidR="00962767">
        <w:rPr>
          <w:rFonts w:ascii="Arial" w:hAnsi="Arial" w:cs="Arial"/>
          <w:color w:val="000000"/>
          <w:sz w:val="20"/>
          <w:szCs w:val="20"/>
          <w:bdr w:val="none" w:sz="0" w:space="0" w:color="auto" w:frame="1"/>
        </w:rPr>
        <w:t xml:space="preserve"> “sufficient evidence” </w:t>
      </w:r>
      <w:r w:rsidR="00336615">
        <w:rPr>
          <w:rFonts w:ascii="Arial" w:hAnsi="Arial" w:cs="Arial"/>
          <w:color w:val="000000"/>
          <w:sz w:val="20"/>
          <w:szCs w:val="20"/>
          <w:bdr w:val="none" w:sz="0" w:space="0" w:color="auto" w:frame="1"/>
        </w:rPr>
        <w:t xml:space="preserve">that the defendant was </w:t>
      </w:r>
      <w:r w:rsidR="00134EEA">
        <w:rPr>
          <w:rFonts w:ascii="Arial" w:hAnsi="Arial" w:cs="Arial"/>
          <w:color w:val="000000"/>
          <w:sz w:val="20"/>
          <w:szCs w:val="20"/>
          <w:bdr w:val="none" w:sz="0" w:space="0" w:color="auto" w:frame="1"/>
        </w:rPr>
        <w:t xml:space="preserve">in his </w:t>
      </w:r>
      <w:r w:rsidR="00336615">
        <w:rPr>
          <w:rFonts w:ascii="Arial" w:hAnsi="Arial" w:cs="Arial"/>
          <w:color w:val="000000"/>
          <w:sz w:val="20"/>
          <w:szCs w:val="20"/>
          <w:bdr w:val="none" w:sz="0" w:space="0" w:color="auto" w:frame="1"/>
        </w:rPr>
        <w:t>home or business when the fire</w:t>
      </w:r>
      <w:r w:rsidR="00F322F5">
        <w:rPr>
          <w:rFonts w:ascii="Arial" w:hAnsi="Arial" w:cs="Arial"/>
          <w:color w:val="000000"/>
          <w:sz w:val="20"/>
          <w:szCs w:val="20"/>
          <w:bdr w:val="none" w:sz="0" w:space="0" w:color="auto" w:frame="1"/>
        </w:rPr>
        <w:t xml:space="preserve">arm was discovered.  </w:t>
      </w:r>
      <w:r w:rsidR="00F322F5" w:rsidRPr="00F322F5">
        <w:rPr>
          <w:rFonts w:ascii="Arial" w:hAnsi="Arial" w:cs="Arial"/>
          <w:i/>
          <w:iCs/>
          <w:color w:val="000000"/>
          <w:sz w:val="20"/>
          <w:szCs w:val="20"/>
          <w:bdr w:val="none" w:sz="0" w:space="0" w:color="auto" w:frame="1"/>
        </w:rPr>
        <w:t>Id.</w:t>
      </w:r>
      <w:r w:rsidR="00F322F5">
        <w:rPr>
          <w:rFonts w:ascii="Arial" w:hAnsi="Arial" w:cs="Arial"/>
          <w:color w:val="000000"/>
          <w:sz w:val="20"/>
          <w:szCs w:val="20"/>
          <w:bdr w:val="none" w:sz="0" w:space="0" w:color="auto" w:frame="1"/>
        </w:rPr>
        <w:t xml:space="preserve"> at 683.  </w:t>
      </w:r>
      <w:r w:rsidR="009E0BD2">
        <w:rPr>
          <w:rFonts w:ascii="Arial" w:hAnsi="Arial" w:cs="Arial"/>
          <w:color w:val="000000"/>
          <w:sz w:val="20"/>
          <w:szCs w:val="20"/>
          <w:bdr w:val="none" w:sz="0" w:space="0" w:color="auto" w:frame="1"/>
        </w:rPr>
        <w:t>Because being outside the home or business is what distinguishes section 10(a) from 10(h), there would certainly be no error by including this element</w:t>
      </w:r>
      <w:r w:rsidR="00EB40B4">
        <w:rPr>
          <w:rFonts w:ascii="Arial" w:hAnsi="Arial" w:cs="Arial"/>
          <w:color w:val="000000"/>
          <w:sz w:val="20"/>
          <w:szCs w:val="20"/>
          <w:bdr w:val="none" w:sz="0" w:space="0" w:color="auto" w:frame="1"/>
        </w:rPr>
        <w:t xml:space="preserve"> </w:t>
      </w:r>
      <w:r w:rsidR="00DF3098">
        <w:rPr>
          <w:rFonts w:ascii="Arial" w:hAnsi="Arial" w:cs="Arial"/>
          <w:color w:val="000000"/>
          <w:sz w:val="20"/>
          <w:szCs w:val="20"/>
          <w:bdr w:val="none" w:sz="0" w:space="0" w:color="auto" w:frame="1"/>
        </w:rPr>
        <w:t>in</w:t>
      </w:r>
      <w:r w:rsidR="00EB40B4">
        <w:rPr>
          <w:rFonts w:ascii="Arial" w:hAnsi="Arial" w:cs="Arial"/>
          <w:color w:val="000000"/>
          <w:sz w:val="20"/>
          <w:szCs w:val="20"/>
          <w:bdr w:val="none" w:sz="0" w:space="0" w:color="auto" w:frame="1"/>
        </w:rPr>
        <w:t xml:space="preserve"> 10(a</w:t>
      </w:r>
      <w:r w:rsidR="00DF3098">
        <w:rPr>
          <w:rFonts w:ascii="Arial" w:hAnsi="Arial" w:cs="Arial"/>
          <w:color w:val="000000"/>
          <w:sz w:val="20"/>
          <w:szCs w:val="20"/>
          <w:bdr w:val="none" w:sz="0" w:space="0" w:color="auto" w:frame="1"/>
        </w:rPr>
        <w:t>)</w:t>
      </w:r>
      <w:r w:rsidR="009E0BD2">
        <w:rPr>
          <w:rFonts w:ascii="Arial" w:hAnsi="Arial" w:cs="Arial"/>
          <w:color w:val="000000"/>
          <w:sz w:val="20"/>
          <w:szCs w:val="20"/>
          <w:bdr w:val="none" w:sz="0" w:space="0" w:color="auto" w:frame="1"/>
        </w:rPr>
        <w:t>.</w:t>
      </w:r>
      <w:r w:rsidR="00DF3098">
        <w:rPr>
          <w:rFonts w:ascii="Arial" w:hAnsi="Arial" w:cs="Arial"/>
          <w:color w:val="000000"/>
          <w:sz w:val="20"/>
          <w:szCs w:val="20"/>
          <w:bdr w:val="none" w:sz="0" w:space="0" w:color="auto" w:frame="1"/>
        </w:rPr>
        <w:t xml:space="preserve">  </w:t>
      </w:r>
      <w:r w:rsidR="00C51B0F">
        <w:rPr>
          <w:rFonts w:ascii="Arial" w:hAnsi="Arial" w:cs="Arial"/>
          <w:color w:val="000000"/>
          <w:sz w:val="20"/>
          <w:szCs w:val="20"/>
          <w:bdr w:val="none" w:sz="0" w:space="0" w:color="auto" w:frame="1"/>
        </w:rPr>
        <w:t xml:space="preserve">See </w:t>
      </w:r>
      <w:r w:rsidR="00C51B0F" w:rsidRPr="00E75EF3">
        <w:rPr>
          <w:rFonts w:ascii="Arial" w:hAnsi="Arial" w:cs="Arial"/>
          <w:i/>
          <w:iCs/>
          <w:color w:val="000000"/>
          <w:sz w:val="20"/>
          <w:szCs w:val="20"/>
          <w:bdr w:val="none" w:sz="0" w:space="0" w:color="auto" w:frame="1"/>
        </w:rPr>
        <w:t>Commonwealth v. Powell</w:t>
      </w:r>
      <w:r w:rsidR="00C51B0F">
        <w:rPr>
          <w:rFonts w:ascii="Arial" w:hAnsi="Arial" w:cs="Arial"/>
          <w:color w:val="000000"/>
          <w:sz w:val="20"/>
          <w:szCs w:val="20"/>
          <w:bdr w:val="none" w:sz="0" w:space="0" w:color="auto" w:frame="1"/>
        </w:rPr>
        <w:t xml:space="preserve">, </w:t>
      </w:r>
      <w:r w:rsidR="00E75EF3">
        <w:rPr>
          <w:rFonts w:ascii="Arial" w:hAnsi="Arial" w:cs="Arial"/>
          <w:color w:val="000000"/>
          <w:sz w:val="20"/>
          <w:szCs w:val="20"/>
          <w:bdr w:val="none" w:sz="0" w:space="0" w:color="auto" w:frame="1"/>
        </w:rPr>
        <w:t>459 Mass. 572, 587-588 (2011).</w:t>
      </w:r>
    </w:p>
    <w:p w14:paraId="396CD162" w14:textId="77777777" w:rsidR="006B74C7" w:rsidRPr="00067AFA" w:rsidRDefault="006B74C7" w:rsidP="006B74C7">
      <w:pPr>
        <w:pBdr>
          <w:left w:val="single" w:sz="4" w:space="1" w:color="auto"/>
          <w:right w:val="single" w:sz="4" w:space="1" w:color="auto"/>
        </w:pBdr>
        <w:tabs>
          <w:tab w:val="left" w:pos="720"/>
        </w:tabs>
        <w:spacing w:after="0" w:line="240" w:lineRule="auto"/>
        <w:ind w:left="720" w:right="720"/>
        <w:rPr>
          <w:rFonts w:ascii="Arial" w:hAnsi="Arial" w:cs="Arial"/>
          <w:b/>
          <w:bCs/>
          <w:sz w:val="20"/>
          <w:szCs w:val="20"/>
        </w:rPr>
      </w:pPr>
    </w:p>
    <w:p w14:paraId="1EA97984" w14:textId="77777777" w:rsidR="006B74C7" w:rsidRDefault="006B74C7" w:rsidP="006B74C7">
      <w:pPr>
        <w:pBdr>
          <w:left w:val="single" w:sz="4" w:space="1" w:color="auto"/>
          <w:right w:val="single" w:sz="4" w:space="1" w:color="auto"/>
        </w:pBdr>
        <w:tabs>
          <w:tab w:val="left" w:pos="720"/>
        </w:tabs>
        <w:spacing w:line="240" w:lineRule="auto"/>
        <w:ind w:left="720" w:right="720"/>
        <w:rPr>
          <w:rFonts w:ascii="Arial" w:hAnsi="Arial" w:cs="Arial"/>
          <w:sz w:val="20"/>
          <w:szCs w:val="20"/>
        </w:rPr>
      </w:pPr>
    </w:p>
    <w:p w14:paraId="66A7796B" w14:textId="77777777" w:rsidR="006B74C7" w:rsidRPr="00F4151D" w:rsidRDefault="006B74C7" w:rsidP="006B74C7">
      <w:pPr>
        <w:pStyle w:val="ListParagraph"/>
        <w:pBdr>
          <w:left w:val="single" w:sz="4" w:space="1" w:color="auto"/>
          <w:right w:val="single" w:sz="4" w:space="1" w:color="auto"/>
        </w:pBdr>
        <w:ind w:right="720"/>
        <w:rPr>
          <w:rFonts w:ascii="Arial" w:hAnsi="Arial" w:cs="Arial"/>
          <w:i/>
          <w:iCs/>
          <w:sz w:val="24"/>
          <w:szCs w:val="24"/>
          <w:bdr w:val="single" w:sz="4" w:space="0" w:color="auto"/>
        </w:rPr>
      </w:pPr>
      <w:r>
        <w:rPr>
          <w:rFonts w:ascii="Arial" w:hAnsi="Arial" w:cs="Arial"/>
          <w:i/>
          <w:iCs/>
          <w:sz w:val="24"/>
          <w:szCs w:val="24"/>
          <w:bdr w:val="single" w:sz="4" w:space="0" w:color="auto"/>
        </w:rPr>
        <w:t>B</w:t>
      </w:r>
      <w:r w:rsidRPr="00F4151D">
        <w:rPr>
          <w:rFonts w:ascii="Arial" w:hAnsi="Arial" w:cs="Arial"/>
          <w:i/>
          <w:iCs/>
          <w:sz w:val="24"/>
          <w:szCs w:val="24"/>
          <w:bdr w:val="single" w:sz="4" w:space="0" w:color="auto"/>
        </w:rPr>
        <w:t xml:space="preserve">. If there is evidence that the defendant was exempt from the licensing requirement. </w:t>
      </w:r>
    </w:p>
    <w:p w14:paraId="41E9EE1D" w14:textId="44D42C77" w:rsidR="006B74C7" w:rsidRPr="009951F8" w:rsidRDefault="006B74C7" w:rsidP="006B74C7">
      <w:pPr>
        <w:pBdr>
          <w:left w:val="single" w:sz="4" w:space="1" w:color="auto"/>
          <w:right w:val="single" w:sz="4" w:space="1" w:color="auto"/>
        </w:pBdr>
        <w:spacing w:line="480" w:lineRule="auto"/>
        <w:ind w:left="720" w:right="720"/>
        <w:rPr>
          <w:rFonts w:ascii="Arial" w:hAnsi="Arial" w:cs="Arial"/>
          <w:b/>
          <w:bCs/>
          <w:sz w:val="28"/>
          <w:szCs w:val="28"/>
        </w:rPr>
      </w:pPr>
      <w:r>
        <w:rPr>
          <w:rFonts w:ascii="Arial" w:hAnsi="Arial" w:cs="Arial"/>
          <w:b/>
          <w:bCs/>
          <w:i/>
          <w:iCs/>
          <w:sz w:val="28"/>
          <w:szCs w:val="28"/>
        </w:rPr>
        <w:t>Fifth</w:t>
      </w:r>
      <w:proofErr w:type="gramStart"/>
      <w:r w:rsidRPr="00DF64F3">
        <w:rPr>
          <w:rFonts w:ascii="Arial" w:hAnsi="Arial" w:cs="Arial"/>
          <w:b/>
          <w:bCs/>
          <w:sz w:val="28"/>
          <w:szCs w:val="28"/>
        </w:rPr>
        <w:t xml:space="preserve">: </w:t>
      </w:r>
      <w:r>
        <w:rPr>
          <w:rFonts w:ascii="Arial" w:hAnsi="Arial" w:cs="Arial"/>
          <w:b/>
          <w:bCs/>
          <w:sz w:val="28"/>
          <w:szCs w:val="28"/>
        </w:rPr>
        <w:t xml:space="preserve"> T</w:t>
      </w:r>
      <w:r w:rsidRPr="00DF64F3">
        <w:rPr>
          <w:rFonts w:ascii="Arial" w:hAnsi="Arial" w:cs="Arial"/>
          <w:b/>
          <w:bCs/>
          <w:sz w:val="28"/>
          <w:szCs w:val="28"/>
        </w:rPr>
        <w:t>hat</w:t>
      </w:r>
      <w:proofErr w:type="gramEnd"/>
      <w:r w:rsidRPr="00DF64F3">
        <w:rPr>
          <w:rFonts w:ascii="Arial" w:hAnsi="Arial" w:cs="Arial"/>
          <w:b/>
          <w:bCs/>
          <w:sz w:val="28"/>
          <w:szCs w:val="28"/>
        </w:rPr>
        <w:t xml:space="preserve"> the defendant did not qualify for one of the </w:t>
      </w:r>
      <w:r>
        <w:rPr>
          <w:rFonts w:ascii="Arial" w:hAnsi="Arial" w:cs="Arial"/>
          <w:b/>
          <w:bCs/>
          <w:sz w:val="28"/>
          <w:szCs w:val="28"/>
        </w:rPr>
        <w:t xml:space="preserve">legal </w:t>
      </w:r>
      <w:r w:rsidRPr="00DF64F3">
        <w:rPr>
          <w:rFonts w:ascii="Arial" w:hAnsi="Arial" w:cs="Arial"/>
          <w:b/>
          <w:bCs/>
          <w:sz w:val="28"/>
          <w:szCs w:val="28"/>
        </w:rPr>
        <w:t xml:space="preserve">exemptions that </w:t>
      </w:r>
      <w:r>
        <w:rPr>
          <w:rFonts w:ascii="Arial" w:hAnsi="Arial" w:cs="Arial"/>
          <w:b/>
          <w:bCs/>
          <w:sz w:val="28"/>
          <w:szCs w:val="28"/>
        </w:rPr>
        <w:t xml:space="preserve">allow the defendant </w:t>
      </w:r>
      <w:r w:rsidRPr="00DF64F3">
        <w:rPr>
          <w:rFonts w:ascii="Arial" w:hAnsi="Arial" w:cs="Arial"/>
          <w:b/>
          <w:bCs/>
          <w:sz w:val="28"/>
          <w:szCs w:val="28"/>
        </w:rPr>
        <w:t xml:space="preserve">to possess a </w:t>
      </w:r>
      <w:r>
        <w:rPr>
          <w:rFonts w:ascii="Arial" w:hAnsi="Arial" w:cs="Arial"/>
          <w:b/>
          <w:bCs/>
          <w:sz w:val="28"/>
          <w:szCs w:val="28"/>
        </w:rPr>
        <w:lastRenderedPageBreak/>
        <w:t>(</w:t>
      </w:r>
      <w:r w:rsidRPr="00DF64F3">
        <w:rPr>
          <w:rFonts w:ascii="Arial" w:hAnsi="Arial" w:cs="Arial"/>
          <w:b/>
          <w:bCs/>
          <w:sz w:val="28"/>
          <w:szCs w:val="28"/>
        </w:rPr>
        <w:t>firearm</w:t>
      </w:r>
      <w:r>
        <w:rPr>
          <w:rFonts w:ascii="Arial" w:hAnsi="Arial" w:cs="Arial"/>
          <w:b/>
          <w:bCs/>
          <w:sz w:val="28"/>
          <w:szCs w:val="28"/>
        </w:rPr>
        <w:t xml:space="preserve">) (rifle) (shotgun) </w:t>
      </w:r>
      <w:r w:rsidRPr="00DF64F3">
        <w:rPr>
          <w:rFonts w:ascii="Arial" w:hAnsi="Arial" w:cs="Arial"/>
          <w:b/>
          <w:bCs/>
          <w:sz w:val="28"/>
          <w:szCs w:val="28"/>
        </w:rPr>
        <w:t xml:space="preserve">outside </w:t>
      </w:r>
      <w:r>
        <w:rPr>
          <w:rFonts w:ascii="Arial" w:hAnsi="Arial" w:cs="Arial"/>
          <w:b/>
          <w:bCs/>
          <w:sz w:val="28"/>
          <w:szCs w:val="28"/>
        </w:rPr>
        <w:t>their</w:t>
      </w:r>
      <w:r w:rsidRPr="00DF64F3">
        <w:rPr>
          <w:rFonts w:ascii="Arial" w:hAnsi="Arial" w:cs="Arial"/>
          <w:b/>
          <w:bCs/>
          <w:sz w:val="28"/>
          <w:szCs w:val="28"/>
        </w:rPr>
        <w:t xml:space="preserve"> home</w:t>
      </w:r>
      <w:r w:rsidRPr="009951F8">
        <w:rPr>
          <w:rFonts w:ascii="Arial" w:hAnsi="Arial" w:cs="Arial"/>
          <w:b/>
          <w:bCs/>
          <w:sz w:val="28"/>
          <w:szCs w:val="28"/>
        </w:rPr>
        <w:t xml:space="preserve"> or business without a license. </w:t>
      </w:r>
    </w:p>
    <w:p w14:paraId="05B7F616" w14:textId="20E03E80" w:rsidR="006B74C7" w:rsidRDefault="00D45DD7" w:rsidP="006B74C7">
      <w:pPr>
        <w:pBdr>
          <w:left w:val="single" w:sz="4" w:space="1" w:color="auto"/>
          <w:right w:val="single" w:sz="4" w:space="1" w:color="auto"/>
        </w:pBdr>
        <w:ind w:left="720" w:right="720"/>
        <w:rPr>
          <w:rFonts w:ascii="Arial" w:hAnsi="Arial" w:cs="Arial"/>
          <w:sz w:val="28"/>
          <w:szCs w:val="28"/>
        </w:rPr>
      </w:pPr>
      <w:bookmarkStart w:id="1" w:name="_Hlk128568486"/>
      <w:r>
        <w:rPr>
          <w:rFonts w:ascii="Arial" w:hAnsi="Arial" w:cs="Arial"/>
          <w:sz w:val="20"/>
          <w:szCs w:val="20"/>
        </w:rPr>
        <w:t xml:space="preserve">General Laws c. 140, § </w:t>
      </w:r>
      <w:r w:rsidR="006B74C7" w:rsidRPr="009B62E7">
        <w:rPr>
          <w:rFonts w:ascii="Arial" w:hAnsi="Arial" w:cs="Arial"/>
          <w:sz w:val="20"/>
          <w:szCs w:val="20"/>
        </w:rPr>
        <w:t xml:space="preserve">129C lists </w:t>
      </w:r>
      <w:proofErr w:type="gramStart"/>
      <w:r w:rsidR="006B74C7" w:rsidRPr="009B62E7">
        <w:rPr>
          <w:rFonts w:ascii="Arial" w:hAnsi="Arial" w:cs="Arial"/>
          <w:sz w:val="20"/>
          <w:szCs w:val="20"/>
        </w:rPr>
        <w:t>a number of</w:t>
      </w:r>
      <w:proofErr w:type="gramEnd"/>
      <w:r w:rsidR="006B74C7" w:rsidRPr="009B62E7">
        <w:rPr>
          <w:rFonts w:ascii="Arial" w:hAnsi="Arial" w:cs="Arial"/>
          <w:sz w:val="20"/>
          <w:szCs w:val="20"/>
        </w:rPr>
        <w:t xml:space="preserve"> exemptions. See also Supplemental Instruction</w:t>
      </w:r>
      <w:r w:rsidR="006B74C7">
        <w:rPr>
          <w:rFonts w:ascii="Arial" w:hAnsi="Arial" w:cs="Arial"/>
          <w:sz w:val="20"/>
          <w:szCs w:val="20"/>
        </w:rPr>
        <w:t xml:space="preserve"> </w:t>
      </w:r>
      <w:r w:rsidR="006B74C7" w:rsidRPr="009B62E7">
        <w:rPr>
          <w:rFonts w:ascii="Arial" w:hAnsi="Arial" w:cs="Arial"/>
          <w:sz w:val="20"/>
          <w:szCs w:val="20"/>
        </w:rPr>
        <w:t xml:space="preserve">5 </w:t>
      </w:r>
      <w:r w:rsidR="006B74C7">
        <w:rPr>
          <w:rFonts w:ascii="Arial" w:hAnsi="Arial" w:cs="Arial"/>
          <w:sz w:val="20"/>
          <w:szCs w:val="20"/>
        </w:rPr>
        <w:t>regarding exemptions.</w:t>
      </w:r>
    </w:p>
    <w:bookmarkEnd w:id="1"/>
    <w:p w14:paraId="7D684EC7" w14:textId="77777777" w:rsidR="006B74C7" w:rsidRDefault="006B74C7" w:rsidP="006B74C7">
      <w:pPr>
        <w:pStyle w:val="BodyText"/>
        <w:kinsoku w:val="0"/>
        <w:overflowPunct w:val="0"/>
        <w:spacing w:line="480" w:lineRule="auto"/>
        <w:ind w:firstLine="720"/>
      </w:pPr>
    </w:p>
    <w:p w14:paraId="25A32F9E" w14:textId="1B611695" w:rsidR="006B74C7" w:rsidRDefault="006B74C7" w:rsidP="006B74C7">
      <w:pPr>
        <w:pStyle w:val="BodyText"/>
        <w:kinsoku w:val="0"/>
        <w:overflowPunct w:val="0"/>
        <w:spacing w:line="480" w:lineRule="auto"/>
        <w:ind w:firstLine="720"/>
      </w:pPr>
      <w:r>
        <w:t xml:space="preserve">To prove the first element, the Commonwealth must prove </w:t>
      </w:r>
      <w:bookmarkStart w:id="2" w:name="_Hlk121742241"/>
      <w:r>
        <w:t xml:space="preserve">beyond a reasonable doubt </w:t>
      </w:r>
      <w:bookmarkEnd w:id="2"/>
      <w:r>
        <w:t>that the defendant (</w:t>
      </w:r>
      <w:r w:rsidRPr="00532739">
        <w:rPr>
          <w:bdr w:val="single" w:sz="4" w:space="0" w:color="auto"/>
        </w:rPr>
        <w:t>A</w:t>
      </w:r>
      <w:proofErr w:type="gramStart"/>
      <w:r w:rsidRPr="00532739">
        <w:rPr>
          <w:bdr w:val="single" w:sz="4" w:space="0" w:color="auto"/>
        </w:rPr>
        <w:t>:</w:t>
      </w:r>
      <w:r>
        <w:t xml:space="preserve">  had</w:t>
      </w:r>
      <w:proofErr w:type="gramEnd"/>
      <w:r>
        <w:t xml:space="preserve"> an item under their control in a vehicle)</w:t>
      </w:r>
      <w:r w:rsidR="005E3E75">
        <w:t xml:space="preserve"> (or)</w:t>
      </w:r>
      <w:r>
        <w:t xml:space="preserve"> (</w:t>
      </w:r>
      <w:r w:rsidRPr="00532739">
        <w:rPr>
          <w:bdr w:val="single" w:sz="4" w:space="0" w:color="auto"/>
        </w:rPr>
        <w:t>B:</w:t>
      </w:r>
      <w:r>
        <w:t xml:space="preserve">  possessed an item).  </w:t>
      </w:r>
    </w:p>
    <w:p w14:paraId="006675AD" w14:textId="77777777" w:rsidR="006B74C7" w:rsidRPr="0025205E" w:rsidRDefault="006B74C7" w:rsidP="006B74C7">
      <w:pPr>
        <w:rPr>
          <w:rFonts w:ascii="Arial" w:hAnsi="Arial" w:cs="Arial"/>
          <w:i/>
          <w:iCs/>
          <w:sz w:val="28"/>
          <w:szCs w:val="28"/>
          <w:bdr w:val="single" w:sz="4" w:space="0" w:color="auto"/>
        </w:rPr>
      </w:pPr>
      <w:r w:rsidRPr="008301C6">
        <w:rPr>
          <w:rFonts w:ascii="Arial" w:hAnsi="Arial" w:cs="Arial"/>
          <w:b/>
          <w:bCs/>
          <w:i/>
          <w:iCs/>
          <w:sz w:val="28"/>
          <w:szCs w:val="28"/>
          <w:bdr w:val="single" w:sz="4" w:space="0" w:color="auto"/>
        </w:rPr>
        <w:t>A</w:t>
      </w:r>
      <w:r>
        <w:rPr>
          <w:rFonts w:ascii="Arial" w:hAnsi="Arial" w:cs="Arial"/>
          <w:i/>
          <w:iCs/>
          <w:sz w:val="28"/>
          <w:szCs w:val="28"/>
          <w:bdr w:val="single" w:sz="4" w:space="0" w:color="auto"/>
        </w:rPr>
        <w:t xml:space="preserve">:  Item alleged to be </w:t>
      </w:r>
      <w:r w:rsidRPr="0025205E">
        <w:rPr>
          <w:rFonts w:ascii="Arial" w:hAnsi="Arial" w:cs="Arial"/>
          <w:i/>
          <w:iCs/>
          <w:sz w:val="28"/>
          <w:szCs w:val="28"/>
          <w:bdr w:val="single" w:sz="4" w:space="0" w:color="auto"/>
        </w:rPr>
        <w:t>“under [the defendant’s] control in a vehicle”</w:t>
      </w:r>
      <w:r>
        <w:rPr>
          <w:rFonts w:ascii="Arial" w:hAnsi="Arial" w:cs="Arial"/>
          <w:i/>
          <w:iCs/>
          <w:sz w:val="28"/>
          <w:szCs w:val="28"/>
          <w:bdr w:val="single" w:sz="4" w:space="0" w:color="auto"/>
        </w:rPr>
        <w:t>.</w:t>
      </w:r>
      <w:r w:rsidRPr="0025205E">
        <w:rPr>
          <w:rFonts w:ascii="Arial" w:hAnsi="Arial" w:cs="Arial"/>
          <w:i/>
          <w:iCs/>
          <w:sz w:val="28"/>
          <w:szCs w:val="28"/>
          <w:bdr w:val="single" w:sz="4" w:space="0" w:color="auto"/>
        </w:rPr>
        <w:t xml:space="preserve"> </w:t>
      </w:r>
    </w:p>
    <w:p w14:paraId="75BD26F1" w14:textId="3E8491DF" w:rsidR="006B74C7" w:rsidRDefault="006B74C7" w:rsidP="006B74C7">
      <w:pPr>
        <w:spacing w:line="480" w:lineRule="auto"/>
        <w:ind w:firstLine="720"/>
        <w:rPr>
          <w:rFonts w:ascii="Arial" w:hAnsi="Arial" w:cs="Arial"/>
          <w:b/>
          <w:bCs/>
          <w:sz w:val="28"/>
          <w:szCs w:val="28"/>
        </w:rPr>
      </w:pPr>
      <w:r w:rsidRPr="0006620E">
        <w:rPr>
          <w:rFonts w:ascii="Arial" w:hAnsi="Arial" w:cs="Arial"/>
          <w:b/>
          <w:bCs/>
          <w:sz w:val="28"/>
          <w:szCs w:val="28"/>
        </w:rPr>
        <w:t xml:space="preserve">To establish that a </w:t>
      </w:r>
      <w:r>
        <w:rPr>
          <w:rFonts w:ascii="Arial" w:hAnsi="Arial" w:cs="Arial"/>
          <w:b/>
          <w:bCs/>
          <w:sz w:val="28"/>
          <w:szCs w:val="28"/>
        </w:rPr>
        <w:t>(</w:t>
      </w:r>
      <w:r w:rsidRPr="0006620E">
        <w:rPr>
          <w:rFonts w:ascii="Arial" w:hAnsi="Arial" w:cs="Arial"/>
          <w:b/>
          <w:bCs/>
          <w:sz w:val="28"/>
          <w:szCs w:val="28"/>
        </w:rPr>
        <w:t>firearm</w:t>
      </w:r>
      <w:r>
        <w:rPr>
          <w:rFonts w:ascii="Arial" w:hAnsi="Arial" w:cs="Arial"/>
          <w:b/>
          <w:bCs/>
          <w:sz w:val="28"/>
          <w:szCs w:val="28"/>
        </w:rPr>
        <w:t xml:space="preserve">) </w:t>
      </w:r>
      <w:r w:rsidRPr="005D0269">
        <w:rPr>
          <w:rFonts w:ascii="Arial" w:hAnsi="Arial" w:cs="Arial"/>
          <w:b/>
          <w:bCs/>
          <w:sz w:val="28"/>
          <w:szCs w:val="28"/>
        </w:rPr>
        <w:t>(rifle) (shotgun</w:t>
      </w:r>
      <w:r>
        <w:rPr>
          <w:rFonts w:ascii="Arial" w:hAnsi="Arial" w:cs="Arial"/>
          <w:b/>
          <w:bCs/>
          <w:sz w:val="28"/>
          <w:szCs w:val="28"/>
        </w:rPr>
        <w:t xml:space="preserve">) </w:t>
      </w:r>
      <w:r w:rsidRPr="0006620E">
        <w:rPr>
          <w:rFonts w:ascii="Arial" w:hAnsi="Arial" w:cs="Arial"/>
          <w:b/>
          <w:bCs/>
          <w:sz w:val="28"/>
          <w:szCs w:val="28"/>
        </w:rPr>
        <w:t xml:space="preserve">was under the defendant’s control in a vehicle, it is not enough for the Commonwealth to prove that the defendant was present in the same vehicle as the </w:t>
      </w:r>
      <w:r>
        <w:rPr>
          <w:rFonts w:ascii="Arial" w:hAnsi="Arial" w:cs="Arial"/>
          <w:b/>
          <w:bCs/>
          <w:sz w:val="28"/>
          <w:szCs w:val="28"/>
        </w:rPr>
        <w:t>(</w:t>
      </w:r>
      <w:r w:rsidRPr="0006620E">
        <w:rPr>
          <w:rFonts w:ascii="Arial" w:hAnsi="Arial" w:cs="Arial"/>
          <w:b/>
          <w:bCs/>
          <w:sz w:val="28"/>
          <w:szCs w:val="28"/>
        </w:rPr>
        <w:t>firearm</w:t>
      </w:r>
      <w:r>
        <w:rPr>
          <w:rFonts w:ascii="Arial" w:hAnsi="Arial" w:cs="Arial"/>
          <w:b/>
          <w:bCs/>
          <w:sz w:val="28"/>
          <w:szCs w:val="28"/>
        </w:rPr>
        <w:t xml:space="preserve">) </w:t>
      </w:r>
      <w:r w:rsidRPr="005D0269">
        <w:rPr>
          <w:rFonts w:ascii="Arial" w:hAnsi="Arial" w:cs="Arial"/>
          <w:b/>
          <w:bCs/>
          <w:sz w:val="28"/>
          <w:szCs w:val="28"/>
        </w:rPr>
        <w:t>(rifle) (shotgun</w:t>
      </w:r>
      <w:r>
        <w:rPr>
          <w:rFonts w:ascii="Arial" w:hAnsi="Arial" w:cs="Arial"/>
          <w:b/>
          <w:bCs/>
          <w:sz w:val="28"/>
          <w:szCs w:val="28"/>
        </w:rPr>
        <w:t>)</w:t>
      </w:r>
      <w:r w:rsidRPr="0006620E">
        <w:rPr>
          <w:rFonts w:ascii="Arial" w:hAnsi="Arial" w:cs="Arial"/>
          <w:b/>
          <w:bCs/>
          <w:sz w:val="28"/>
          <w:szCs w:val="28"/>
        </w:rPr>
        <w:t>.</w:t>
      </w:r>
      <w:r>
        <w:rPr>
          <w:rFonts w:ascii="Arial" w:hAnsi="Arial" w:cs="Arial"/>
          <w:b/>
          <w:bCs/>
          <w:sz w:val="28"/>
          <w:szCs w:val="28"/>
        </w:rPr>
        <w:t xml:space="preserve"> </w:t>
      </w:r>
      <w:r w:rsidRPr="0006620E">
        <w:rPr>
          <w:rFonts w:ascii="Arial" w:hAnsi="Arial" w:cs="Arial"/>
          <w:b/>
          <w:bCs/>
          <w:sz w:val="28"/>
          <w:szCs w:val="28"/>
        </w:rPr>
        <w:t xml:space="preserve"> The Commonwealth must also prove that the defendant knew that the </w:t>
      </w:r>
      <w:r>
        <w:rPr>
          <w:rFonts w:ascii="Arial" w:hAnsi="Arial" w:cs="Arial"/>
          <w:b/>
          <w:bCs/>
          <w:sz w:val="28"/>
          <w:szCs w:val="28"/>
        </w:rPr>
        <w:t>(</w:t>
      </w:r>
      <w:r w:rsidRPr="0006620E">
        <w:rPr>
          <w:rFonts w:ascii="Arial" w:hAnsi="Arial" w:cs="Arial"/>
          <w:b/>
          <w:bCs/>
          <w:sz w:val="28"/>
          <w:szCs w:val="28"/>
        </w:rPr>
        <w:t>firearm</w:t>
      </w:r>
      <w:r>
        <w:rPr>
          <w:rFonts w:ascii="Arial" w:hAnsi="Arial" w:cs="Arial"/>
          <w:b/>
          <w:bCs/>
          <w:sz w:val="28"/>
          <w:szCs w:val="28"/>
        </w:rPr>
        <w:t xml:space="preserve">) </w:t>
      </w:r>
      <w:r w:rsidRPr="005D0269">
        <w:rPr>
          <w:rFonts w:ascii="Arial" w:hAnsi="Arial" w:cs="Arial"/>
          <w:b/>
          <w:bCs/>
          <w:sz w:val="28"/>
          <w:szCs w:val="28"/>
        </w:rPr>
        <w:t>(rifle) (shotgun</w:t>
      </w:r>
      <w:r>
        <w:rPr>
          <w:rFonts w:ascii="Arial" w:hAnsi="Arial" w:cs="Arial"/>
          <w:b/>
          <w:bCs/>
          <w:sz w:val="28"/>
          <w:szCs w:val="28"/>
        </w:rPr>
        <w:t xml:space="preserve">) </w:t>
      </w:r>
      <w:r w:rsidRPr="0006620E">
        <w:rPr>
          <w:rFonts w:ascii="Arial" w:hAnsi="Arial" w:cs="Arial"/>
          <w:b/>
          <w:bCs/>
          <w:sz w:val="28"/>
          <w:szCs w:val="28"/>
        </w:rPr>
        <w:t xml:space="preserve">was there, and that the defendant had both the ability and the intention to exercise control over the </w:t>
      </w:r>
      <w:r>
        <w:rPr>
          <w:rFonts w:ascii="Arial" w:hAnsi="Arial" w:cs="Arial"/>
          <w:b/>
          <w:bCs/>
          <w:sz w:val="28"/>
          <w:szCs w:val="28"/>
        </w:rPr>
        <w:t>(</w:t>
      </w:r>
      <w:r w:rsidRPr="0006620E">
        <w:rPr>
          <w:rFonts w:ascii="Arial" w:hAnsi="Arial" w:cs="Arial"/>
          <w:b/>
          <w:bCs/>
          <w:sz w:val="28"/>
          <w:szCs w:val="28"/>
        </w:rPr>
        <w:t>firearm</w:t>
      </w:r>
      <w:r>
        <w:rPr>
          <w:rFonts w:ascii="Arial" w:hAnsi="Arial" w:cs="Arial"/>
          <w:b/>
          <w:bCs/>
          <w:sz w:val="28"/>
          <w:szCs w:val="28"/>
        </w:rPr>
        <w:t xml:space="preserve">) </w:t>
      </w:r>
      <w:r w:rsidRPr="005D0269">
        <w:rPr>
          <w:rFonts w:ascii="Arial" w:hAnsi="Arial" w:cs="Arial"/>
          <w:b/>
          <w:bCs/>
          <w:sz w:val="28"/>
          <w:szCs w:val="28"/>
        </w:rPr>
        <w:t>(rifle) (shotgun</w:t>
      </w:r>
      <w:r>
        <w:rPr>
          <w:rFonts w:ascii="Arial" w:hAnsi="Arial" w:cs="Arial"/>
          <w:b/>
          <w:bCs/>
          <w:sz w:val="28"/>
          <w:szCs w:val="28"/>
        </w:rPr>
        <w:t xml:space="preserve">).  </w:t>
      </w:r>
      <w:r w:rsidRPr="0006620E">
        <w:rPr>
          <w:rFonts w:ascii="Arial" w:hAnsi="Arial" w:cs="Arial"/>
          <w:b/>
          <w:bCs/>
          <w:sz w:val="28"/>
          <w:szCs w:val="28"/>
        </w:rPr>
        <w:t xml:space="preserve"> </w:t>
      </w:r>
      <w:r>
        <w:rPr>
          <w:rFonts w:ascii="Arial" w:hAnsi="Arial" w:cs="Arial"/>
          <w:b/>
          <w:bCs/>
          <w:sz w:val="28"/>
          <w:szCs w:val="28"/>
        </w:rPr>
        <w:t>The Commonwealth is not required to prove that the defendant had exclusive control over it.</w:t>
      </w:r>
    </w:p>
    <w:p w14:paraId="748BD520" w14:textId="77777777" w:rsidR="006B74C7" w:rsidRPr="008301C6" w:rsidRDefault="006B74C7" w:rsidP="006B74C7">
      <w:pPr>
        <w:pStyle w:val="BodyText"/>
        <w:rPr>
          <w:b w:val="0"/>
          <w:bCs w:val="0"/>
          <w:i/>
          <w:iCs/>
          <w:bdr w:val="single" w:sz="4" w:space="0" w:color="auto"/>
        </w:rPr>
      </w:pPr>
      <w:r w:rsidRPr="008301C6">
        <w:rPr>
          <w:i/>
          <w:iCs/>
          <w:bdr w:val="single" w:sz="4" w:space="0" w:color="auto"/>
        </w:rPr>
        <w:t>B</w:t>
      </w:r>
      <w:r w:rsidRPr="008301C6">
        <w:rPr>
          <w:b w:val="0"/>
          <w:bCs w:val="0"/>
          <w:i/>
          <w:iCs/>
          <w:bdr w:val="single" w:sz="4" w:space="0" w:color="auto"/>
        </w:rPr>
        <w:t>:  Item to alleged to be in defendant’s “possession”.</w:t>
      </w:r>
    </w:p>
    <w:p w14:paraId="337C124E" w14:textId="77777777" w:rsidR="006B74C7" w:rsidRDefault="006B74C7" w:rsidP="006B74C7">
      <w:pPr>
        <w:pStyle w:val="BodyText"/>
      </w:pPr>
    </w:p>
    <w:p w14:paraId="39D7008B" w14:textId="77777777" w:rsidR="006B74C7" w:rsidRDefault="006B74C7" w:rsidP="006B74C7">
      <w:pPr>
        <w:pStyle w:val="BodyText"/>
        <w:spacing w:line="480" w:lineRule="auto"/>
        <w:ind w:firstLine="720"/>
      </w:pPr>
      <w:r>
        <w:t xml:space="preserve">What does it mean to possess something?  A person obviously </w:t>
      </w:r>
      <w:r>
        <w:lastRenderedPageBreak/>
        <w:t xml:space="preserve">possesses something if they have direct physical control of it at a given time.  </w:t>
      </w:r>
    </w:p>
    <w:p w14:paraId="083CB5E8" w14:textId="77777777" w:rsidR="006B74C7" w:rsidRDefault="006B74C7" w:rsidP="006B74C7">
      <w:pPr>
        <w:pStyle w:val="BodyText"/>
        <w:pBdr>
          <w:top w:val="single" w:sz="4" w:space="1" w:color="auto"/>
          <w:left w:val="single" w:sz="4" w:space="4" w:color="auto"/>
          <w:bottom w:val="single" w:sz="4" w:space="1" w:color="auto"/>
          <w:right w:val="single" w:sz="4" w:space="4" w:color="auto"/>
        </w:pBdr>
        <w:kinsoku w:val="0"/>
        <w:overflowPunct w:val="0"/>
        <w:ind w:left="720" w:right="720"/>
        <w:rPr>
          <w:b w:val="0"/>
          <w:bCs w:val="0"/>
          <w:i/>
          <w:iCs/>
          <w:sz w:val="24"/>
          <w:szCs w:val="24"/>
        </w:rPr>
      </w:pPr>
      <w:r w:rsidRPr="007B603D">
        <w:rPr>
          <w:b w:val="0"/>
          <w:bCs w:val="0"/>
          <w:i/>
          <w:iCs/>
          <w:sz w:val="24"/>
          <w:szCs w:val="24"/>
        </w:rPr>
        <w:t xml:space="preserve">If defendant does not have </w:t>
      </w:r>
      <w:r>
        <w:rPr>
          <w:b w:val="0"/>
          <w:bCs w:val="0"/>
          <w:i/>
          <w:iCs/>
          <w:sz w:val="24"/>
          <w:szCs w:val="24"/>
        </w:rPr>
        <w:t xml:space="preserve">direct </w:t>
      </w:r>
      <w:r w:rsidRPr="007B603D">
        <w:rPr>
          <w:b w:val="0"/>
          <w:bCs w:val="0"/>
          <w:i/>
          <w:iCs/>
          <w:sz w:val="24"/>
          <w:szCs w:val="24"/>
        </w:rPr>
        <w:t>physical control and/or the Commonwealth alleges constructive possession</w:t>
      </w:r>
      <w:r>
        <w:rPr>
          <w:b w:val="0"/>
          <w:bCs w:val="0"/>
          <w:i/>
          <w:iCs/>
          <w:sz w:val="24"/>
          <w:szCs w:val="24"/>
        </w:rPr>
        <w:t>.</w:t>
      </w:r>
    </w:p>
    <w:p w14:paraId="1C1B3DDB" w14:textId="77777777" w:rsidR="006B74C7" w:rsidRPr="007B603D" w:rsidRDefault="006B74C7" w:rsidP="006B74C7">
      <w:pPr>
        <w:pStyle w:val="BodyText"/>
        <w:kinsoku w:val="0"/>
        <w:overflowPunct w:val="0"/>
        <w:ind w:left="720" w:right="720"/>
        <w:rPr>
          <w:b w:val="0"/>
          <w:bCs w:val="0"/>
          <w:i/>
          <w:iCs/>
          <w:sz w:val="24"/>
          <w:szCs w:val="24"/>
        </w:rPr>
      </w:pPr>
    </w:p>
    <w:p w14:paraId="5C20B35A" w14:textId="77777777" w:rsidR="006B74C7" w:rsidRDefault="006B74C7" w:rsidP="006B74C7">
      <w:pPr>
        <w:pStyle w:val="BodyText"/>
        <w:pBdr>
          <w:left w:val="single" w:sz="4" w:space="4" w:color="auto"/>
          <w:right w:val="single" w:sz="4" w:space="4" w:color="auto"/>
        </w:pBdr>
        <w:kinsoku w:val="0"/>
        <w:overflowPunct w:val="0"/>
        <w:spacing w:line="480" w:lineRule="auto"/>
        <w:ind w:left="720" w:right="720" w:firstLine="720"/>
      </w:pPr>
      <w:r>
        <w:t xml:space="preserve">However, the law does not require that someone necessarily </w:t>
      </w:r>
      <w:proofErr w:type="gramStart"/>
      <w:r>
        <w:t>have</w:t>
      </w:r>
      <w:proofErr w:type="gramEnd"/>
      <w:r>
        <w:t xml:space="preserve"> actual physical custody of an object to possess it.  An object is in a person's possession even without physical custody if they have: </w:t>
      </w:r>
    </w:p>
    <w:p w14:paraId="6D8D77C2" w14:textId="77777777" w:rsidR="006B74C7" w:rsidRDefault="006B74C7" w:rsidP="006B74C7">
      <w:pPr>
        <w:pStyle w:val="BodyText"/>
        <w:pBdr>
          <w:left w:val="single" w:sz="4" w:space="4" w:color="auto"/>
          <w:right w:val="single" w:sz="4" w:space="4" w:color="auto"/>
        </w:pBdr>
        <w:kinsoku w:val="0"/>
        <w:overflowPunct w:val="0"/>
        <w:spacing w:line="480" w:lineRule="auto"/>
        <w:ind w:left="720" w:right="720" w:firstLine="720"/>
      </w:pPr>
      <w:r>
        <w:t xml:space="preserve">•   knowledge of the object, </w:t>
      </w:r>
    </w:p>
    <w:p w14:paraId="6738352D" w14:textId="77777777" w:rsidR="006B74C7" w:rsidRDefault="006B74C7" w:rsidP="006B74C7">
      <w:pPr>
        <w:pStyle w:val="BodyText"/>
        <w:pBdr>
          <w:left w:val="single" w:sz="4" w:space="4" w:color="auto"/>
          <w:right w:val="single" w:sz="4" w:space="4" w:color="auto"/>
        </w:pBdr>
        <w:kinsoku w:val="0"/>
        <w:overflowPunct w:val="0"/>
        <w:spacing w:line="480" w:lineRule="auto"/>
        <w:ind w:left="720" w:right="720" w:firstLine="720"/>
      </w:pPr>
      <w:r>
        <w:t xml:space="preserve">•   the ability to exercise control over that object, either directly or through another person, and </w:t>
      </w:r>
    </w:p>
    <w:p w14:paraId="725CE82B" w14:textId="77777777" w:rsidR="006B74C7" w:rsidRDefault="006B74C7" w:rsidP="006B74C7">
      <w:pPr>
        <w:pStyle w:val="BodyText"/>
        <w:pBdr>
          <w:left w:val="single" w:sz="4" w:space="4" w:color="auto"/>
          <w:right w:val="single" w:sz="4" w:space="4" w:color="auto"/>
        </w:pBdr>
        <w:kinsoku w:val="0"/>
        <w:overflowPunct w:val="0"/>
        <w:spacing w:line="480" w:lineRule="auto"/>
        <w:ind w:left="720" w:right="720" w:firstLine="720"/>
      </w:pPr>
      <w:r>
        <w:t xml:space="preserve">•   the intent to exercise control over the object. </w:t>
      </w:r>
    </w:p>
    <w:p w14:paraId="7143BE3E" w14:textId="49175839" w:rsidR="006B74C7" w:rsidRDefault="006B74C7" w:rsidP="006B74C7">
      <w:pPr>
        <w:pStyle w:val="BodyText"/>
        <w:pBdr>
          <w:left w:val="single" w:sz="4" w:space="4" w:color="auto"/>
          <w:right w:val="single" w:sz="4" w:space="4" w:color="auto"/>
        </w:pBdr>
        <w:kinsoku w:val="0"/>
        <w:overflowPunct w:val="0"/>
        <w:spacing w:line="480" w:lineRule="auto"/>
        <w:ind w:left="720" w:right="720" w:firstLine="720"/>
      </w:pPr>
      <w:r>
        <w:t xml:space="preserve">For example, the law considers you to be in possession of things which </w:t>
      </w:r>
      <w:r w:rsidR="000B06C3">
        <w:t xml:space="preserve">you </w:t>
      </w:r>
      <w:r w:rsidR="00663B14">
        <w:t xml:space="preserve">know </w:t>
      </w:r>
      <w:r w:rsidR="0033615E">
        <w:t>are</w:t>
      </w:r>
      <w:r w:rsidR="00663B14">
        <w:t xml:space="preserve"> </w:t>
      </w:r>
      <w:r>
        <w:t xml:space="preserve">(in your bureau drawer at home) (in a safe deposit box at your bank). </w:t>
      </w:r>
    </w:p>
    <w:p w14:paraId="4EE63DD8" w14:textId="77777777" w:rsidR="006B74C7" w:rsidRDefault="006B74C7" w:rsidP="006B74C7">
      <w:pPr>
        <w:pStyle w:val="BodyText"/>
        <w:pBdr>
          <w:left w:val="single" w:sz="4" w:space="4" w:color="auto"/>
          <w:right w:val="single" w:sz="4" w:space="4" w:color="auto"/>
        </w:pBdr>
        <w:kinsoku w:val="0"/>
        <w:overflowPunct w:val="0"/>
        <w:spacing w:line="480" w:lineRule="auto"/>
        <w:ind w:left="720" w:right="720" w:firstLine="720"/>
      </w:pPr>
      <w:r>
        <w:t xml:space="preserve">Whether the defendant possessed an item is something that you must determine from all the evidence and any reasonable inferences that you may draw from the evidence.  I caution you to remember that merely being present in the vicinity of an item, even if one knows that it </w:t>
      </w:r>
      <w:r>
        <w:lastRenderedPageBreak/>
        <w:t>is there, does not amount to possession.</w:t>
      </w:r>
    </w:p>
    <w:p w14:paraId="71DF61E8" w14:textId="4A846E62" w:rsidR="006B74C7" w:rsidRDefault="006B74C7" w:rsidP="006B74C7">
      <w:pPr>
        <w:pStyle w:val="BodyText"/>
        <w:pBdr>
          <w:left w:val="single" w:sz="4" w:space="4" w:color="auto"/>
          <w:right w:val="single" w:sz="4" w:space="4" w:color="auto"/>
        </w:pBdr>
        <w:kinsoku w:val="0"/>
        <w:overflowPunct w:val="0"/>
        <w:ind w:left="720" w:right="720"/>
        <w:rPr>
          <w:b w:val="0"/>
          <w:bCs w:val="0"/>
          <w:sz w:val="20"/>
          <w:szCs w:val="20"/>
        </w:rPr>
      </w:pPr>
      <w:r w:rsidRPr="000518D1">
        <w:rPr>
          <w:b w:val="0"/>
          <w:bCs w:val="0"/>
          <w:sz w:val="20"/>
          <w:szCs w:val="20"/>
        </w:rPr>
        <w:t xml:space="preserve">Where the issue is constructive possession rather than actual physical possession, the Commonwealth must prove that “in addition to knowledge and the ability to exercise control over the firearm, the defendant must have the intention to do so.” </w:t>
      </w:r>
      <w:r w:rsidRPr="000518D1">
        <w:rPr>
          <w:b w:val="0"/>
          <w:bCs w:val="0"/>
          <w:i/>
          <w:iCs/>
          <w:sz w:val="20"/>
          <w:szCs w:val="20"/>
        </w:rPr>
        <w:t>Commonwealth</w:t>
      </w:r>
      <w:r w:rsidRPr="000518D1">
        <w:rPr>
          <w:b w:val="0"/>
          <w:bCs w:val="0"/>
          <w:sz w:val="20"/>
          <w:szCs w:val="20"/>
        </w:rPr>
        <w:t xml:space="preserve"> v. </w:t>
      </w:r>
      <w:r w:rsidRPr="000518D1">
        <w:rPr>
          <w:b w:val="0"/>
          <w:bCs w:val="0"/>
          <w:i/>
          <w:iCs/>
          <w:sz w:val="20"/>
          <w:szCs w:val="20"/>
        </w:rPr>
        <w:t>Costa</w:t>
      </w:r>
      <w:r w:rsidRPr="000518D1">
        <w:rPr>
          <w:b w:val="0"/>
          <w:bCs w:val="0"/>
          <w:sz w:val="20"/>
          <w:szCs w:val="20"/>
        </w:rPr>
        <w:t xml:space="preserve">, 65 Mass. App. Ct. 227, 234 (2005), citing </w:t>
      </w:r>
      <w:r w:rsidRPr="000518D1">
        <w:rPr>
          <w:b w:val="0"/>
          <w:bCs w:val="0"/>
          <w:i/>
          <w:iCs/>
          <w:sz w:val="20"/>
          <w:szCs w:val="20"/>
        </w:rPr>
        <w:t>Commonwealth</w:t>
      </w:r>
      <w:r w:rsidRPr="000518D1">
        <w:rPr>
          <w:b w:val="0"/>
          <w:bCs w:val="0"/>
          <w:sz w:val="20"/>
          <w:szCs w:val="20"/>
        </w:rPr>
        <w:t xml:space="preserve"> v. </w:t>
      </w:r>
      <w:r w:rsidRPr="000518D1">
        <w:rPr>
          <w:b w:val="0"/>
          <w:bCs w:val="0"/>
          <w:i/>
          <w:iCs/>
          <w:sz w:val="20"/>
          <w:szCs w:val="20"/>
        </w:rPr>
        <w:t>Sann</w:t>
      </w:r>
      <w:r w:rsidRPr="000518D1">
        <w:rPr>
          <w:b w:val="0"/>
          <w:bCs w:val="0"/>
          <w:sz w:val="20"/>
          <w:szCs w:val="20"/>
        </w:rPr>
        <w:t xml:space="preserve"> </w:t>
      </w:r>
      <w:r w:rsidRPr="000518D1">
        <w:rPr>
          <w:b w:val="0"/>
          <w:bCs w:val="0"/>
          <w:i/>
          <w:iCs/>
          <w:sz w:val="20"/>
          <w:szCs w:val="20"/>
        </w:rPr>
        <w:t>Than</w:t>
      </w:r>
      <w:r w:rsidRPr="000518D1">
        <w:rPr>
          <w:b w:val="0"/>
          <w:bCs w:val="0"/>
          <w:sz w:val="20"/>
          <w:szCs w:val="20"/>
        </w:rPr>
        <w:t>, 442 Mass. 748, 755 (2004).</w:t>
      </w:r>
      <w:r>
        <w:rPr>
          <w:b w:val="0"/>
          <w:bCs w:val="0"/>
          <w:sz w:val="20"/>
          <w:szCs w:val="20"/>
        </w:rPr>
        <w:t xml:space="preserve">  See end note </w:t>
      </w:r>
      <w:r w:rsidR="00790458">
        <w:rPr>
          <w:b w:val="0"/>
          <w:bCs w:val="0"/>
          <w:sz w:val="20"/>
          <w:szCs w:val="20"/>
        </w:rPr>
        <w:t>11</w:t>
      </w:r>
      <w:r>
        <w:rPr>
          <w:b w:val="0"/>
          <w:bCs w:val="0"/>
          <w:sz w:val="20"/>
          <w:szCs w:val="20"/>
        </w:rPr>
        <w:t>.</w:t>
      </w:r>
    </w:p>
    <w:p w14:paraId="21BBE457" w14:textId="77777777" w:rsidR="006B74C7" w:rsidRPr="000518D1" w:rsidRDefault="006B74C7" w:rsidP="006B74C7">
      <w:pPr>
        <w:pStyle w:val="BodyText"/>
        <w:pBdr>
          <w:left w:val="single" w:sz="4" w:space="4" w:color="auto"/>
          <w:right w:val="single" w:sz="4" w:space="4" w:color="auto"/>
        </w:pBdr>
        <w:kinsoku w:val="0"/>
        <w:overflowPunct w:val="0"/>
        <w:ind w:left="720" w:right="720"/>
        <w:rPr>
          <w:b w:val="0"/>
          <w:bCs w:val="0"/>
        </w:rPr>
      </w:pPr>
    </w:p>
    <w:p w14:paraId="4033962D" w14:textId="77777777" w:rsidR="006B74C7" w:rsidRPr="00B839AD" w:rsidRDefault="006B74C7" w:rsidP="006B74C7">
      <w:pPr>
        <w:pStyle w:val="BodyText"/>
        <w:pBdr>
          <w:left w:val="single" w:sz="4" w:space="4" w:color="auto"/>
          <w:right w:val="single" w:sz="4" w:space="4" w:color="auto"/>
        </w:pBdr>
        <w:kinsoku w:val="0"/>
        <w:overflowPunct w:val="0"/>
        <w:spacing w:line="480" w:lineRule="auto"/>
        <w:ind w:left="720" w:right="720"/>
      </w:pPr>
      <w:r w:rsidRPr="00062186">
        <w:rPr>
          <w:b w:val="0"/>
          <w:bCs w:val="0"/>
          <w:i/>
          <w:iCs/>
          <w:sz w:val="24"/>
          <w:szCs w:val="24"/>
          <w:bdr w:val="single" w:sz="4" w:space="0" w:color="auto"/>
        </w:rPr>
        <w:t>Instruction on guilt by association</w:t>
      </w:r>
      <w:r>
        <w:rPr>
          <w:b w:val="0"/>
          <w:bCs w:val="0"/>
          <w:i/>
          <w:iCs/>
          <w:sz w:val="24"/>
          <w:szCs w:val="24"/>
          <w:bdr w:val="single" w:sz="4" w:space="0" w:color="auto"/>
        </w:rPr>
        <w:t>.</w:t>
      </w:r>
    </w:p>
    <w:p w14:paraId="16151B82" w14:textId="77777777" w:rsidR="006B74C7" w:rsidRDefault="006B74C7" w:rsidP="006B74C7">
      <w:pPr>
        <w:pStyle w:val="BodyText"/>
        <w:pBdr>
          <w:left w:val="single" w:sz="4" w:space="4" w:color="auto"/>
          <w:right w:val="single" w:sz="4" w:space="4" w:color="auto"/>
        </w:pBdr>
        <w:kinsoku w:val="0"/>
        <w:overflowPunct w:val="0"/>
        <w:spacing w:line="480" w:lineRule="auto"/>
        <w:ind w:left="720" w:right="720" w:firstLine="720"/>
      </w:pPr>
      <w:r>
        <w:t xml:space="preserve">Possession is not proved simply because the defendant was associated with a person who controlled the item or the property where it was found. </w:t>
      </w:r>
    </w:p>
    <w:p w14:paraId="42CD17ED" w14:textId="77777777" w:rsidR="006B74C7" w:rsidRDefault="006B74C7" w:rsidP="006B74C7">
      <w:pPr>
        <w:pBdr>
          <w:left w:val="single" w:sz="4" w:space="4" w:color="auto"/>
          <w:right w:val="single" w:sz="4" w:space="4" w:color="auto"/>
        </w:pBdr>
        <w:spacing w:line="480" w:lineRule="auto"/>
        <w:ind w:left="720" w:right="720"/>
        <w:rPr>
          <w:rFonts w:ascii="Arial" w:hAnsi="Arial" w:cs="Arial"/>
          <w:b/>
          <w:bCs/>
          <w:sz w:val="28"/>
          <w:szCs w:val="28"/>
        </w:rPr>
      </w:pPr>
      <w:bookmarkStart w:id="3" w:name="_Hlk128573727"/>
      <w:r w:rsidRPr="008301C6">
        <w:rPr>
          <w:rFonts w:ascii="Arial" w:hAnsi="Arial" w:cs="Arial"/>
          <w:i/>
          <w:iCs/>
          <w:sz w:val="24"/>
          <w:szCs w:val="24"/>
          <w:bdr w:val="single" w:sz="4" w:space="0" w:color="auto"/>
        </w:rPr>
        <w:t>Mere presence is not enough.</w:t>
      </w:r>
      <w:r>
        <w:rPr>
          <w:rFonts w:ascii="Arial" w:hAnsi="Arial" w:cs="Arial"/>
          <w:b/>
          <w:bCs/>
          <w:sz w:val="28"/>
          <w:szCs w:val="28"/>
        </w:rPr>
        <w:t xml:space="preserve">  </w:t>
      </w:r>
    </w:p>
    <w:p w14:paraId="511BC6CC" w14:textId="7BB5ECFC" w:rsidR="006B74C7" w:rsidRPr="008301C6" w:rsidRDefault="006B74C7" w:rsidP="006B74C7">
      <w:pPr>
        <w:pBdr>
          <w:left w:val="single" w:sz="4" w:space="4" w:color="auto"/>
          <w:right w:val="single" w:sz="4" w:space="4" w:color="auto"/>
        </w:pBdr>
        <w:spacing w:line="480" w:lineRule="auto"/>
        <w:ind w:left="720" w:right="720" w:firstLine="720"/>
        <w:rPr>
          <w:rFonts w:ascii="Arial" w:hAnsi="Arial" w:cs="Arial"/>
          <w:sz w:val="20"/>
          <w:szCs w:val="20"/>
        </w:rPr>
      </w:pPr>
      <w:r w:rsidRPr="008301C6">
        <w:rPr>
          <w:rFonts w:ascii="Arial" w:hAnsi="Arial" w:cs="Arial"/>
          <w:b/>
          <w:bCs/>
          <w:sz w:val="28"/>
          <w:szCs w:val="28"/>
        </w:rPr>
        <w:t xml:space="preserve">Merely being present </w:t>
      </w:r>
      <w:r>
        <w:rPr>
          <w:rFonts w:ascii="Arial" w:hAnsi="Arial" w:cs="Arial"/>
          <w:b/>
          <w:bCs/>
          <w:sz w:val="28"/>
          <w:szCs w:val="28"/>
        </w:rPr>
        <w:t>where</w:t>
      </w:r>
      <w:r w:rsidRPr="008301C6">
        <w:rPr>
          <w:rFonts w:ascii="Arial" w:hAnsi="Arial" w:cs="Arial"/>
          <w:b/>
          <w:bCs/>
          <w:sz w:val="28"/>
          <w:szCs w:val="28"/>
        </w:rPr>
        <w:t xml:space="preserve"> a (firearm) (rifle) (shotgun) is found is not sufficient by itself to permit an inference that the person knew about the presence of the (firearm) (rifle) (shotgun) without other indications of knowledge.  Further, being present where a (firearm) (rifle) (shotgun) is found, even with evidence that the defendant knew about the </w:t>
      </w:r>
      <w:r w:rsidR="00200098">
        <w:rPr>
          <w:rFonts w:ascii="Arial" w:hAnsi="Arial" w:cs="Arial"/>
          <w:b/>
          <w:bCs/>
          <w:sz w:val="28"/>
          <w:szCs w:val="28"/>
        </w:rPr>
        <w:t>(</w:t>
      </w:r>
      <w:r w:rsidRPr="008301C6">
        <w:rPr>
          <w:rFonts w:ascii="Arial" w:hAnsi="Arial" w:cs="Arial"/>
          <w:b/>
          <w:bCs/>
          <w:sz w:val="28"/>
          <w:szCs w:val="28"/>
        </w:rPr>
        <w:t>firearm</w:t>
      </w:r>
      <w:r w:rsidR="00200098">
        <w:rPr>
          <w:rFonts w:ascii="Arial" w:hAnsi="Arial" w:cs="Arial"/>
          <w:b/>
          <w:bCs/>
          <w:sz w:val="28"/>
          <w:szCs w:val="28"/>
        </w:rPr>
        <w:t>)</w:t>
      </w:r>
      <w:r w:rsidR="00200098" w:rsidRPr="008301C6">
        <w:rPr>
          <w:rFonts w:ascii="Arial" w:hAnsi="Arial" w:cs="Arial"/>
          <w:b/>
          <w:bCs/>
          <w:sz w:val="28"/>
          <w:szCs w:val="28"/>
        </w:rPr>
        <w:t xml:space="preserve"> (rifle) (shotgun)</w:t>
      </w:r>
      <w:r w:rsidRPr="008301C6">
        <w:rPr>
          <w:rFonts w:ascii="Arial" w:hAnsi="Arial" w:cs="Arial"/>
          <w:b/>
          <w:bCs/>
          <w:sz w:val="28"/>
          <w:szCs w:val="28"/>
        </w:rPr>
        <w:t xml:space="preserve">, is not sufficient to prove possession, without evidence of intent to control that </w:t>
      </w:r>
      <w:r w:rsidR="00200098">
        <w:rPr>
          <w:rFonts w:ascii="Arial" w:hAnsi="Arial" w:cs="Arial"/>
          <w:b/>
          <w:bCs/>
          <w:sz w:val="28"/>
          <w:szCs w:val="28"/>
        </w:rPr>
        <w:t>(</w:t>
      </w:r>
      <w:r w:rsidR="00200098" w:rsidRPr="008301C6">
        <w:rPr>
          <w:rFonts w:ascii="Arial" w:hAnsi="Arial" w:cs="Arial"/>
          <w:b/>
          <w:bCs/>
          <w:sz w:val="28"/>
          <w:szCs w:val="28"/>
        </w:rPr>
        <w:t>firearm</w:t>
      </w:r>
      <w:r w:rsidR="00200098">
        <w:rPr>
          <w:rFonts w:ascii="Arial" w:hAnsi="Arial" w:cs="Arial"/>
          <w:b/>
          <w:bCs/>
          <w:sz w:val="28"/>
          <w:szCs w:val="28"/>
        </w:rPr>
        <w:t>)</w:t>
      </w:r>
      <w:r w:rsidR="00200098" w:rsidRPr="008301C6">
        <w:rPr>
          <w:rFonts w:ascii="Arial" w:hAnsi="Arial" w:cs="Arial"/>
          <w:b/>
          <w:bCs/>
          <w:sz w:val="28"/>
          <w:szCs w:val="28"/>
        </w:rPr>
        <w:t xml:space="preserve"> (rifle) (shotgun)</w:t>
      </w:r>
      <w:r w:rsidRPr="008301C6">
        <w:rPr>
          <w:rFonts w:ascii="Arial" w:hAnsi="Arial" w:cs="Arial"/>
          <w:b/>
          <w:bCs/>
          <w:sz w:val="28"/>
          <w:szCs w:val="28"/>
        </w:rPr>
        <w:t xml:space="preserve">. </w:t>
      </w:r>
    </w:p>
    <w:p w14:paraId="31A668EF" w14:textId="77777777" w:rsidR="006B74C7" w:rsidRDefault="006B74C7" w:rsidP="006B74C7">
      <w:pPr>
        <w:pBdr>
          <w:left w:val="single" w:sz="4" w:space="4" w:color="auto"/>
          <w:right w:val="single" w:sz="4" w:space="4" w:color="auto"/>
        </w:pBdr>
        <w:ind w:left="720" w:right="720"/>
        <w:rPr>
          <w:rFonts w:ascii="Arial" w:hAnsi="Arial" w:cs="Arial"/>
          <w:sz w:val="20"/>
          <w:szCs w:val="20"/>
        </w:rPr>
      </w:pPr>
      <w:bookmarkStart w:id="4" w:name="_Hlk128583812"/>
      <w:r>
        <w:rPr>
          <w:rFonts w:ascii="Arial" w:hAnsi="Arial" w:cs="Arial"/>
          <w:sz w:val="20"/>
          <w:szCs w:val="20"/>
        </w:rPr>
        <w:t xml:space="preserve">See also </w:t>
      </w:r>
      <w:r w:rsidRPr="00AD554F">
        <w:rPr>
          <w:rFonts w:ascii="Arial" w:hAnsi="Arial" w:cs="Arial"/>
          <w:i/>
          <w:iCs/>
          <w:sz w:val="20"/>
          <w:szCs w:val="20"/>
        </w:rPr>
        <w:t>Commonwealth v. Romero</w:t>
      </w:r>
      <w:r>
        <w:rPr>
          <w:rFonts w:ascii="Arial" w:hAnsi="Arial" w:cs="Arial"/>
          <w:sz w:val="20"/>
          <w:szCs w:val="20"/>
        </w:rPr>
        <w:t xml:space="preserve">, 464 Mass. 648, 654 (2013) (presence alone is not sufficient to establish knowledge, ability and intent to control; instead, presence must be augmented by additional inculpatory evidence); </w:t>
      </w:r>
      <w:r w:rsidRPr="00AD554F">
        <w:rPr>
          <w:rFonts w:ascii="Arial" w:hAnsi="Arial" w:cs="Arial"/>
          <w:i/>
          <w:iCs/>
          <w:sz w:val="20"/>
          <w:szCs w:val="20"/>
        </w:rPr>
        <w:t>Commonwealth v. Brown</w:t>
      </w:r>
      <w:r>
        <w:rPr>
          <w:rFonts w:ascii="Arial" w:hAnsi="Arial" w:cs="Arial"/>
          <w:sz w:val="20"/>
          <w:szCs w:val="20"/>
        </w:rPr>
        <w:t xml:space="preserve">, 401 Mass. </w:t>
      </w:r>
      <w:r>
        <w:rPr>
          <w:rFonts w:ascii="Arial" w:hAnsi="Arial" w:cs="Arial"/>
          <w:sz w:val="20"/>
          <w:szCs w:val="20"/>
        </w:rPr>
        <w:lastRenderedPageBreak/>
        <w:t xml:space="preserve">745, 747 (1988) (insufficient evidence to prove personal knowledge where car reported stolen and two firearms found under passenger seat). </w:t>
      </w:r>
    </w:p>
    <w:bookmarkEnd w:id="3"/>
    <w:bookmarkEnd w:id="4"/>
    <w:p w14:paraId="24294DCD" w14:textId="578BE4B2" w:rsidR="006B74C7" w:rsidRDefault="006B74C7" w:rsidP="006B74C7">
      <w:pPr>
        <w:spacing w:line="480" w:lineRule="auto"/>
        <w:ind w:firstLine="720"/>
        <w:rPr>
          <w:rFonts w:ascii="Arial" w:hAnsi="Arial" w:cs="Arial"/>
          <w:b/>
          <w:bCs/>
          <w:sz w:val="28"/>
          <w:szCs w:val="28"/>
        </w:rPr>
      </w:pPr>
      <w:r w:rsidRPr="002B351E">
        <w:rPr>
          <w:rFonts w:ascii="Arial" w:hAnsi="Arial" w:cs="Arial"/>
          <w:b/>
          <w:bCs/>
          <w:sz w:val="28"/>
          <w:szCs w:val="28"/>
        </w:rPr>
        <w:t xml:space="preserve">To prove the second element, the Commonwealth must prove beyond a reasonable doubt that the defendant </w:t>
      </w:r>
      <w:r>
        <w:rPr>
          <w:rFonts w:ascii="Arial" w:hAnsi="Arial" w:cs="Arial"/>
          <w:b/>
          <w:bCs/>
          <w:sz w:val="28"/>
          <w:szCs w:val="28"/>
        </w:rPr>
        <w:t>(</w:t>
      </w:r>
      <w:r w:rsidR="006273C5" w:rsidRPr="006273C5">
        <w:rPr>
          <w:rFonts w:ascii="Arial" w:hAnsi="Arial" w:cs="Arial"/>
          <w:b/>
          <w:bCs/>
          <w:sz w:val="28"/>
          <w:szCs w:val="28"/>
          <w:bdr w:val="single" w:sz="4" w:space="0" w:color="auto"/>
        </w:rPr>
        <w:t>A</w:t>
      </w:r>
      <w:proofErr w:type="gramStart"/>
      <w:r w:rsidR="006273C5" w:rsidRPr="006273C5">
        <w:rPr>
          <w:rFonts w:ascii="Arial" w:hAnsi="Arial" w:cs="Arial"/>
          <w:b/>
          <w:bCs/>
          <w:sz w:val="28"/>
          <w:szCs w:val="28"/>
          <w:bdr w:val="single" w:sz="4" w:space="0" w:color="auto"/>
        </w:rPr>
        <w:t>:</w:t>
      </w:r>
      <w:r w:rsidR="006273C5">
        <w:rPr>
          <w:rFonts w:ascii="Arial" w:hAnsi="Arial" w:cs="Arial"/>
          <w:b/>
          <w:bCs/>
          <w:sz w:val="28"/>
          <w:szCs w:val="28"/>
        </w:rPr>
        <w:t xml:space="preserve">  </w:t>
      </w:r>
      <w:r w:rsidRPr="002B351E">
        <w:rPr>
          <w:rFonts w:ascii="Arial" w:hAnsi="Arial" w:cs="Arial"/>
          <w:b/>
          <w:bCs/>
          <w:sz w:val="28"/>
          <w:szCs w:val="28"/>
        </w:rPr>
        <w:t>had</w:t>
      </w:r>
      <w:proofErr w:type="gramEnd"/>
      <w:r w:rsidRPr="002B351E">
        <w:rPr>
          <w:rFonts w:ascii="Arial" w:hAnsi="Arial" w:cs="Arial"/>
          <w:b/>
          <w:bCs/>
          <w:sz w:val="28"/>
          <w:szCs w:val="28"/>
        </w:rPr>
        <w:t xml:space="preserve"> under their control in a vehicle</w:t>
      </w:r>
      <w:r>
        <w:rPr>
          <w:rFonts w:ascii="Arial" w:hAnsi="Arial" w:cs="Arial"/>
          <w:b/>
          <w:bCs/>
          <w:sz w:val="28"/>
          <w:szCs w:val="28"/>
        </w:rPr>
        <w:t>) (</w:t>
      </w:r>
      <w:r w:rsidR="006273C5" w:rsidRPr="006273C5">
        <w:rPr>
          <w:rFonts w:ascii="Arial" w:hAnsi="Arial" w:cs="Arial"/>
          <w:b/>
          <w:bCs/>
          <w:sz w:val="28"/>
          <w:szCs w:val="28"/>
          <w:bdr w:val="single" w:sz="4" w:space="0" w:color="auto"/>
        </w:rPr>
        <w:t>B:</w:t>
      </w:r>
      <w:r w:rsidR="006273C5">
        <w:rPr>
          <w:rFonts w:ascii="Arial" w:hAnsi="Arial" w:cs="Arial"/>
          <w:b/>
          <w:bCs/>
          <w:sz w:val="28"/>
          <w:szCs w:val="28"/>
        </w:rPr>
        <w:t xml:space="preserve">  </w:t>
      </w:r>
      <w:r>
        <w:rPr>
          <w:rFonts w:ascii="Arial" w:hAnsi="Arial" w:cs="Arial"/>
          <w:b/>
          <w:bCs/>
          <w:sz w:val="28"/>
          <w:szCs w:val="28"/>
        </w:rPr>
        <w:t>p</w:t>
      </w:r>
      <w:r w:rsidRPr="002B351E">
        <w:rPr>
          <w:rFonts w:ascii="Arial" w:hAnsi="Arial" w:cs="Arial"/>
          <w:b/>
          <w:bCs/>
          <w:sz w:val="28"/>
          <w:szCs w:val="28"/>
        </w:rPr>
        <w:t>ossessed</w:t>
      </w:r>
      <w:r>
        <w:rPr>
          <w:rFonts w:ascii="Arial" w:hAnsi="Arial" w:cs="Arial"/>
          <w:b/>
          <w:bCs/>
          <w:sz w:val="28"/>
          <w:szCs w:val="28"/>
        </w:rPr>
        <w:t>)</w:t>
      </w:r>
      <w:r w:rsidRPr="002B351E">
        <w:rPr>
          <w:rFonts w:ascii="Arial" w:hAnsi="Arial" w:cs="Arial"/>
          <w:b/>
          <w:bCs/>
          <w:sz w:val="28"/>
          <w:szCs w:val="28"/>
        </w:rPr>
        <w:t xml:space="preserve"> an item that qualifies as a </w:t>
      </w:r>
      <w:r>
        <w:rPr>
          <w:rFonts w:ascii="Arial" w:hAnsi="Arial" w:cs="Arial"/>
          <w:b/>
          <w:bCs/>
          <w:sz w:val="28"/>
          <w:szCs w:val="28"/>
        </w:rPr>
        <w:t>(</w:t>
      </w:r>
      <w:r w:rsidRPr="00485DD3">
        <w:rPr>
          <w:rFonts w:ascii="Arial" w:hAnsi="Arial" w:cs="Arial"/>
          <w:b/>
          <w:bCs/>
          <w:sz w:val="28"/>
          <w:szCs w:val="28"/>
        </w:rPr>
        <w:t>firearm</w:t>
      </w:r>
      <w:r>
        <w:rPr>
          <w:rFonts w:ascii="Arial" w:hAnsi="Arial" w:cs="Arial"/>
          <w:b/>
          <w:bCs/>
          <w:sz w:val="28"/>
          <w:szCs w:val="28"/>
        </w:rPr>
        <w:t xml:space="preserve">) (rifle) (shotgun) </w:t>
      </w:r>
      <w:r w:rsidRPr="002B351E">
        <w:rPr>
          <w:rFonts w:ascii="Arial" w:hAnsi="Arial" w:cs="Arial"/>
          <w:b/>
          <w:bCs/>
          <w:sz w:val="28"/>
          <w:szCs w:val="28"/>
        </w:rPr>
        <w:t xml:space="preserve">under the law. </w:t>
      </w:r>
    </w:p>
    <w:p w14:paraId="44DCC4E2" w14:textId="27DD9CD1" w:rsidR="006B74C7" w:rsidRDefault="006B74C7" w:rsidP="00D755AA">
      <w:pPr>
        <w:spacing w:line="240" w:lineRule="auto"/>
        <w:ind w:left="1440"/>
        <w:rPr>
          <w:rFonts w:ascii="Arial" w:hAnsi="Arial" w:cs="Arial"/>
          <w:sz w:val="20"/>
          <w:szCs w:val="20"/>
        </w:rPr>
      </w:pPr>
      <w:r w:rsidRPr="007C3928">
        <w:rPr>
          <w:rFonts w:ascii="Arial" w:hAnsi="Arial" w:cs="Arial"/>
          <w:sz w:val="20"/>
          <w:szCs w:val="20"/>
        </w:rPr>
        <w:t>See G</w:t>
      </w:r>
      <w:r w:rsidRPr="00DF64F3">
        <w:rPr>
          <w:rFonts w:ascii="Arial" w:hAnsi="Arial" w:cs="Arial"/>
          <w:sz w:val="20"/>
          <w:szCs w:val="20"/>
        </w:rPr>
        <w:t>.L. c. 140, § 121</w:t>
      </w:r>
      <w:r>
        <w:rPr>
          <w:rFonts w:ascii="Arial" w:hAnsi="Arial" w:cs="Arial"/>
          <w:sz w:val="20"/>
          <w:szCs w:val="20"/>
        </w:rPr>
        <w:t>.</w:t>
      </w:r>
    </w:p>
    <w:p w14:paraId="5339A91A" w14:textId="77777777" w:rsidR="00D755AA" w:rsidRPr="00D755AA" w:rsidRDefault="00D755AA" w:rsidP="00D755AA">
      <w:pPr>
        <w:spacing w:line="240" w:lineRule="auto"/>
        <w:ind w:left="1440"/>
        <w:rPr>
          <w:rFonts w:ascii="Arial" w:hAnsi="Arial" w:cs="Arial"/>
          <w:sz w:val="20"/>
          <w:szCs w:val="20"/>
        </w:rPr>
      </w:pPr>
    </w:p>
    <w:p w14:paraId="6479F441" w14:textId="77777777" w:rsidR="006B74C7" w:rsidRPr="00C01BDB" w:rsidRDefault="006B74C7" w:rsidP="006B74C7">
      <w:pPr>
        <w:pBdr>
          <w:left w:val="single" w:sz="4" w:space="4" w:color="auto"/>
          <w:right w:val="single" w:sz="4" w:space="4" w:color="auto"/>
        </w:pBdr>
        <w:spacing w:after="0" w:line="480" w:lineRule="auto"/>
        <w:ind w:left="720" w:right="720" w:firstLine="720"/>
        <w:rPr>
          <w:rFonts w:ascii="Arial" w:hAnsi="Arial" w:cs="Arial"/>
          <w:i/>
          <w:iCs/>
          <w:sz w:val="28"/>
          <w:szCs w:val="28"/>
          <w:bdr w:val="single" w:sz="4" w:space="0" w:color="auto"/>
        </w:rPr>
      </w:pPr>
      <w:r w:rsidRPr="00C01BDB">
        <w:rPr>
          <w:rFonts w:ascii="Arial" w:hAnsi="Arial" w:cs="Arial"/>
          <w:i/>
          <w:iCs/>
          <w:sz w:val="28"/>
          <w:szCs w:val="28"/>
          <w:bdr w:val="single" w:sz="4" w:space="0" w:color="auto"/>
        </w:rPr>
        <w:t>Firearm</w:t>
      </w:r>
    </w:p>
    <w:p w14:paraId="359C5FDE" w14:textId="61C72FB7" w:rsidR="006B74C7" w:rsidRDefault="006B74C7" w:rsidP="006B74C7">
      <w:pPr>
        <w:pBdr>
          <w:left w:val="single" w:sz="4" w:space="4" w:color="auto"/>
          <w:right w:val="single" w:sz="4" w:space="4" w:color="auto"/>
        </w:pBdr>
        <w:spacing w:line="480" w:lineRule="auto"/>
        <w:ind w:left="720" w:right="720" w:firstLine="720"/>
        <w:rPr>
          <w:rFonts w:ascii="Arial" w:hAnsi="Arial" w:cs="Arial"/>
          <w:b/>
          <w:bCs/>
          <w:sz w:val="28"/>
          <w:szCs w:val="28"/>
        </w:rPr>
      </w:pPr>
      <w:r w:rsidRPr="00DF64F3">
        <w:rPr>
          <w:rFonts w:ascii="Arial" w:hAnsi="Arial" w:cs="Arial"/>
          <w:b/>
          <w:bCs/>
          <w:sz w:val="28"/>
          <w:szCs w:val="28"/>
        </w:rPr>
        <w:t>A “firearm” is defined in our law as: “a pistol, revolver or other weapon</w:t>
      </w:r>
      <w:r w:rsidR="00B95FAB">
        <w:rPr>
          <w:rFonts w:ascii="Arial" w:hAnsi="Arial" w:cs="Arial"/>
          <w:b/>
          <w:bCs/>
          <w:sz w:val="28"/>
          <w:szCs w:val="28"/>
        </w:rPr>
        <w:t>…</w:t>
      </w:r>
      <w:r w:rsidRPr="00DF64F3">
        <w:rPr>
          <w:rFonts w:ascii="Arial" w:hAnsi="Arial" w:cs="Arial"/>
          <w:b/>
          <w:bCs/>
          <w:sz w:val="28"/>
          <w:szCs w:val="28"/>
        </w:rPr>
        <w:t xml:space="preserve"> from which a shot or bullet can be discharged and</w:t>
      </w:r>
      <w:r w:rsidR="00B95FAB">
        <w:rPr>
          <w:rFonts w:ascii="Arial" w:hAnsi="Arial" w:cs="Arial"/>
          <w:b/>
          <w:bCs/>
          <w:sz w:val="28"/>
          <w:szCs w:val="28"/>
        </w:rPr>
        <w:t>…</w:t>
      </w:r>
      <w:r w:rsidRPr="00DF64F3">
        <w:rPr>
          <w:rFonts w:ascii="Arial" w:hAnsi="Arial" w:cs="Arial"/>
          <w:b/>
          <w:bCs/>
          <w:sz w:val="28"/>
          <w:szCs w:val="28"/>
        </w:rPr>
        <w:t xml:space="preserve"> the length of </w:t>
      </w:r>
      <w:r>
        <w:rPr>
          <w:rFonts w:ascii="Arial" w:hAnsi="Arial" w:cs="Arial"/>
          <w:b/>
          <w:bCs/>
          <w:sz w:val="28"/>
          <w:szCs w:val="28"/>
        </w:rPr>
        <w:t>[its]</w:t>
      </w:r>
      <w:r w:rsidRPr="00DF64F3">
        <w:rPr>
          <w:rFonts w:ascii="Arial" w:hAnsi="Arial" w:cs="Arial"/>
          <w:b/>
          <w:bCs/>
          <w:sz w:val="28"/>
          <w:szCs w:val="28"/>
        </w:rPr>
        <w:t xml:space="preserve"> barrel is less than sixteen inches</w:t>
      </w:r>
      <w:proofErr w:type="gramStart"/>
      <w:r w:rsidR="00B95FAB">
        <w:rPr>
          <w:rFonts w:ascii="Arial" w:hAnsi="Arial" w:cs="Arial"/>
          <w:b/>
          <w:bCs/>
          <w:sz w:val="28"/>
          <w:szCs w:val="28"/>
        </w:rPr>
        <w:t>…</w:t>
      </w:r>
      <w:r w:rsidRPr="00DF64F3">
        <w:rPr>
          <w:rFonts w:ascii="Arial" w:hAnsi="Arial" w:cs="Arial"/>
          <w:b/>
          <w:bCs/>
          <w:sz w:val="28"/>
          <w:szCs w:val="28"/>
        </w:rPr>
        <w:t xml:space="preserve"> .</w:t>
      </w:r>
      <w:proofErr w:type="gramEnd"/>
      <w:r w:rsidRPr="00DF64F3">
        <w:rPr>
          <w:rFonts w:ascii="Arial" w:hAnsi="Arial" w:cs="Arial"/>
          <w:b/>
          <w:bCs/>
          <w:sz w:val="28"/>
          <w:szCs w:val="28"/>
        </w:rPr>
        <w:t xml:space="preserve">” </w:t>
      </w:r>
      <w:r>
        <w:rPr>
          <w:rFonts w:ascii="Arial" w:hAnsi="Arial" w:cs="Arial"/>
          <w:b/>
          <w:bCs/>
          <w:sz w:val="28"/>
          <w:szCs w:val="28"/>
        </w:rPr>
        <w:t xml:space="preserve"> </w:t>
      </w:r>
      <w:r w:rsidRPr="00DF64F3">
        <w:rPr>
          <w:rFonts w:ascii="Arial" w:hAnsi="Arial" w:cs="Arial"/>
          <w:b/>
          <w:bCs/>
          <w:sz w:val="28"/>
          <w:szCs w:val="28"/>
        </w:rPr>
        <w:t xml:space="preserve">That definition can be broken down into three requirements: </w:t>
      </w:r>
    </w:p>
    <w:p w14:paraId="4B16A3F6" w14:textId="77777777" w:rsidR="006B74C7" w:rsidRDefault="006B74C7" w:rsidP="006B74C7">
      <w:pPr>
        <w:pBdr>
          <w:left w:val="single" w:sz="4" w:space="4" w:color="auto"/>
          <w:right w:val="single" w:sz="4" w:space="4" w:color="auto"/>
        </w:pBdr>
        <w:spacing w:line="480" w:lineRule="auto"/>
        <w:ind w:left="720" w:right="720" w:firstLine="720"/>
        <w:rPr>
          <w:rFonts w:ascii="Arial" w:hAnsi="Arial" w:cs="Arial"/>
          <w:b/>
          <w:bCs/>
          <w:sz w:val="28"/>
          <w:szCs w:val="28"/>
        </w:rPr>
      </w:pPr>
      <w:r w:rsidRPr="00DF64F3">
        <w:rPr>
          <w:rFonts w:ascii="Arial" w:hAnsi="Arial" w:cs="Arial"/>
          <w:b/>
          <w:bCs/>
          <w:sz w:val="28"/>
          <w:szCs w:val="28"/>
        </w:rPr>
        <w:t xml:space="preserve">First, it must be a </w:t>
      </w:r>
      <w:proofErr w:type="gramStart"/>
      <w:r w:rsidRPr="00DF64F3">
        <w:rPr>
          <w:rFonts w:ascii="Arial" w:hAnsi="Arial" w:cs="Arial"/>
          <w:b/>
          <w:bCs/>
          <w:sz w:val="28"/>
          <w:szCs w:val="28"/>
        </w:rPr>
        <w:t>weapon;</w:t>
      </w:r>
      <w:proofErr w:type="gramEnd"/>
      <w:r w:rsidRPr="00DF64F3">
        <w:rPr>
          <w:rFonts w:ascii="Arial" w:hAnsi="Arial" w:cs="Arial"/>
          <w:b/>
          <w:bCs/>
          <w:sz w:val="28"/>
          <w:szCs w:val="28"/>
        </w:rPr>
        <w:t xml:space="preserve"> </w:t>
      </w:r>
    </w:p>
    <w:p w14:paraId="3E9CE5D1" w14:textId="77777777" w:rsidR="006B74C7" w:rsidRDefault="006B74C7" w:rsidP="006B74C7">
      <w:pPr>
        <w:pBdr>
          <w:left w:val="single" w:sz="4" w:space="4" w:color="auto"/>
          <w:right w:val="single" w:sz="4" w:space="4" w:color="auto"/>
        </w:pBdr>
        <w:spacing w:line="480" w:lineRule="auto"/>
        <w:ind w:left="720" w:right="720" w:firstLine="720"/>
        <w:rPr>
          <w:rFonts w:ascii="Arial" w:hAnsi="Arial" w:cs="Arial"/>
          <w:b/>
          <w:bCs/>
          <w:sz w:val="28"/>
          <w:szCs w:val="28"/>
        </w:rPr>
      </w:pPr>
      <w:r w:rsidRPr="00DF64F3">
        <w:rPr>
          <w:rFonts w:ascii="Arial" w:hAnsi="Arial" w:cs="Arial"/>
          <w:b/>
          <w:bCs/>
          <w:sz w:val="28"/>
          <w:szCs w:val="28"/>
        </w:rPr>
        <w:t xml:space="preserve">Second, it must be capable of discharging a shot or bullet; and </w:t>
      </w:r>
    </w:p>
    <w:p w14:paraId="2429476A" w14:textId="77777777" w:rsidR="006B74C7" w:rsidRDefault="006B74C7" w:rsidP="006B74C7">
      <w:pPr>
        <w:pBdr>
          <w:left w:val="single" w:sz="4" w:space="4" w:color="auto"/>
          <w:right w:val="single" w:sz="4" w:space="4" w:color="auto"/>
        </w:pBdr>
        <w:spacing w:line="480" w:lineRule="auto"/>
        <w:ind w:left="720" w:right="720" w:firstLine="720"/>
        <w:rPr>
          <w:rFonts w:ascii="Arial" w:hAnsi="Arial" w:cs="Arial"/>
          <w:b/>
          <w:bCs/>
          <w:sz w:val="28"/>
          <w:szCs w:val="28"/>
        </w:rPr>
      </w:pPr>
      <w:r w:rsidRPr="00DF64F3">
        <w:rPr>
          <w:rFonts w:ascii="Arial" w:hAnsi="Arial" w:cs="Arial"/>
          <w:b/>
          <w:bCs/>
          <w:sz w:val="28"/>
          <w:szCs w:val="28"/>
        </w:rPr>
        <w:t xml:space="preserve">Third, it must have a barrel length of less than 16 inches. </w:t>
      </w:r>
    </w:p>
    <w:p w14:paraId="5EA561BB" w14:textId="0A8D8A9A" w:rsidR="006B74C7" w:rsidRDefault="006B74C7" w:rsidP="006B74C7">
      <w:pPr>
        <w:pBdr>
          <w:left w:val="single" w:sz="4" w:space="4" w:color="auto"/>
          <w:right w:val="single" w:sz="4" w:space="4" w:color="auto"/>
        </w:pBdr>
        <w:spacing w:line="480" w:lineRule="auto"/>
        <w:ind w:left="720" w:right="720" w:firstLine="720"/>
        <w:rPr>
          <w:rFonts w:ascii="Arial" w:hAnsi="Arial" w:cs="Arial"/>
          <w:b/>
          <w:bCs/>
          <w:sz w:val="28"/>
          <w:szCs w:val="28"/>
        </w:rPr>
      </w:pPr>
      <w:r w:rsidRPr="00DF64F3">
        <w:rPr>
          <w:rFonts w:ascii="Arial" w:hAnsi="Arial" w:cs="Arial"/>
          <w:b/>
          <w:bCs/>
          <w:sz w:val="28"/>
          <w:szCs w:val="28"/>
        </w:rPr>
        <w:lastRenderedPageBreak/>
        <w:t>The term “barrel length” refers to “that portion of a firearm</w:t>
      </w:r>
      <w:r w:rsidR="00B95FAB">
        <w:rPr>
          <w:rFonts w:ascii="Arial" w:hAnsi="Arial" w:cs="Arial"/>
          <w:b/>
          <w:bCs/>
          <w:sz w:val="28"/>
          <w:szCs w:val="28"/>
        </w:rPr>
        <w:t>…</w:t>
      </w:r>
      <w:r w:rsidRPr="00DF64F3">
        <w:rPr>
          <w:rFonts w:ascii="Arial" w:hAnsi="Arial" w:cs="Arial"/>
          <w:b/>
          <w:bCs/>
          <w:sz w:val="28"/>
          <w:szCs w:val="28"/>
        </w:rPr>
        <w:t xml:space="preserve"> through which a shot or bullet is driven, guided or stabilized, and [includes] the chamber.” </w:t>
      </w:r>
      <w:r>
        <w:rPr>
          <w:rFonts w:ascii="Arial" w:hAnsi="Arial" w:cs="Arial"/>
          <w:b/>
          <w:bCs/>
          <w:sz w:val="28"/>
          <w:szCs w:val="28"/>
        </w:rPr>
        <w:t xml:space="preserve">  </w:t>
      </w:r>
    </w:p>
    <w:p w14:paraId="08E1A8BF" w14:textId="77777777" w:rsidR="002132CB" w:rsidRDefault="006B74C7" w:rsidP="002132CB">
      <w:pPr>
        <w:pBdr>
          <w:left w:val="single" w:sz="4" w:space="4" w:color="auto"/>
          <w:right w:val="single" w:sz="4" w:space="4" w:color="auto"/>
        </w:pBdr>
        <w:spacing w:after="240" w:line="240" w:lineRule="auto"/>
        <w:ind w:left="720" w:right="720"/>
        <w:rPr>
          <w:rFonts w:ascii="Arial" w:hAnsi="Arial" w:cs="Arial"/>
          <w:sz w:val="20"/>
          <w:szCs w:val="20"/>
        </w:rPr>
      </w:pPr>
      <w:bookmarkStart w:id="5" w:name="_Hlk128573862"/>
      <w:r w:rsidRPr="00486DD5">
        <w:rPr>
          <w:rFonts w:ascii="Arial" w:hAnsi="Arial" w:cs="Arial"/>
          <w:i/>
          <w:iCs/>
          <w:sz w:val="20"/>
          <w:szCs w:val="20"/>
        </w:rPr>
        <w:t>Commonwealth v. Tuitt</w:t>
      </w:r>
      <w:r w:rsidRPr="00DF64F3">
        <w:rPr>
          <w:rFonts w:ascii="Arial" w:hAnsi="Arial" w:cs="Arial"/>
          <w:sz w:val="20"/>
          <w:szCs w:val="20"/>
        </w:rPr>
        <w:t xml:space="preserve">, 393 Mass. 801, 810 (1985) (jury can determine from inspection that </w:t>
      </w:r>
      <w:r>
        <w:rPr>
          <w:rFonts w:ascii="Arial" w:hAnsi="Arial" w:cs="Arial"/>
          <w:sz w:val="20"/>
          <w:szCs w:val="20"/>
        </w:rPr>
        <w:t xml:space="preserve">item is </w:t>
      </w:r>
      <w:r w:rsidRPr="00DF64F3">
        <w:rPr>
          <w:rFonts w:ascii="Arial" w:hAnsi="Arial" w:cs="Arial"/>
          <w:sz w:val="20"/>
          <w:szCs w:val="20"/>
        </w:rPr>
        <w:t>“firearm”</w:t>
      </w:r>
      <w:r>
        <w:rPr>
          <w:rFonts w:ascii="Arial" w:hAnsi="Arial" w:cs="Arial"/>
          <w:sz w:val="20"/>
          <w:szCs w:val="20"/>
        </w:rPr>
        <w:t>; no need for expert testimony</w:t>
      </w:r>
      <w:r w:rsidRPr="00DF64F3">
        <w:rPr>
          <w:rFonts w:ascii="Arial" w:hAnsi="Arial" w:cs="Arial"/>
          <w:sz w:val="20"/>
          <w:szCs w:val="20"/>
        </w:rPr>
        <w:t xml:space="preserve">); </w:t>
      </w:r>
      <w:r w:rsidRPr="00486DD5">
        <w:rPr>
          <w:rFonts w:ascii="Arial" w:hAnsi="Arial" w:cs="Arial"/>
          <w:i/>
          <w:iCs/>
          <w:sz w:val="20"/>
          <w:szCs w:val="20"/>
        </w:rPr>
        <w:t>Commonwealth v. Fancy</w:t>
      </w:r>
      <w:r w:rsidRPr="00DF64F3">
        <w:rPr>
          <w:rFonts w:ascii="Arial" w:hAnsi="Arial" w:cs="Arial"/>
          <w:sz w:val="20"/>
          <w:szCs w:val="20"/>
        </w:rPr>
        <w:t xml:space="preserve">, 349 Mass. 196, 204 (1965) (same); </w:t>
      </w:r>
      <w:r w:rsidRPr="00486DD5">
        <w:rPr>
          <w:rFonts w:ascii="Arial" w:hAnsi="Arial" w:cs="Arial"/>
          <w:i/>
          <w:iCs/>
          <w:sz w:val="20"/>
          <w:szCs w:val="20"/>
        </w:rPr>
        <w:t>Commonwealth v. Sperrazza</w:t>
      </w:r>
      <w:r w:rsidRPr="00DF64F3">
        <w:rPr>
          <w:rFonts w:ascii="Arial" w:hAnsi="Arial" w:cs="Arial"/>
          <w:sz w:val="20"/>
          <w:szCs w:val="20"/>
        </w:rPr>
        <w:t>, 372 Mass. 667, 670 (1977) (testimony about “revolver” or “handgun” will support inference that barrel was under 16 inches).</w:t>
      </w:r>
      <w:bookmarkEnd w:id="5"/>
    </w:p>
    <w:p w14:paraId="6F264A1F" w14:textId="6CB2227B" w:rsidR="006B74C7" w:rsidRPr="00C01BDB" w:rsidRDefault="006B74C7" w:rsidP="002132CB">
      <w:pPr>
        <w:pBdr>
          <w:left w:val="single" w:sz="4" w:space="4" w:color="auto"/>
          <w:right w:val="single" w:sz="4" w:space="4" w:color="auto"/>
        </w:pBdr>
        <w:spacing w:line="240" w:lineRule="auto"/>
        <w:ind w:left="720" w:right="720" w:firstLine="720"/>
        <w:rPr>
          <w:rFonts w:ascii="Arial" w:hAnsi="Arial" w:cs="Arial"/>
          <w:i/>
          <w:iCs/>
          <w:sz w:val="28"/>
          <w:szCs w:val="28"/>
          <w:bdr w:val="single" w:sz="4" w:space="0" w:color="auto"/>
        </w:rPr>
      </w:pPr>
      <w:r w:rsidRPr="00C01BDB">
        <w:rPr>
          <w:rFonts w:ascii="Arial" w:hAnsi="Arial" w:cs="Arial"/>
          <w:i/>
          <w:iCs/>
          <w:sz w:val="28"/>
          <w:szCs w:val="28"/>
          <w:bdr w:val="single" w:sz="4" w:space="0" w:color="auto"/>
        </w:rPr>
        <w:t xml:space="preserve">Rifle </w:t>
      </w:r>
    </w:p>
    <w:p w14:paraId="2AF66B5E" w14:textId="77777777" w:rsidR="006B74C7" w:rsidRPr="00EF7FBF" w:rsidRDefault="006B74C7" w:rsidP="006B74C7">
      <w:pPr>
        <w:pBdr>
          <w:left w:val="single" w:sz="4" w:space="4" w:color="auto"/>
          <w:right w:val="single" w:sz="4" w:space="4" w:color="auto"/>
        </w:pBdr>
        <w:spacing w:line="480" w:lineRule="auto"/>
        <w:ind w:left="720" w:right="720" w:firstLine="720"/>
        <w:rPr>
          <w:rFonts w:ascii="Arial" w:hAnsi="Arial" w:cs="Arial"/>
          <w:b/>
          <w:bCs/>
          <w:sz w:val="28"/>
          <w:szCs w:val="28"/>
        </w:rPr>
      </w:pPr>
      <w:r w:rsidRPr="00EF7FBF">
        <w:rPr>
          <w:rFonts w:ascii="Arial" w:hAnsi="Arial" w:cs="Arial"/>
          <w:b/>
          <w:bCs/>
          <w:sz w:val="28"/>
          <w:szCs w:val="28"/>
        </w:rPr>
        <w:t xml:space="preserve">A “rifle” is a weapon having a rifled bore with a barrel length equal to or greater than 16 inches and capable of discharging a shot or bullet for each pull of the trigger. </w:t>
      </w:r>
    </w:p>
    <w:p w14:paraId="4A81C266" w14:textId="77777777" w:rsidR="006B74C7" w:rsidRPr="00C01BDB" w:rsidRDefault="006B74C7" w:rsidP="006B74C7">
      <w:pPr>
        <w:pBdr>
          <w:left w:val="single" w:sz="4" w:space="4" w:color="auto"/>
          <w:right w:val="single" w:sz="4" w:space="4" w:color="auto"/>
        </w:pBdr>
        <w:spacing w:after="0" w:line="480" w:lineRule="auto"/>
        <w:ind w:left="720" w:right="720" w:firstLine="720"/>
        <w:rPr>
          <w:rFonts w:ascii="Arial" w:hAnsi="Arial" w:cs="Arial"/>
          <w:i/>
          <w:iCs/>
          <w:sz w:val="28"/>
          <w:szCs w:val="28"/>
          <w:bdr w:val="single" w:sz="4" w:space="0" w:color="auto"/>
        </w:rPr>
      </w:pPr>
      <w:r w:rsidRPr="00C01BDB">
        <w:rPr>
          <w:rFonts w:ascii="Arial" w:hAnsi="Arial" w:cs="Arial"/>
          <w:i/>
          <w:iCs/>
          <w:sz w:val="28"/>
          <w:szCs w:val="28"/>
          <w:bdr w:val="single" w:sz="4" w:space="0" w:color="auto"/>
        </w:rPr>
        <w:t xml:space="preserve">Shotgun </w:t>
      </w:r>
    </w:p>
    <w:p w14:paraId="6F0BA74E" w14:textId="4717A35F" w:rsidR="006B74C7" w:rsidRDefault="006B74C7" w:rsidP="006B74C7">
      <w:pPr>
        <w:pBdr>
          <w:left w:val="single" w:sz="4" w:space="4" w:color="auto"/>
          <w:right w:val="single" w:sz="4" w:space="4" w:color="auto"/>
        </w:pBdr>
        <w:spacing w:after="0" w:line="480" w:lineRule="auto"/>
        <w:ind w:left="720" w:right="720" w:firstLine="720"/>
        <w:contextualSpacing/>
        <w:rPr>
          <w:rFonts w:ascii="Arial" w:hAnsi="Arial" w:cs="Arial"/>
          <w:b/>
          <w:bCs/>
          <w:sz w:val="28"/>
          <w:szCs w:val="28"/>
        </w:rPr>
      </w:pPr>
      <w:r w:rsidRPr="00EF7FBF">
        <w:rPr>
          <w:rFonts w:ascii="Arial" w:hAnsi="Arial" w:cs="Arial"/>
          <w:b/>
          <w:bCs/>
          <w:sz w:val="28"/>
          <w:szCs w:val="28"/>
        </w:rPr>
        <w:t>A “shotgun” is a weapon having a smooth bore with a barrel length equal to or greater than 18 inches with an overall length equal to or greater than 26 inches and capable of discharging a shot or bullet for each pull of the trigger.</w:t>
      </w:r>
    </w:p>
    <w:p w14:paraId="24CD6A56" w14:textId="77777777" w:rsidR="003C23AF" w:rsidRPr="00C01BDB" w:rsidRDefault="003C23AF" w:rsidP="003C23AF">
      <w:pPr>
        <w:pBdr>
          <w:left w:val="single" w:sz="4" w:space="4" w:color="auto"/>
          <w:right w:val="single" w:sz="4" w:space="4" w:color="auto"/>
        </w:pBdr>
        <w:spacing w:after="0" w:line="480" w:lineRule="auto"/>
        <w:ind w:left="720" w:right="720" w:firstLine="720"/>
        <w:rPr>
          <w:rFonts w:ascii="Arial" w:hAnsi="Arial" w:cs="Arial"/>
          <w:i/>
          <w:iCs/>
          <w:sz w:val="28"/>
          <w:szCs w:val="28"/>
        </w:rPr>
      </w:pPr>
      <w:r w:rsidRPr="00C01BDB">
        <w:rPr>
          <w:rFonts w:ascii="Arial" w:hAnsi="Arial" w:cs="Arial"/>
          <w:i/>
          <w:iCs/>
          <w:sz w:val="28"/>
          <w:szCs w:val="28"/>
          <w:bdr w:val="single" w:sz="4" w:space="0" w:color="auto"/>
        </w:rPr>
        <w:t>Stun Gun</w:t>
      </w:r>
    </w:p>
    <w:p w14:paraId="777522E8" w14:textId="77777777" w:rsidR="003C23AF" w:rsidRDefault="003C23AF" w:rsidP="003C23AF">
      <w:pPr>
        <w:pStyle w:val="NormalWeb"/>
        <w:pBdr>
          <w:left w:val="single" w:sz="4" w:space="4" w:color="auto"/>
          <w:right w:val="single" w:sz="4" w:space="4" w:color="auto"/>
        </w:pBdr>
        <w:shd w:val="clear" w:color="auto" w:fill="FFFFFF"/>
        <w:spacing w:before="0" w:beforeAutospacing="0" w:after="0" w:afterAutospacing="0" w:line="480" w:lineRule="auto"/>
        <w:ind w:left="720" w:right="720" w:firstLine="720"/>
        <w:textAlignment w:val="baseline"/>
        <w:rPr>
          <w:rFonts w:ascii="Arial" w:hAnsi="Arial" w:cs="Arial"/>
          <w:b/>
          <w:bCs/>
          <w:color w:val="000000"/>
          <w:sz w:val="28"/>
          <w:szCs w:val="28"/>
        </w:rPr>
      </w:pPr>
      <w:r w:rsidRPr="00F4151D">
        <w:rPr>
          <w:rFonts w:ascii="Arial" w:hAnsi="Arial" w:cs="Arial"/>
          <w:b/>
          <w:bCs/>
          <w:color w:val="000000"/>
          <w:sz w:val="28"/>
          <w:szCs w:val="28"/>
        </w:rPr>
        <w:t xml:space="preserve">A “stun gun” is a firearm under the law.  It is a portable device or weapon, from which an electrical current, impulse, wave or beam that is designed to </w:t>
      </w:r>
      <w:r w:rsidRPr="00F4151D">
        <w:rPr>
          <w:rFonts w:ascii="Arial" w:hAnsi="Arial" w:cs="Arial"/>
          <w:b/>
          <w:bCs/>
          <w:color w:val="000000"/>
          <w:sz w:val="28"/>
          <w:szCs w:val="28"/>
        </w:rPr>
        <w:lastRenderedPageBreak/>
        <w:t xml:space="preserve">incapacitate temporarily, injure or kill may be directed.  It does not matter whether the stun gun passes an electrical shock by means of a dart or projectile via a wire lead. </w:t>
      </w:r>
    </w:p>
    <w:p w14:paraId="2D1E5CE3" w14:textId="77777777" w:rsidR="006B74C7" w:rsidRDefault="006B74C7" w:rsidP="006B74C7">
      <w:pPr>
        <w:pStyle w:val="NormalWeb"/>
        <w:shd w:val="clear" w:color="auto" w:fill="FFFFFF"/>
        <w:spacing w:before="0" w:beforeAutospacing="0" w:after="0" w:afterAutospacing="0" w:line="480" w:lineRule="auto"/>
        <w:textAlignment w:val="baseline"/>
        <w:rPr>
          <w:rFonts w:ascii="Arial" w:hAnsi="Arial" w:cs="Arial"/>
          <w:b/>
          <w:bCs/>
          <w:sz w:val="28"/>
          <w:szCs w:val="28"/>
        </w:rPr>
      </w:pPr>
    </w:p>
    <w:p w14:paraId="00DE4C8E" w14:textId="4A07807C" w:rsidR="006B74C7" w:rsidRDefault="006B74C7" w:rsidP="006B74C7">
      <w:pPr>
        <w:pStyle w:val="NormalWeb"/>
        <w:shd w:val="clear" w:color="auto" w:fill="FFFFFF"/>
        <w:spacing w:before="0" w:beforeAutospacing="0" w:after="0" w:afterAutospacing="0" w:line="480" w:lineRule="auto"/>
        <w:ind w:firstLine="720"/>
        <w:textAlignment w:val="baseline"/>
        <w:rPr>
          <w:rFonts w:ascii="Arial" w:hAnsi="Arial" w:cs="Arial"/>
          <w:b/>
          <w:bCs/>
          <w:sz w:val="28"/>
          <w:szCs w:val="28"/>
        </w:rPr>
      </w:pPr>
      <w:r w:rsidRPr="004116DB">
        <w:rPr>
          <w:rFonts w:ascii="Arial" w:hAnsi="Arial" w:cs="Arial"/>
          <w:b/>
          <w:bCs/>
          <w:sz w:val="28"/>
          <w:szCs w:val="28"/>
        </w:rPr>
        <w:t xml:space="preserve">To prove the third element, the Commonwealth must prove beyond a reasonable doubt that the defendant knew that </w:t>
      </w:r>
      <w:r>
        <w:rPr>
          <w:rFonts w:ascii="Arial" w:hAnsi="Arial" w:cs="Arial"/>
          <w:b/>
          <w:bCs/>
          <w:sz w:val="28"/>
          <w:szCs w:val="28"/>
        </w:rPr>
        <w:t>they</w:t>
      </w:r>
      <w:r w:rsidRPr="004116DB">
        <w:rPr>
          <w:rFonts w:ascii="Arial" w:hAnsi="Arial" w:cs="Arial"/>
          <w:b/>
          <w:bCs/>
          <w:sz w:val="28"/>
          <w:szCs w:val="28"/>
        </w:rPr>
        <w:t xml:space="preserve"> </w:t>
      </w:r>
      <w:r>
        <w:rPr>
          <w:rFonts w:ascii="Arial" w:hAnsi="Arial" w:cs="Arial"/>
          <w:b/>
          <w:bCs/>
          <w:sz w:val="28"/>
          <w:szCs w:val="28"/>
        </w:rPr>
        <w:t>[</w:t>
      </w:r>
      <w:r w:rsidRPr="00DF64F3">
        <w:rPr>
          <w:rFonts w:ascii="Arial" w:hAnsi="Arial" w:cs="Arial"/>
          <w:b/>
          <w:bCs/>
          <w:sz w:val="28"/>
          <w:szCs w:val="28"/>
        </w:rPr>
        <w:t xml:space="preserve">had a </w:t>
      </w:r>
      <w:r>
        <w:rPr>
          <w:rFonts w:ascii="Arial" w:hAnsi="Arial" w:cs="Arial"/>
          <w:b/>
          <w:bCs/>
          <w:sz w:val="28"/>
          <w:szCs w:val="28"/>
        </w:rPr>
        <w:t>(</w:t>
      </w:r>
      <w:r w:rsidRPr="00DF64F3">
        <w:rPr>
          <w:rFonts w:ascii="Arial" w:hAnsi="Arial" w:cs="Arial"/>
          <w:b/>
          <w:bCs/>
          <w:sz w:val="28"/>
          <w:szCs w:val="28"/>
        </w:rPr>
        <w:t>firearm</w:t>
      </w:r>
      <w:r>
        <w:rPr>
          <w:rFonts w:ascii="Arial" w:hAnsi="Arial" w:cs="Arial"/>
          <w:b/>
          <w:bCs/>
          <w:sz w:val="28"/>
          <w:szCs w:val="28"/>
        </w:rPr>
        <w:t xml:space="preserve">) (rifle) (shotgun) </w:t>
      </w:r>
      <w:r w:rsidRPr="00DF64F3">
        <w:rPr>
          <w:rFonts w:ascii="Arial" w:hAnsi="Arial" w:cs="Arial"/>
          <w:b/>
          <w:bCs/>
          <w:sz w:val="28"/>
          <w:szCs w:val="28"/>
        </w:rPr>
        <w:t>under their control in a vehicle</w:t>
      </w:r>
      <w:r>
        <w:rPr>
          <w:rFonts w:ascii="Arial" w:hAnsi="Arial" w:cs="Arial"/>
          <w:b/>
          <w:bCs/>
          <w:sz w:val="28"/>
          <w:szCs w:val="28"/>
        </w:rPr>
        <w:t>]</w:t>
      </w:r>
      <w:r w:rsidRPr="004116DB">
        <w:rPr>
          <w:rFonts w:ascii="Arial" w:hAnsi="Arial" w:cs="Arial"/>
          <w:b/>
          <w:bCs/>
          <w:sz w:val="28"/>
          <w:szCs w:val="28"/>
        </w:rPr>
        <w:t xml:space="preserve"> </w:t>
      </w:r>
      <w:r w:rsidR="00E108A6">
        <w:rPr>
          <w:rFonts w:ascii="Arial" w:hAnsi="Arial" w:cs="Arial"/>
          <w:b/>
          <w:bCs/>
          <w:sz w:val="28"/>
          <w:szCs w:val="28"/>
        </w:rPr>
        <w:t>[</w:t>
      </w:r>
      <w:r w:rsidR="00E108A6" w:rsidRPr="00DF64F3">
        <w:rPr>
          <w:rFonts w:ascii="Arial" w:hAnsi="Arial" w:cs="Arial"/>
          <w:b/>
          <w:bCs/>
          <w:sz w:val="28"/>
          <w:szCs w:val="28"/>
        </w:rPr>
        <w:t xml:space="preserve">possessed a </w:t>
      </w:r>
      <w:r w:rsidR="00E108A6">
        <w:rPr>
          <w:rFonts w:ascii="Arial" w:hAnsi="Arial" w:cs="Arial"/>
          <w:b/>
          <w:bCs/>
          <w:sz w:val="28"/>
          <w:szCs w:val="28"/>
        </w:rPr>
        <w:t>(</w:t>
      </w:r>
      <w:r w:rsidR="00E108A6" w:rsidRPr="00DF64F3">
        <w:rPr>
          <w:rFonts w:ascii="Arial" w:hAnsi="Arial" w:cs="Arial"/>
          <w:b/>
          <w:bCs/>
          <w:sz w:val="28"/>
          <w:szCs w:val="28"/>
        </w:rPr>
        <w:t>firearm)</w:t>
      </w:r>
      <w:r w:rsidR="00E108A6" w:rsidRPr="00DA4FE3">
        <w:rPr>
          <w:rFonts w:ascii="Arial" w:hAnsi="Arial" w:cs="Arial"/>
          <w:b/>
          <w:bCs/>
          <w:sz w:val="28"/>
          <w:szCs w:val="28"/>
        </w:rPr>
        <w:t xml:space="preserve"> </w:t>
      </w:r>
      <w:r w:rsidR="00E108A6">
        <w:rPr>
          <w:rFonts w:ascii="Arial" w:hAnsi="Arial" w:cs="Arial"/>
          <w:b/>
          <w:bCs/>
          <w:sz w:val="28"/>
          <w:szCs w:val="28"/>
        </w:rPr>
        <w:t xml:space="preserve">(rifle) (shotgun)] </w:t>
      </w:r>
      <w:r w:rsidRPr="004116DB">
        <w:rPr>
          <w:rFonts w:ascii="Arial" w:hAnsi="Arial" w:cs="Arial"/>
          <w:b/>
          <w:bCs/>
          <w:sz w:val="28"/>
          <w:szCs w:val="28"/>
        </w:rPr>
        <w:t xml:space="preserve">and also knew that the item was a </w:t>
      </w:r>
      <w:r>
        <w:rPr>
          <w:rFonts w:ascii="Arial" w:hAnsi="Arial" w:cs="Arial"/>
          <w:b/>
          <w:bCs/>
          <w:sz w:val="28"/>
          <w:szCs w:val="28"/>
        </w:rPr>
        <w:t>(</w:t>
      </w:r>
      <w:r w:rsidRPr="00DF64F3">
        <w:rPr>
          <w:rFonts w:ascii="Arial" w:hAnsi="Arial" w:cs="Arial"/>
          <w:b/>
          <w:bCs/>
          <w:sz w:val="28"/>
          <w:szCs w:val="28"/>
        </w:rPr>
        <w:t>firearm)</w:t>
      </w:r>
      <w:r w:rsidRPr="00DA4FE3">
        <w:rPr>
          <w:rFonts w:ascii="Arial" w:hAnsi="Arial" w:cs="Arial"/>
          <w:b/>
          <w:bCs/>
          <w:sz w:val="28"/>
          <w:szCs w:val="28"/>
        </w:rPr>
        <w:t xml:space="preserve"> </w:t>
      </w:r>
      <w:r>
        <w:rPr>
          <w:rFonts w:ascii="Arial" w:hAnsi="Arial" w:cs="Arial"/>
          <w:b/>
          <w:bCs/>
          <w:sz w:val="28"/>
          <w:szCs w:val="28"/>
        </w:rPr>
        <w:t>(</w:t>
      </w:r>
      <w:r w:rsidRPr="00702BEB">
        <w:rPr>
          <w:rFonts w:ascii="Arial" w:hAnsi="Arial" w:cs="Arial"/>
          <w:b/>
          <w:bCs/>
          <w:sz w:val="28"/>
          <w:szCs w:val="28"/>
        </w:rPr>
        <w:t xml:space="preserve">rifle) (shotgun) within the common meaning of that term.  </w:t>
      </w:r>
      <w:r w:rsidR="00702BEB" w:rsidRPr="00702BEB">
        <w:rPr>
          <w:rFonts w:ascii="Arial" w:hAnsi="Arial" w:cs="Arial"/>
          <w:b/>
          <w:bCs/>
          <w:sz w:val="28"/>
          <w:szCs w:val="28"/>
        </w:rPr>
        <w:t xml:space="preserve">This requires you to </w:t>
      </w:r>
      <w:proofErr w:type="gramStart"/>
      <w:r w:rsidR="00702BEB" w:rsidRPr="00702BEB">
        <w:rPr>
          <w:rFonts w:ascii="Arial" w:hAnsi="Arial" w:cs="Arial"/>
          <w:b/>
          <w:bCs/>
          <w:sz w:val="28"/>
          <w:szCs w:val="28"/>
        </w:rPr>
        <w:t>make a decision</w:t>
      </w:r>
      <w:proofErr w:type="gramEnd"/>
      <w:r w:rsidR="00702BEB" w:rsidRPr="00702BEB">
        <w:rPr>
          <w:rFonts w:ascii="Arial" w:hAnsi="Arial" w:cs="Arial"/>
          <w:b/>
          <w:bCs/>
          <w:sz w:val="28"/>
          <w:szCs w:val="28"/>
        </w:rPr>
        <w:t xml:space="preserve"> about the defendant’s state of mind at that time.  </w:t>
      </w:r>
      <w:r w:rsidRPr="00BD4B54">
        <w:rPr>
          <w:rFonts w:ascii="Arial" w:hAnsi="Arial" w:cs="Arial"/>
          <w:b/>
          <w:bCs/>
          <w:sz w:val="28"/>
          <w:szCs w:val="28"/>
        </w:rPr>
        <w:t xml:space="preserve">You may examine the defendant’s actions and words, </w:t>
      </w:r>
      <w:proofErr w:type="gramStart"/>
      <w:r w:rsidRPr="00BD4B54">
        <w:rPr>
          <w:rFonts w:ascii="Arial" w:hAnsi="Arial" w:cs="Arial"/>
          <w:b/>
          <w:bCs/>
          <w:sz w:val="28"/>
          <w:szCs w:val="28"/>
        </w:rPr>
        <w:t>all of</w:t>
      </w:r>
      <w:proofErr w:type="gramEnd"/>
      <w:r w:rsidRPr="00BD4B54">
        <w:rPr>
          <w:rFonts w:ascii="Arial" w:hAnsi="Arial" w:cs="Arial"/>
          <w:b/>
          <w:bCs/>
          <w:sz w:val="28"/>
          <w:szCs w:val="28"/>
        </w:rPr>
        <w:t xml:space="preserve"> the surrounding circumstances,</w:t>
      </w:r>
      <w:r>
        <w:rPr>
          <w:rFonts w:ascii="Arial" w:hAnsi="Arial" w:cs="Arial"/>
          <w:b/>
          <w:bCs/>
          <w:sz w:val="28"/>
          <w:szCs w:val="28"/>
        </w:rPr>
        <w:t xml:space="preserve"> and any reasonable inferences from the evidence,</w:t>
      </w:r>
      <w:r w:rsidRPr="00BD4B54">
        <w:rPr>
          <w:rFonts w:ascii="Arial" w:hAnsi="Arial" w:cs="Arial"/>
          <w:b/>
          <w:bCs/>
          <w:sz w:val="28"/>
          <w:szCs w:val="28"/>
        </w:rPr>
        <w:t xml:space="preserve"> to help you determine the extent of the defendant’s knowledge at the time.</w:t>
      </w:r>
      <w:r>
        <w:rPr>
          <w:rFonts w:ascii="Arial" w:hAnsi="Arial" w:cs="Arial"/>
          <w:b/>
          <w:bCs/>
          <w:sz w:val="28"/>
          <w:szCs w:val="28"/>
        </w:rPr>
        <w:t xml:space="preserve">  </w:t>
      </w:r>
      <w:r w:rsidRPr="004116DB">
        <w:rPr>
          <w:rFonts w:ascii="Arial" w:hAnsi="Arial" w:cs="Arial"/>
          <w:b/>
          <w:bCs/>
          <w:sz w:val="28"/>
          <w:szCs w:val="28"/>
        </w:rPr>
        <w:t xml:space="preserve">If it was a conventional </w:t>
      </w:r>
      <w:r>
        <w:rPr>
          <w:rFonts w:ascii="Arial" w:hAnsi="Arial" w:cs="Arial"/>
          <w:b/>
          <w:bCs/>
          <w:sz w:val="28"/>
          <w:szCs w:val="28"/>
        </w:rPr>
        <w:t>(</w:t>
      </w:r>
      <w:r w:rsidRPr="004116DB">
        <w:rPr>
          <w:rFonts w:ascii="Arial" w:hAnsi="Arial" w:cs="Arial"/>
          <w:b/>
          <w:bCs/>
          <w:sz w:val="28"/>
          <w:szCs w:val="28"/>
        </w:rPr>
        <w:t>firearm</w:t>
      </w:r>
      <w:r w:rsidRPr="00DF64F3">
        <w:rPr>
          <w:rFonts w:ascii="Arial" w:hAnsi="Arial" w:cs="Arial"/>
          <w:b/>
          <w:bCs/>
          <w:sz w:val="28"/>
          <w:szCs w:val="28"/>
        </w:rPr>
        <w:t>)</w:t>
      </w:r>
      <w:r w:rsidRPr="00DA4FE3">
        <w:rPr>
          <w:rFonts w:ascii="Arial" w:hAnsi="Arial" w:cs="Arial"/>
          <w:b/>
          <w:bCs/>
          <w:sz w:val="28"/>
          <w:szCs w:val="28"/>
        </w:rPr>
        <w:t xml:space="preserve"> </w:t>
      </w:r>
      <w:r>
        <w:rPr>
          <w:rFonts w:ascii="Arial" w:hAnsi="Arial" w:cs="Arial"/>
          <w:b/>
          <w:bCs/>
          <w:sz w:val="28"/>
          <w:szCs w:val="28"/>
        </w:rPr>
        <w:t>(rifle) (shotgun)</w:t>
      </w:r>
      <w:r w:rsidRPr="004116DB">
        <w:rPr>
          <w:rFonts w:ascii="Arial" w:hAnsi="Arial" w:cs="Arial"/>
          <w:b/>
          <w:bCs/>
          <w:sz w:val="28"/>
          <w:szCs w:val="28"/>
        </w:rPr>
        <w:t xml:space="preserve">, with its obvious dangers, the </w:t>
      </w:r>
      <w:r>
        <w:rPr>
          <w:rFonts w:ascii="Arial" w:hAnsi="Arial" w:cs="Arial"/>
          <w:b/>
          <w:bCs/>
          <w:sz w:val="28"/>
          <w:szCs w:val="28"/>
        </w:rPr>
        <w:t>Commonwealth</w:t>
      </w:r>
      <w:r w:rsidRPr="004116DB">
        <w:rPr>
          <w:rFonts w:ascii="Arial" w:hAnsi="Arial" w:cs="Arial"/>
          <w:b/>
          <w:bCs/>
          <w:sz w:val="28"/>
          <w:szCs w:val="28"/>
        </w:rPr>
        <w:t xml:space="preserve"> is not required to prove that the defendant knew that the item met the legal definition of a </w:t>
      </w:r>
      <w:r>
        <w:rPr>
          <w:rFonts w:ascii="Arial" w:hAnsi="Arial" w:cs="Arial"/>
          <w:b/>
          <w:bCs/>
          <w:sz w:val="28"/>
          <w:szCs w:val="28"/>
        </w:rPr>
        <w:t>(</w:t>
      </w:r>
      <w:r w:rsidRPr="004116DB">
        <w:rPr>
          <w:rFonts w:ascii="Arial" w:hAnsi="Arial" w:cs="Arial"/>
          <w:b/>
          <w:bCs/>
          <w:sz w:val="28"/>
          <w:szCs w:val="28"/>
        </w:rPr>
        <w:t>firearm</w:t>
      </w:r>
      <w:r w:rsidRPr="00DF64F3">
        <w:rPr>
          <w:rFonts w:ascii="Arial" w:hAnsi="Arial" w:cs="Arial"/>
          <w:b/>
          <w:bCs/>
          <w:sz w:val="28"/>
          <w:szCs w:val="28"/>
        </w:rPr>
        <w:t>)</w:t>
      </w:r>
      <w:r w:rsidRPr="00DA4FE3">
        <w:rPr>
          <w:rFonts w:ascii="Arial" w:hAnsi="Arial" w:cs="Arial"/>
          <w:b/>
          <w:bCs/>
          <w:sz w:val="28"/>
          <w:szCs w:val="28"/>
        </w:rPr>
        <w:t xml:space="preserve"> </w:t>
      </w:r>
      <w:r>
        <w:rPr>
          <w:rFonts w:ascii="Arial" w:hAnsi="Arial" w:cs="Arial"/>
          <w:b/>
          <w:bCs/>
          <w:sz w:val="28"/>
          <w:szCs w:val="28"/>
        </w:rPr>
        <w:t>(rifle) (shotgun)</w:t>
      </w:r>
      <w:r w:rsidRPr="004116DB">
        <w:rPr>
          <w:rFonts w:ascii="Arial" w:hAnsi="Arial" w:cs="Arial"/>
          <w:b/>
          <w:bCs/>
          <w:sz w:val="28"/>
          <w:szCs w:val="28"/>
        </w:rPr>
        <w:t xml:space="preserve">. </w:t>
      </w:r>
    </w:p>
    <w:p w14:paraId="6B2BA020" w14:textId="77777777" w:rsidR="006B74C7" w:rsidRDefault="006B74C7" w:rsidP="006B74C7">
      <w:pPr>
        <w:spacing w:line="240" w:lineRule="auto"/>
        <w:ind w:left="720" w:right="720"/>
        <w:rPr>
          <w:rFonts w:ascii="Arial" w:hAnsi="Arial" w:cs="Arial"/>
          <w:sz w:val="28"/>
          <w:szCs w:val="28"/>
        </w:rPr>
      </w:pPr>
      <w:r w:rsidRPr="004116DB">
        <w:rPr>
          <w:rFonts w:ascii="Arial" w:hAnsi="Arial" w:cs="Arial"/>
          <w:sz w:val="20"/>
          <w:szCs w:val="20"/>
        </w:rPr>
        <w:t xml:space="preserve">See Instruction 3.140 (Knowledge). </w:t>
      </w:r>
      <w:r w:rsidRPr="00055347">
        <w:rPr>
          <w:rFonts w:ascii="Arial" w:hAnsi="Arial" w:cs="Arial"/>
          <w:i/>
          <w:iCs/>
          <w:sz w:val="20"/>
          <w:szCs w:val="20"/>
        </w:rPr>
        <w:t>Commonwealth v. Marrero</w:t>
      </w:r>
      <w:r>
        <w:rPr>
          <w:rFonts w:ascii="Arial" w:hAnsi="Arial" w:cs="Arial"/>
          <w:sz w:val="20"/>
          <w:szCs w:val="20"/>
        </w:rPr>
        <w:t xml:space="preserve">, 484 Mass. 341, 346-347 (2020), quoting </w:t>
      </w:r>
      <w:r w:rsidRPr="00055347">
        <w:rPr>
          <w:rFonts w:ascii="Arial" w:hAnsi="Arial" w:cs="Arial"/>
          <w:i/>
          <w:iCs/>
          <w:sz w:val="20"/>
          <w:szCs w:val="20"/>
        </w:rPr>
        <w:t>Commonwealth v. Sampson</w:t>
      </w:r>
      <w:r w:rsidRPr="004116DB">
        <w:rPr>
          <w:rFonts w:ascii="Arial" w:hAnsi="Arial" w:cs="Arial"/>
          <w:sz w:val="20"/>
          <w:szCs w:val="20"/>
        </w:rPr>
        <w:t>, 383 Mass. 750, 762</w:t>
      </w:r>
      <w:r>
        <w:rPr>
          <w:rFonts w:ascii="Arial" w:hAnsi="Arial" w:cs="Arial"/>
          <w:sz w:val="20"/>
          <w:szCs w:val="20"/>
        </w:rPr>
        <w:t xml:space="preserve"> </w:t>
      </w:r>
      <w:r w:rsidRPr="004116DB">
        <w:rPr>
          <w:rFonts w:ascii="Arial" w:hAnsi="Arial" w:cs="Arial"/>
          <w:sz w:val="20"/>
          <w:szCs w:val="20"/>
        </w:rPr>
        <w:t>(1981)</w:t>
      </w:r>
      <w:r>
        <w:rPr>
          <w:rFonts w:ascii="Arial" w:hAnsi="Arial" w:cs="Arial"/>
          <w:sz w:val="20"/>
          <w:szCs w:val="20"/>
        </w:rPr>
        <w:t xml:space="preserve"> (Commonwealth only required to prove that defendant had knowledge that the “instrument is a firearm within the generally accepted meaning of that term”)</w:t>
      </w:r>
      <w:r w:rsidRPr="004116DB">
        <w:rPr>
          <w:rFonts w:ascii="Arial" w:hAnsi="Arial" w:cs="Arial"/>
          <w:sz w:val="20"/>
          <w:szCs w:val="20"/>
        </w:rPr>
        <w:t xml:space="preserve">; </w:t>
      </w:r>
      <w:r w:rsidRPr="00055347">
        <w:rPr>
          <w:rFonts w:ascii="Arial" w:hAnsi="Arial" w:cs="Arial"/>
          <w:i/>
          <w:iCs/>
          <w:sz w:val="20"/>
          <w:szCs w:val="20"/>
        </w:rPr>
        <w:t>Commonwealth v. Bacon</w:t>
      </w:r>
      <w:r w:rsidRPr="004116DB">
        <w:rPr>
          <w:rFonts w:ascii="Arial" w:hAnsi="Arial" w:cs="Arial"/>
          <w:sz w:val="20"/>
          <w:szCs w:val="20"/>
        </w:rPr>
        <w:t xml:space="preserve">, 374 Mass. 358, 359 (1978) (knowledge need not be alleged in complaint); </w:t>
      </w:r>
      <w:r w:rsidRPr="00055347">
        <w:rPr>
          <w:rFonts w:ascii="Arial" w:hAnsi="Arial" w:cs="Arial"/>
          <w:i/>
          <w:iCs/>
          <w:sz w:val="20"/>
          <w:szCs w:val="20"/>
        </w:rPr>
        <w:t>Commonwealth v. Jackson</w:t>
      </w:r>
      <w:r w:rsidRPr="004116DB">
        <w:rPr>
          <w:rFonts w:ascii="Arial" w:hAnsi="Arial" w:cs="Arial"/>
          <w:sz w:val="20"/>
          <w:szCs w:val="20"/>
        </w:rPr>
        <w:t>, 369 Mass. 904, 916-917</w:t>
      </w:r>
      <w:r>
        <w:rPr>
          <w:rFonts w:ascii="Arial" w:hAnsi="Arial" w:cs="Arial"/>
          <w:sz w:val="20"/>
          <w:szCs w:val="20"/>
        </w:rPr>
        <w:t xml:space="preserve"> (1</w:t>
      </w:r>
      <w:r w:rsidRPr="004116DB">
        <w:rPr>
          <w:rFonts w:ascii="Arial" w:hAnsi="Arial" w:cs="Arial"/>
          <w:sz w:val="20"/>
          <w:szCs w:val="20"/>
        </w:rPr>
        <w:t>976)</w:t>
      </w:r>
      <w:r>
        <w:rPr>
          <w:rFonts w:ascii="Arial" w:hAnsi="Arial" w:cs="Arial"/>
          <w:sz w:val="20"/>
          <w:szCs w:val="20"/>
        </w:rPr>
        <w:t xml:space="preserve"> (knowledge must be proved)</w:t>
      </w:r>
      <w:r w:rsidRPr="004116DB">
        <w:rPr>
          <w:rFonts w:ascii="Arial" w:hAnsi="Arial" w:cs="Arial"/>
          <w:sz w:val="20"/>
          <w:szCs w:val="20"/>
        </w:rPr>
        <w:t xml:space="preserve">; </w:t>
      </w:r>
      <w:r w:rsidRPr="00055347">
        <w:rPr>
          <w:rFonts w:ascii="Arial" w:hAnsi="Arial" w:cs="Arial"/>
          <w:i/>
          <w:iCs/>
          <w:sz w:val="20"/>
          <w:szCs w:val="20"/>
        </w:rPr>
        <w:t xml:space="preserve">Commonwealth </w:t>
      </w:r>
      <w:r w:rsidRPr="00055347">
        <w:rPr>
          <w:rFonts w:ascii="Arial" w:hAnsi="Arial" w:cs="Arial"/>
          <w:i/>
          <w:iCs/>
          <w:sz w:val="20"/>
          <w:szCs w:val="20"/>
        </w:rPr>
        <w:lastRenderedPageBreak/>
        <w:t>v. Boone</w:t>
      </w:r>
      <w:r w:rsidRPr="004116DB">
        <w:rPr>
          <w:rFonts w:ascii="Arial" w:hAnsi="Arial" w:cs="Arial"/>
          <w:sz w:val="20"/>
          <w:szCs w:val="20"/>
        </w:rPr>
        <w:t xml:space="preserve">, 356 Mass. 85, 87, (1969) (“control” in vehicle requires knowledge); </w:t>
      </w:r>
      <w:r w:rsidRPr="00055347">
        <w:rPr>
          <w:rFonts w:ascii="Arial" w:hAnsi="Arial" w:cs="Arial"/>
          <w:i/>
          <w:iCs/>
          <w:sz w:val="20"/>
          <w:szCs w:val="20"/>
        </w:rPr>
        <w:t>Commonwealth v. Papa</w:t>
      </w:r>
      <w:r w:rsidRPr="004116DB">
        <w:rPr>
          <w:rFonts w:ascii="Arial" w:hAnsi="Arial" w:cs="Arial"/>
          <w:sz w:val="20"/>
          <w:szCs w:val="20"/>
        </w:rPr>
        <w:t>, 17 Mass. App. Ct. 987, 987-988</w:t>
      </w:r>
      <w:r>
        <w:rPr>
          <w:rFonts w:ascii="Arial" w:hAnsi="Arial" w:cs="Arial"/>
          <w:sz w:val="20"/>
          <w:szCs w:val="20"/>
        </w:rPr>
        <w:t xml:space="preserve"> </w:t>
      </w:r>
      <w:r w:rsidRPr="004116DB">
        <w:rPr>
          <w:rFonts w:ascii="Arial" w:hAnsi="Arial" w:cs="Arial"/>
          <w:sz w:val="20"/>
          <w:szCs w:val="20"/>
        </w:rPr>
        <w:t>(1984)</w:t>
      </w:r>
      <w:r>
        <w:rPr>
          <w:rFonts w:ascii="Arial" w:hAnsi="Arial" w:cs="Arial"/>
          <w:sz w:val="20"/>
          <w:szCs w:val="20"/>
        </w:rPr>
        <w:t xml:space="preserve"> (defendant need not know that the firearm met the legal definition)</w:t>
      </w:r>
      <w:r w:rsidRPr="004116DB">
        <w:rPr>
          <w:rFonts w:ascii="Arial" w:hAnsi="Arial" w:cs="Arial"/>
          <w:sz w:val="20"/>
          <w:szCs w:val="20"/>
        </w:rPr>
        <w:t>.</w:t>
      </w:r>
      <w:r w:rsidRPr="00DF64F3">
        <w:rPr>
          <w:rFonts w:ascii="Arial" w:hAnsi="Arial" w:cs="Arial"/>
          <w:sz w:val="28"/>
          <w:szCs w:val="28"/>
        </w:rPr>
        <w:t xml:space="preserve"> </w:t>
      </w:r>
    </w:p>
    <w:p w14:paraId="03AAE2D7" w14:textId="77777777" w:rsidR="006B74C7" w:rsidRDefault="006B74C7" w:rsidP="006B74C7">
      <w:pPr>
        <w:spacing w:line="240" w:lineRule="auto"/>
        <w:ind w:left="720" w:right="720"/>
        <w:rPr>
          <w:rFonts w:ascii="Arial" w:hAnsi="Arial" w:cs="Arial"/>
          <w:sz w:val="28"/>
          <w:szCs w:val="28"/>
        </w:rPr>
      </w:pPr>
    </w:p>
    <w:p w14:paraId="4DCD10D2" w14:textId="5DE06579" w:rsidR="006B74C7" w:rsidRDefault="006B74C7" w:rsidP="006B74C7">
      <w:pPr>
        <w:spacing w:line="480" w:lineRule="auto"/>
        <w:ind w:firstLine="720"/>
        <w:rPr>
          <w:rFonts w:ascii="Arial" w:hAnsi="Arial" w:cs="Arial"/>
          <w:b/>
          <w:bCs/>
          <w:sz w:val="28"/>
          <w:szCs w:val="28"/>
        </w:rPr>
      </w:pPr>
      <w:bookmarkStart w:id="6" w:name="_Hlk133833988"/>
      <w:r w:rsidRPr="00E831A6">
        <w:rPr>
          <w:rFonts w:ascii="Arial" w:hAnsi="Arial" w:cs="Arial"/>
          <w:b/>
          <w:bCs/>
          <w:sz w:val="28"/>
          <w:szCs w:val="28"/>
        </w:rPr>
        <w:t>To prove the fourth element</w:t>
      </w:r>
      <w:r>
        <w:rPr>
          <w:rFonts w:ascii="Arial" w:hAnsi="Arial" w:cs="Arial"/>
          <w:b/>
          <w:bCs/>
          <w:sz w:val="28"/>
          <w:szCs w:val="28"/>
        </w:rPr>
        <w:t>,</w:t>
      </w:r>
      <w:r w:rsidRPr="00E831A6">
        <w:rPr>
          <w:rFonts w:ascii="Arial" w:hAnsi="Arial" w:cs="Arial"/>
          <w:b/>
          <w:bCs/>
          <w:sz w:val="28"/>
          <w:szCs w:val="28"/>
        </w:rPr>
        <w:t xml:space="preserve"> the Commonwealth must prove beyond a reasonable doubt that </w:t>
      </w:r>
      <w:r w:rsidRPr="00DF64F3">
        <w:rPr>
          <w:rFonts w:ascii="Arial" w:hAnsi="Arial" w:cs="Arial"/>
          <w:b/>
          <w:bCs/>
          <w:sz w:val="28"/>
          <w:szCs w:val="28"/>
        </w:rPr>
        <w:t xml:space="preserve">the defendant did not have a valid </w:t>
      </w:r>
      <w:r>
        <w:rPr>
          <w:rFonts w:ascii="Arial" w:hAnsi="Arial" w:cs="Arial"/>
          <w:b/>
          <w:bCs/>
          <w:sz w:val="28"/>
          <w:szCs w:val="28"/>
        </w:rPr>
        <w:t>[</w:t>
      </w:r>
      <w:r w:rsidRPr="00DF64F3">
        <w:rPr>
          <w:rFonts w:ascii="Arial" w:hAnsi="Arial" w:cs="Arial"/>
          <w:b/>
          <w:bCs/>
          <w:sz w:val="28"/>
          <w:szCs w:val="28"/>
        </w:rPr>
        <w:t xml:space="preserve">license to </w:t>
      </w:r>
      <w:r>
        <w:rPr>
          <w:rFonts w:ascii="Arial" w:hAnsi="Arial" w:cs="Arial"/>
          <w:b/>
          <w:bCs/>
          <w:sz w:val="28"/>
          <w:szCs w:val="28"/>
        </w:rPr>
        <w:t xml:space="preserve">carry </w:t>
      </w:r>
      <w:proofErr w:type="gramStart"/>
      <w:r>
        <w:rPr>
          <w:rFonts w:ascii="Arial" w:hAnsi="Arial" w:cs="Arial"/>
          <w:b/>
          <w:bCs/>
          <w:sz w:val="28"/>
          <w:szCs w:val="28"/>
        </w:rPr>
        <w:t xml:space="preserve">a </w:t>
      </w:r>
      <w:r w:rsidRPr="00DF64F3">
        <w:rPr>
          <w:rFonts w:ascii="Arial" w:hAnsi="Arial" w:cs="Arial"/>
          <w:b/>
          <w:bCs/>
          <w:sz w:val="28"/>
          <w:szCs w:val="28"/>
        </w:rPr>
        <w:t>firearm</w:t>
      </w:r>
      <w:r>
        <w:rPr>
          <w:rFonts w:ascii="Arial" w:hAnsi="Arial" w:cs="Arial"/>
          <w:b/>
          <w:bCs/>
          <w:sz w:val="28"/>
          <w:szCs w:val="28"/>
        </w:rPr>
        <w:t>] [</w:t>
      </w:r>
      <w:proofErr w:type="gramEnd"/>
      <w:r>
        <w:rPr>
          <w:rFonts w:ascii="Arial" w:hAnsi="Arial" w:cs="Arial"/>
          <w:b/>
          <w:bCs/>
          <w:sz w:val="28"/>
          <w:szCs w:val="28"/>
        </w:rPr>
        <w:t xml:space="preserve">firearms identification card or license to carry a (rifle) (shotgun)].     </w:t>
      </w:r>
    </w:p>
    <w:bookmarkEnd w:id="6"/>
    <w:p w14:paraId="2BF6A7F8" w14:textId="77777777" w:rsidR="00192161" w:rsidRPr="00B36DBE" w:rsidRDefault="00192161" w:rsidP="00192161">
      <w:pPr>
        <w:pStyle w:val="ListParagraph"/>
        <w:pBdr>
          <w:left w:val="single" w:sz="4" w:space="1" w:color="auto"/>
          <w:right w:val="single" w:sz="4" w:space="1" w:color="auto"/>
        </w:pBdr>
        <w:ind w:right="720"/>
        <w:rPr>
          <w:rFonts w:ascii="Arial" w:hAnsi="Arial" w:cs="Arial"/>
          <w:sz w:val="24"/>
          <w:szCs w:val="24"/>
        </w:rPr>
      </w:pPr>
      <w:r w:rsidRPr="00B36DBE">
        <w:rPr>
          <w:rFonts w:ascii="Arial" w:hAnsi="Arial" w:cs="Arial"/>
          <w:i/>
          <w:iCs/>
          <w:sz w:val="20"/>
          <w:szCs w:val="20"/>
          <w:bdr w:val="single" w:sz="4" w:space="0" w:color="auto"/>
        </w:rPr>
        <w:t>A</w:t>
      </w:r>
      <w:r w:rsidRPr="00B36DBE">
        <w:rPr>
          <w:rFonts w:ascii="Arial" w:hAnsi="Arial" w:cs="Arial"/>
          <w:i/>
          <w:iCs/>
          <w:sz w:val="24"/>
          <w:szCs w:val="24"/>
          <w:bdr w:val="single" w:sz="4" w:space="0" w:color="auto"/>
        </w:rPr>
        <w:t xml:space="preserve">.  </w:t>
      </w:r>
      <w:r w:rsidRPr="00F4151D">
        <w:rPr>
          <w:rFonts w:ascii="Arial" w:hAnsi="Arial" w:cs="Arial"/>
          <w:i/>
          <w:iCs/>
          <w:sz w:val="24"/>
          <w:szCs w:val="24"/>
          <w:bdr w:val="single" w:sz="4" w:space="0" w:color="auto"/>
        </w:rPr>
        <w:t>If there is evidence that the place of possession was the defendant’s residence or place of business</w:t>
      </w:r>
      <w:r w:rsidRPr="00F4151D">
        <w:rPr>
          <w:rFonts w:ascii="Arial" w:hAnsi="Arial" w:cs="Arial"/>
          <w:sz w:val="24"/>
          <w:szCs w:val="24"/>
          <w:bdr w:val="single" w:sz="4" w:space="0" w:color="auto"/>
        </w:rPr>
        <w:t>.</w:t>
      </w:r>
      <w:r w:rsidRPr="00B36DBE">
        <w:rPr>
          <w:rFonts w:ascii="Arial" w:hAnsi="Arial" w:cs="Arial"/>
          <w:sz w:val="24"/>
          <w:szCs w:val="24"/>
        </w:rPr>
        <w:t xml:space="preserve"> </w:t>
      </w:r>
    </w:p>
    <w:p w14:paraId="309697EE" w14:textId="02F74717" w:rsidR="00192161" w:rsidDel="00E831A6" w:rsidRDefault="00192161" w:rsidP="00192161">
      <w:pPr>
        <w:pBdr>
          <w:left w:val="single" w:sz="4" w:space="1" w:color="auto"/>
          <w:right w:val="single" w:sz="4" w:space="1" w:color="auto"/>
        </w:pBdr>
        <w:spacing w:line="480" w:lineRule="auto"/>
        <w:ind w:left="720" w:right="720"/>
        <w:rPr>
          <w:rFonts w:ascii="Arial" w:hAnsi="Arial" w:cs="Arial"/>
          <w:b/>
          <w:bCs/>
          <w:sz w:val="28"/>
          <w:szCs w:val="28"/>
        </w:rPr>
      </w:pPr>
      <w:r>
        <w:rPr>
          <w:rFonts w:ascii="Arial" w:hAnsi="Arial" w:cs="Arial"/>
          <w:b/>
          <w:bCs/>
          <w:sz w:val="28"/>
          <w:szCs w:val="28"/>
        </w:rPr>
        <w:t xml:space="preserve"> </w:t>
      </w:r>
      <w:r>
        <w:rPr>
          <w:rFonts w:ascii="Arial" w:hAnsi="Arial" w:cs="Arial"/>
          <w:b/>
          <w:bCs/>
          <w:sz w:val="28"/>
          <w:szCs w:val="28"/>
        </w:rPr>
        <w:tab/>
        <w:t xml:space="preserve">To prove the fifth element, the Commonwealth must prove </w:t>
      </w:r>
      <w:r w:rsidR="007D608C">
        <w:rPr>
          <w:rFonts w:ascii="Arial" w:hAnsi="Arial" w:cs="Arial"/>
          <w:b/>
          <w:bCs/>
          <w:sz w:val="28"/>
          <w:szCs w:val="28"/>
        </w:rPr>
        <w:t xml:space="preserve">beyond a reasonable doubt </w:t>
      </w:r>
      <w:r>
        <w:rPr>
          <w:rFonts w:ascii="Arial" w:hAnsi="Arial" w:cs="Arial"/>
          <w:b/>
          <w:bCs/>
          <w:sz w:val="28"/>
          <w:szCs w:val="28"/>
        </w:rPr>
        <w:t>t</w:t>
      </w:r>
      <w:r w:rsidRPr="00DF64F3" w:rsidDel="00E831A6">
        <w:rPr>
          <w:rFonts w:ascii="Arial" w:hAnsi="Arial" w:cs="Arial"/>
          <w:b/>
          <w:bCs/>
          <w:sz w:val="28"/>
          <w:szCs w:val="28"/>
        </w:rPr>
        <w:t xml:space="preserve">hat the defendant possessed the </w:t>
      </w:r>
      <w:r w:rsidDel="00E831A6">
        <w:rPr>
          <w:rFonts w:ascii="Arial" w:hAnsi="Arial" w:cs="Arial"/>
          <w:b/>
          <w:bCs/>
          <w:sz w:val="28"/>
          <w:szCs w:val="28"/>
        </w:rPr>
        <w:t>(</w:t>
      </w:r>
      <w:r w:rsidRPr="00DF64F3" w:rsidDel="00E831A6">
        <w:rPr>
          <w:rFonts w:ascii="Arial" w:hAnsi="Arial" w:cs="Arial"/>
          <w:b/>
          <w:bCs/>
          <w:sz w:val="28"/>
          <w:szCs w:val="28"/>
        </w:rPr>
        <w:t>firearm</w:t>
      </w:r>
      <w:r w:rsidDel="00E831A6">
        <w:rPr>
          <w:rFonts w:ascii="Arial" w:hAnsi="Arial" w:cs="Arial"/>
          <w:b/>
          <w:bCs/>
          <w:sz w:val="28"/>
          <w:szCs w:val="28"/>
        </w:rPr>
        <w:t xml:space="preserve">) (rifle) (shotgun) </w:t>
      </w:r>
      <w:r w:rsidRPr="00DF64F3" w:rsidDel="00E831A6">
        <w:rPr>
          <w:rFonts w:ascii="Arial" w:hAnsi="Arial" w:cs="Arial"/>
          <w:b/>
          <w:bCs/>
          <w:sz w:val="28"/>
          <w:szCs w:val="28"/>
        </w:rPr>
        <w:t xml:space="preserve">outside of their residence or place of business. </w:t>
      </w:r>
      <w:r w:rsidDel="00E831A6">
        <w:rPr>
          <w:rFonts w:ascii="Arial" w:hAnsi="Arial" w:cs="Arial"/>
          <w:b/>
          <w:bCs/>
          <w:sz w:val="28"/>
          <w:szCs w:val="28"/>
        </w:rPr>
        <w:t xml:space="preserve"> </w:t>
      </w:r>
    </w:p>
    <w:p w14:paraId="1C4F6034" w14:textId="77777777" w:rsidR="00192161" w:rsidRDefault="00192161" w:rsidP="00192161">
      <w:pPr>
        <w:pBdr>
          <w:left w:val="single" w:sz="4" w:space="1" w:color="auto"/>
          <w:right w:val="single" w:sz="4" w:space="1" w:color="auto"/>
        </w:pBdr>
        <w:tabs>
          <w:tab w:val="left" w:pos="720"/>
        </w:tabs>
        <w:spacing w:after="0" w:line="480" w:lineRule="auto"/>
        <w:ind w:left="720" w:right="720"/>
        <w:rPr>
          <w:rFonts w:ascii="Arial" w:hAnsi="Arial" w:cs="Arial"/>
          <w:b/>
          <w:bCs/>
          <w:sz w:val="28"/>
          <w:szCs w:val="28"/>
        </w:rPr>
      </w:pPr>
      <w:r>
        <w:rPr>
          <w:rFonts w:ascii="Arial" w:hAnsi="Arial" w:cs="Arial"/>
          <w:b/>
          <w:bCs/>
          <w:sz w:val="28"/>
          <w:szCs w:val="28"/>
        </w:rPr>
        <w:tab/>
      </w:r>
      <w:r w:rsidRPr="00DF64F3">
        <w:rPr>
          <w:rFonts w:ascii="Arial" w:hAnsi="Arial" w:cs="Arial"/>
          <w:b/>
          <w:bCs/>
          <w:sz w:val="28"/>
          <w:szCs w:val="28"/>
        </w:rPr>
        <w:t xml:space="preserve">A person’s residence or place of business does not include common areas of an apartment or office building, but only areas that are under that person’s exclusive control. </w:t>
      </w:r>
    </w:p>
    <w:p w14:paraId="21FFE6D6" w14:textId="10FBE89F" w:rsidR="00486409" w:rsidRPr="00192161" w:rsidRDefault="00192161" w:rsidP="00486409">
      <w:pPr>
        <w:pBdr>
          <w:left w:val="single" w:sz="4" w:space="1" w:color="auto"/>
          <w:right w:val="single" w:sz="4" w:space="1" w:color="auto"/>
        </w:pBdr>
        <w:spacing w:line="480" w:lineRule="auto"/>
        <w:ind w:left="720" w:right="720"/>
        <w:rPr>
          <w:rFonts w:ascii="Arial" w:hAnsi="Arial" w:cs="Arial"/>
          <w:i/>
          <w:iCs/>
          <w:sz w:val="24"/>
          <w:szCs w:val="24"/>
        </w:rPr>
      </w:pPr>
      <w:r w:rsidRPr="00192161">
        <w:rPr>
          <w:rFonts w:ascii="Arial" w:hAnsi="Arial" w:cs="Arial"/>
          <w:i/>
          <w:iCs/>
          <w:sz w:val="24"/>
          <w:szCs w:val="24"/>
          <w:bdr w:val="single" w:sz="4" w:space="0" w:color="auto"/>
        </w:rPr>
        <w:t xml:space="preserve">B.  </w:t>
      </w:r>
      <w:r w:rsidR="00486409" w:rsidRPr="00192161">
        <w:rPr>
          <w:rFonts w:ascii="Arial" w:hAnsi="Arial" w:cs="Arial"/>
          <w:i/>
          <w:iCs/>
          <w:sz w:val="24"/>
          <w:szCs w:val="24"/>
          <w:bdr w:val="single" w:sz="4" w:space="0" w:color="auto"/>
        </w:rPr>
        <w:t>If there is evidence that the defendant was exempt.</w:t>
      </w:r>
      <w:r w:rsidR="00486409" w:rsidRPr="00192161">
        <w:rPr>
          <w:rFonts w:ascii="Arial" w:hAnsi="Arial" w:cs="Arial"/>
          <w:i/>
          <w:iCs/>
          <w:sz w:val="24"/>
          <w:szCs w:val="24"/>
        </w:rPr>
        <w:t xml:space="preserve">  </w:t>
      </w:r>
    </w:p>
    <w:p w14:paraId="71475E14" w14:textId="3D0EF3AB" w:rsidR="00486409" w:rsidRPr="00486409" w:rsidRDefault="00486409" w:rsidP="00486409">
      <w:pPr>
        <w:pBdr>
          <w:left w:val="single" w:sz="4" w:space="1" w:color="auto"/>
          <w:right w:val="single" w:sz="4" w:space="1" w:color="auto"/>
        </w:pBdr>
        <w:spacing w:line="480" w:lineRule="auto"/>
        <w:ind w:left="720" w:right="720" w:firstLine="720"/>
        <w:rPr>
          <w:rFonts w:ascii="Arial" w:hAnsi="Arial" w:cs="Arial"/>
          <w:b/>
          <w:bCs/>
          <w:sz w:val="28"/>
          <w:szCs w:val="28"/>
        </w:rPr>
      </w:pPr>
      <w:r w:rsidRPr="00486409">
        <w:rPr>
          <w:rFonts w:ascii="Arial" w:hAnsi="Arial" w:cs="Arial"/>
          <w:b/>
          <w:bCs/>
          <w:sz w:val="28"/>
          <w:szCs w:val="28"/>
        </w:rPr>
        <w:lastRenderedPageBreak/>
        <w:t xml:space="preserve">To prove the fifth element, the Commonwealth must prove beyond a reasonable doubt that the defendant did not qualify for the statutory exemption </w:t>
      </w:r>
      <w:proofErr w:type="gramStart"/>
      <w:r w:rsidRPr="00486409">
        <w:rPr>
          <w:rFonts w:ascii="Arial" w:hAnsi="Arial" w:cs="Arial"/>
          <w:b/>
          <w:bCs/>
          <w:sz w:val="28"/>
          <w:szCs w:val="28"/>
        </w:rPr>
        <w:t>of __</w:t>
      </w:r>
      <w:proofErr w:type="gramEnd"/>
      <w:r w:rsidRPr="00486409">
        <w:rPr>
          <w:rFonts w:ascii="Arial" w:hAnsi="Arial" w:cs="Arial"/>
          <w:b/>
          <w:bCs/>
          <w:sz w:val="28"/>
          <w:szCs w:val="28"/>
        </w:rPr>
        <w:t>________.</w:t>
      </w:r>
    </w:p>
    <w:p w14:paraId="59F12A43" w14:textId="77777777" w:rsidR="00486409" w:rsidRPr="00486409" w:rsidRDefault="00486409" w:rsidP="00486409">
      <w:pPr>
        <w:pBdr>
          <w:left w:val="single" w:sz="4" w:space="1" w:color="auto"/>
          <w:right w:val="single" w:sz="4" w:space="1" w:color="auto"/>
        </w:pBdr>
        <w:tabs>
          <w:tab w:val="left" w:pos="720"/>
        </w:tabs>
        <w:spacing w:line="240" w:lineRule="auto"/>
        <w:ind w:left="720" w:right="720"/>
        <w:rPr>
          <w:rFonts w:ascii="Arial" w:hAnsi="Arial" w:cs="Arial"/>
          <w:sz w:val="20"/>
          <w:szCs w:val="20"/>
        </w:rPr>
      </w:pPr>
      <w:r w:rsidRPr="00486409">
        <w:rPr>
          <w:rFonts w:ascii="Arial" w:hAnsi="Arial" w:cs="Arial"/>
          <w:sz w:val="20"/>
          <w:szCs w:val="20"/>
        </w:rPr>
        <w:t>See G. L. c. 140, § 129C for the list of statutory exemptions. See Supplemental Instructions 3 and 4 below.</w:t>
      </w:r>
    </w:p>
    <w:p w14:paraId="66F36977" w14:textId="77777777" w:rsidR="002132CB" w:rsidRDefault="002132CB" w:rsidP="002132CB">
      <w:pPr>
        <w:spacing w:line="240" w:lineRule="auto"/>
        <w:ind w:firstLine="720"/>
        <w:contextualSpacing/>
        <w:rPr>
          <w:rFonts w:ascii="Arial" w:hAnsi="Arial" w:cs="Arial"/>
          <w:b/>
          <w:bCs/>
          <w:sz w:val="28"/>
          <w:szCs w:val="28"/>
        </w:rPr>
      </w:pPr>
    </w:p>
    <w:p w14:paraId="79B299EF" w14:textId="23ABAB8D" w:rsidR="007D5771" w:rsidRDefault="006B74C7" w:rsidP="002132CB">
      <w:pPr>
        <w:spacing w:line="480" w:lineRule="auto"/>
        <w:ind w:firstLine="720"/>
        <w:rPr>
          <w:rFonts w:ascii="Arial" w:hAnsi="Arial" w:cs="Arial"/>
          <w:b/>
          <w:bCs/>
          <w:sz w:val="28"/>
          <w:szCs w:val="28"/>
        </w:rPr>
      </w:pPr>
      <w:r w:rsidRPr="00B520A4">
        <w:rPr>
          <w:rFonts w:ascii="Arial" w:hAnsi="Arial" w:cs="Arial"/>
          <w:b/>
          <w:bCs/>
          <w:sz w:val="28"/>
          <w:szCs w:val="28"/>
        </w:rPr>
        <w:t>If the Commonwealth has prove</w:t>
      </w:r>
      <w:r>
        <w:rPr>
          <w:rFonts w:ascii="Arial" w:hAnsi="Arial" w:cs="Arial"/>
          <w:b/>
          <w:bCs/>
          <w:sz w:val="28"/>
          <w:szCs w:val="28"/>
        </w:rPr>
        <w:t>d all (four)</w:t>
      </w:r>
      <w:r w:rsidRPr="00B520A4">
        <w:rPr>
          <w:rFonts w:ascii="Arial" w:hAnsi="Arial" w:cs="Arial"/>
          <w:b/>
          <w:bCs/>
          <w:sz w:val="28"/>
          <w:szCs w:val="28"/>
        </w:rPr>
        <w:t xml:space="preserve"> </w:t>
      </w:r>
      <w:r>
        <w:rPr>
          <w:rFonts w:ascii="Arial" w:hAnsi="Arial" w:cs="Arial"/>
          <w:b/>
          <w:bCs/>
          <w:sz w:val="28"/>
          <w:szCs w:val="28"/>
        </w:rPr>
        <w:t xml:space="preserve">(five) </w:t>
      </w:r>
      <w:r w:rsidRPr="00B520A4">
        <w:rPr>
          <w:rFonts w:ascii="Arial" w:hAnsi="Arial" w:cs="Arial"/>
          <w:b/>
          <w:bCs/>
          <w:sz w:val="28"/>
          <w:szCs w:val="28"/>
        </w:rPr>
        <w:t>element</w:t>
      </w:r>
      <w:r>
        <w:rPr>
          <w:rFonts w:ascii="Arial" w:hAnsi="Arial" w:cs="Arial"/>
          <w:b/>
          <w:bCs/>
          <w:sz w:val="28"/>
          <w:szCs w:val="28"/>
        </w:rPr>
        <w:t>s</w:t>
      </w:r>
      <w:r w:rsidRPr="00B520A4">
        <w:rPr>
          <w:rFonts w:ascii="Arial" w:hAnsi="Arial" w:cs="Arial"/>
          <w:b/>
          <w:bCs/>
          <w:sz w:val="28"/>
          <w:szCs w:val="28"/>
        </w:rPr>
        <w:t xml:space="preserve"> beyond a reasonable doubt, </w:t>
      </w:r>
      <w:r>
        <w:rPr>
          <w:rFonts w:ascii="Arial" w:hAnsi="Arial" w:cs="Arial"/>
          <w:b/>
          <w:bCs/>
          <w:sz w:val="28"/>
          <w:szCs w:val="28"/>
        </w:rPr>
        <w:t>you should return a verdict of</w:t>
      </w:r>
      <w:r w:rsidRPr="00B520A4">
        <w:rPr>
          <w:rFonts w:ascii="Arial" w:hAnsi="Arial" w:cs="Arial"/>
          <w:b/>
          <w:bCs/>
          <w:sz w:val="28"/>
          <w:szCs w:val="28"/>
        </w:rPr>
        <w:t xml:space="preserve"> guilty.  If the Commonwealth has failed to prove one or more of the elements</w:t>
      </w:r>
      <w:r>
        <w:rPr>
          <w:rFonts w:ascii="Arial" w:hAnsi="Arial" w:cs="Arial"/>
          <w:b/>
          <w:bCs/>
          <w:sz w:val="28"/>
          <w:szCs w:val="28"/>
        </w:rPr>
        <w:t xml:space="preserve"> beyond a reasonable doubt</w:t>
      </w:r>
      <w:r w:rsidRPr="00B520A4">
        <w:rPr>
          <w:rFonts w:ascii="Arial" w:hAnsi="Arial" w:cs="Arial"/>
          <w:b/>
          <w:bCs/>
          <w:sz w:val="28"/>
          <w:szCs w:val="28"/>
        </w:rPr>
        <w:t xml:space="preserve">, you must find the defendant not guilty. </w:t>
      </w:r>
    </w:p>
    <w:p w14:paraId="09CC256A" w14:textId="77777777" w:rsidR="006B74C7" w:rsidRPr="00B839AD" w:rsidRDefault="006B74C7" w:rsidP="002132CB">
      <w:pPr>
        <w:pStyle w:val="BodyText"/>
        <w:kinsoku w:val="0"/>
        <w:overflowPunct w:val="0"/>
        <w:spacing w:before="240"/>
        <w:jc w:val="center"/>
      </w:pPr>
      <w:r w:rsidRPr="00B839AD">
        <w:t>SUPPLEMENTAL INSTRUCTIONS</w:t>
      </w:r>
    </w:p>
    <w:p w14:paraId="77C3F6DF" w14:textId="77777777" w:rsidR="006B74C7" w:rsidRPr="00F627D4" w:rsidRDefault="006B74C7" w:rsidP="006B74C7">
      <w:pPr>
        <w:pStyle w:val="BodyText"/>
        <w:kinsoku w:val="0"/>
        <w:overflowPunct w:val="0"/>
        <w:jc w:val="center"/>
        <w:rPr>
          <w:sz w:val="24"/>
          <w:szCs w:val="24"/>
        </w:rPr>
      </w:pPr>
    </w:p>
    <w:p w14:paraId="33E2BF06" w14:textId="77777777" w:rsidR="006B74C7" w:rsidRDefault="006B74C7" w:rsidP="006B74C7">
      <w:pPr>
        <w:pStyle w:val="BodyText"/>
        <w:kinsoku w:val="0"/>
        <w:overflowPunct w:val="0"/>
        <w:spacing w:before="10"/>
        <w:rPr>
          <w:sz w:val="14"/>
          <w:szCs w:val="14"/>
        </w:rPr>
      </w:pPr>
      <w:bookmarkStart w:id="7" w:name="_Hlk126760862"/>
    </w:p>
    <w:p w14:paraId="1CC72651" w14:textId="77777777" w:rsidR="006B74C7" w:rsidRDefault="006B74C7" w:rsidP="006B74C7">
      <w:pPr>
        <w:pStyle w:val="ListParagraph"/>
        <w:pBdr>
          <w:left w:val="single" w:sz="4" w:space="4" w:color="auto"/>
          <w:right w:val="single" w:sz="4" w:space="4" w:color="auto"/>
        </w:pBdr>
        <w:spacing w:line="480" w:lineRule="auto"/>
        <w:ind w:right="720"/>
        <w:rPr>
          <w:rFonts w:ascii="Arial" w:hAnsi="Arial" w:cs="Arial"/>
          <w:b/>
          <w:bCs/>
          <w:sz w:val="28"/>
          <w:szCs w:val="28"/>
        </w:rPr>
      </w:pPr>
      <w:r>
        <w:rPr>
          <w:rFonts w:ascii="Arial" w:hAnsi="Arial" w:cs="Arial"/>
          <w:i/>
          <w:iCs/>
          <w:sz w:val="24"/>
          <w:szCs w:val="24"/>
          <w:bdr w:val="single" w:sz="4" w:space="0" w:color="auto"/>
        </w:rPr>
        <w:t xml:space="preserve">1. </w:t>
      </w:r>
      <w:r w:rsidRPr="007413F1">
        <w:rPr>
          <w:rFonts w:ascii="Arial" w:hAnsi="Arial" w:cs="Arial"/>
          <w:i/>
          <w:iCs/>
          <w:sz w:val="24"/>
          <w:szCs w:val="24"/>
          <w:bdr w:val="single" w:sz="4" w:space="0" w:color="auto"/>
        </w:rPr>
        <w:t>Non-firing firearm, rifle or shotgun</w:t>
      </w:r>
      <w:r w:rsidRPr="007413F1">
        <w:rPr>
          <w:rFonts w:ascii="Arial" w:hAnsi="Arial" w:cs="Arial"/>
          <w:b/>
          <w:bCs/>
          <w:sz w:val="24"/>
          <w:szCs w:val="24"/>
        </w:rPr>
        <w:t>.</w:t>
      </w:r>
      <w:r w:rsidRPr="00482959">
        <w:rPr>
          <w:rFonts w:ascii="Arial" w:hAnsi="Arial" w:cs="Arial"/>
          <w:b/>
          <w:bCs/>
          <w:sz w:val="28"/>
          <w:szCs w:val="28"/>
        </w:rPr>
        <w:t xml:space="preserve">   </w:t>
      </w:r>
      <w:r>
        <w:rPr>
          <w:rFonts w:ascii="Arial" w:hAnsi="Arial" w:cs="Arial"/>
          <w:b/>
          <w:bCs/>
          <w:sz w:val="28"/>
          <w:szCs w:val="28"/>
        </w:rPr>
        <w:t>When a</w:t>
      </w:r>
      <w:r w:rsidRPr="00482959">
        <w:rPr>
          <w:rFonts w:ascii="Arial" w:hAnsi="Arial" w:cs="Arial"/>
          <w:b/>
          <w:bCs/>
          <w:sz w:val="28"/>
          <w:szCs w:val="28"/>
        </w:rPr>
        <w:t xml:space="preserve"> weapon that was originally a</w:t>
      </w:r>
      <w:r>
        <w:rPr>
          <w:rFonts w:ascii="Arial" w:hAnsi="Arial" w:cs="Arial"/>
          <w:sz w:val="20"/>
          <w:szCs w:val="20"/>
        </w:rPr>
        <w:t xml:space="preserve"> </w:t>
      </w:r>
      <w:r>
        <w:rPr>
          <w:rFonts w:ascii="Arial" w:hAnsi="Arial" w:cs="Arial"/>
          <w:b/>
          <w:bCs/>
          <w:sz w:val="28"/>
          <w:szCs w:val="28"/>
        </w:rPr>
        <w:t>(</w:t>
      </w:r>
      <w:r w:rsidRPr="00DF64F3">
        <w:rPr>
          <w:rFonts w:ascii="Arial" w:hAnsi="Arial" w:cs="Arial"/>
          <w:b/>
          <w:bCs/>
          <w:sz w:val="28"/>
          <w:szCs w:val="28"/>
        </w:rPr>
        <w:t xml:space="preserve">firearm) </w:t>
      </w:r>
      <w:r>
        <w:rPr>
          <w:rFonts w:ascii="Arial" w:hAnsi="Arial" w:cs="Arial"/>
          <w:b/>
          <w:bCs/>
          <w:sz w:val="28"/>
          <w:szCs w:val="28"/>
        </w:rPr>
        <w:t>(rifle) (shotgun) becomes so defective or damaged that it will no longer fire a projectile, the law no longer considers it to be a (</w:t>
      </w:r>
      <w:r w:rsidRPr="00DF64F3">
        <w:rPr>
          <w:rFonts w:ascii="Arial" w:hAnsi="Arial" w:cs="Arial"/>
          <w:b/>
          <w:bCs/>
          <w:sz w:val="28"/>
          <w:szCs w:val="28"/>
        </w:rPr>
        <w:t xml:space="preserve">firearm) </w:t>
      </w:r>
      <w:r>
        <w:rPr>
          <w:rFonts w:ascii="Arial" w:hAnsi="Arial" w:cs="Arial"/>
          <w:b/>
          <w:bCs/>
          <w:sz w:val="28"/>
          <w:szCs w:val="28"/>
        </w:rPr>
        <w:t>(rifle) (shotgun).  But a weapon remains a (</w:t>
      </w:r>
      <w:r w:rsidRPr="00DF64F3">
        <w:rPr>
          <w:rFonts w:ascii="Arial" w:hAnsi="Arial" w:cs="Arial"/>
          <w:b/>
          <w:bCs/>
          <w:sz w:val="28"/>
          <w:szCs w:val="28"/>
        </w:rPr>
        <w:t xml:space="preserve">firearm) </w:t>
      </w:r>
      <w:r>
        <w:rPr>
          <w:rFonts w:ascii="Arial" w:hAnsi="Arial" w:cs="Arial"/>
          <w:b/>
          <w:bCs/>
          <w:sz w:val="28"/>
          <w:szCs w:val="28"/>
        </w:rPr>
        <w:t xml:space="preserve">(rifle) (shotgun) within the meaning of the law when a slight repair, replacement or adjustment will again make it an effective weapon.  </w:t>
      </w:r>
    </w:p>
    <w:p w14:paraId="1F15C2CD" w14:textId="4E1E8100" w:rsidR="006B74C7" w:rsidRPr="00F627D4" w:rsidRDefault="006B74C7" w:rsidP="006B74C7">
      <w:pPr>
        <w:pStyle w:val="BodyText"/>
        <w:pBdr>
          <w:left w:val="single" w:sz="4" w:space="4" w:color="auto"/>
          <w:right w:val="single" w:sz="4" w:space="4" w:color="auto"/>
        </w:pBdr>
        <w:kinsoku w:val="0"/>
        <w:overflowPunct w:val="0"/>
        <w:spacing w:before="59" w:line="264" w:lineRule="auto"/>
        <w:ind w:left="720" w:right="720"/>
        <w:rPr>
          <w:b w:val="0"/>
          <w:bCs w:val="0"/>
          <w:sz w:val="20"/>
          <w:szCs w:val="20"/>
        </w:rPr>
      </w:pPr>
      <w:r>
        <w:rPr>
          <w:b w:val="0"/>
          <w:bCs w:val="0"/>
          <w:i/>
          <w:iCs/>
          <w:sz w:val="20"/>
          <w:szCs w:val="20"/>
        </w:rPr>
        <w:t xml:space="preserve">Commonwealth v. Jefferson, </w:t>
      </w:r>
      <w:r w:rsidRPr="008B6F9B">
        <w:rPr>
          <w:b w:val="0"/>
          <w:bCs w:val="0"/>
          <w:sz w:val="20"/>
          <w:szCs w:val="20"/>
        </w:rPr>
        <w:t>461 Mass. 821, 828 (2012)</w:t>
      </w:r>
      <w:r>
        <w:rPr>
          <w:b w:val="0"/>
          <w:bCs w:val="0"/>
          <w:sz w:val="20"/>
          <w:szCs w:val="20"/>
        </w:rPr>
        <w:t xml:space="preserve"> (evidence sufficient where, with a “relatively slight repair with a pair of small pliers” gun could be fired);</w:t>
      </w:r>
      <w:r w:rsidRPr="008B6F9B">
        <w:rPr>
          <w:b w:val="0"/>
          <w:bCs w:val="0"/>
          <w:sz w:val="20"/>
          <w:szCs w:val="20"/>
        </w:rPr>
        <w:t xml:space="preserve"> </w:t>
      </w:r>
      <w:r w:rsidRPr="00F627D4">
        <w:rPr>
          <w:b w:val="0"/>
          <w:bCs w:val="0"/>
          <w:i/>
          <w:iCs/>
          <w:sz w:val="20"/>
          <w:szCs w:val="20"/>
        </w:rPr>
        <w:t xml:space="preserve">Commonwealth v. Colton, </w:t>
      </w:r>
      <w:r w:rsidRPr="00F627D4">
        <w:rPr>
          <w:b w:val="0"/>
          <w:bCs w:val="0"/>
          <w:sz w:val="20"/>
          <w:szCs w:val="20"/>
        </w:rPr>
        <w:t>333 Mass. 607, 608</w:t>
      </w:r>
      <w:r>
        <w:rPr>
          <w:b w:val="0"/>
          <w:bCs w:val="0"/>
          <w:sz w:val="20"/>
          <w:szCs w:val="20"/>
        </w:rPr>
        <w:t xml:space="preserve"> </w:t>
      </w:r>
      <w:r w:rsidRPr="00F627D4">
        <w:rPr>
          <w:b w:val="0"/>
          <w:bCs w:val="0"/>
          <w:sz w:val="20"/>
          <w:szCs w:val="20"/>
        </w:rPr>
        <w:t xml:space="preserve">(1956) (insertion of </w:t>
      </w:r>
      <w:r w:rsidR="00C25D4F">
        <w:rPr>
          <w:b w:val="0"/>
          <w:bCs w:val="0"/>
          <w:sz w:val="20"/>
          <w:szCs w:val="20"/>
        </w:rPr>
        <w:t>ammunition</w:t>
      </w:r>
      <w:r w:rsidRPr="00F627D4">
        <w:rPr>
          <w:b w:val="0"/>
          <w:bCs w:val="0"/>
          <w:sz w:val="20"/>
          <w:szCs w:val="20"/>
        </w:rPr>
        <w:t xml:space="preserve"> clip); </w:t>
      </w:r>
      <w:r w:rsidRPr="008B6F9B">
        <w:rPr>
          <w:b w:val="0"/>
          <w:bCs w:val="0"/>
          <w:i/>
          <w:iCs/>
          <w:sz w:val="20"/>
          <w:szCs w:val="20"/>
        </w:rPr>
        <w:t>Commonwealth v.</w:t>
      </w:r>
      <w:r>
        <w:rPr>
          <w:b w:val="0"/>
          <w:bCs w:val="0"/>
          <w:sz w:val="20"/>
          <w:szCs w:val="20"/>
        </w:rPr>
        <w:t xml:space="preserve"> </w:t>
      </w:r>
      <w:r w:rsidRPr="00F627D4">
        <w:rPr>
          <w:b w:val="0"/>
          <w:bCs w:val="0"/>
          <w:i/>
          <w:iCs/>
          <w:sz w:val="20"/>
          <w:szCs w:val="20"/>
        </w:rPr>
        <w:t xml:space="preserve">Bartholomew, </w:t>
      </w:r>
      <w:r w:rsidRPr="00F627D4">
        <w:rPr>
          <w:b w:val="0"/>
          <w:bCs w:val="0"/>
          <w:sz w:val="20"/>
          <w:szCs w:val="20"/>
        </w:rPr>
        <w:t>326 Mass.</w:t>
      </w:r>
      <w:r>
        <w:rPr>
          <w:b w:val="0"/>
          <w:bCs w:val="0"/>
          <w:sz w:val="20"/>
          <w:szCs w:val="20"/>
        </w:rPr>
        <w:t xml:space="preserve"> 218,</w:t>
      </w:r>
      <w:r w:rsidRPr="00F627D4">
        <w:rPr>
          <w:b w:val="0"/>
          <w:bCs w:val="0"/>
          <w:sz w:val="20"/>
          <w:szCs w:val="20"/>
        </w:rPr>
        <w:t xml:space="preserve"> 220</w:t>
      </w:r>
      <w:r>
        <w:rPr>
          <w:b w:val="0"/>
          <w:bCs w:val="0"/>
          <w:sz w:val="20"/>
          <w:szCs w:val="20"/>
        </w:rPr>
        <w:t xml:space="preserve"> (1950) </w:t>
      </w:r>
      <w:r w:rsidRPr="00F627D4">
        <w:rPr>
          <w:b w:val="0"/>
          <w:bCs w:val="0"/>
          <w:sz w:val="20"/>
          <w:szCs w:val="20"/>
        </w:rPr>
        <w:t xml:space="preserve">(insertion of firing pin); </w:t>
      </w:r>
      <w:r w:rsidRPr="00F627D4">
        <w:rPr>
          <w:b w:val="0"/>
          <w:bCs w:val="0"/>
          <w:i/>
          <w:iCs/>
          <w:sz w:val="20"/>
          <w:szCs w:val="20"/>
        </w:rPr>
        <w:t xml:space="preserve">Commonwealth v. </w:t>
      </w:r>
      <w:proofErr w:type="spellStart"/>
      <w:r w:rsidRPr="00F627D4">
        <w:rPr>
          <w:b w:val="0"/>
          <w:bCs w:val="0"/>
          <w:i/>
          <w:iCs/>
          <w:sz w:val="20"/>
          <w:szCs w:val="20"/>
        </w:rPr>
        <w:lastRenderedPageBreak/>
        <w:t>Raedy</w:t>
      </w:r>
      <w:proofErr w:type="spellEnd"/>
      <w:r w:rsidRPr="00F627D4">
        <w:rPr>
          <w:b w:val="0"/>
          <w:bCs w:val="0"/>
          <w:i/>
          <w:iCs/>
          <w:sz w:val="20"/>
          <w:szCs w:val="20"/>
        </w:rPr>
        <w:t xml:space="preserve">, </w:t>
      </w:r>
      <w:r w:rsidRPr="00F627D4">
        <w:rPr>
          <w:b w:val="0"/>
          <w:bCs w:val="0"/>
          <w:sz w:val="20"/>
          <w:szCs w:val="20"/>
        </w:rPr>
        <w:t>24 Mass. App. Ct. 648, 652-656</w:t>
      </w:r>
      <w:r>
        <w:rPr>
          <w:b w:val="0"/>
          <w:bCs w:val="0"/>
          <w:sz w:val="20"/>
          <w:szCs w:val="20"/>
        </w:rPr>
        <w:t xml:space="preserve"> </w:t>
      </w:r>
      <w:r w:rsidRPr="00F627D4">
        <w:rPr>
          <w:b w:val="0"/>
          <w:bCs w:val="0"/>
          <w:sz w:val="20"/>
          <w:szCs w:val="20"/>
        </w:rPr>
        <w:t xml:space="preserve">(1987) (jury question whether gun that could be fired if inverted was “firearm”; judge who distinguishes between “major” and “minor” repairs need not instruct that Commonwealth must prove that this particular defendant had ability and knowledge to repair gun); </w:t>
      </w:r>
      <w:r w:rsidRPr="00F627D4">
        <w:rPr>
          <w:b w:val="0"/>
          <w:bCs w:val="0"/>
          <w:i/>
          <w:iCs/>
          <w:sz w:val="20"/>
          <w:szCs w:val="20"/>
        </w:rPr>
        <w:t xml:space="preserve">Commonwealth v. Rhodes, </w:t>
      </w:r>
      <w:r w:rsidRPr="00F627D4">
        <w:rPr>
          <w:b w:val="0"/>
          <w:bCs w:val="0"/>
          <w:sz w:val="20"/>
          <w:szCs w:val="20"/>
        </w:rPr>
        <w:t>21 Mass. App. Ct. 968, 969-970</w:t>
      </w:r>
      <w:r>
        <w:rPr>
          <w:b w:val="0"/>
          <w:bCs w:val="0"/>
          <w:sz w:val="20"/>
          <w:szCs w:val="20"/>
        </w:rPr>
        <w:t xml:space="preserve"> </w:t>
      </w:r>
      <w:r w:rsidRPr="00F627D4">
        <w:rPr>
          <w:b w:val="0"/>
          <w:bCs w:val="0"/>
          <w:sz w:val="20"/>
          <w:szCs w:val="20"/>
        </w:rPr>
        <w:t xml:space="preserve">(1986) (not a firearm where bent part rendered inoperable until repaired). </w:t>
      </w:r>
    </w:p>
    <w:bookmarkEnd w:id="7"/>
    <w:p w14:paraId="43688C84" w14:textId="77777777" w:rsidR="006B74C7" w:rsidRDefault="006B74C7" w:rsidP="006B74C7">
      <w:pPr>
        <w:pStyle w:val="ListParagraph"/>
        <w:pBdr>
          <w:left w:val="single" w:sz="4" w:space="4" w:color="auto"/>
          <w:right w:val="single" w:sz="4" w:space="4" w:color="auto"/>
        </w:pBdr>
        <w:spacing w:line="240" w:lineRule="auto"/>
        <w:ind w:right="720"/>
        <w:rPr>
          <w:rFonts w:ascii="Arial" w:hAnsi="Arial" w:cs="Arial"/>
          <w:sz w:val="20"/>
          <w:szCs w:val="20"/>
        </w:rPr>
      </w:pPr>
    </w:p>
    <w:p w14:paraId="1CE38A88" w14:textId="77777777" w:rsidR="006B74C7" w:rsidRDefault="006B74C7" w:rsidP="006B74C7">
      <w:pPr>
        <w:pStyle w:val="ListParagraph"/>
        <w:pBdr>
          <w:left w:val="single" w:sz="4" w:space="4" w:color="auto"/>
          <w:right w:val="single" w:sz="4" w:space="4" w:color="auto"/>
        </w:pBdr>
        <w:spacing w:line="240" w:lineRule="auto"/>
        <w:ind w:right="720"/>
        <w:rPr>
          <w:rFonts w:ascii="Arial" w:hAnsi="Arial" w:cs="Arial"/>
          <w:sz w:val="20"/>
          <w:szCs w:val="20"/>
        </w:rPr>
      </w:pPr>
    </w:p>
    <w:p w14:paraId="6046506E" w14:textId="797AEEFF" w:rsidR="006B74C7" w:rsidRDefault="00A83C97" w:rsidP="006B74C7">
      <w:pPr>
        <w:pStyle w:val="ListParagraph"/>
        <w:pBdr>
          <w:left w:val="single" w:sz="4" w:space="4" w:color="auto"/>
          <w:right w:val="single" w:sz="4" w:space="4" w:color="auto"/>
        </w:pBdr>
        <w:spacing w:line="240" w:lineRule="auto"/>
        <w:ind w:right="720"/>
        <w:rPr>
          <w:rFonts w:ascii="Arial" w:hAnsi="Arial" w:cs="Arial"/>
          <w:sz w:val="20"/>
          <w:szCs w:val="20"/>
        </w:rPr>
      </w:pPr>
      <w:r>
        <w:rPr>
          <w:rFonts w:ascii="Arial" w:hAnsi="Arial" w:cs="Arial"/>
          <w:i/>
          <w:iCs/>
          <w:sz w:val="24"/>
          <w:szCs w:val="24"/>
          <w:bdr w:val="single" w:sz="4" w:space="0" w:color="auto"/>
        </w:rPr>
        <w:t>2</w:t>
      </w:r>
      <w:r w:rsidR="006B74C7">
        <w:rPr>
          <w:rFonts w:ascii="Arial" w:hAnsi="Arial" w:cs="Arial"/>
          <w:i/>
          <w:iCs/>
          <w:sz w:val="24"/>
          <w:szCs w:val="24"/>
          <w:bdr w:val="single" w:sz="4" w:space="0" w:color="auto"/>
        </w:rPr>
        <w:t xml:space="preserve">. </w:t>
      </w:r>
      <w:r w:rsidR="006B74C7" w:rsidRPr="00EE73CF">
        <w:rPr>
          <w:rFonts w:ascii="Arial" w:hAnsi="Arial" w:cs="Arial"/>
          <w:i/>
          <w:iCs/>
          <w:sz w:val="24"/>
          <w:szCs w:val="24"/>
          <w:bdr w:val="single" w:sz="4" w:space="0" w:color="auto"/>
        </w:rPr>
        <w:t xml:space="preserve">Knowledge of licensing </w:t>
      </w:r>
      <w:proofErr w:type="gramStart"/>
      <w:r w:rsidR="006B74C7" w:rsidRPr="00EE73CF">
        <w:rPr>
          <w:rFonts w:ascii="Arial" w:hAnsi="Arial" w:cs="Arial"/>
          <w:i/>
          <w:iCs/>
          <w:sz w:val="24"/>
          <w:szCs w:val="24"/>
          <w:bdr w:val="single" w:sz="4" w:space="0" w:color="auto"/>
        </w:rPr>
        <w:t>requirement</w:t>
      </w:r>
      <w:proofErr w:type="gramEnd"/>
      <w:r w:rsidR="006B74C7">
        <w:rPr>
          <w:rFonts w:ascii="Arial" w:hAnsi="Arial" w:cs="Arial"/>
          <w:sz w:val="20"/>
          <w:szCs w:val="20"/>
        </w:rPr>
        <w:t xml:space="preserve">.  </w:t>
      </w:r>
    </w:p>
    <w:p w14:paraId="048881AD" w14:textId="77777777" w:rsidR="006B74C7" w:rsidRPr="00AD554F" w:rsidRDefault="006B74C7" w:rsidP="006B74C7">
      <w:pPr>
        <w:pBdr>
          <w:left w:val="single" w:sz="4" w:space="4" w:color="auto"/>
          <w:right w:val="single" w:sz="4" w:space="4" w:color="auto"/>
        </w:pBdr>
        <w:tabs>
          <w:tab w:val="left" w:pos="2270"/>
        </w:tabs>
        <w:spacing w:line="240" w:lineRule="auto"/>
        <w:ind w:left="720" w:right="720"/>
        <w:rPr>
          <w:sz w:val="20"/>
          <w:szCs w:val="20"/>
        </w:rPr>
      </w:pPr>
      <w:r w:rsidRPr="00AD554F">
        <w:rPr>
          <w:rFonts w:ascii="Arial" w:hAnsi="Arial" w:cs="Arial"/>
          <w:sz w:val="20"/>
          <w:szCs w:val="20"/>
        </w:rPr>
        <w:t>This instruction is recommended only when it is necessary to correct the misimpression that the Commonwealth must prove that the defendant knew that the law requires a license to carry a firearm</w:t>
      </w:r>
      <w:r w:rsidRPr="00AD554F">
        <w:rPr>
          <w:sz w:val="20"/>
          <w:szCs w:val="20"/>
        </w:rPr>
        <w:t>.</w:t>
      </w:r>
    </w:p>
    <w:p w14:paraId="03E38B0A" w14:textId="77777777" w:rsidR="006B74C7" w:rsidRPr="003068E5" w:rsidRDefault="006B74C7" w:rsidP="006B74C7">
      <w:pPr>
        <w:pStyle w:val="ListParagraph"/>
        <w:pBdr>
          <w:left w:val="single" w:sz="4" w:space="4" w:color="auto"/>
          <w:right w:val="single" w:sz="4" w:space="4" w:color="auto"/>
        </w:pBdr>
        <w:spacing w:line="480" w:lineRule="auto"/>
        <w:ind w:right="720" w:firstLine="720"/>
        <w:rPr>
          <w:rFonts w:ascii="Arial" w:hAnsi="Arial" w:cs="Arial"/>
          <w:sz w:val="20"/>
          <w:szCs w:val="20"/>
        </w:rPr>
      </w:pPr>
      <w:r w:rsidRPr="00482959">
        <w:rPr>
          <w:rFonts w:ascii="Arial" w:hAnsi="Arial" w:cs="Arial"/>
          <w:b/>
          <w:bCs/>
          <w:sz w:val="28"/>
          <w:szCs w:val="28"/>
        </w:rPr>
        <w:t xml:space="preserve">You have heard some mention that the defendant did not know that they were required to have a </w:t>
      </w:r>
      <w:r>
        <w:rPr>
          <w:rFonts w:ascii="Arial" w:hAnsi="Arial" w:cs="Arial"/>
          <w:b/>
          <w:bCs/>
          <w:sz w:val="28"/>
          <w:szCs w:val="28"/>
        </w:rPr>
        <w:t>[</w:t>
      </w:r>
      <w:r w:rsidRPr="00482959">
        <w:rPr>
          <w:rFonts w:ascii="Arial" w:hAnsi="Arial" w:cs="Arial"/>
          <w:b/>
          <w:bCs/>
          <w:sz w:val="28"/>
          <w:szCs w:val="28"/>
        </w:rPr>
        <w:t>license before carrying a firearm</w:t>
      </w:r>
      <w:r>
        <w:rPr>
          <w:rFonts w:ascii="Arial" w:hAnsi="Arial" w:cs="Arial"/>
          <w:b/>
          <w:bCs/>
          <w:sz w:val="28"/>
          <w:szCs w:val="28"/>
        </w:rPr>
        <w:t>] [</w:t>
      </w:r>
      <w:r w:rsidRPr="003068E5">
        <w:rPr>
          <w:rFonts w:ascii="Arial" w:hAnsi="Arial" w:cs="Arial"/>
          <w:b/>
          <w:bCs/>
          <w:sz w:val="28"/>
          <w:szCs w:val="28"/>
        </w:rPr>
        <w:t xml:space="preserve">license to carry or a firearm identification card before possessing </w:t>
      </w:r>
      <w:r>
        <w:rPr>
          <w:rFonts w:ascii="Arial" w:hAnsi="Arial" w:cs="Arial"/>
          <w:b/>
          <w:bCs/>
          <w:sz w:val="28"/>
          <w:szCs w:val="28"/>
        </w:rPr>
        <w:t>a (rifle) (shotgun)]</w:t>
      </w:r>
      <w:r w:rsidRPr="00482959">
        <w:rPr>
          <w:rFonts w:ascii="Arial" w:hAnsi="Arial" w:cs="Arial"/>
          <w:b/>
          <w:bCs/>
          <w:sz w:val="28"/>
          <w:szCs w:val="28"/>
        </w:rPr>
        <w:t xml:space="preserve"> under these circumstances.  The Commonwealth is </w:t>
      </w:r>
      <w:r w:rsidRPr="00482959">
        <w:rPr>
          <w:rFonts w:ascii="Arial" w:hAnsi="Arial" w:cs="Arial"/>
          <w:b/>
          <w:bCs/>
          <w:i/>
          <w:iCs/>
          <w:sz w:val="28"/>
          <w:szCs w:val="28"/>
        </w:rPr>
        <w:t>not</w:t>
      </w:r>
      <w:r w:rsidRPr="00482959">
        <w:rPr>
          <w:rFonts w:ascii="Arial" w:hAnsi="Arial" w:cs="Arial"/>
          <w:b/>
          <w:bCs/>
          <w:sz w:val="28"/>
          <w:szCs w:val="28"/>
        </w:rPr>
        <w:t xml:space="preserve"> required to prove that the defendant knew that the law required them to have a license </w:t>
      </w:r>
      <w:r>
        <w:rPr>
          <w:rFonts w:ascii="Arial" w:hAnsi="Arial" w:cs="Arial"/>
          <w:b/>
          <w:bCs/>
          <w:sz w:val="28"/>
          <w:szCs w:val="28"/>
        </w:rPr>
        <w:t xml:space="preserve">[or firearms identification card] </w:t>
      </w:r>
      <w:r w:rsidRPr="00482959">
        <w:rPr>
          <w:rFonts w:ascii="Arial" w:hAnsi="Arial" w:cs="Arial"/>
          <w:b/>
          <w:bCs/>
          <w:sz w:val="28"/>
          <w:szCs w:val="28"/>
        </w:rPr>
        <w:t>before (possessing a firearm</w:t>
      </w:r>
      <w:r w:rsidRPr="00FA5E94">
        <w:rPr>
          <w:rFonts w:ascii="Arial" w:hAnsi="Arial" w:cs="Arial"/>
          <w:b/>
          <w:bCs/>
          <w:sz w:val="28"/>
          <w:szCs w:val="28"/>
        </w:rPr>
        <w:t xml:space="preserve"> </w:t>
      </w:r>
      <w:r w:rsidRPr="00482959">
        <w:rPr>
          <w:rFonts w:ascii="Arial" w:hAnsi="Arial" w:cs="Arial"/>
          <w:b/>
          <w:bCs/>
          <w:sz w:val="28"/>
          <w:szCs w:val="28"/>
        </w:rPr>
        <w:t>outside of their home or place of business) (or) (having a firearm under their control</w:t>
      </w:r>
      <w:r>
        <w:rPr>
          <w:rFonts w:ascii="Arial" w:hAnsi="Arial" w:cs="Arial"/>
          <w:b/>
          <w:bCs/>
          <w:sz w:val="28"/>
          <w:szCs w:val="28"/>
        </w:rPr>
        <w:t xml:space="preserve"> in a vehicle)</w:t>
      </w:r>
      <w:r>
        <w:rPr>
          <w:rFonts w:ascii="Arial" w:hAnsi="Arial" w:cs="Arial"/>
          <w:sz w:val="20"/>
          <w:szCs w:val="20"/>
        </w:rPr>
        <w:t xml:space="preserve">.  </w:t>
      </w:r>
      <w:r w:rsidRPr="003068E5">
        <w:rPr>
          <w:rFonts w:ascii="Arial" w:hAnsi="Arial" w:cs="Arial"/>
          <w:b/>
          <w:bCs/>
          <w:sz w:val="28"/>
          <w:szCs w:val="28"/>
        </w:rPr>
        <w:t xml:space="preserve">For that reason, the issue of knowledge of </w:t>
      </w:r>
      <w:r>
        <w:rPr>
          <w:rFonts w:ascii="Arial" w:hAnsi="Arial" w:cs="Arial"/>
          <w:b/>
          <w:bCs/>
          <w:sz w:val="28"/>
          <w:szCs w:val="28"/>
        </w:rPr>
        <w:t>this</w:t>
      </w:r>
      <w:r w:rsidRPr="003068E5">
        <w:rPr>
          <w:rFonts w:ascii="Arial" w:hAnsi="Arial" w:cs="Arial"/>
          <w:b/>
          <w:bCs/>
          <w:sz w:val="28"/>
          <w:szCs w:val="28"/>
        </w:rPr>
        <w:t xml:space="preserve"> requirement is not relevant to your deliberations in this case, and therefore you should put it out of your mind and do not discuss it at all during your deliberations.</w:t>
      </w:r>
    </w:p>
    <w:p w14:paraId="4B59B328" w14:textId="77777777" w:rsidR="006B74C7" w:rsidRDefault="006B74C7" w:rsidP="006B74C7">
      <w:pPr>
        <w:pStyle w:val="ListParagraph"/>
        <w:pBdr>
          <w:left w:val="single" w:sz="4" w:space="4" w:color="auto"/>
          <w:right w:val="single" w:sz="4" w:space="4" w:color="auto"/>
        </w:pBdr>
        <w:spacing w:line="480" w:lineRule="auto"/>
        <w:ind w:right="720" w:firstLine="720"/>
        <w:rPr>
          <w:rFonts w:ascii="Arial" w:hAnsi="Arial" w:cs="Arial"/>
          <w:sz w:val="20"/>
          <w:szCs w:val="20"/>
        </w:rPr>
      </w:pPr>
    </w:p>
    <w:p w14:paraId="5BFDADF4" w14:textId="77777777" w:rsidR="00DC19CB" w:rsidRDefault="00DC19CB" w:rsidP="006B74C7">
      <w:pPr>
        <w:pStyle w:val="ListParagraph"/>
        <w:pBdr>
          <w:left w:val="single" w:sz="4" w:space="4" w:color="auto"/>
          <w:right w:val="single" w:sz="4" w:space="4" w:color="auto"/>
        </w:pBdr>
        <w:spacing w:line="480" w:lineRule="auto"/>
        <w:ind w:right="720" w:firstLine="720"/>
        <w:rPr>
          <w:rFonts w:ascii="Arial" w:hAnsi="Arial" w:cs="Arial"/>
          <w:sz w:val="20"/>
          <w:szCs w:val="20"/>
        </w:rPr>
      </w:pPr>
    </w:p>
    <w:p w14:paraId="4B3AEC08" w14:textId="3A271270" w:rsidR="006B74C7" w:rsidRDefault="00A83C97" w:rsidP="006B74C7">
      <w:pPr>
        <w:pStyle w:val="ListParagraph"/>
        <w:widowControl w:val="0"/>
        <w:pBdr>
          <w:left w:val="single" w:sz="4" w:space="4" w:color="auto"/>
          <w:right w:val="single" w:sz="4" w:space="4" w:color="auto"/>
        </w:pBdr>
        <w:autoSpaceDE w:val="0"/>
        <w:autoSpaceDN w:val="0"/>
        <w:adjustRightInd w:val="0"/>
        <w:spacing w:after="0" w:line="240" w:lineRule="auto"/>
        <w:ind w:right="720"/>
        <w:rPr>
          <w:rFonts w:ascii="Arial" w:hAnsi="Arial" w:cs="Arial"/>
          <w:sz w:val="24"/>
          <w:szCs w:val="24"/>
        </w:rPr>
      </w:pPr>
      <w:r>
        <w:rPr>
          <w:rFonts w:ascii="Arial" w:hAnsi="Arial" w:cs="Arial"/>
          <w:i/>
          <w:iCs/>
          <w:sz w:val="24"/>
          <w:szCs w:val="24"/>
          <w:bdr w:val="single" w:sz="4" w:space="0" w:color="auto"/>
        </w:rPr>
        <w:lastRenderedPageBreak/>
        <w:t>3</w:t>
      </w:r>
      <w:r w:rsidR="006B74C7">
        <w:rPr>
          <w:rFonts w:ascii="Arial" w:hAnsi="Arial" w:cs="Arial"/>
          <w:i/>
          <w:iCs/>
          <w:sz w:val="24"/>
          <w:szCs w:val="24"/>
          <w:bdr w:val="single" w:sz="4" w:space="0" w:color="auto"/>
        </w:rPr>
        <w:t>. If there was some</w:t>
      </w:r>
      <w:r w:rsidR="006B74C7" w:rsidRPr="00B839AD">
        <w:rPr>
          <w:rFonts w:ascii="Arial" w:hAnsi="Arial" w:cs="Arial"/>
          <w:i/>
          <w:iCs/>
          <w:sz w:val="24"/>
          <w:szCs w:val="24"/>
          <w:bdr w:val="single" w:sz="4" w:space="0" w:color="auto"/>
        </w:rPr>
        <w:t xml:space="preserve"> evidence that the </w:t>
      </w:r>
      <w:r w:rsidR="006B74C7" w:rsidRPr="00E93413">
        <w:rPr>
          <w:rFonts w:ascii="Arial" w:hAnsi="Arial" w:cs="Arial"/>
          <w:i/>
          <w:iCs/>
          <w:sz w:val="24"/>
          <w:szCs w:val="24"/>
          <w:bdr w:val="single" w:sz="4" w:space="0" w:color="auto"/>
        </w:rPr>
        <w:t>defendant was transporting a firearm through Massachusetts and the defendant was legally permitted to possess and carry under both the origin and destination state’s laws</w:t>
      </w:r>
      <w:r w:rsidR="00255A24">
        <w:rPr>
          <w:rFonts w:ascii="Arial" w:hAnsi="Arial" w:cs="Arial"/>
          <w:i/>
          <w:iCs/>
          <w:sz w:val="24"/>
          <w:szCs w:val="24"/>
          <w:bdr w:val="single" w:sz="4" w:space="0" w:color="auto"/>
        </w:rPr>
        <w:t>.</w:t>
      </w:r>
      <w:r w:rsidR="006B74C7" w:rsidRPr="00435730">
        <w:rPr>
          <w:rFonts w:ascii="Arial" w:hAnsi="Arial" w:cs="Arial"/>
          <w:sz w:val="24"/>
          <w:szCs w:val="24"/>
        </w:rPr>
        <w:t xml:space="preserve">  </w:t>
      </w:r>
    </w:p>
    <w:p w14:paraId="2E7DDB54" w14:textId="77777777" w:rsidR="006B74C7" w:rsidRPr="004C5FC9" w:rsidRDefault="006B74C7" w:rsidP="006B74C7">
      <w:pPr>
        <w:widowControl w:val="0"/>
        <w:pBdr>
          <w:left w:val="single" w:sz="4" w:space="4" w:color="auto"/>
          <w:right w:val="single" w:sz="4" w:space="4" w:color="auto"/>
        </w:pBdr>
        <w:autoSpaceDE w:val="0"/>
        <w:autoSpaceDN w:val="0"/>
        <w:adjustRightInd w:val="0"/>
        <w:spacing w:after="0" w:line="480" w:lineRule="auto"/>
        <w:ind w:left="720" w:right="720" w:firstLine="360"/>
        <w:rPr>
          <w:rStyle w:val="ac"/>
          <w:rFonts w:ascii="Arial" w:eastAsiaTheme="minorEastAsia" w:hAnsi="Arial" w:cs="Arial"/>
          <w:b/>
          <w:bCs/>
          <w:sz w:val="16"/>
          <w:szCs w:val="16"/>
          <w:bdr w:val="none" w:sz="0" w:space="0" w:color="auto" w:frame="1"/>
          <w:shd w:val="clear" w:color="auto" w:fill="FFFFFF"/>
        </w:rPr>
      </w:pPr>
    </w:p>
    <w:p w14:paraId="2D53F8FD" w14:textId="77777777" w:rsidR="006B74C7" w:rsidRPr="00435730" w:rsidRDefault="006B74C7" w:rsidP="006B74C7">
      <w:pPr>
        <w:widowControl w:val="0"/>
        <w:pBdr>
          <w:left w:val="single" w:sz="4" w:space="4" w:color="auto"/>
          <w:right w:val="single" w:sz="4" w:space="4" w:color="auto"/>
        </w:pBdr>
        <w:autoSpaceDE w:val="0"/>
        <w:autoSpaceDN w:val="0"/>
        <w:adjustRightInd w:val="0"/>
        <w:spacing w:after="0" w:line="480" w:lineRule="auto"/>
        <w:ind w:left="720" w:right="720" w:firstLine="720"/>
        <w:rPr>
          <w:rStyle w:val="ac"/>
          <w:rFonts w:ascii="Arial" w:hAnsi="Arial" w:cs="Arial"/>
          <w:sz w:val="24"/>
          <w:szCs w:val="24"/>
        </w:rPr>
      </w:pPr>
      <w:r w:rsidRPr="00435730">
        <w:rPr>
          <w:rStyle w:val="ac"/>
          <w:rFonts w:ascii="Arial" w:eastAsiaTheme="minorEastAsia" w:hAnsi="Arial" w:cs="Arial"/>
          <w:b/>
          <w:bCs/>
          <w:sz w:val="28"/>
          <w:szCs w:val="28"/>
          <w:bdr w:val="none" w:sz="0" w:space="0" w:color="auto" w:frame="1"/>
          <w:shd w:val="clear" w:color="auto" w:fill="FFFFFF"/>
        </w:rPr>
        <w:t>A person may transport a firearm through the Commonwealth of Massachusetts, so long as they satisfy four conditions:</w:t>
      </w:r>
    </w:p>
    <w:p w14:paraId="0983C2BA" w14:textId="77777777" w:rsidR="006B74C7" w:rsidRPr="00571821" w:rsidRDefault="006B74C7" w:rsidP="006B74C7">
      <w:pPr>
        <w:pStyle w:val="NormalWeb"/>
        <w:numPr>
          <w:ilvl w:val="0"/>
          <w:numId w:val="4"/>
        </w:numPr>
        <w:pBdr>
          <w:left w:val="single" w:sz="4" w:space="4" w:color="auto"/>
          <w:right w:val="single" w:sz="4" w:space="4" w:color="auto"/>
        </w:pBdr>
        <w:spacing w:before="0" w:beforeAutospacing="0" w:after="0" w:afterAutospacing="0" w:line="480" w:lineRule="auto"/>
        <w:ind w:right="720" w:firstLine="0"/>
        <w:textAlignment w:val="baseline"/>
        <w:rPr>
          <w:rStyle w:val="ac"/>
          <w:rFonts w:ascii="Arial" w:eastAsiaTheme="minorEastAsia" w:hAnsi="Arial" w:cs="Arial"/>
          <w:b/>
          <w:bCs/>
          <w:sz w:val="28"/>
          <w:szCs w:val="28"/>
          <w:bdr w:val="none" w:sz="0" w:space="0" w:color="auto" w:frame="1"/>
          <w:shd w:val="clear" w:color="auto" w:fill="FFFFFF"/>
        </w:rPr>
      </w:pPr>
      <w:r w:rsidRPr="00571821">
        <w:rPr>
          <w:rStyle w:val="ac"/>
          <w:rFonts w:ascii="Arial" w:eastAsiaTheme="minorEastAsia" w:hAnsi="Arial" w:cs="Arial"/>
          <w:b/>
          <w:bCs/>
          <w:sz w:val="28"/>
          <w:szCs w:val="28"/>
          <w:bdr w:val="none" w:sz="0" w:space="0" w:color="auto" w:frame="1"/>
          <w:shd w:val="clear" w:color="auto" w:fill="FFFFFF"/>
        </w:rPr>
        <w:t xml:space="preserve">They are </w:t>
      </w:r>
      <w:r>
        <w:rPr>
          <w:rStyle w:val="ac"/>
          <w:rFonts w:ascii="Arial" w:eastAsiaTheme="minorEastAsia" w:hAnsi="Arial" w:cs="Arial"/>
          <w:b/>
          <w:bCs/>
          <w:sz w:val="28"/>
          <w:szCs w:val="28"/>
          <w:bdr w:val="none" w:sz="0" w:space="0" w:color="auto" w:frame="1"/>
          <w:shd w:val="clear" w:color="auto" w:fill="FFFFFF"/>
        </w:rPr>
        <w:t>in compliance with the gun laws</w:t>
      </w:r>
      <w:r w:rsidRPr="00571821">
        <w:rPr>
          <w:rStyle w:val="ac"/>
          <w:rFonts w:ascii="Arial" w:eastAsiaTheme="minorEastAsia" w:hAnsi="Arial" w:cs="Arial"/>
          <w:b/>
          <w:bCs/>
          <w:sz w:val="28"/>
          <w:szCs w:val="28"/>
          <w:bdr w:val="none" w:sz="0" w:space="0" w:color="auto" w:frame="1"/>
          <w:shd w:val="clear" w:color="auto" w:fill="FFFFFF"/>
        </w:rPr>
        <w:t xml:space="preserve"> in the state they are traveling </w:t>
      </w:r>
      <w:proofErr w:type="gramStart"/>
      <w:r w:rsidRPr="00571821">
        <w:rPr>
          <w:rStyle w:val="ac"/>
          <w:rFonts w:ascii="Arial" w:eastAsiaTheme="minorEastAsia" w:hAnsi="Arial" w:cs="Arial"/>
          <w:b/>
          <w:bCs/>
          <w:sz w:val="28"/>
          <w:szCs w:val="28"/>
          <w:bdr w:val="none" w:sz="0" w:space="0" w:color="auto" w:frame="1"/>
          <w:shd w:val="clear" w:color="auto" w:fill="FFFFFF"/>
        </w:rPr>
        <w:t>from;</w:t>
      </w:r>
      <w:proofErr w:type="gramEnd"/>
    </w:p>
    <w:p w14:paraId="1ED2119E" w14:textId="77777777" w:rsidR="006B74C7" w:rsidRPr="00571821" w:rsidRDefault="006B74C7" w:rsidP="006B74C7">
      <w:pPr>
        <w:pStyle w:val="NormalWeb"/>
        <w:numPr>
          <w:ilvl w:val="0"/>
          <w:numId w:val="4"/>
        </w:numPr>
        <w:pBdr>
          <w:left w:val="single" w:sz="4" w:space="4" w:color="auto"/>
          <w:right w:val="single" w:sz="4" w:space="4" w:color="auto"/>
        </w:pBdr>
        <w:spacing w:before="0" w:beforeAutospacing="0" w:after="0" w:afterAutospacing="0" w:line="480" w:lineRule="auto"/>
        <w:ind w:right="720" w:firstLine="0"/>
        <w:textAlignment w:val="baseline"/>
        <w:rPr>
          <w:rStyle w:val="ac"/>
          <w:rFonts w:ascii="Arial" w:eastAsiaTheme="minorEastAsia" w:hAnsi="Arial" w:cs="Arial"/>
          <w:b/>
          <w:bCs/>
          <w:sz w:val="28"/>
          <w:szCs w:val="28"/>
          <w:bdr w:val="none" w:sz="0" w:space="0" w:color="auto" w:frame="1"/>
          <w:shd w:val="clear" w:color="auto" w:fill="FFFFFF"/>
        </w:rPr>
      </w:pPr>
      <w:r w:rsidRPr="00571821">
        <w:rPr>
          <w:rStyle w:val="ac"/>
          <w:rFonts w:ascii="Arial" w:eastAsiaTheme="minorEastAsia" w:hAnsi="Arial" w:cs="Arial"/>
          <w:b/>
          <w:bCs/>
          <w:sz w:val="28"/>
          <w:szCs w:val="28"/>
          <w:bdr w:val="none" w:sz="0" w:space="0" w:color="auto" w:frame="1"/>
          <w:shd w:val="clear" w:color="auto" w:fill="FFFFFF"/>
        </w:rPr>
        <w:t xml:space="preserve">They are </w:t>
      </w:r>
      <w:r>
        <w:rPr>
          <w:rStyle w:val="ac"/>
          <w:rFonts w:ascii="Arial" w:eastAsiaTheme="minorEastAsia" w:hAnsi="Arial" w:cs="Arial"/>
          <w:b/>
          <w:bCs/>
          <w:sz w:val="28"/>
          <w:szCs w:val="28"/>
          <w:bdr w:val="none" w:sz="0" w:space="0" w:color="auto" w:frame="1"/>
          <w:shd w:val="clear" w:color="auto" w:fill="FFFFFF"/>
        </w:rPr>
        <w:t>in compliance with the gun laws</w:t>
      </w:r>
      <w:r w:rsidRPr="00571821">
        <w:rPr>
          <w:rStyle w:val="ac"/>
          <w:rFonts w:ascii="Arial" w:eastAsiaTheme="minorEastAsia" w:hAnsi="Arial" w:cs="Arial"/>
          <w:b/>
          <w:bCs/>
          <w:sz w:val="28"/>
          <w:szCs w:val="28"/>
          <w:bdr w:val="none" w:sz="0" w:space="0" w:color="auto" w:frame="1"/>
          <w:shd w:val="clear" w:color="auto" w:fill="FFFFFF"/>
        </w:rPr>
        <w:t xml:space="preserve"> in the state they are traveling </w:t>
      </w:r>
      <w:proofErr w:type="gramStart"/>
      <w:r w:rsidRPr="00571821">
        <w:rPr>
          <w:rStyle w:val="ac"/>
          <w:rFonts w:ascii="Arial" w:eastAsiaTheme="minorEastAsia" w:hAnsi="Arial" w:cs="Arial"/>
          <w:b/>
          <w:bCs/>
          <w:sz w:val="28"/>
          <w:szCs w:val="28"/>
          <w:bdr w:val="none" w:sz="0" w:space="0" w:color="auto" w:frame="1"/>
          <w:shd w:val="clear" w:color="auto" w:fill="FFFFFF"/>
        </w:rPr>
        <w:t>to;</w:t>
      </w:r>
      <w:proofErr w:type="gramEnd"/>
      <w:r w:rsidRPr="00571821">
        <w:rPr>
          <w:rStyle w:val="ac"/>
          <w:rFonts w:ascii="Arial" w:eastAsiaTheme="minorEastAsia" w:hAnsi="Arial" w:cs="Arial"/>
          <w:b/>
          <w:bCs/>
          <w:sz w:val="28"/>
          <w:szCs w:val="28"/>
          <w:bdr w:val="none" w:sz="0" w:space="0" w:color="auto" w:frame="1"/>
          <w:shd w:val="clear" w:color="auto" w:fill="FFFFFF"/>
        </w:rPr>
        <w:t xml:space="preserve"> </w:t>
      </w:r>
    </w:p>
    <w:p w14:paraId="7BFAAF24" w14:textId="77777777" w:rsidR="006B74C7" w:rsidRPr="00571821" w:rsidRDefault="006B74C7" w:rsidP="006B74C7">
      <w:pPr>
        <w:pStyle w:val="NormalWeb"/>
        <w:numPr>
          <w:ilvl w:val="0"/>
          <w:numId w:val="4"/>
        </w:numPr>
        <w:pBdr>
          <w:left w:val="single" w:sz="4" w:space="4" w:color="auto"/>
          <w:right w:val="single" w:sz="4" w:space="4" w:color="auto"/>
        </w:pBdr>
        <w:spacing w:before="0" w:beforeAutospacing="0" w:after="0" w:afterAutospacing="0" w:line="480" w:lineRule="auto"/>
        <w:ind w:right="720" w:firstLine="0"/>
        <w:textAlignment w:val="baseline"/>
        <w:rPr>
          <w:rStyle w:val="ac"/>
          <w:rFonts w:ascii="Arial" w:eastAsiaTheme="minorEastAsia" w:hAnsi="Arial" w:cs="Arial"/>
          <w:b/>
          <w:bCs/>
          <w:sz w:val="28"/>
          <w:szCs w:val="28"/>
          <w:bdr w:val="none" w:sz="0" w:space="0" w:color="auto" w:frame="1"/>
          <w:shd w:val="clear" w:color="auto" w:fill="FFFFFF"/>
        </w:rPr>
      </w:pPr>
      <w:r w:rsidRPr="00571821">
        <w:rPr>
          <w:rStyle w:val="ac"/>
          <w:rFonts w:ascii="Arial" w:eastAsiaTheme="minorEastAsia" w:hAnsi="Arial" w:cs="Arial"/>
          <w:b/>
          <w:bCs/>
          <w:sz w:val="28"/>
          <w:szCs w:val="28"/>
          <w:bdr w:val="none" w:sz="0" w:space="0" w:color="auto" w:frame="1"/>
          <w:shd w:val="clear" w:color="auto" w:fill="FFFFFF"/>
        </w:rPr>
        <w:t>The weapon is not loaded; and</w:t>
      </w:r>
    </w:p>
    <w:p w14:paraId="5B1DE2A0" w14:textId="77777777" w:rsidR="006B74C7" w:rsidRDefault="006B74C7" w:rsidP="006B74C7">
      <w:pPr>
        <w:pStyle w:val="NormalWeb"/>
        <w:numPr>
          <w:ilvl w:val="0"/>
          <w:numId w:val="4"/>
        </w:numPr>
        <w:pBdr>
          <w:left w:val="single" w:sz="4" w:space="4" w:color="auto"/>
          <w:right w:val="single" w:sz="4" w:space="4" w:color="auto"/>
        </w:pBdr>
        <w:spacing w:before="0" w:beforeAutospacing="0" w:after="0" w:afterAutospacing="0" w:line="480" w:lineRule="auto"/>
        <w:ind w:right="720" w:firstLine="0"/>
        <w:textAlignment w:val="baseline"/>
        <w:rPr>
          <w:rStyle w:val="ac"/>
          <w:rFonts w:ascii="Arial" w:eastAsiaTheme="minorEastAsia" w:hAnsi="Arial" w:cs="Arial"/>
          <w:b/>
          <w:bCs/>
          <w:sz w:val="28"/>
          <w:szCs w:val="28"/>
          <w:bdr w:val="none" w:sz="0" w:space="0" w:color="auto" w:frame="1"/>
          <w:shd w:val="clear" w:color="auto" w:fill="FFFFFF"/>
        </w:rPr>
      </w:pPr>
      <w:r w:rsidRPr="00571821">
        <w:rPr>
          <w:rStyle w:val="ac"/>
          <w:rFonts w:ascii="Arial" w:eastAsiaTheme="minorEastAsia" w:hAnsi="Arial" w:cs="Arial"/>
          <w:b/>
          <w:bCs/>
          <w:sz w:val="28"/>
          <w:szCs w:val="28"/>
          <w:bdr w:val="none" w:sz="0" w:space="0" w:color="auto" w:frame="1"/>
          <w:shd w:val="clear" w:color="auto" w:fill="FFFFFF"/>
        </w:rPr>
        <w:t xml:space="preserve">The weapon and any ammunition </w:t>
      </w:r>
      <w:proofErr w:type="gramStart"/>
      <w:r w:rsidRPr="00571821">
        <w:rPr>
          <w:rStyle w:val="ac"/>
          <w:rFonts w:ascii="Arial" w:eastAsiaTheme="minorEastAsia" w:hAnsi="Arial" w:cs="Arial"/>
          <w:b/>
          <w:bCs/>
          <w:sz w:val="28"/>
          <w:szCs w:val="28"/>
          <w:bdr w:val="none" w:sz="0" w:space="0" w:color="auto" w:frame="1"/>
          <w:shd w:val="clear" w:color="auto" w:fill="FFFFFF"/>
        </w:rPr>
        <w:t>is</w:t>
      </w:r>
      <w:proofErr w:type="gramEnd"/>
      <w:r w:rsidRPr="00571821">
        <w:rPr>
          <w:rStyle w:val="ac"/>
          <w:rFonts w:ascii="Arial" w:eastAsiaTheme="minorEastAsia" w:hAnsi="Arial" w:cs="Arial"/>
          <w:b/>
          <w:bCs/>
          <w:sz w:val="28"/>
          <w:szCs w:val="28"/>
          <w:bdr w:val="none" w:sz="0" w:space="0" w:color="auto" w:frame="1"/>
          <w:shd w:val="clear" w:color="auto" w:fill="FFFFFF"/>
        </w:rPr>
        <w:t xml:space="preserve"> not readily accessible </w:t>
      </w:r>
      <w:r>
        <w:rPr>
          <w:rStyle w:val="ac"/>
          <w:rFonts w:ascii="Arial" w:eastAsiaTheme="minorEastAsia" w:hAnsi="Arial" w:cs="Arial"/>
          <w:b/>
          <w:bCs/>
          <w:sz w:val="28"/>
          <w:szCs w:val="28"/>
          <w:bdr w:val="none" w:sz="0" w:space="0" w:color="auto" w:frame="1"/>
          <w:shd w:val="clear" w:color="auto" w:fill="FFFFFF"/>
        </w:rPr>
        <w:t>while being</w:t>
      </w:r>
      <w:r w:rsidRPr="00571821">
        <w:rPr>
          <w:rStyle w:val="ac"/>
          <w:rFonts w:ascii="Arial" w:eastAsiaTheme="minorEastAsia" w:hAnsi="Arial" w:cs="Arial"/>
          <w:b/>
          <w:bCs/>
          <w:sz w:val="28"/>
          <w:szCs w:val="28"/>
          <w:bdr w:val="none" w:sz="0" w:space="0" w:color="auto" w:frame="1"/>
          <w:shd w:val="clear" w:color="auto" w:fill="FFFFFF"/>
        </w:rPr>
        <w:t xml:space="preserve"> transport</w:t>
      </w:r>
      <w:r>
        <w:rPr>
          <w:rStyle w:val="ac"/>
          <w:rFonts w:ascii="Arial" w:eastAsiaTheme="minorEastAsia" w:hAnsi="Arial" w:cs="Arial"/>
          <w:b/>
          <w:bCs/>
          <w:sz w:val="28"/>
          <w:szCs w:val="28"/>
          <w:bdr w:val="none" w:sz="0" w:space="0" w:color="auto" w:frame="1"/>
          <w:shd w:val="clear" w:color="auto" w:fill="FFFFFF"/>
        </w:rPr>
        <w:t>ed</w:t>
      </w:r>
      <w:r w:rsidRPr="00571821">
        <w:rPr>
          <w:rStyle w:val="ac"/>
          <w:rFonts w:ascii="Arial" w:eastAsiaTheme="minorEastAsia" w:hAnsi="Arial" w:cs="Arial"/>
          <w:b/>
          <w:bCs/>
          <w:sz w:val="28"/>
          <w:szCs w:val="28"/>
          <w:bdr w:val="none" w:sz="0" w:space="0" w:color="auto" w:frame="1"/>
          <w:shd w:val="clear" w:color="auto" w:fill="FFFFFF"/>
        </w:rPr>
        <w:t xml:space="preserve">. </w:t>
      </w:r>
    </w:p>
    <w:p w14:paraId="248BF95B" w14:textId="77777777" w:rsidR="006B74C7" w:rsidRPr="00571821" w:rsidRDefault="006B74C7" w:rsidP="006B74C7">
      <w:pPr>
        <w:pStyle w:val="NormalWeb"/>
        <w:pBdr>
          <w:left w:val="single" w:sz="4" w:space="4" w:color="auto"/>
          <w:right w:val="single" w:sz="4" w:space="4" w:color="auto"/>
        </w:pBdr>
        <w:spacing w:before="0" w:beforeAutospacing="0" w:after="0" w:afterAutospacing="0" w:line="480" w:lineRule="auto"/>
        <w:ind w:left="720" w:right="720" w:firstLine="720"/>
        <w:textAlignment w:val="baseline"/>
        <w:rPr>
          <w:rStyle w:val="ac"/>
          <w:rFonts w:ascii="Arial" w:eastAsiaTheme="minorEastAsia" w:hAnsi="Arial" w:cs="Arial"/>
          <w:b/>
          <w:bCs/>
          <w:sz w:val="28"/>
          <w:szCs w:val="28"/>
          <w:bdr w:val="none" w:sz="0" w:space="0" w:color="auto" w:frame="1"/>
          <w:shd w:val="clear" w:color="auto" w:fill="FFFFFF"/>
        </w:rPr>
      </w:pPr>
      <w:r>
        <w:rPr>
          <w:rStyle w:val="ac"/>
          <w:rFonts w:ascii="Arial" w:eastAsiaTheme="minorEastAsia" w:hAnsi="Arial" w:cs="Arial"/>
          <w:b/>
          <w:bCs/>
          <w:sz w:val="28"/>
          <w:szCs w:val="28"/>
          <w:bdr w:val="none" w:sz="0" w:space="0" w:color="auto" w:frame="1"/>
          <w:shd w:val="clear" w:color="auto" w:fill="FFFFFF"/>
        </w:rPr>
        <w:t>If there is evidence of the above four conditions, you must find the defendant not guilty unless the Commonwealth proves beyond a reasonable doubt that at least one of those conditions has not been met.</w:t>
      </w:r>
    </w:p>
    <w:p w14:paraId="28E9DABF" w14:textId="77777777" w:rsidR="006B74C7" w:rsidRPr="00BA5267" w:rsidRDefault="006B74C7" w:rsidP="006B74C7">
      <w:pPr>
        <w:pStyle w:val="NormalWeb"/>
        <w:pBdr>
          <w:left w:val="single" w:sz="4" w:space="4" w:color="auto"/>
          <w:right w:val="single" w:sz="4" w:space="4" w:color="auto"/>
        </w:pBdr>
        <w:spacing w:before="0" w:beforeAutospacing="0" w:after="0" w:afterAutospacing="0"/>
        <w:ind w:left="720" w:right="720"/>
        <w:textAlignment w:val="baseline"/>
        <w:rPr>
          <w:rFonts w:ascii="Arial" w:hAnsi="Arial" w:cs="Arial"/>
          <w:sz w:val="20"/>
          <w:szCs w:val="20"/>
        </w:rPr>
      </w:pPr>
      <w:r w:rsidRPr="00BA5267">
        <w:rPr>
          <w:rStyle w:val="ac"/>
          <w:rFonts w:ascii="Arial" w:hAnsi="Arial" w:cs="Arial"/>
          <w:sz w:val="20"/>
          <w:szCs w:val="20"/>
          <w:bdr w:val="none" w:sz="0" w:space="0" w:color="auto" w:frame="1"/>
          <w:shd w:val="clear" w:color="auto" w:fill="FFFFFF"/>
        </w:rPr>
        <w:t xml:space="preserve">See </w:t>
      </w:r>
      <w:r w:rsidRPr="00BA5267">
        <w:rPr>
          <w:rStyle w:val="ac"/>
          <w:rFonts w:ascii="Arial" w:hAnsi="Arial" w:cs="Arial"/>
          <w:i/>
          <w:iCs/>
          <w:sz w:val="20"/>
          <w:szCs w:val="20"/>
          <w:bdr w:val="none" w:sz="0" w:space="0" w:color="auto" w:frame="1"/>
          <w:shd w:val="clear" w:color="auto" w:fill="FFFFFF"/>
        </w:rPr>
        <w:t>Commonwealth v. Harris</w:t>
      </w:r>
      <w:r w:rsidRPr="00BA5267">
        <w:rPr>
          <w:rStyle w:val="ac"/>
          <w:rFonts w:ascii="Arial" w:hAnsi="Arial" w:cs="Arial"/>
          <w:sz w:val="20"/>
          <w:szCs w:val="20"/>
          <w:bdr w:val="none" w:sz="0" w:space="0" w:color="auto" w:frame="1"/>
          <w:shd w:val="clear" w:color="auto" w:fill="FFFFFF"/>
        </w:rPr>
        <w:t>, 481 Mass. 767, 778</w:t>
      </w:r>
      <w:r w:rsidRPr="00BA5267">
        <w:rPr>
          <w:rFonts w:ascii="Arial" w:hAnsi="Arial" w:cs="Arial"/>
          <w:sz w:val="20"/>
          <w:szCs w:val="20"/>
        </w:rPr>
        <w:t xml:space="preserve"> (2019) (finding no error in declining to give instruction regarding this exception; not warranted based on facts at trial).  Pursuant to 18 U.S.C. § 926A, any person who is not prohibited under Federal law from </w:t>
      </w:r>
      <w:r w:rsidRPr="00BA5267">
        <w:rPr>
          <w:rStyle w:val="sssh"/>
          <w:rFonts w:ascii="Arial" w:hAnsi="Arial" w:cs="Arial"/>
          <w:sz w:val="20"/>
          <w:szCs w:val="20"/>
          <w:bdr w:val="none" w:sz="0" w:space="0" w:color="auto" w:frame="1"/>
        </w:rPr>
        <w:t>transporting</w:t>
      </w:r>
      <w:r w:rsidRPr="00BA5267">
        <w:rPr>
          <w:rFonts w:ascii="Arial" w:hAnsi="Arial" w:cs="Arial"/>
          <w:sz w:val="20"/>
          <w:szCs w:val="20"/>
        </w:rPr>
        <w:t>, shipping, or receiving a </w:t>
      </w:r>
      <w:r w:rsidRPr="00BA5267">
        <w:rPr>
          <w:rStyle w:val="sssh"/>
          <w:rFonts w:ascii="Arial" w:hAnsi="Arial" w:cs="Arial"/>
          <w:sz w:val="20"/>
          <w:szCs w:val="20"/>
          <w:bdr w:val="none" w:sz="0" w:space="0" w:color="auto" w:frame="1"/>
        </w:rPr>
        <w:t xml:space="preserve">firearm, </w:t>
      </w:r>
      <w:r w:rsidRPr="00BA5267">
        <w:rPr>
          <w:rFonts w:ascii="Arial" w:hAnsi="Arial" w:cs="Arial"/>
          <w:sz w:val="20"/>
          <w:szCs w:val="20"/>
        </w:rPr>
        <w:t xml:space="preserve">“shall be entitled </w:t>
      </w:r>
      <w:r>
        <w:rPr>
          <w:rFonts w:ascii="Arial" w:hAnsi="Arial" w:cs="Arial"/>
          <w:sz w:val="20"/>
          <w:szCs w:val="20"/>
        </w:rPr>
        <w:t xml:space="preserve">to transport a firearm for </w:t>
      </w:r>
      <w:r w:rsidRPr="00BA5267">
        <w:rPr>
          <w:rFonts w:ascii="Arial" w:hAnsi="Arial" w:cs="Arial"/>
          <w:sz w:val="20"/>
          <w:szCs w:val="20"/>
        </w:rPr>
        <w:t>any lawful purpose from any place where he may lawfully possess and carry such </w:t>
      </w:r>
      <w:r w:rsidRPr="00BA5267">
        <w:rPr>
          <w:rStyle w:val="sssh"/>
          <w:rFonts w:ascii="Arial" w:hAnsi="Arial" w:cs="Arial"/>
          <w:sz w:val="20"/>
          <w:szCs w:val="20"/>
          <w:bdr w:val="none" w:sz="0" w:space="0" w:color="auto" w:frame="1"/>
        </w:rPr>
        <w:t>firearm</w:t>
      </w:r>
      <w:r w:rsidRPr="00BA5267">
        <w:rPr>
          <w:rFonts w:ascii="Arial" w:hAnsi="Arial" w:cs="Arial"/>
          <w:sz w:val="20"/>
          <w:szCs w:val="20"/>
        </w:rPr>
        <w:t> to any other place where he may lawfully possess and carry such </w:t>
      </w:r>
      <w:r w:rsidRPr="00BA5267">
        <w:rPr>
          <w:rStyle w:val="sssh"/>
          <w:rFonts w:ascii="Arial" w:hAnsi="Arial" w:cs="Arial"/>
          <w:sz w:val="20"/>
          <w:szCs w:val="20"/>
          <w:bdr w:val="none" w:sz="0" w:space="0" w:color="auto" w:frame="1"/>
        </w:rPr>
        <w:t>firearm</w:t>
      </w:r>
      <w:r w:rsidRPr="00BA5267">
        <w:rPr>
          <w:rFonts w:ascii="Arial" w:hAnsi="Arial" w:cs="Arial"/>
          <w:sz w:val="20"/>
          <w:szCs w:val="20"/>
        </w:rPr>
        <w:t> if, during such transportation the </w:t>
      </w:r>
      <w:r w:rsidRPr="00BA5267">
        <w:rPr>
          <w:rStyle w:val="sssh"/>
          <w:rFonts w:ascii="Arial" w:hAnsi="Arial" w:cs="Arial"/>
          <w:sz w:val="20"/>
          <w:szCs w:val="20"/>
          <w:bdr w:val="none" w:sz="0" w:space="0" w:color="auto" w:frame="1"/>
        </w:rPr>
        <w:t>firearm</w:t>
      </w:r>
      <w:r w:rsidRPr="00BA5267">
        <w:rPr>
          <w:rFonts w:ascii="Arial" w:hAnsi="Arial" w:cs="Arial"/>
          <w:sz w:val="20"/>
          <w:szCs w:val="20"/>
        </w:rPr>
        <w:t> is unloaded, and neither the </w:t>
      </w:r>
      <w:r w:rsidRPr="00BA5267">
        <w:rPr>
          <w:rStyle w:val="sssh"/>
          <w:rFonts w:ascii="Arial" w:hAnsi="Arial" w:cs="Arial"/>
          <w:sz w:val="20"/>
          <w:szCs w:val="20"/>
          <w:bdr w:val="none" w:sz="0" w:space="0" w:color="auto" w:frame="1"/>
        </w:rPr>
        <w:t>firearm</w:t>
      </w:r>
      <w:r w:rsidRPr="00BA5267">
        <w:rPr>
          <w:rFonts w:ascii="Arial" w:hAnsi="Arial" w:cs="Arial"/>
          <w:sz w:val="20"/>
          <w:szCs w:val="20"/>
        </w:rPr>
        <w:t> nor any ammunition being </w:t>
      </w:r>
      <w:r w:rsidRPr="00BA5267">
        <w:rPr>
          <w:rStyle w:val="sssh"/>
          <w:rFonts w:ascii="Arial" w:hAnsi="Arial" w:cs="Arial"/>
          <w:sz w:val="20"/>
          <w:szCs w:val="20"/>
          <w:bdr w:val="none" w:sz="0" w:space="0" w:color="auto" w:frame="1"/>
        </w:rPr>
        <w:t>transported</w:t>
      </w:r>
      <w:r w:rsidRPr="00BA5267">
        <w:rPr>
          <w:rFonts w:ascii="Arial" w:hAnsi="Arial" w:cs="Arial"/>
          <w:sz w:val="20"/>
          <w:szCs w:val="20"/>
        </w:rPr>
        <w:t> is readily accessible or is directly accessible from the passenger compartment of such </w:t>
      </w:r>
      <w:r w:rsidRPr="00BA5267">
        <w:rPr>
          <w:rStyle w:val="sssh"/>
          <w:rFonts w:ascii="Arial" w:hAnsi="Arial" w:cs="Arial"/>
          <w:sz w:val="20"/>
          <w:szCs w:val="20"/>
          <w:bdr w:val="none" w:sz="0" w:space="0" w:color="auto" w:frame="1"/>
        </w:rPr>
        <w:t>transporting</w:t>
      </w:r>
      <w:r w:rsidRPr="00BA5267">
        <w:rPr>
          <w:rFonts w:ascii="Arial" w:hAnsi="Arial" w:cs="Arial"/>
          <w:sz w:val="20"/>
          <w:szCs w:val="20"/>
        </w:rPr>
        <w:t> vehicle.”</w:t>
      </w:r>
      <w:r>
        <w:rPr>
          <w:rFonts w:ascii="Arial" w:hAnsi="Arial" w:cs="Arial"/>
          <w:sz w:val="20"/>
          <w:szCs w:val="20"/>
        </w:rPr>
        <w:t xml:space="preserve"> </w:t>
      </w:r>
    </w:p>
    <w:p w14:paraId="0AB67840" w14:textId="7C531F3A" w:rsidR="006B74C7" w:rsidRPr="00C54A79" w:rsidRDefault="00A83C97" w:rsidP="006B74C7">
      <w:pPr>
        <w:pStyle w:val="ListParagraph"/>
        <w:widowControl w:val="0"/>
        <w:pBdr>
          <w:left w:val="single" w:sz="4" w:space="4" w:color="auto"/>
          <w:right w:val="single" w:sz="4" w:space="4" w:color="auto"/>
        </w:pBdr>
        <w:autoSpaceDE w:val="0"/>
        <w:autoSpaceDN w:val="0"/>
        <w:adjustRightInd w:val="0"/>
        <w:spacing w:after="0" w:line="480" w:lineRule="auto"/>
        <w:ind w:right="720"/>
        <w:rPr>
          <w:rFonts w:ascii="Arial" w:hAnsi="Arial" w:cs="Arial"/>
          <w:b/>
          <w:bCs/>
          <w:sz w:val="28"/>
          <w:szCs w:val="28"/>
        </w:rPr>
      </w:pPr>
      <w:bookmarkStart w:id="8" w:name="_Hlk128585062"/>
      <w:r>
        <w:rPr>
          <w:rFonts w:ascii="Arial" w:hAnsi="Arial" w:cs="Arial"/>
          <w:i/>
          <w:iCs/>
          <w:sz w:val="24"/>
          <w:szCs w:val="24"/>
          <w:bdr w:val="single" w:sz="4" w:space="0" w:color="auto"/>
        </w:rPr>
        <w:lastRenderedPageBreak/>
        <w:t>4</w:t>
      </w:r>
      <w:r w:rsidR="006B74C7">
        <w:rPr>
          <w:rFonts w:ascii="Arial" w:hAnsi="Arial" w:cs="Arial"/>
          <w:i/>
          <w:iCs/>
          <w:sz w:val="24"/>
          <w:szCs w:val="24"/>
          <w:bdr w:val="single" w:sz="4" w:space="0" w:color="auto"/>
        </w:rPr>
        <w:t xml:space="preserve">. </w:t>
      </w:r>
      <w:r w:rsidR="006B74C7" w:rsidRPr="00C54A79">
        <w:rPr>
          <w:rFonts w:ascii="Arial" w:hAnsi="Arial" w:cs="Arial"/>
          <w:i/>
          <w:iCs/>
          <w:sz w:val="24"/>
          <w:szCs w:val="24"/>
          <w:bdr w:val="single" w:sz="4" w:space="0" w:color="auto"/>
        </w:rPr>
        <w:t>Expired license or firearm identification card.</w:t>
      </w:r>
      <w:r w:rsidR="006B74C7" w:rsidRPr="00C54A79">
        <w:rPr>
          <w:rFonts w:ascii="Arial" w:hAnsi="Arial" w:cs="Arial"/>
          <w:sz w:val="28"/>
          <w:szCs w:val="28"/>
        </w:rPr>
        <w:t xml:space="preserve">  </w:t>
      </w:r>
      <w:r w:rsidR="006B74C7" w:rsidRPr="00C54A79">
        <w:rPr>
          <w:rFonts w:ascii="Arial" w:hAnsi="Arial" w:cs="Arial"/>
          <w:b/>
          <w:bCs/>
          <w:sz w:val="28"/>
          <w:szCs w:val="28"/>
        </w:rPr>
        <w:t xml:space="preserve">One of the exemptions to the requirement of a valid (license to carry) (firearm identification card) provided by law is for certain </w:t>
      </w:r>
      <w:proofErr w:type="gramStart"/>
      <w:r w:rsidR="006B74C7" w:rsidRPr="00C54A79">
        <w:rPr>
          <w:rFonts w:ascii="Arial" w:hAnsi="Arial" w:cs="Arial"/>
          <w:b/>
          <w:bCs/>
          <w:sz w:val="28"/>
          <w:szCs w:val="28"/>
        </w:rPr>
        <w:t>persons</w:t>
      </w:r>
      <w:proofErr w:type="gramEnd"/>
      <w:r w:rsidR="006B74C7" w:rsidRPr="00C54A79">
        <w:rPr>
          <w:rFonts w:ascii="Arial" w:hAnsi="Arial" w:cs="Arial"/>
          <w:b/>
          <w:bCs/>
          <w:sz w:val="28"/>
          <w:szCs w:val="28"/>
        </w:rPr>
        <w:t xml:space="preserve"> with an expired </w:t>
      </w:r>
      <w:r w:rsidR="006B74C7">
        <w:rPr>
          <w:rFonts w:ascii="Arial" w:hAnsi="Arial" w:cs="Arial"/>
          <w:b/>
          <w:bCs/>
          <w:sz w:val="28"/>
          <w:szCs w:val="28"/>
        </w:rPr>
        <w:t>(license to carry) (</w:t>
      </w:r>
      <w:r w:rsidR="006B74C7" w:rsidRPr="00C54A79">
        <w:rPr>
          <w:rFonts w:ascii="Arial" w:hAnsi="Arial" w:cs="Arial"/>
          <w:b/>
          <w:bCs/>
          <w:sz w:val="28"/>
          <w:szCs w:val="28"/>
        </w:rPr>
        <w:t>firearm identification card</w:t>
      </w:r>
      <w:r w:rsidR="006B74C7">
        <w:rPr>
          <w:rFonts w:ascii="Arial" w:hAnsi="Arial" w:cs="Arial"/>
          <w:b/>
          <w:bCs/>
          <w:sz w:val="28"/>
          <w:szCs w:val="28"/>
        </w:rPr>
        <w:t>)</w:t>
      </w:r>
      <w:r w:rsidR="006B74C7" w:rsidRPr="00C54A79">
        <w:rPr>
          <w:rFonts w:ascii="Arial" w:hAnsi="Arial" w:cs="Arial"/>
          <w:b/>
          <w:bCs/>
          <w:sz w:val="28"/>
          <w:szCs w:val="28"/>
        </w:rPr>
        <w:t xml:space="preserve">.  This exemption is intended to exempt from criminal punishment persons whose (license to carry) (firearm identification card) became invalid inadvertently but who would otherwise not be disqualified from holding a valid (license) (firearm identification card).  </w:t>
      </w:r>
    </w:p>
    <w:p w14:paraId="152FD671" w14:textId="77777777" w:rsidR="006B74C7" w:rsidRPr="00C54A79" w:rsidRDefault="006B74C7" w:rsidP="006B74C7">
      <w:pPr>
        <w:pStyle w:val="ListParagraph"/>
        <w:pBdr>
          <w:left w:val="single" w:sz="4" w:space="4" w:color="auto"/>
          <w:right w:val="single" w:sz="4" w:space="4" w:color="auto"/>
        </w:pBdr>
        <w:spacing w:line="480" w:lineRule="auto"/>
        <w:ind w:right="720" w:firstLine="720"/>
        <w:rPr>
          <w:rFonts w:ascii="Arial" w:hAnsi="Arial" w:cs="Arial"/>
          <w:b/>
          <w:bCs/>
          <w:sz w:val="28"/>
          <w:szCs w:val="28"/>
        </w:rPr>
      </w:pPr>
      <w:r w:rsidRPr="00C54A79">
        <w:rPr>
          <w:rFonts w:ascii="Arial" w:hAnsi="Arial" w:cs="Arial"/>
          <w:b/>
          <w:bCs/>
          <w:sz w:val="28"/>
          <w:szCs w:val="28"/>
        </w:rPr>
        <w:t>The defendant is entitled to this exemption if their (license to carry) (firearm identification card) was expired and they had not been notified of any revocation or suspension of the (license) (card), or pending revocation or suspension of the (license) (card), or denial of a renewal application.  The Commonwealth has the burden to prove that the exemption does not apply.  To do this, the Commonwealth must prove beyond a reasonable doubt one of the following things:</w:t>
      </w:r>
    </w:p>
    <w:p w14:paraId="67426073" w14:textId="77777777" w:rsidR="006B74C7" w:rsidRPr="00C54A79" w:rsidRDefault="006B74C7" w:rsidP="006B74C7">
      <w:pPr>
        <w:pStyle w:val="ListParagraph"/>
        <w:pBdr>
          <w:left w:val="single" w:sz="4" w:space="4" w:color="auto"/>
          <w:right w:val="single" w:sz="4" w:space="4" w:color="auto"/>
        </w:pBdr>
        <w:spacing w:line="480" w:lineRule="auto"/>
        <w:ind w:right="720" w:firstLine="720"/>
        <w:rPr>
          <w:rFonts w:ascii="Arial" w:hAnsi="Arial" w:cs="Arial"/>
          <w:b/>
          <w:bCs/>
          <w:sz w:val="28"/>
          <w:szCs w:val="28"/>
        </w:rPr>
      </w:pPr>
      <w:r w:rsidRPr="00C54A79">
        <w:rPr>
          <w:rFonts w:ascii="Arial" w:hAnsi="Arial" w:cs="Arial"/>
          <w:b/>
          <w:bCs/>
          <w:sz w:val="28"/>
          <w:szCs w:val="28"/>
        </w:rPr>
        <w:lastRenderedPageBreak/>
        <w:t xml:space="preserve">One, that the defendant never had a valid (license to carry) (firearm identification card); or </w:t>
      </w:r>
    </w:p>
    <w:p w14:paraId="787B0CD7" w14:textId="77777777" w:rsidR="006B74C7" w:rsidRPr="00C54A79" w:rsidRDefault="006B74C7" w:rsidP="006B74C7">
      <w:pPr>
        <w:pStyle w:val="ListParagraph"/>
        <w:pBdr>
          <w:left w:val="single" w:sz="4" w:space="4" w:color="auto"/>
          <w:right w:val="single" w:sz="4" w:space="4" w:color="auto"/>
        </w:pBdr>
        <w:spacing w:line="480" w:lineRule="auto"/>
        <w:ind w:right="720" w:firstLine="720"/>
        <w:rPr>
          <w:rFonts w:ascii="Arial" w:hAnsi="Arial" w:cs="Arial"/>
          <w:b/>
          <w:bCs/>
          <w:sz w:val="28"/>
          <w:szCs w:val="28"/>
        </w:rPr>
      </w:pPr>
      <w:r w:rsidRPr="00C54A79">
        <w:rPr>
          <w:rFonts w:ascii="Arial" w:hAnsi="Arial" w:cs="Arial"/>
          <w:b/>
          <w:bCs/>
          <w:sz w:val="28"/>
          <w:szCs w:val="28"/>
        </w:rPr>
        <w:t>Two, that the defendant had been notified that the (license) (card) was revoked or suspended or that revocation or suspension was pending, and that the revocation or suspension was due to something other than a failure to provide a change of address; or</w:t>
      </w:r>
    </w:p>
    <w:p w14:paraId="23A897FB" w14:textId="77777777" w:rsidR="006B74C7" w:rsidRPr="00C54A79" w:rsidRDefault="006B74C7" w:rsidP="006B74C7">
      <w:pPr>
        <w:pStyle w:val="ListParagraph"/>
        <w:pBdr>
          <w:left w:val="single" w:sz="4" w:space="4" w:color="auto"/>
          <w:right w:val="single" w:sz="4" w:space="4" w:color="auto"/>
        </w:pBdr>
        <w:spacing w:line="480" w:lineRule="auto"/>
        <w:ind w:right="720" w:firstLine="720"/>
        <w:rPr>
          <w:rFonts w:ascii="Arial" w:hAnsi="Arial" w:cs="Arial"/>
          <w:sz w:val="28"/>
          <w:szCs w:val="28"/>
        </w:rPr>
      </w:pPr>
      <w:proofErr w:type="gramStart"/>
      <w:r w:rsidRPr="00C54A79">
        <w:rPr>
          <w:rFonts w:ascii="Arial" w:hAnsi="Arial" w:cs="Arial"/>
          <w:b/>
          <w:bCs/>
          <w:sz w:val="28"/>
          <w:szCs w:val="28"/>
        </w:rPr>
        <w:t>Three</w:t>
      </w:r>
      <w:proofErr w:type="gramEnd"/>
      <w:r w:rsidRPr="00C54A79">
        <w:rPr>
          <w:rFonts w:ascii="Arial" w:hAnsi="Arial" w:cs="Arial"/>
          <w:b/>
          <w:bCs/>
          <w:sz w:val="28"/>
          <w:szCs w:val="28"/>
        </w:rPr>
        <w:t>, that the defendant had been notified of the denial of an application to renew their (license to carry) (firearm identification card)</w:t>
      </w:r>
      <w:r w:rsidRPr="00C54A79">
        <w:rPr>
          <w:rFonts w:ascii="Arial" w:hAnsi="Arial" w:cs="Arial"/>
          <w:sz w:val="28"/>
          <w:szCs w:val="28"/>
        </w:rPr>
        <w:t>.</w:t>
      </w:r>
    </w:p>
    <w:p w14:paraId="15DB4609" w14:textId="31B2F575" w:rsidR="006B74C7" w:rsidRDefault="006B74C7" w:rsidP="006B74C7">
      <w:pPr>
        <w:pStyle w:val="ListParagraph"/>
        <w:pBdr>
          <w:left w:val="single" w:sz="4" w:space="4" w:color="auto"/>
          <w:right w:val="single" w:sz="4" w:space="4" w:color="auto"/>
        </w:pBdr>
        <w:ind w:right="720"/>
        <w:rPr>
          <w:rFonts w:ascii="Arial" w:hAnsi="Arial" w:cs="Arial"/>
          <w:sz w:val="20"/>
          <w:szCs w:val="20"/>
        </w:rPr>
      </w:pPr>
      <w:r w:rsidRPr="00C54A79">
        <w:rPr>
          <w:rFonts w:ascii="Arial" w:hAnsi="Arial" w:cs="Arial"/>
          <w:sz w:val="20"/>
          <w:szCs w:val="20"/>
        </w:rPr>
        <w:t xml:space="preserve">G.L. c. 140, § 131(m); </w:t>
      </w:r>
      <w:r w:rsidRPr="00C54A79">
        <w:rPr>
          <w:rFonts w:ascii="Arial" w:hAnsi="Arial" w:cs="Arial"/>
          <w:i/>
          <w:iCs/>
          <w:sz w:val="20"/>
          <w:szCs w:val="20"/>
        </w:rPr>
        <w:t xml:space="preserve">Commonwealth v. </w:t>
      </w:r>
      <w:proofErr w:type="spellStart"/>
      <w:r w:rsidRPr="00C54A79">
        <w:rPr>
          <w:rFonts w:ascii="Arial" w:hAnsi="Arial" w:cs="Arial"/>
          <w:i/>
          <w:iCs/>
          <w:sz w:val="20"/>
          <w:szCs w:val="20"/>
        </w:rPr>
        <w:t>Indrisano</w:t>
      </w:r>
      <w:proofErr w:type="spellEnd"/>
      <w:r w:rsidRPr="00C54A79">
        <w:rPr>
          <w:rFonts w:ascii="Arial" w:hAnsi="Arial" w:cs="Arial"/>
          <w:sz w:val="20"/>
          <w:szCs w:val="20"/>
        </w:rPr>
        <w:t xml:space="preserve">, 87 Mass. App. Ct. 709, 716-17 (2015). The mere production of an expired license is insufficient to warrant this instruction, but testimony that the defendant had never applied to renew the license, had never received notice of denial, and had never received notice of revocation or suspension entitles a defendant to the instruction. </w:t>
      </w:r>
      <w:r w:rsidR="006368A4">
        <w:rPr>
          <w:rFonts w:ascii="Arial" w:hAnsi="Arial" w:cs="Arial"/>
          <w:sz w:val="20"/>
          <w:szCs w:val="20"/>
        </w:rPr>
        <w:t xml:space="preserve"> </w:t>
      </w:r>
      <w:proofErr w:type="spellStart"/>
      <w:r w:rsidRPr="00C54A79">
        <w:rPr>
          <w:rFonts w:ascii="Arial" w:hAnsi="Arial" w:cs="Arial"/>
          <w:i/>
          <w:iCs/>
          <w:sz w:val="20"/>
          <w:szCs w:val="20"/>
        </w:rPr>
        <w:t>Indrisano</w:t>
      </w:r>
      <w:proofErr w:type="spellEnd"/>
      <w:r w:rsidRPr="00C54A79">
        <w:rPr>
          <w:rFonts w:ascii="Arial" w:hAnsi="Arial" w:cs="Arial"/>
          <w:sz w:val="20"/>
          <w:szCs w:val="20"/>
        </w:rPr>
        <w:t>, 87 Mass. App. Ct. at 714.</w:t>
      </w:r>
    </w:p>
    <w:bookmarkEnd w:id="8"/>
    <w:p w14:paraId="181A968C" w14:textId="77777777" w:rsidR="006B74C7" w:rsidRDefault="006B74C7" w:rsidP="006B74C7">
      <w:pPr>
        <w:spacing w:line="480" w:lineRule="auto"/>
        <w:rPr>
          <w:rFonts w:ascii="Arial" w:hAnsi="Arial" w:cs="Arial"/>
          <w:sz w:val="20"/>
          <w:szCs w:val="20"/>
        </w:rPr>
      </w:pPr>
    </w:p>
    <w:p w14:paraId="4F0E3314" w14:textId="77777777" w:rsidR="006B74C7" w:rsidRPr="00CD0162" w:rsidRDefault="006B74C7" w:rsidP="006B74C7">
      <w:pPr>
        <w:spacing w:line="240" w:lineRule="auto"/>
        <w:rPr>
          <w:rFonts w:ascii="Arial" w:hAnsi="Arial" w:cs="Arial"/>
          <w:b/>
          <w:bCs/>
          <w:sz w:val="20"/>
          <w:szCs w:val="20"/>
        </w:rPr>
      </w:pPr>
      <w:r w:rsidRPr="00CD0162">
        <w:rPr>
          <w:rFonts w:ascii="Arial" w:hAnsi="Arial" w:cs="Arial"/>
          <w:b/>
          <w:bCs/>
          <w:sz w:val="20"/>
          <w:szCs w:val="20"/>
        </w:rPr>
        <w:t xml:space="preserve">NOTES:  </w:t>
      </w:r>
    </w:p>
    <w:p w14:paraId="395F5838" w14:textId="1F8016FF" w:rsidR="006D5EED" w:rsidRDefault="006D5EED" w:rsidP="006D5EED">
      <w:pPr>
        <w:pStyle w:val="ListParagraph"/>
        <w:numPr>
          <w:ilvl w:val="0"/>
          <w:numId w:val="5"/>
        </w:numPr>
        <w:spacing w:line="240" w:lineRule="auto"/>
        <w:ind w:left="0" w:firstLine="360"/>
        <w:rPr>
          <w:rFonts w:ascii="Arial" w:hAnsi="Arial" w:cs="Arial"/>
          <w:sz w:val="20"/>
          <w:szCs w:val="20"/>
        </w:rPr>
      </w:pPr>
      <w:r w:rsidRPr="006D5EED">
        <w:rPr>
          <w:rFonts w:ascii="Arial" w:hAnsi="Arial" w:cs="Arial"/>
          <w:b/>
          <w:bCs/>
          <w:sz w:val="20"/>
          <w:szCs w:val="20"/>
        </w:rPr>
        <w:t xml:space="preserve">Commonwealth must prove defendant </w:t>
      </w:r>
      <w:proofErr w:type="gramStart"/>
      <w:r w:rsidRPr="006D5EED">
        <w:rPr>
          <w:rFonts w:ascii="Arial" w:hAnsi="Arial" w:cs="Arial"/>
          <w:b/>
          <w:bCs/>
          <w:sz w:val="20"/>
          <w:szCs w:val="20"/>
        </w:rPr>
        <w:t>not</w:t>
      </w:r>
      <w:proofErr w:type="gramEnd"/>
      <w:r w:rsidRPr="006D5EED">
        <w:rPr>
          <w:rFonts w:ascii="Arial" w:hAnsi="Arial" w:cs="Arial"/>
          <w:b/>
          <w:bCs/>
          <w:sz w:val="20"/>
          <w:szCs w:val="20"/>
        </w:rPr>
        <w:t xml:space="preserve"> licensed.</w:t>
      </w:r>
      <w:r w:rsidRPr="006D5EED">
        <w:rPr>
          <w:rFonts w:ascii="Arial" w:hAnsi="Arial" w:cs="Arial"/>
          <w:sz w:val="20"/>
          <w:szCs w:val="20"/>
        </w:rPr>
        <w:t xml:space="preserve">  The Commonwealth must prove that the defendant was not licensed to carry a firearm as an element of unlawful possession of a firearm under G.L. c. 269, § 10(a).  </w:t>
      </w:r>
      <w:r w:rsidRPr="00CD0162">
        <w:rPr>
          <w:rFonts w:ascii="Arial" w:hAnsi="Arial" w:cs="Arial"/>
          <w:i/>
          <w:iCs/>
          <w:sz w:val="20"/>
          <w:szCs w:val="20"/>
        </w:rPr>
        <w:t>Commonwealth v. Guardado</w:t>
      </w:r>
      <w:r w:rsidRPr="006D5EED">
        <w:rPr>
          <w:rFonts w:ascii="Arial" w:hAnsi="Arial" w:cs="Arial"/>
          <w:sz w:val="20"/>
          <w:szCs w:val="20"/>
        </w:rPr>
        <w:t xml:space="preserve">, 491 Mass. 666, 668 (2023).  This new rule applies prospectively and to those cases that were active or pending on direct review as of June 23, 2022, the date of the issuance of </w:t>
      </w:r>
      <w:r w:rsidRPr="00CD0162">
        <w:rPr>
          <w:rFonts w:ascii="Arial" w:hAnsi="Arial" w:cs="Arial"/>
          <w:i/>
          <w:iCs/>
          <w:sz w:val="20"/>
          <w:szCs w:val="20"/>
        </w:rPr>
        <w:t xml:space="preserve">New York State Rifle &amp; Pistol </w:t>
      </w:r>
      <w:proofErr w:type="spellStart"/>
      <w:r w:rsidRPr="00CD0162">
        <w:rPr>
          <w:rFonts w:ascii="Arial" w:hAnsi="Arial" w:cs="Arial"/>
          <w:i/>
          <w:iCs/>
          <w:sz w:val="20"/>
          <w:szCs w:val="20"/>
        </w:rPr>
        <w:t>Ass’n</w:t>
      </w:r>
      <w:proofErr w:type="spellEnd"/>
      <w:r w:rsidRPr="00CD0162">
        <w:rPr>
          <w:rFonts w:ascii="Arial" w:hAnsi="Arial" w:cs="Arial"/>
          <w:i/>
          <w:iCs/>
          <w:sz w:val="20"/>
          <w:szCs w:val="20"/>
        </w:rPr>
        <w:t xml:space="preserve"> v. Bruen</w:t>
      </w:r>
      <w:r w:rsidRPr="006D5EED">
        <w:rPr>
          <w:rFonts w:ascii="Arial" w:hAnsi="Arial" w:cs="Arial"/>
          <w:sz w:val="20"/>
          <w:szCs w:val="20"/>
        </w:rPr>
        <w:t xml:space="preserve">, 142 S. Ct. 2111, 2122 (2022), in which the Supreme Court held that the Second Amendment to the United States Constitution protects an individual’s right to carry a firearm in public.  As a result of this ruling, in </w:t>
      </w:r>
      <w:r w:rsidRPr="00CD0162">
        <w:rPr>
          <w:rFonts w:ascii="Arial" w:hAnsi="Arial" w:cs="Arial"/>
          <w:i/>
          <w:iCs/>
          <w:sz w:val="20"/>
          <w:szCs w:val="20"/>
        </w:rPr>
        <w:t>Guardado</w:t>
      </w:r>
      <w:r w:rsidRPr="006D5EED">
        <w:rPr>
          <w:rFonts w:ascii="Arial" w:hAnsi="Arial" w:cs="Arial"/>
          <w:sz w:val="20"/>
          <w:szCs w:val="20"/>
        </w:rPr>
        <w:t>, the Supreme Judicial Court overturned Massachusetts precedent that licensure is an affirmative defense and instead, placed the burden on the Commonwealth to prove that the defendant did not have a license at the time of the offense.  See id. at 668, 690.</w:t>
      </w:r>
    </w:p>
    <w:p w14:paraId="45799FE6" w14:textId="77777777" w:rsidR="006D5EED" w:rsidRPr="006D5EED" w:rsidRDefault="006D5EED" w:rsidP="006D5EED">
      <w:pPr>
        <w:pStyle w:val="ListParagraph"/>
        <w:spacing w:line="240" w:lineRule="auto"/>
        <w:ind w:left="360"/>
        <w:rPr>
          <w:rFonts w:ascii="Arial" w:hAnsi="Arial" w:cs="Arial"/>
          <w:sz w:val="20"/>
          <w:szCs w:val="20"/>
        </w:rPr>
      </w:pPr>
    </w:p>
    <w:p w14:paraId="2DF0D6D8" w14:textId="59DECDCD" w:rsidR="006D5EED" w:rsidRDefault="006D5EED" w:rsidP="006D5EED">
      <w:pPr>
        <w:pStyle w:val="ListParagraph"/>
        <w:numPr>
          <w:ilvl w:val="0"/>
          <w:numId w:val="5"/>
        </w:numPr>
        <w:spacing w:line="240" w:lineRule="auto"/>
        <w:ind w:left="0" w:firstLine="360"/>
        <w:rPr>
          <w:rFonts w:ascii="Arial" w:hAnsi="Arial" w:cs="Arial"/>
          <w:sz w:val="20"/>
          <w:szCs w:val="20"/>
        </w:rPr>
      </w:pPr>
      <w:r w:rsidRPr="006D5EED">
        <w:rPr>
          <w:rFonts w:ascii="Arial" w:hAnsi="Arial" w:cs="Arial"/>
          <w:b/>
          <w:bCs/>
          <w:sz w:val="20"/>
          <w:szCs w:val="20"/>
        </w:rPr>
        <w:t>Proof of absence of license.</w:t>
      </w:r>
      <w:r w:rsidRPr="006D5EED">
        <w:rPr>
          <w:rFonts w:ascii="Arial" w:hAnsi="Arial" w:cs="Arial"/>
          <w:sz w:val="20"/>
          <w:szCs w:val="20"/>
        </w:rPr>
        <w:t xml:space="preserve">   The Commonwealth may seek to admit statements by the defendant about the absence of a license or card.  See G. L. c. 140, § 129C, paragraph 9 (obligation to produce firearm license upon request of a police officer).  The Commonwealth may also seek to introduce properly certified or attested official government records from a local police department or the Firearms </w:t>
      </w:r>
      <w:r w:rsidRPr="006D5EED">
        <w:rPr>
          <w:rFonts w:ascii="Arial" w:hAnsi="Arial" w:cs="Arial"/>
          <w:sz w:val="20"/>
          <w:szCs w:val="20"/>
        </w:rPr>
        <w:lastRenderedPageBreak/>
        <w:t xml:space="preserve">Records Bureau (or both).  G L. c. 233, §§ 76, 78 and 79J; Mass. R. Crim. P. 40 (a).  While such agency certificates or affidavits stating that there is no record of a firearm license issued to a defendant may not run afoul of hearsay or evidentiary rules, the Confrontation Clause would likely prohibit their admission without a testifying witness from the agency responsible for keeping such records, and who is familiar with how the records are kept, made, and stored.  </w:t>
      </w:r>
      <w:r w:rsidRPr="00CD0162">
        <w:rPr>
          <w:rFonts w:ascii="Arial" w:hAnsi="Arial" w:cs="Arial"/>
          <w:i/>
          <w:iCs/>
          <w:sz w:val="20"/>
          <w:szCs w:val="20"/>
        </w:rPr>
        <w:t>Guardado</w:t>
      </w:r>
      <w:r w:rsidRPr="006D5EED">
        <w:rPr>
          <w:rFonts w:ascii="Arial" w:hAnsi="Arial" w:cs="Arial"/>
          <w:sz w:val="20"/>
          <w:szCs w:val="20"/>
        </w:rPr>
        <w:t xml:space="preserve">, supra at 695 (Lowy, J., concurring).  Whether a witness other than the one who undertook the search was qualified to testify about the search would be a preliminary question for the trial judge to decide.  Id. at 702-703. “For a witness ‘to be competent to testify that a search of the database returned no result ... [i]t suffices that the witness be familiar with the process of searching the database and with the public record-keeping practices with respect to the database.’” </w:t>
      </w:r>
      <w:r w:rsidRPr="00CD0162">
        <w:rPr>
          <w:rFonts w:ascii="Arial" w:hAnsi="Arial" w:cs="Arial"/>
          <w:i/>
          <w:iCs/>
          <w:sz w:val="20"/>
          <w:szCs w:val="20"/>
        </w:rPr>
        <w:t>Commonwealth v. Jones</w:t>
      </w:r>
      <w:r w:rsidRPr="006D5EED">
        <w:rPr>
          <w:rFonts w:ascii="Arial" w:hAnsi="Arial" w:cs="Arial"/>
          <w:sz w:val="20"/>
          <w:szCs w:val="20"/>
        </w:rPr>
        <w:t xml:space="preserve">, 106 Mass. App. Ct. 613, 617 (2026), quoting </w:t>
      </w:r>
      <w:r w:rsidRPr="00CD0162">
        <w:rPr>
          <w:rFonts w:ascii="Arial" w:hAnsi="Arial" w:cs="Arial"/>
          <w:i/>
          <w:iCs/>
          <w:sz w:val="20"/>
          <w:szCs w:val="20"/>
        </w:rPr>
        <w:t>Commonwealth v. Smith</w:t>
      </w:r>
      <w:r w:rsidRPr="006D5EED">
        <w:rPr>
          <w:rFonts w:ascii="Arial" w:hAnsi="Arial" w:cs="Arial"/>
          <w:sz w:val="20"/>
          <w:szCs w:val="20"/>
        </w:rPr>
        <w:t xml:space="preserve">, 496 Mass. 304, 312 (2025). A diligent search to determine the absence of a record is met where the search efforts utilized would have found the record if it existed; the fact that it does not take a long time to search a database does not nullify the diligence of the search. Jones, 106 Mass. App. Ct. 613.     </w:t>
      </w:r>
    </w:p>
    <w:p w14:paraId="39AF77B1" w14:textId="77777777" w:rsidR="006D5EED" w:rsidRDefault="006D5EED" w:rsidP="006D5EED">
      <w:pPr>
        <w:pStyle w:val="ListParagraph"/>
        <w:spacing w:line="240" w:lineRule="auto"/>
        <w:ind w:left="360"/>
        <w:rPr>
          <w:rFonts w:ascii="Arial" w:hAnsi="Arial" w:cs="Arial"/>
          <w:sz w:val="20"/>
          <w:szCs w:val="20"/>
        </w:rPr>
      </w:pPr>
    </w:p>
    <w:p w14:paraId="52990C54" w14:textId="7EE56787" w:rsidR="006D5EED" w:rsidRDefault="006D5EED" w:rsidP="006D5EED">
      <w:pPr>
        <w:pStyle w:val="ListParagraph"/>
        <w:numPr>
          <w:ilvl w:val="0"/>
          <w:numId w:val="5"/>
        </w:numPr>
        <w:spacing w:line="240" w:lineRule="auto"/>
        <w:ind w:left="0" w:firstLine="360"/>
        <w:rPr>
          <w:rFonts w:ascii="Arial" w:hAnsi="Arial" w:cs="Arial"/>
          <w:sz w:val="20"/>
          <w:szCs w:val="20"/>
        </w:rPr>
      </w:pPr>
      <w:r>
        <w:rPr>
          <w:rFonts w:ascii="Arial" w:hAnsi="Arial" w:cs="Arial"/>
          <w:b/>
          <w:bCs/>
          <w:sz w:val="20"/>
          <w:szCs w:val="20"/>
        </w:rPr>
        <w:t>Ballistics certificate.</w:t>
      </w:r>
      <w:r>
        <w:rPr>
          <w:rFonts w:ascii="Arial" w:hAnsi="Arial" w:cs="Arial"/>
          <w:sz w:val="20"/>
          <w:szCs w:val="20"/>
        </w:rPr>
        <w:t xml:space="preserve"> Despite </w:t>
      </w:r>
      <w:r w:rsidRPr="006D5EED">
        <w:rPr>
          <w:rFonts w:ascii="Arial" w:hAnsi="Arial" w:cs="Arial"/>
          <w:sz w:val="20"/>
          <w:szCs w:val="20"/>
        </w:rPr>
        <w:t>the provision in G.L. c. 140, § 121</w:t>
      </w:r>
      <w:proofErr w:type="gramStart"/>
      <w:r w:rsidRPr="006D5EED">
        <w:rPr>
          <w:rFonts w:ascii="Arial" w:hAnsi="Arial" w:cs="Arial"/>
          <w:sz w:val="20"/>
          <w:szCs w:val="20"/>
        </w:rPr>
        <w:t>A that</w:t>
      </w:r>
      <w:proofErr w:type="gramEnd"/>
      <w:r w:rsidRPr="006D5EED">
        <w:rPr>
          <w:rFonts w:ascii="Arial" w:hAnsi="Arial" w:cs="Arial"/>
          <w:sz w:val="20"/>
          <w:szCs w:val="20"/>
        </w:rPr>
        <w:t xml:space="preserve"> a sworn certificate shall constitute prima facie evidence of the findings of a ballistics expert, the admission of a ballistics certificate without the opportunity to cross-examine the certifying ballistician is constitutional error.  See Commonwealth v. Brown, 75 Mass. App. Ct. 361, 363 (2009), citing </w:t>
      </w:r>
      <w:r w:rsidRPr="006D5EED">
        <w:rPr>
          <w:rFonts w:ascii="Arial" w:hAnsi="Arial" w:cs="Arial"/>
          <w:i/>
          <w:iCs/>
          <w:sz w:val="20"/>
          <w:szCs w:val="20"/>
        </w:rPr>
        <w:t xml:space="preserve">Melendez-Diaz v. Massachusetts, </w:t>
      </w:r>
      <w:r w:rsidRPr="006D5EED">
        <w:rPr>
          <w:rFonts w:ascii="Arial" w:hAnsi="Arial" w:cs="Arial"/>
          <w:sz w:val="20"/>
          <w:szCs w:val="20"/>
        </w:rPr>
        <w:t xml:space="preserve">557 U.S. 305 (2009).  See also </w:t>
      </w:r>
      <w:r w:rsidRPr="006D5EED">
        <w:rPr>
          <w:rFonts w:ascii="Arial" w:hAnsi="Arial" w:cs="Arial"/>
          <w:i/>
          <w:iCs/>
          <w:sz w:val="20"/>
          <w:szCs w:val="20"/>
        </w:rPr>
        <w:t>Commonwealth v. Muniz</w:t>
      </w:r>
      <w:r w:rsidRPr="006D5EED">
        <w:rPr>
          <w:rFonts w:ascii="Arial" w:hAnsi="Arial" w:cs="Arial"/>
          <w:sz w:val="20"/>
          <w:szCs w:val="20"/>
        </w:rPr>
        <w:t>, 456 Mass. 166, 168 (2010).</w:t>
      </w:r>
    </w:p>
    <w:p w14:paraId="77AA4666" w14:textId="77777777" w:rsidR="006D5EED" w:rsidRPr="006D5EED" w:rsidRDefault="006D5EED" w:rsidP="006D5EED">
      <w:pPr>
        <w:pStyle w:val="ListParagraph"/>
        <w:rPr>
          <w:rFonts w:ascii="Arial" w:hAnsi="Arial" w:cs="Arial"/>
          <w:sz w:val="20"/>
          <w:szCs w:val="20"/>
        </w:rPr>
      </w:pPr>
    </w:p>
    <w:p w14:paraId="7D21859B" w14:textId="32A8936C" w:rsidR="00DC19CB" w:rsidRDefault="006D5EED" w:rsidP="006D5EED">
      <w:pPr>
        <w:pStyle w:val="ListParagraph"/>
        <w:numPr>
          <w:ilvl w:val="0"/>
          <w:numId w:val="5"/>
        </w:numPr>
        <w:spacing w:line="240" w:lineRule="auto"/>
        <w:ind w:left="0" w:firstLine="360"/>
        <w:rPr>
          <w:rFonts w:ascii="Arial" w:hAnsi="Arial" w:cs="Arial"/>
          <w:sz w:val="20"/>
          <w:szCs w:val="20"/>
        </w:rPr>
      </w:pPr>
      <w:r w:rsidRPr="006D5EED">
        <w:rPr>
          <w:rFonts w:ascii="Arial" w:hAnsi="Arial" w:cs="Arial"/>
          <w:b/>
          <w:bCs/>
          <w:sz w:val="20"/>
          <w:szCs w:val="20"/>
        </w:rPr>
        <w:t>Flare guns.</w:t>
      </w:r>
      <w:r w:rsidRPr="006D5EED">
        <w:rPr>
          <w:rFonts w:ascii="Arial" w:hAnsi="Arial" w:cs="Arial"/>
          <w:sz w:val="20"/>
          <w:szCs w:val="20"/>
        </w:rPr>
        <w:t xml:space="preserve"> A flare gun is not a “firearm” for purposes of G.L. c. 269, § 10(a). </w:t>
      </w:r>
      <w:r w:rsidRPr="006D5EED">
        <w:rPr>
          <w:rFonts w:ascii="Arial" w:hAnsi="Arial" w:cs="Arial"/>
          <w:i/>
          <w:iCs/>
          <w:sz w:val="20"/>
          <w:szCs w:val="20"/>
        </w:rPr>
        <w:t>Commonwealth v. Sampson</w:t>
      </w:r>
      <w:r w:rsidRPr="006D5EED">
        <w:rPr>
          <w:rFonts w:ascii="Arial" w:hAnsi="Arial" w:cs="Arial"/>
          <w:sz w:val="20"/>
          <w:szCs w:val="20"/>
        </w:rPr>
        <w:t>, 383 Mass. 750, 753-761 (1981).</w:t>
      </w:r>
    </w:p>
    <w:p w14:paraId="28520F83" w14:textId="77777777" w:rsidR="006D5EED" w:rsidRPr="006D5EED" w:rsidRDefault="006D5EED" w:rsidP="006D5EED">
      <w:pPr>
        <w:pStyle w:val="ListParagraph"/>
        <w:rPr>
          <w:rFonts w:ascii="Arial" w:hAnsi="Arial" w:cs="Arial"/>
          <w:sz w:val="20"/>
          <w:szCs w:val="20"/>
        </w:rPr>
      </w:pPr>
    </w:p>
    <w:p w14:paraId="23C90790" w14:textId="77777777" w:rsidR="00A07FC0" w:rsidRPr="00A07FC0" w:rsidRDefault="006D5EED" w:rsidP="00A07FC0">
      <w:pPr>
        <w:pStyle w:val="ListParagraph"/>
        <w:numPr>
          <w:ilvl w:val="0"/>
          <w:numId w:val="5"/>
        </w:numPr>
        <w:spacing w:line="240" w:lineRule="auto"/>
        <w:ind w:left="0" w:firstLine="360"/>
        <w:rPr>
          <w:rFonts w:ascii="Arial" w:hAnsi="Arial" w:cs="Arial"/>
          <w:sz w:val="20"/>
          <w:szCs w:val="20"/>
        </w:rPr>
      </w:pPr>
      <w:r w:rsidRPr="006D5EED">
        <w:rPr>
          <w:rFonts w:ascii="Arial" w:hAnsi="Arial" w:cs="Arial"/>
          <w:b/>
          <w:bCs/>
          <w:sz w:val="20"/>
          <w:szCs w:val="20"/>
        </w:rPr>
        <w:t>Stun guns.</w:t>
      </w:r>
      <w:r>
        <w:rPr>
          <w:rFonts w:ascii="Arial" w:hAnsi="Arial" w:cs="Arial"/>
          <w:sz w:val="20"/>
          <w:szCs w:val="20"/>
        </w:rPr>
        <w:t xml:space="preserve"> </w:t>
      </w:r>
      <w:r w:rsidRPr="00DB4981">
        <w:rPr>
          <w:rFonts w:ascii="Arial" w:hAnsi="Arial" w:cs="Arial"/>
          <w:color w:val="000000"/>
          <w:sz w:val="20"/>
          <w:szCs w:val="20"/>
        </w:rPr>
        <w:t xml:space="preserve">In 2018, the Legislature amended G.L. c. 140, § 121 to include a stun gun in the definition of a firearm.  See St. 2018 c. 123, § 4.  </w:t>
      </w:r>
    </w:p>
    <w:p w14:paraId="7233E1D9" w14:textId="77777777" w:rsidR="00A07FC0" w:rsidRPr="00A07FC0" w:rsidRDefault="00A07FC0" w:rsidP="00A07FC0">
      <w:pPr>
        <w:pStyle w:val="ListParagraph"/>
        <w:rPr>
          <w:rFonts w:ascii="Arial" w:hAnsi="Arial" w:cs="Arial"/>
          <w:b/>
          <w:bCs/>
          <w:sz w:val="20"/>
          <w:szCs w:val="20"/>
        </w:rPr>
      </w:pPr>
    </w:p>
    <w:p w14:paraId="103C33EF" w14:textId="77777777" w:rsidR="00A07FC0" w:rsidRDefault="006B74C7" w:rsidP="00A07FC0">
      <w:pPr>
        <w:pStyle w:val="ListParagraph"/>
        <w:numPr>
          <w:ilvl w:val="0"/>
          <w:numId w:val="5"/>
        </w:numPr>
        <w:spacing w:line="240" w:lineRule="auto"/>
        <w:ind w:left="0" w:firstLine="360"/>
        <w:rPr>
          <w:rFonts w:ascii="Arial" w:hAnsi="Arial" w:cs="Arial"/>
          <w:sz w:val="20"/>
          <w:szCs w:val="20"/>
        </w:rPr>
      </w:pPr>
      <w:r w:rsidRPr="00A07FC0">
        <w:rPr>
          <w:rFonts w:ascii="Arial" w:hAnsi="Arial" w:cs="Arial"/>
          <w:b/>
          <w:bCs/>
          <w:sz w:val="20"/>
          <w:szCs w:val="20"/>
        </w:rPr>
        <w:t>Necessity defense.</w:t>
      </w:r>
      <w:r w:rsidRPr="00A07FC0">
        <w:rPr>
          <w:rFonts w:ascii="Arial" w:hAnsi="Arial" w:cs="Arial"/>
          <w:sz w:val="20"/>
          <w:szCs w:val="20"/>
        </w:rPr>
        <w:t xml:space="preserve"> The Supreme Judicial Court has assumed that a threat of death or serious injury, if it is direct and immediate, may excuse momentary carrying of a firearm.  </w:t>
      </w:r>
      <w:r w:rsidRPr="00A07FC0">
        <w:rPr>
          <w:rFonts w:ascii="Arial" w:hAnsi="Arial" w:cs="Arial"/>
          <w:i/>
          <w:iCs/>
          <w:sz w:val="20"/>
          <w:szCs w:val="20"/>
        </w:rPr>
        <w:t>Commonwealth v. Lindsey</w:t>
      </w:r>
      <w:r w:rsidRPr="00A07FC0">
        <w:rPr>
          <w:rFonts w:ascii="Arial" w:hAnsi="Arial" w:cs="Arial"/>
          <w:sz w:val="20"/>
          <w:szCs w:val="20"/>
        </w:rPr>
        <w:t xml:space="preserve">, 396 Mass. 840, 843-845 (1986). See </w:t>
      </w:r>
      <w:r w:rsidRPr="00A07FC0">
        <w:rPr>
          <w:rFonts w:ascii="Arial" w:hAnsi="Arial" w:cs="Arial"/>
          <w:i/>
          <w:iCs/>
          <w:sz w:val="20"/>
          <w:szCs w:val="20"/>
        </w:rPr>
        <w:t>Commonwealth v. Iglesia</w:t>
      </w:r>
      <w:r w:rsidRPr="00A07FC0">
        <w:rPr>
          <w:rFonts w:ascii="Arial" w:hAnsi="Arial" w:cs="Arial"/>
          <w:sz w:val="20"/>
          <w:szCs w:val="20"/>
        </w:rPr>
        <w:t xml:space="preserve">, 403 Mass. 132, 135-136 (1988); </w:t>
      </w:r>
      <w:r w:rsidRPr="00A07FC0">
        <w:rPr>
          <w:rFonts w:ascii="Arial" w:hAnsi="Arial" w:cs="Arial"/>
          <w:i/>
          <w:iCs/>
          <w:sz w:val="20"/>
          <w:szCs w:val="20"/>
        </w:rPr>
        <w:t>Commonwealth v. Franklin</w:t>
      </w:r>
      <w:r w:rsidRPr="00A07FC0">
        <w:rPr>
          <w:rFonts w:ascii="Arial" w:hAnsi="Arial" w:cs="Arial"/>
          <w:sz w:val="20"/>
          <w:szCs w:val="20"/>
        </w:rPr>
        <w:t>, 376 Mass. 885, 888 n.2 (1978). See Instruction 9.240 (Necessity or Duress).</w:t>
      </w:r>
      <w:bookmarkStart w:id="9" w:name="_Hlk129685372"/>
    </w:p>
    <w:p w14:paraId="70A102FB" w14:textId="77777777" w:rsidR="00A07FC0" w:rsidRPr="00A07FC0" w:rsidRDefault="00A07FC0" w:rsidP="00A07FC0">
      <w:pPr>
        <w:pStyle w:val="ListParagraph"/>
        <w:rPr>
          <w:rFonts w:ascii="Arial" w:hAnsi="Arial" w:cs="Arial"/>
          <w:b/>
          <w:bCs/>
          <w:sz w:val="20"/>
          <w:szCs w:val="20"/>
        </w:rPr>
      </w:pPr>
    </w:p>
    <w:p w14:paraId="078C48AB" w14:textId="63FA3125" w:rsidR="006B74C7" w:rsidRDefault="00DC19CB" w:rsidP="00A07FC0">
      <w:pPr>
        <w:pStyle w:val="ListParagraph"/>
        <w:numPr>
          <w:ilvl w:val="0"/>
          <w:numId w:val="5"/>
        </w:numPr>
        <w:spacing w:line="240" w:lineRule="auto"/>
        <w:ind w:left="0" w:firstLine="360"/>
        <w:rPr>
          <w:rFonts w:ascii="Arial" w:hAnsi="Arial" w:cs="Arial"/>
          <w:sz w:val="20"/>
          <w:szCs w:val="20"/>
        </w:rPr>
      </w:pPr>
      <w:r w:rsidRPr="00A07FC0">
        <w:rPr>
          <w:rFonts w:ascii="Arial" w:hAnsi="Arial" w:cs="Arial"/>
          <w:b/>
          <w:bCs/>
          <w:sz w:val="20"/>
          <w:szCs w:val="20"/>
        </w:rPr>
        <w:t>N</w:t>
      </w:r>
      <w:r w:rsidR="006B74C7" w:rsidRPr="00A07FC0">
        <w:rPr>
          <w:rFonts w:ascii="Arial" w:hAnsi="Arial" w:cs="Arial"/>
          <w:b/>
          <w:bCs/>
          <w:sz w:val="20"/>
          <w:szCs w:val="20"/>
        </w:rPr>
        <w:t>otice of affirmative defenses.</w:t>
      </w:r>
      <w:r w:rsidR="006B74C7" w:rsidRPr="00A07FC0">
        <w:rPr>
          <w:rFonts w:ascii="Arial" w:hAnsi="Arial" w:cs="Arial"/>
          <w:sz w:val="20"/>
          <w:szCs w:val="20"/>
        </w:rPr>
        <w:t xml:space="preserve"> The issuance of firearm identification cards and licenses to carry are governed by G.L. c. 140, §§ 129B and 131, respectively. Section 129C lists </w:t>
      </w:r>
      <w:proofErr w:type="gramStart"/>
      <w:r w:rsidR="006B74C7" w:rsidRPr="00A07FC0">
        <w:rPr>
          <w:rFonts w:ascii="Arial" w:hAnsi="Arial" w:cs="Arial"/>
          <w:sz w:val="20"/>
          <w:szCs w:val="20"/>
        </w:rPr>
        <w:t>a number of</w:t>
      </w:r>
      <w:proofErr w:type="gramEnd"/>
      <w:r w:rsidR="006B74C7" w:rsidRPr="00A07FC0">
        <w:rPr>
          <w:rFonts w:ascii="Arial" w:hAnsi="Arial" w:cs="Arial"/>
          <w:sz w:val="20"/>
          <w:szCs w:val="20"/>
        </w:rPr>
        <w:t xml:space="preserve"> statutory exemptions.  Generally, these exemptions cover nonresidents in various circumstances, federally licensed firearms manufacturers or wholesale dealers and persons employed by them, persons in the military, police officers and other peace officers of any jurisdiction either in performance of their duties or who are duly authorized to possess, members of a veteran’s organization when on official parade duty or ceremonial occasions, to list a few. G.</w:t>
      </w:r>
      <w:proofErr w:type="gramStart"/>
      <w:r w:rsidR="006B74C7" w:rsidRPr="00A07FC0">
        <w:rPr>
          <w:rFonts w:ascii="Arial" w:hAnsi="Arial" w:cs="Arial"/>
          <w:sz w:val="20"/>
          <w:szCs w:val="20"/>
        </w:rPr>
        <w:t>L. c</w:t>
      </w:r>
      <w:proofErr w:type="gramEnd"/>
      <w:r w:rsidR="006B74C7" w:rsidRPr="00A07FC0">
        <w:rPr>
          <w:rFonts w:ascii="Arial" w:hAnsi="Arial" w:cs="Arial"/>
          <w:sz w:val="20"/>
          <w:szCs w:val="20"/>
        </w:rPr>
        <w:t>. 140, § 129C, ¶ 4 (a) - (u).</w:t>
      </w:r>
    </w:p>
    <w:p w14:paraId="63616A62" w14:textId="77777777" w:rsidR="00A07FC0" w:rsidRPr="00A07FC0" w:rsidRDefault="00A07FC0" w:rsidP="00A07FC0">
      <w:pPr>
        <w:pStyle w:val="ListParagraph"/>
        <w:rPr>
          <w:rFonts w:ascii="Arial" w:hAnsi="Arial" w:cs="Arial"/>
          <w:sz w:val="20"/>
          <w:szCs w:val="20"/>
        </w:rPr>
      </w:pPr>
    </w:p>
    <w:p w14:paraId="577D3F70" w14:textId="44E7BE7E" w:rsidR="00A07FC0" w:rsidRDefault="00A07FC0" w:rsidP="00A07FC0">
      <w:pPr>
        <w:pStyle w:val="ListParagraph"/>
        <w:spacing w:after="0" w:line="240" w:lineRule="auto"/>
        <w:ind w:left="0" w:firstLine="720"/>
        <w:contextualSpacing w:val="0"/>
        <w:rPr>
          <w:rFonts w:ascii="Arial" w:hAnsi="Arial" w:cs="Arial"/>
          <w:sz w:val="20"/>
          <w:szCs w:val="20"/>
        </w:rPr>
      </w:pPr>
      <w:r w:rsidRPr="00A07FC0">
        <w:rPr>
          <w:rFonts w:ascii="Arial" w:hAnsi="Arial" w:cs="Arial"/>
          <w:sz w:val="20"/>
          <w:szCs w:val="20"/>
        </w:rPr>
        <w:t>Under Mass. R. Crim. P. 14(b)(3), a defendant who intends to rely upon an affirmative defense of exemption must file advance notice of such a defense with the prosecutor and the clerk-magistrate.  If the defendant fails to comply with the requirement, the defendant may not rely upon such a defense.  The judge may allow late filing of the notice, order a continuance, or make other appropriate orders.</w:t>
      </w:r>
    </w:p>
    <w:p w14:paraId="2067E189" w14:textId="77777777" w:rsidR="00A07FC0" w:rsidRDefault="00A07FC0" w:rsidP="00A07FC0">
      <w:pPr>
        <w:spacing w:after="0" w:line="240" w:lineRule="auto"/>
        <w:rPr>
          <w:rFonts w:ascii="Arial" w:hAnsi="Arial" w:cs="Arial"/>
          <w:sz w:val="20"/>
          <w:szCs w:val="20"/>
        </w:rPr>
      </w:pPr>
    </w:p>
    <w:p w14:paraId="473A1590" w14:textId="77777777" w:rsidR="00A07FC0" w:rsidRPr="00A07FC0" w:rsidRDefault="00A07FC0" w:rsidP="00A07FC0">
      <w:pPr>
        <w:pStyle w:val="ListParagraph"/>
        <w:numPr>
          <w:ilvl w:val="0"/>
          <w:numId w:val="5"/>
        </w:numPr>
        <w:ind w:left="0" w:firstLine="360"/>
        <w:rPr>
          <w:rFonts w:ascii="Arial" w:hAnsi="Arial" w:cs="Arial"/>
          <w:sz w:val="20"/>
          <w:szCs w:val="20"/>
        </w:rPr>
      </w:pPr>
      <w:r w:rsidRPr="00A07FC0">
        <w:rPr>
          <w:rFonts w:ascii="Arial" w:hAnsi="Arial" w:cs="Arial"/>
          <w:b/>
          <w:bCs/>
          <w:sz w:val="20"/>
          <w:szCs w:val="20"/>
        </w:rPr>
        <w:t>Notice of license revocation.</w:t>
      </w:r>
      <w:r w:rsidRPr="00A07FC0">
        <w:rPr>
          <w:rFonts w:ascii="Arial" w:hAnsi="Arial" w:cs="Arial"/>
          <w:sz w:val="20"/>
          <w:szCs w:val="20"/>
        </w:rPr>
        <w:t xml:space="preserve"> See </w:t>
      </w:r>
      <w:r w:rsidRPr="00A07FC0">
        <w:rPr>
          <w:rFonts w:ascii="Arial" w:hAnsi="Arial" w:cs="Arial"/>
          <w:i/>
          <w:iCs/>
          <w:sz w:val="20"/>
          <w:szCs w:val="20"/>
        </w:rPr>
        <w:t>Police Comm’r of Boston v. Robinson</w:t>
      </w:r>
      <w:r w:rsidRPr="00A07FC0">
        <w:rPr>
          <w:rFonts w:ascii="Arial" w:hAnsi="Arial" w:cs="Arial"/>
          <w:sz w:val="20"/>
          <w:szCs w:val="20"/>
        </w:rPr>
        <w:t xml:space="preserve">, 47 Mass. App. Ct. 767, 773, 774 (1999) (proving notice of license revocation by certified mail requires proof of receipt); </w:t>
      </w:r>
      <w:r w:rsidRPr="00A07FC0">
        <w:rPr>
          <w:rFonts w:ascii="Arial" w:hAnsi="Arial" w:cs="Arial"/>
          <w:i/>
          <w:iCs/>
          <w:sz w:val="20"/>
          <w:szCs w:val="20"/>
        </w:rPr>
        <w:t>Commonwealth v. Hampton</w:t>
      </w:r>
      <w:r w:rsidRPr="00A07FC0">
        <w:rPr>
          <w:rFonts w:ascii="Arial" w:hAnsi="Arial" w:cs="Arial"/>
          <w:sz w:val="20"/>
          <w:szCs w:val="20"/>
        </w:rPr>
        <w:t>, 26 Mass. App. Ct. 938, 940 (1988) (defendant who purposefully or willfully evaded notice of license revocation sent by certified mail had constructive notice of license revocation).</w:t>
      </w:r>
    </w:p>
    <w:p w14:paraId="05A343E7" w14:textId="1A5A1B25" w:rsidR="00A07FC0" w:rsidRPr="00A07FC0" w:rsidRDefault="00A07FC0" w:rsidP="00A07FC0">
      <w:pPr>
        <w:pStyle w:val="ListParagraph"/>
        <w:spacing w:after="0" w:line="240" w:lineRule="auto"/>
        <w:rPr>
          <w:rFonts w:ascii="Arial" w:hAnsi="Arial" w:cs="Arial"/>
          <w:sz w:val="20"/>
          <w:szCs w:val="20"/>
        </w:rPr>
      </w:pPr>
    </w:p>
    <w:p w14:paraId="67EA8B4C" w14:textId="77777777" w:rsidR="00A07FC0" w:rsidRDefault="00A07FC0" w:rsidP="00A07FC0">
      <w:pPr>
        <w:pStyle w:val="ListParagraph"/>
        <w:spacing w:after="0" w:line="240" w:lineRule="auto"/>
        <w:ind w:left="0" w:firstLine="720"/>
        <w:contextualSpacing w:val="0"/>
        <w:rPr>
          <w:rFonts w:ascii="Arial" w:hAnsi="Arial" w:cs="Arial"/>
          <w:sz w:val="20"/>
          <w:szCs w:val="20"/>
        </w:rPr>
      </w:pPr>
    </w:p>
    <w:p w14:paraId="028C44C3" w14:textId="77777777" w:rsidR="00A07FC0" w:rsidRDefault="00A07FC0" w:rsidP="00A07FC0">
      <w:pPr>
        <w:pStyle w:val="ListParagraph"/>
        <w:spacing w:after="0" w:line="240" w:lineRule="auto"/>
        <w:ind w:left="0" w:firstLine="720"/>
        <w:contextualSpacing w:val="0"/>
        <w:rPr>
          <w:rFonts w:ascii="Arial" w:hAnsi="Arial" w:cs="Arial"/>
          <w:sz w:val="20"/>
          <w:szCs w:val="20"/>
        </w:rPr>
      </w:pPr>
    </w:p>
    <w:bookmarkEnd w:id="9"/>
    <w:p w14:paraId="4C724BE0" w14:textId="77777777" w:rsidR="006D5EED" w:rsidRDefault="006D5EED" w:rsidP="00A07FC0">
      <w:pPr>
        <w:pStyle w:val="ListParagraph"/>
        <w:spacing w:before="240"/>
        <w:ind w:left="360"/>
        <w:rPr>
          <w:rFonts w:ascii="Arial" w:hAnsi="Arial" w:cs="Arial"/>
          <w:sz w:val="20"/>
          <w:szCs w:val="20"/>
        </w:rPr>
      </w:pPr>
    </w:p>
    <w:p w14:paraId="1EE8BAC6" w14:textId="77777777" w:rsidR="00A07FC0" w:rsidRDefault="006D5EED" w:rsidP="00A07FC0">
      <w:pPr>
        <w:pStyle w:val="ListParagraph"/>
        <w:numPr>
          <w:ilvl w:val="0"/>
          <w:numId w:val="5"/>
        </w:numPr>
        <w:spacing w:before="240"/>
        <w:ind w:left="0" w:firstLine="360"/>
        <w:rPr>
          <w:rFonts w:ascii="Arial" w:hAnsi="Arial" w:cs="Arial"/>
          <w:sz w:val="20"/>
          <w:szCs w:val="20"/>
        </w:rPr>
      </w:pPr>
      <w:r w:rsidRPr="00A07FC0">
        <w:rPr>
          <w:rFonts w:ascii="Arial" w:hAnsi="Arial" w:cs="Arial"/>
          <w:b/>
          <w:bCs/>
          <w:sz w:val="20"/>
          <w:szCs w:val="20"/>
        </w:rPr>
        <w:lastRenderedPageBreak/>
        <w:t>Probable</w:t>
      </w:r>
      <w:r w:rsidRPr="00A07FC0">
        <w:rPr>
          <w:rFonts w:ascii="Arial" w:hAnsi="Arial" w:cs="Arial"/>
          <w:sz w:val="20"/>
          <w:szCs w:val="20"/>
        </w:rPr>
        <w:t xml:space="preserve"> </w:t>
      </w:r>
      <w:r w:rsidRPr="00A07FC0">
        <w:rPr>
          <w:rFonts w:ascii="Arial" w:hAnsi="Arial" w:cs="Arial"/>
          <w:b/>
          <w:bCs/>
          <w:sz w:val="20"/>
          <w:szCs w:val="20"/>
        </w:rPr>
        <w:t>cause</w:t>
      </w:r>
      <w:r w:rsidRPr="00A07FC0">
        <w:rPr>
          <w:rFonts w:ascii="Arial" w:hAnsi="Arial" w:cs="Arial"/>
          <w:sz w:val="20"/>
          <w:szCs w:val="20"/>
        </w:rPr>
        <w:t xml:space="preserve">.  Possession of a firearm, standing alone and without indication that the person was involved in criminal activity, does not provide probable cause to believe that the person was unlicensed to carry that firearm.  </w:t>
      </w:r>
      <w:r w:rsidRPr="00A07FC0">
        <w:rPr>
          <w:rFonts w:ascii="Arial" w:hAnsi="Arial" w:cs="Arial"/>
          <w:i/>
          <w:iCs/>
          <w:sz w:val="20"/>
          <w:szCs w:val="20"/>
        </w:rPr>
        <w:t>Commonwealth v. Couture</w:t>
      </w:r>
      <w:r w:rsidRPr="00A07FC0">
        <w:rPr>
          <w:rFonts w:ascii="Arial" w:hAnsi="Arial" w:cs="Arial"/>
          <w:sz w:val="20"/>
          <w:szCs w:val="20"/>
        </w:rPr>
        <w:t xml:space="preserve">, 407 Mass. 178, cert. denied, 498 U.S. 951 (1990).  However, additional evidence of criminal activity and flight has been found to establish probable </w:t>
      </w:r>
      <w:proofErr w:type="gramStart"/>
      <w:r w:rsidRPr="00A07FC0">
        <w:rPr>
          <w:rFonts w:ascii="Arial" w:hAnsi="Arial" w:cs="Arial"/>
          <w:sz w:val="20"/>
          <w:szCs w:val="20"/>
        </w:rPr>
        <w:t>cause</w:t>
      </w:r>
      <w:proofErr w:type="gramEnd"/>
      <w:r w:rsidRPr="00A07FC0">
        <w:rPr>
          <w:rFonts w:ascii="Arial" w:hAnsi="Arial" w:cs="Arial"/>
          <w:sz w:val="20"/>
          <w:szCs w:val="20"/>
        </w:rPr>
        <w:t xml:space="preserve">.  See </w:t>
      </w:r>
      <w:r w:rsidRPr="00A07FC0">
        <w:rPr>
          <w:rFonts w:ascii="Arial" w:hAnsi="Arial" w:cs="Arial"/>
          <w:i/>
          <w:iCs/>
          <w:sz w:val="20"/>
          <w:szCs w:val="20"/>
        </w:rPr>
        <w:t>Commonwealth v. Brookins</w:t>
      </w:r>
      <w:r w:rsidRPr="00A07FC0">
        <w:rPr>
          <w:rFonts w:ascii="Arial" w:hAnsi="Arial" w:cs="Arial"/>
          <w:sz w:val="20"/>
          <w:szCs w:val="20"/>
        </w:rPr>
        <w:t xml:space="preserve">, 416 Mass. 97, 104 (1993); </w:t>
      </w:r>
      <w:r w:rsidRPr="00A07FC0">
        <w:rPr>
          <w:rFonts w:ascii="Arial" w:hAnsi="Arial" w:cs="Arial"/>
          <w:i/>
          <w:iCs/>
          <w:sz w:val="20"/>
          <w:szCs w:val="20"/>
        </w:rPr>
        <w:t>Commonwealth v. Edwards</w:t>
      </w:r>
      <w:r w:rsidRPr="00A07FC0">
        <w:rPr>
          <w:rFonts w:ascii="Arial" w:hAnsi="Arial" w:cs="Arial"/>
          <w:sz w:val="20"/>
          <w:szCs w:val="20"/>
        </w:rPr>
        <w:t>, 71 Mass. App. Ct. 716, 719-720 (2008).</w:t>
      </w:r>
    </w:p>
    <w:p w14:paraId="6B84D9CC" w14:textId="77777777" w:rsidR="006B74C7" w:rsidRPr="000B4753" w:rsidRDefault="006B74C7" w:rsidP="006B74C7">
      <w:pPr>
        <w:pStyle w:val="ListParagraph"/>
        <w:rPr>
          <w:rFonts w:ascii="Arial" w:hAnsi="Arial" w:cs="Arial"/>
          <w:b/>
          <w:bCs/>
          <w:spacing w:val="9"/>
          <w:sz w:val="20"/>
          <w:szCs w:val="20"/>
        </w:rPr>
      </w:pPr>
    </w:p>
    <w:p w14:paraId="62A460A4" w14:textId="77777777" w:rsidR="006B74C7" w:rsidRDefault="006B74C7" w:rsidP="00A07FC0">
      <w:pPr>
        <w:pStyle w:val="ListParagraph"/>
        <w:numPr>
          <w:ilvl w:val="0"/>
          <w:numId w:val="5"/>
        </w:numPr>
        <w:spacing w:before="240"/>
        <w:ind w:left="0" w:firstLine="360"/>
        <w:rPr>
          <w:rFonts w:ascii="Arial" w:hAnsi="Arial" w:cs="Arial"/>
          <w:sz w:val="20"/>
          <w:szCs w:val="20"/>
        </w:rPr>
      </w:pPr>
      <w:bookmarkStart w:id="10" w:name="_Hlk129685483"/>
      <w:r w:rsidRPr="000B4753">
        <w:rPr>
          <w:rFonts w:ascii="Arial" w:hAnsi="Arial" w:cs="Arial"/>
          <w:b/>
          <w:bCs/>
          <w:sz w:val="20"/>
          <w:szCs w:val="20"/>
        </w:rPr>
        <w:t>“Residence</w:t>
      </w:r>
      <w:r>
        <w:rPr>
          <w:rFonts w:ascii="Arial" w:hAnsi="Arial" w:cs="Arial"/>
          <w:b/>
          <w:bCs/>
          <w:sz w:val="20"/>
          <w:szCs w:val="20"/>
        </w:rPr>
        <w:t xml:space="preserve"> </w:t>
      </w:r>
      <w:bookmarkStart w:id="11" w:name="_Hlk133834343"/>
      <w:r>
        <w:rPr>
          <w:rFonts w:ascii="Arial" w:hAnsi="Arial" w:cs="Arial"/>
          <w:b/>
          <w:bCs/>
          <w:sz w:val="20"/>
          <w:szCs w:val="20"/>
        </w:rPr>
        <w:t>or place of business</w:t>
      </w:r>
      <w:r w:rsidRPr="000B4753">
        <w:rPr>
          <w:rFonts w:ascii="Arial" w:hAnsi="Arial" w:cs="Arial"/>
          <w:b/>
          <w:bCs/>
          <w:sz w:val="20"/>
          <w:szCs w:val="20"/>
        </w:rPr>
        <w:t>”</w:t>
      </w:r>
      <w:r>
        <w:rPr>
          <w:rFonts w:ascii="Arial" w:hAnsi="Arial" w:cs="Arial"/>
          <w:b/>
          <w:bCs/>
          <w:sz w:val="20"/>
          <w:szCs w:val="20"/>
        </w:rPr>
        <w:t>.</w:t>
      </w:r>
      <w:r w:rsidRPr="000B4753">
        <w:rPr>
          <w:rFonts w:ascii="Arial" w:hAnsi="Arial" w:cs="Arial"/>
          <w:sz w:val="20"/>
          <w:szCs w:val="20"/>
        </w:rPr>
        <w:t xml:space="preserve"> </w:t>
      </w:r>
      <w:r>
        <w:rPr>
          <w:rFonts w:ascii="Arial" w:hAnsi="Arial" w:cs="Arial"/>
          <w:sz w:val="20"/>
          <w:szCs w:val="20"/>
        </w:rPr>
        <w:t xml:space="preserve"> </w:t>
      </w:r>
      <w:r w:rsidRPr="000B4753">
        <w:rPr>
          <w:rFonts w:ascii="Arial" w:hAnsi="Arial" w:cs="Arial"/>
          <w:sz w:val="20"/>
          <w:szCs w:val="20"/>
        </w:rPr>
        <w:t>See</w:t>
      </w:r>
      <w:r>
        <w:rPr>
          <w:rFonts w:ascii="Arial" w:hAnsi="Arial" w:cs="Arial"/>
          <w:sz w:val="20"/>
          <w:szCs w:val="20"/>
        </w:rPr>
        <w:t xml:space="preserve"> </w:t>
      </w:r>
      <w:r w:rsidRPr="00981085">
        <w:rPr>
          <w:rFonts w:ascii="Arial" w:hAnsi="Arial" w:cs="Arial"/>
          <w:i/>
          <w:iCs/>
          <w:sz w:val="20"/>
          <w:szCs w:val="20"/>
        </w:rPr>
        <w:t>Guardado</w:t>
      </w:r>
      <w:r>
        <w:rPr>
          <w:rFonts w:ascii="Arial" w:hAnsi="Arial" w:cs="Arial"/>
          <w:sz w:val="20"/>
          <w:szCs w:val="20"/>
        </w:rPr>
        <w:t>, 491 Mass. at 684 (</w:t>
      </w:r>
      <w:r>
        <w:rPr>
          <w:rFonts w:ascii="Arial" w:hAnsi="Arial" w:cs="Arial"/>
          <w:color w:val="000000"/>
          <w:sz w:val="20"/>
          <w:szCs w:val="20"/>
          <w:bdr w:val="none" w:sz="0" w:space="0" w:color="auto" w:frame="1"/>
        </w:rPr>
        <w:t>“</w:t>
      </w:r>
      <w:r w:rsidRPr="002B6CB5">
        <w:rPr>
          <w:rFonts w:ascii="Arial" w:hAnsi="Arial" w:cs="Arial"/>
          <w:color w:val="000000"/>
          <w:sz w:val="20"/>
          <w:szCs w:val="20"/>
        </w:rPr>
        <w:t>An individual has an interest in protecting his or her place of business, but that interest is attenuated when the individual enters an area that is not within the exclusive control of that business</w:t>
      </w:r>
      <w:r>
        <w:rPr>
          <w:rFonts w:ascii="Arial" w:hAnsi="Arial" w:cs="Arial"/>
          <w:color w:val="000000"/>
          <w:sz w:val="20"/>
          <w:szCs w:val="20"/>
        </w:rPr>
        <w:t>”);</w:t>
      </w:r>
      <w:bookmarkEnd w:id="11"/>
      <w:r>
        <w:rPr>
          <w:rFonts w:ascii="Arial" w:hAnsi="Arial" w:cs="Arial"/>
          <w:color w:val="000000"/>
          <w:sz w:val="20"/>
          <w:szCs w:val="20"/>
        </w:rPr>
        <w:t xml:space="preserve"> </w:t>
      </w:r>
      <w:r w:rsidRPr="000B4753">
        <w:rPr>
          <w:rFonts w:ascii="Arial" w:hAnsi="Arial" w:cs="Arial"/>
          <w:i/>
          <w:iCs/>
          <w:sz w:val="20"/>
          <w:szCs w:val="20"/>
        </w:rPr>
        <w:t>Commonwealth v. Coren</w:t>
      </w:r>
      <w:r w:rsidRPr="000B4753">
        <w:rPr>
          <w:rFonts w:ascii="Arial" w:hAnsi="Arial" w:cs="Arial"/>
          <w:sz w:val="20"/>
          <w:szCs w:val="20"/>
        </w:rPr>
        <w:t xml:space="preserve">, 437 Mass. 723, 734 (2002) (defining “residence” to include “all areas in and around a defendant’s property, including outside areas, over which defendant retains exclusive control,” but not including “public streets, sidewalks, and common areas to which occupants of multiple dwellings have access”); </w:t>
      </w:r>
      <w:r w:rsidRPr="000B4753">
        <w:rPr>
          <w:rFonts w:ascii="Arial" w:hAnsi="Arial" w:cs="Arial"/>
          <w:i/>
          <w:iCs/>
          <w:sz w:val="20"/>
          <w:szCs w:val="20"/>
        </w:rPr>
        <w:t>Commonwealth v. Dunphy</w:t>
      </w:r>
      <w:r w:rsidRPr="000B4753">
        <w:rPr>
          <w:rFonts w:ascii="Arial" w:hAnsi="Arial" w:cs="Arial"/>
          <w:sz w:val="20"/>
          <w:szCs w:val="20"/>
        </w:rPr>
        <w:t xml:space="preserve">, 377 Mass. 453, 458-460 (1979) (jury issue whether backyard was common area); </w:t>
      </w:r>
      <w:r w:rsidRPr="000B4753">
        <w:rPr>
          <w:rFonts w:ascii="Arial" w:hAnsi="Arial" w:cs="Arial"/>
          <w:i/>
          <w:iCs/>
          <w:sz w:val="20"/>
          <w:szCs w:val="20"/>
        </w:rPr>
        <w:t>Commonwealth v. Domingue</w:t>
      </w:r>
      <w:r w:rsidRPr="000B4753">
        <w:rPr>
          <w:rFonts w:ascii="Arial" w:hAnsi="Arial" w:cs="Arial"/>
          <w:sz w:val="20"/>
          <w:szCs w:val="20"/>
        </w:rPr>
        <w:t xml:space="preserve">, 18 Mass. App. Ct. 987, 990 (1984) (defendant privileged to carry at place of business); </w:t>
      </w:r>
      <w:r w:rsidRPr="000B4753">
        <w:rPr>
          <w:rFonts w:ascii="Arial" w:hAnsi="Arial" w:cs="Arial"/>
          <w:i/>
          <w:iCs/>
          <w:sz w:val="20"/>
          <w:szCs w:val="20"/>
        </w:rPr>
        <w:t>Commonwealth v. Morales</w:t>
      </w:r>
      <w:r w:rsidRPr="000B4753">
        <w:rPr>
          <w:rFonts w:ascii="Arial" w:hAnsi="Arial" w:cs="Arial"/>
          <w:sz w:val="20"/>
          <w:szCs w:val="20"/>
        </w:rPr>
        <w:t xml:space="preserve">, 14 Mass. App. Ct. 1034, 1035 (1982) (jury issue whether area was a common area to which other occupants or owner had access); </w:t>
      </w:r>
      <w:r w:rsidRPr="000B4753">
        <w:rPr>
          <w:rFonts w:ascii="Arial" w:hAnsi="Arial" w:cs="Arial"/>
          <w:i/>
          <w:iCs/>
          <w:sz w:val="20"/>
          <w:szCs w:val="20"/>
        </w:rPr>
        <w:t>Commonwealth v. Samaras</w:t>
      </w:r>
      <w:r w:rsidRPr="000B4753">
        <w:rPr>
          <w:rFonts w:ascii="Arial" w:hAnsi="Arial" w:cs="Arial"/>
          <w:sz w:val="20"/>
          <w:szCs w:val="20"/>
        </w:rPr>
        <w:t>, 10 Mass. App. Ct. 910, 910 (1980) (no privilege to carry on sidewalk in front of defendant’s house).</w:t>
      </w:r>
      <w:r>
        <w:rPr>
          <w:rFonts w:ascii="Arial" w:hAnsi="Arial" w:cs="Arial"/>
          <w:sz w:val="20"/>
          <w:szCs w:val="20"/>
        </w:rPr>
        <w:t xml:space="preserve"> </w:t>
      </w:r>
    </w:p>
    <w:bookmarkEnd w:id="10"/>
    <w:p w14:paraId="571C6565" w14:textId="77777777" w:rsidR="006B74C7" w:rsidRPr="000B4753" w:rsidRDefault="006B74C7" w:rsidP="006B74C7">
      <w:pPr>
        <w:pStyle w:val="ListParagraph"/>
        <w:rPr>
          <w:rFonts w:ascii="Arial" w:hAnsi="Arial" w:cs="Arial"/>
          <w:sz w:val="20"/>
          <w:szCs w:val="20"/>
        </w:rPr>
      </w:pPr>
    </w:p>
    <w:p w14:paraId="18CB97A7" w14:textId="77777777" w:rsidR="006B74C7" w:rsidRPr="00A07FC0" w:rsidRDefault="006B74C7" w:rsidP="00A07FC0">
      <w:pPr>
        <w:pStyle w:val="ListParagraph"/>
        <w:numPr>
          <w:ilvl w:val="0"/>
          <w:numId w:val="5"/>
        </w:numPr>
        <w:spacing w:before="240"/>
        <w:ind w:left="0" w:firstLine="360"/>
        <w:rPr>
          <w:rFonts w:ascii="Arial" w:eastAsia="Times New Roman" w:hAnsi="Arial" w:cs="Arial"/>
          <w:sz w:val="20"/>
          <w:szCs w:val="20"/>
        </w:rPr>
      </w:pPr>
      <w:bookmarkStart w:id="12" w:name="_Hlk129685550"/>
      <w:r w:rsidRPr="000B4753">
        <w:rPr>
          <w:rFonts w:ascii="Arial" w:hAnsi="Arial" w:cs="Arial"/>
          <w:b/>
          <w:bCs/>
          <w:sz w:val="20"/>
          <w:szCs w:val="20"/>
        </w:rPr>
        <w:t xml:space="preserve">Constructive possession requires knowledge, ability, and intention to control.  </w:t>
      </w:r>
      <w:proofErr w:type="gramStart"/>
      <w:r w:rsidRPr="000B4753">
        <w:rPr>
          <w:rFonts w:ascii="Arial" w:hAnsi="Arial" w:cs="Arial"/>
          <w:sz w:val="20"/>
          <w:szCs w:val="20"/>
        </w:rPr>
        <w:t>In order to</w:t>
      </w:r>
      <w:proofErr w:type="gramEnd"/>
      <w:r w:rsidRPr="000B4753">
        <w:rPr>
          <w:rFonts w:ascii="Arial" w:hAnsi="Arial" w:cs="Arial"/>
          <w:sz w:val="20"/>
          <w:szCs w:val="20"/>
        </w:rPr>
        <w:t xml:space="preserve"> prove constructive possession of an item, the Commonwealth must show “’knowledge coupled with the ability and intention to exercise dominion and control.”  </w:t>
      </w:r>
      <w:r w:rsidRPr="000B4753">
        <w:rPr>
          <w:rFonts w:ascii="Arial" w:eastAsia="Times New Roman" w:hAnsi="Arial" w:cs="Arial"/>
          <w:i/>
          <w:iCs/>
          <w:sz w:val="20"/>
          <w:szCs w:val="20"/>
          <w:bdr w:val="none" w:sz="0" w:space="0" w:color="auto" w:frame="1"/>
          <w:shd w:val="clear" w:color="auto" w:fill="FFFFFF"/>
        </w:rPr>
        <w:t>Commonwealth v. Romero</w:t>
      </w:r>
      <w:r w:rsidRPr="000B4753">
        <w:rPr>
          <w:rFonts w:ascii="Arial" w:eastAsia="Times New Roman" w:hAnsi="Arial" w:cs="Arial"/>
          <w:sz w:val="20"/>
          <w:szCs w:val="20"/>
          <w:bdr w:val="none" w:sz="0" w:space="0" w:color="auto" w:frame="1"/>
          <w:shd w:val="clear" w:color="auto" w:fill="FFFFFF"/>
        </w:rPr>
        <w:t xml:space="preserve">, 464 Mass. 648, 653 (2013), quoting </w:t>
      </w:r>
      <w:r w:rsidRPr="000B4753">
        <w:rPr>
          <w:rFonts w:ascii="Arial" w:eastAsia="Times New Roman" w:hAnsi="Arial" w:cs="Arial"/>
          <w:i/>
          <w:iCs/>
          <w:sz w:val="20"/>
          <w:szCs w:val="20"/>
          <w:bdr w:val="none" w:sz="0" w:space="0" w:color="auto" w:frame="1"/>
          <w:shd w:val="clear" w:color="auto" w:fill="FFFFFF"/>
        </w:rPr>
        <w:t>Commonwealth v. Brzezinski</w:t>
      </w:r>
      <w:r w:rsidRPr="000B4753">
        <w:rPr>
          <w:rFonts w:ascii="Arial" w:eastAsia="Times New Roman" w:hAnsi="Arial" w:cs="Arial"/>
          <w:sz w:val="20"/>
          <w:szCs w:val="20"/>
          <w:bdr w:val="none" w:sz="0" w:space="0" w:color="auto" w:frame="1"/>
          <w:shd w:val="clear" w:color="auto" w:fill="FFFFFF"/>
        </w:rPr>
        <w:t xml:space="preserve">, 405 Mass. 401, 409 (1989).  Proof of constructive possession may be established by circumstantial evidence and the reasonable inferences drawn from the evidence.  See </w:t>
      </w:r>
      <w:r w:rsidRPr="000B4753">
        <w:rPr>
          <w:rFonts w:ascii="Arial" w:eastAsia="Times New Roman" w:hAnsi="Arial" w:cs="Arial"/>
          <w:i/>
          <w:iCs/>
          <w:sz w:val="20"/>
          <w:szCs w:val="20"/>
          <w:bdr w:val="none" w:sz="0" w:space="0" w:color="auto" w:frame="1"/>
          <w:shd w:val="clear" w:color="auto" w:fill="FFFFFF"/>
        </w:rPr>
        <w:t>id.</w:t>
      </w:r>
      <w:r w:rsidRPr="000B4753">
        <w:rPr>
          <w:rFonts w:ascii="Arial" w:eastAsia="Times New Roman" w:hAnsi="Arial" w:cs="Arial"/>
          <w:sz w:val="20"/>
          <w:szCs w:val="20"/>
          <w:bdr w:val="none" w:sz="0" w:space="0" w:color="auto" w:frame="1"/>
          <w:shd w:val="clear" w:color="auto" w:fill="FFFFFF"/>
        </w:rPr>
        <w:t xml:space="preserve"> “P</w:t>
      </w:r>
      <w:r w:rsidRPr="000B4753">
        <w:rPr>
          <w:rFonts w:ascii="Arial" w:eastAsia="Times New Roman" w:hAnsi="Arial" w:cs="Arial"/>
          <w:sz w:val="20"/>
          <w:szCs w:val="20"/>
          <w:bdr w:val="none" w:sz="0" w:space="0" w:color="auto" w:frame="1"/>
        </w:rPr>
        <w:t>resence alone cannot show the requisite knowledge, power, or intention to exercise control over [contraband], but presence, supplemented by other incriminating evidence, 'will serve to tip the scale in favor of sufficiency.'" </w:t>
      </w:r>
      <w:r w:rsidRPr="000B4753">
        <w:rPr>
          <w:rFonts w:ascii="Arial" w:eastAsia="Times New Roman" w:hAnsi="Arial" w:cs="Arial"/>
          <w:i/>
          <w:iCs/>
          <w:sz w:val="20"/>
          <w:szCs w:val="20"/>
          <w:bdr w:val="none" w:sz="0" w:space="0" w:color="auto" w:frame="1"/>
        </w:rPr>
        <w:t>Commonwealth v. Albano</w:t>
      </w:r>
      <w:r w:rsidRPr="000B4753">
        <w:rPr>
          <w:rFonts w:ascii="Arial" w:eastAsia="Times New Roman" w:hAnsi="Arial" w:cs="Arial"/>
          <w:sz w:val="20"/>
          <w:szCs w:val="20"/>
          <w:bdr w:val="none" w:sz="0" w:space="0" w:color="auto" w:frame="1"/>
        </w:rPr>
        <w:t>, 373 Mass. 132, 134 (1977), quoting </w:t>
      </w:r>
      <w:r w:rsidRPr="000B4753">
        <w:rPr>
          <w:rFonts w:ascii="Arial" w:eastAsia="Times New Roman" w:hAnsi="Arial" w:cs="Arial"/>
          <w:i/>
          <w:iCs/>
          <w:sz w:val="20"/>
          <w:szCs w:val="20"/>
          <w:bdr w:val="none" w:sz="0" w:space="0" w:color="auto" w:frame="1"/>
        </w:rPr>
        <w:t>United States v. Birmley</w:t>
      </w:r>
      <w:r w:rsidRPr="000B4753">
        <w:rPr>
          <w:rFonts w:ascii="Arial" w:eastAsia="Times New Roman" w:hAnsi="Arial" w:cs="Arial"/>
          <w:sz w:val="20"/>
          <w:szCs w:val="20"/>
          <w:bdr w:val="none" w:sz="0" w:space="0" w:color="auto" w:frame="1"/>
        </w:rPr>
        <w:t xml:space="preserve">, 529 F.2d 103, 108 (6th Cir. 1976). Even with evidence of knowledge of a firearm and the ability to control it, the Commonwealth must prove that the defendant had the intent to control the firearm.  </w:t>
      </w:r>
      <w:r w:rsidRPr="000B4753">
        <w:rPr>
          <w:rFonts w:ascii="Arial" w:eastAsia="Times New Roman" w:hAnsi="Arial" w:cs="Arial"/>
          <w:i/>
          <w:iCs/>
          <w:sz w:val="20"/>
          <w:szCs w:val="20"/>
          <w:bdr w:val="none" w:sz="0" w:space="0" w:color="auto" w:frame="1"/>
        </w:rPr>
        <w:t>Romero</w:t>
      </w:r>
      <w:r w:rsidRPr="000B4753">
        <w:rPr>
          <w:rFonts w:ascii="Arial" w:eastAsia="Times New Roman" w:hAnsi="Arial" w:cs="Arial"/>
          <w:sz w:val="20"/>
          <w:szCs w:val="20"/>
          <w:bdr w:val="none" w:sz="0" w:space="0" w:color="auto" w:frame="1"/>
        </w:rPr>
        <w:t xml:space="preserve">, </w:t>
      </w:r>
      <w:r w:rsidRPr="00C67DCD">
        <w:rPr>
          <w:rFonts w:ascii="Arial" w:eastAsia="Times New Roman" w:hAnsi="Arial" w:cs="Arial"/>
          <w:i/>
          <w:iCs/>
          <w:sz w:val="20"/>
          <w:szCs w:val="20"/>
          <w:bdr w:val="none" w:sz="0" w:space="0" w:color="auto" w:frame="1"/>
        </w:rPr>
        <w:t>supra</w:t>
      </w:r>
      <w:r w:rsidRPr="000B4753">
        <w:rPr>
          <w:rFonts w:ascii="Arial" w:eastAsia="Times New Roman" w:hAnsi="Arial" w:cs="Arial"/>
          <w:sz w:val="20"/>
          <w:szCs w:val="20"/>
          <w:bdr w:val="none" w:sz="0" w:space="0" w:color="auto" w:frame="1"/>
        </w:rPr>
        <w:t xml:space="preserve"> at 654.  Presence in a vehicle with a firearm must be “augmented by additional exculpatory evidence”.  </w:t>
      </w:r>
      <w:r w:rsidRPr="000B4753">
        <w:rPr>
          <w:rFonts w:ascii="Arial" w:eastAsia="Times New Roman" w:hAnsi="Arial" w:cs="Arial"/>
          <w:i/>
          <w:iCs/>
          <w:sz w:val="20"/>
          <w:szCs w:val="20"/>
          <w:bdr w:val="none" w:sz="0" w:space="0" w:color="auto" w:frame="1"/>
        </w:rPr>
        <w:t>Id</w:t>
      </w:r>
      <w:r w:rsidRPr="000B4753">
        <w:rPr>
          <w:rFonts w:ascii="Arial" w:eastAsia="Times New Roman" w:hAnsi="Arial" w:cs="Arial"/>
          <w:sz w:val="20"/>
          <w:szCs w:val="20"/>
          <w:bdr w:val="none" w:sz="0" w:space="0" w:color="auto" w:frame="1"/>
        </w:rPr>
        <w:t xml:space="preserve">.  </w:t>
      </w:r>
    </w:p>
    <w:p w14:paraId="18178BBF" w14:textId="33991E1E" w:rsidR="00A07FC0" w:rsidRDefault="00A07FC0" w:rsidP="00A07FC0">
      <w:pPr>
        <w:spacing w:before="240"/>
        <w:ind w:firstLine="720"/>
        <w:rPr>
          <w:rFonts w:ascii="Arial" w:eastAsia="Times New Roman" w:hAnsi="Arial" w:cs="Arial"/>
          <w:sz w:val="20"/>
          <w:szCs w:val="20"/>
        </w:rPr>
      </w:pPr>
      <w:r w:rsidRPr="00A07FC0">
        <w:rPr>
          <w:rFonts w:ascii="Arial" w:eastAsia="Times New Roman" w:hAnsi="Arial" w:cs="Arial"/>
          <w:sz w:val="20"/>
          <w:szCs w:val="20"/>
        </w:rPr>
        <w:t xml:space="preserve">See </w:t>
      </w:r>
      <w:r w:rsidRPr="00A07FC0">
        <w:rPr>
          <w:rFonts w:ascii="Arial" w:eastAsia="Times New Roman" w:hAnsi="Arial" w:cs="Arial"/>
          <w:i/>
          <w:iCs/>
          <w:sz w:val="20"/>
          <w:szCs w:val="20"/>
        </w:rPr>
        <w:t>Commonwealth v. Santos,</w:t>
      </w:r>
      <w:r w:rsidRPr="00A07FC0">
        <w:rPr>
          <w:rFonts w:ascii="Arial" w:eastAsia="Times New Roman" w:hAnsi="Arial" w:cs="Arial"/>
          <w:sz w:val="20"/>
          <w:szCs w:val="20"/>
        </w:rPr>
        <w:t xml:space="preserve"> 95 Mass. App. Ct. 791, 800 (2019) (sufficient evidence of knowledge, ability and intent to control firearm where car was registered to defendant’s mother and controlled by him, shotgun was partially in plain view and within his reach, defendant concealed shotgun, gave false information to police, and engaged in repair of shotgun);  </w:t>
      </w:r>
      <w:r w:rsidRPr="00A07FC0">
        <w:rPr>
          <w:rFonts w:ascii="Arial" w:eastAsia="Times New Roman" w:hAnsi="Arial" w:cs="Arial"/>
          <w:i/>
          <w:iCs/>
          <w:sz w:val="20"/>
          <w:szCs w:val="20"/>
        </w:rPr>
        <w:t>Commonwealth v. Albano</w:t>
      </w:r>
      <w:r w:rsidRPr="00A07FC0">
        <w:rPr>
          <w:rFonts w:ascii="Arial" w:eastAsia="Times New Roman" w:hAnsi="Arial" w:cs="Arial"/>
          <w:sz w:val="20"/>
          <w:szCs w:val="20"/>
        </w:rPr>
        <w:t xml:space="preserve">, 373 Mass. 132, 134-136 (1977) (sufficient evidence where gun in plain view; defendant acted suspiciously); </w:t>
      </w:r>
      <w:r w:rsidRPr="00A07FC0">
        <w:rPr>
          <w:rFonts w:ascii="Arial" w:eastAsia="Times New Roman" w:hAnsi="Arial" w:cs="Arial"/>
          <w:i/>
          <w:iCs/>
          <w:sz w:val="20"/>
          <w:szCs w:val="20"/>
        </w:rPr>
        <w:t>Commonwealth v. Bailey</w:t>
      </w:r>
      <w:r w:rsidRPr="00A07FC0">
        <w:rPr>
          <w:rFonts w:ascii="Arial" w:eastAsia="Times New Roman" w:hAnsi="Arial" w:cs="Arial"/>
          <w:sz w:val="20"/>
          <w:szCs w:val="20"/>
        </w:rPr>
        <w:t xml:space="preserve">, 29 Mass. App. Ct. 1007, 1008 (1990) (gun in plain view near defendant’s feet; car had been broken into; attempted escape); </w:t>
      </w:r>
      <w:r w:rsidRPr="00A07FC0">
        <w:rPr>
          <w:rFonts w:ascii="Arial" w:eastAsia="Times New Roman" w:hAnsi="Arial" w:cs="Arial"/>
          <w:i/>
          <w:iCs/>
          <w:sz w:val="20"/>
          <w:szCs w:val="20"/>
        </w:rPr>
        <w:t>Commonwealth v. Montgomery</w:t>
      </w:r>
      <w:r w:rsidRPr="00A07FC0">
        <w:rPr>
          <w:rFonts w:ascii="Arial" w:eastAsia="Times New Roman" w:hAnsi="Arial" w:cs="Arial"/>
          <w:sz w:val="20"/>
          <w:szCs w:val="20"/>
        </w:rPr>
        <w:t xml:space="preserve">, 23 Mass. App. Ct. 909, 910 (1986) (gun on defendant’s side of auto and defendant had appropriate ammunition clip); </w:t>
      </w:r>
      <w:r w:rsidRPr="00A07FC0">
        <w:rPr>
          <w:rFonts w:ascii="Arial" w:eastAsia="Times New Roman" w:hAnsi="Arial" w:cs="Arial"/>
          <w:i/>
          <w:iCs/>
          <w:sz w:val="20"/>
          <w:szCs w:val="20"/>
        </w:rPr>
        <w:t>Commonwealth v. Lucido</w:t>
      </w:r>
      <w:r w:rsidRPr="00A07FC0">
        <w:rPr>
          <w:rFonts w:ascii="Arial" w:eastAsia="Times New Roman" w:hAnsi="Arial" w:cs="Arial"/>
          <w:sz w:val="20"/>
          <w:szCs w:val="20"/>
        </w:rPr>
        <w:t xml:space="preserve">, 18 Mass. App. Ct. 941, 943 (1984) (gun in glove compartment with defendant’s personal letters); </w:t>
      </w:r>
      <w:r w:rsidRPr="00A07FC0">
        <w:rPr>
          <w:rFonts w:ascii="Arial" w:eastAsia="Times New Roman" w:hAnsi="Arial" w:cs="Arial"/>
          <w:i/>
          <w:iCs/>
          <w:sz w:val="20"/>
          <w:szCs w:val="20"/>
        </w:rPr>
        <w:t>Commonwealth v. Donovan</w:t>
      </w:r>
      <w:r w:rsidRPr="00A07FC0">
        <w:rPr>
          <w:rFonts w:ascii="Arial" w:eastAsia="Times New Roman" w:hAnsi="Arial" w:cs="Arial"/>
          <w:sz w:val="20"/>
          <w:szCs w:val="20"/>
        </w:rPr>
        <w:t xml:space="preserve">, 17 Mass. App. Ct. 83, 85-86(1983) (gun under seat of borrowed auto surrounded by defendant’s acknowledged property); </w:t>
      </w:r>
      <w:r w:rsidRPr="00A07FC0">
        <w:rPr>
          <w:rFonts w:ascii="Arial" w:eastAsia="Times New Roman" w:hAnsi="Arial" w:cs="Arial"/>
          <w:i/>
          <w:iCs/>
          <w:sz w:val="20"/>
          <w:szCs w:val="20"/>
        </w:rPr>
        <w:t>Diaz</w:t>
      </w:r>
      <w:r w:rsidRPr="00A07FC0">
        <w:rPr>
          <w:rFonts w:ascii="Arial" w:eastAsia="Times New Roman" w:hAnsi="Arial" w:cs="Arial"/>
          <w:sz w:val="20"/>
          <w:szCs w:val="20"/>
        </w:rPr>
        <w:t xml:space="preserve">, supra (gun in plain view on floor in front of defendant). Compare </w:t>
      </w:r>
      <w:r w:rsidRPr="00A07FC0">
        <w:rPr>
          <w:rFonts w:ascii="Arial" w:eastAsia="Times New Roman" w:hAnsi="Arial" w:cs="Arial"/>
          <w:i/>
          <w:iCs/>
          <w:sz w:val="20"/>
          <w:szCs w:val="20"/>
        </w:rPr>
        <w:t>Commonwealth v. Brown</w:t>
      </w:r>
      <w:r w:rsidRPr="00A07FC0">
        <w:rPr>
          <w:rFonts w:ascii="Arial" w:eastAsia="Times New Roman" w:hAnsi="Arial" w:cs="Arial"/>
          <w:sz w:val="20"/>
          <w:szCs w:val="20"/>
        </w:rPr>
        <w:t xml:space="preserve">, 401 Mass. 745, 747 (1988) (insufficient evidence to prove defendant had knowledge of firearm, where defendant drove stolen car, guns were found under passenger seat, both occupants bent forward in unison when stopped and no admissions); </w:t>
      </w:r>
      <w:r w:rsidRPr="00A07FC0">
        <w:rPr>
          <w:rFonts w:ascii="Arial" w:eastAsia="Times New Roman" w:hAnsi="Arial" w:cs="Arial"/>
          <w:i/>
          <w:iCs/>
          <w:sz w:val="20"/>
          <w:szCs w:val="20"/>
        </w:rPr>
        <w:t>Commonwealth v. Almeida</w:t>
      </w:r>
      <w:r w:rsidRPr="00A07FC0">
        <w:rPr>
          <w:rFonts w:ascii="Arial" w:eastAsia="Times New Roman" w:hAnsi="Arial" w:cs="Arial"/>
          <w:sz w:val="20"/>
          <w:szCs w:val="20"/>
        </w:rPr>
        <w:t xml:space="preserve">, 381 Mass. 420, 422-423 (1980) (insufficient proof of knowledge of defendant where gun was inside covered console of borrowed auto); </w:t>
      </w:r>
      <w:r w:rsidRPr="00A07FC0">
        <w:rPr>
          <w:rFonts w:ascii="Arial" w:eastAsia="Times New Roman" w:hAnsi="Arial" w:cs="Arial"/>
          <w:i/>
          <w:iCs/>
          <w:sz w:val="20"/>
          <w:szCs w:val="20"/>
        </w:rPr>
        <w:t>Commonwealth v. Boone</w:t>
      </w:r>
      <w:r w:rsidRPr="00A07FC0">
        <w:rPr>
          <w:rFonts w:ascii="Arial" w:eastAsia="Times New Roman" w:hAnsi="Arial" w:cs="Arial"/>
          <w:sz w:val="20"/>
          <w:szCs w:val="20"/>
        </w:rPr>
        <w:t xml:space="preserve">, 356 Mass. 85, 87 (1969) (insufficient proof of knowledge where defendant was passenger in a car with gun under driver’s </w:t>
      </w:r>
      <w:r w:rsidRPr="00A07FC0">
        <w:rPr>
          <w:rFonts w:ascii="Arial" w:eastAsia="Times New Roman" w:hAnsi="Arial" w:cs="Arial"/>
          <w:sz w:val="20"/>
          <w:szCs w:val="20"/>
        </w:rPr>
        <w:lastRenderedPageBreak/>
        <w:t xml:space="preserve">seat); </w:t>
      </w:r>
      <w:r w:rsidRPr="00A07FC0">
        <w:rPr>
          <w:rFonts w:ascii="Arial" w:eastAsia="Times New Roman" w:hAnsi="Arial" w:cs="Arial"/>
          <w:i/>
          <w:iCs/>
          <w:sz w:val="20"/>
          <w:szCs w:val="20"/>
        </w:rPr>
        <w:t>Commonwealth v. Hill</w:t>
      </w:r>
      <w:r w:rsidRPr="00A07FC0">
        <w:rPr>
          <w:rFonts w:ascii="Arial" w:eastAsia="Times New Roman" w:hAnsi="Arial" w:cs="Arial"/>
          <w:sz w:val="20"/>
          <w:szCs w:val="20"/>
        </w:rPr>
        <w:t>, 15 Mass. App. Ct. 93, 94-97 (1983) (insufficient to prove gun inside woman’s purse at male passenger’s feet).</w:t>
      </w:r>
    </w:p>
    <w:bookmarkEnd w:id="12"/>
    <w:p w14:paraId="2BF51141" w14:textId="0DACCD8E" w:rsidR="008A3990" w:rsidRDefault="00AC1F56" w:rsidP="00A07FC0">
      <w:pPr>
        <w:pStyle w:val="ListParagraph"/>
        <w:numPr>
          <w:ilvl w:val="0"/>
          <w:numId w:val="5"/>
        </w:numPr>
        <w:spacing w:before="240"/>
        <w:ind w:left="0" w:firstLine="360"/>
        <w:rPr>
          <w:rFonts w:ascii="Arial" w:hAnsi="Arial" w:cs="Arial"/>
          <w:sz w:val="20"/>
          <w:szCs w:val="20"/>
        </w:rPr>
      </w:pPr>
      <w:r w:rsidRPr="00973EC1">
        <w:rPr>
          <w:rFonts w:ascii="Arial" w:hAnsi="Arial" w:cs="Arial"/>
          <w:b/>
          <w:bCs/>
          <w:sz w:val="20"/>
          <w:szCs w:val="20"/>
        </w:rPr>
        <w:t>Constitutional challenge.</w:t>
      </w:r>
      <w:r w:rsidRPr="00973EC1">
        <w:rPr>
          <w:rFonts w:ascii="Arial" w:hAnsi="Arial" w:cs="Arial"/>
          <w:sz w:val="20"/>
          <w:szCs w:val="20"/>
        </w:rPr>
        <w:t xml:space="preserve">  The Supreme Judicial Court held that the nonresident licensing scheme in effect prior to August 10, 2022, was unconstitutional and required vacating the defendant’s conviction under G.L. 269, s.10(a).  </w:t>
      </w:r>
      <w:r w:rsidRPr="00973EC1">
        <w:rPr>
          <w:rFonts w:ascii="Arial" w:hAnsi="Arial" w:cs="Arial"/>
          <w:i/>
          <w:iCs/>
          <w:sz w:val="20"/>
          <w:szCs w:val="20"/>
        </w:rPr>
        <w:t>Commonwealth v. Donnell</w:t>
      </w:r>
      <w:r w:rsidRPr="00973EC1">
        <w:rPr>
          <w:rFonts w:ascii="Arial" w:hAnsi="Arial" w:cs="Arial"/>
          <w:sz w:val="20"/>
          <w:szCs w:val="20"/>
        </w:rPr>
        <w:t xml:space="preserve">, 495 Mass. 471, 484 (2025) (criminal defendant may bring facial challenge to licensing scheme when charged with violating a licensing statute which is unconstitutional on its face).  Conversely, the court held that the nonresident scheme in effect after August 10, 2022, which mirrored the same substantive requirements as the resident licensing scheme in effect at that same time, was facially constitutional.  </w:t>
      </w:r>
      <w:r w:rsidRPr="00973EC1">
        <w:rPr>
          <w:rFonts w:ascii="Arial" w:hAnsi="Arial" w:cs="Arial"/>
          <w:i/>
          <w:iCs/>
          <w:sz w:val="20"/>
          <w:szCs w:val="20"/>
        </w:rPr>
        <w:t>Commonwealth v. Marquis</w:t>
      </w:r>
      <w:r w:rsidRPr="00973EC1">
        <w:rPr>
          <w:rFonts w:ascii="Arial" w:hAnsi="Arial" w:cs="Arial"/>
          <w:sz w:val="20"/>
          <w:szCs w:val="20"/>
        </w:rPr>
        <w:t>, 495 Mass. 434, 458, 469-70 (2025).  A defendant who has not applied for a license does not have standing to bring an as-</w:t>
      </w:r>
      <w:r w:rsidR="00DC19CB">
        <w:rPr>
          <w:rFonts w:ascii="Arial" w:hAnsi="Arial" w:cs="Arial"/>
          <w:sz w:val="20"/>
          <w:szCs w:val="20"/>
        </w:rPr>
        <w:t>a</w:t>
      </w:r>
      <w:r w:rsidRPr="00973EC1">
        <w:rPr>
          <w:rFonts w:ascii="Arial" w:hAnsi="Arial" w:cs="Arial"/>
          <w:sz w:val="20"/>
          <w:szCs w:val="20"/>
        </w:rPr>
        <w:t xml:space="preserve">pplied challenge.  </w:t>
      </w:r>
      <w:r w:rsidRPr="00973EC1">
        <w:rPr>
          <w:rFonts w:ascii="Arial" w:hAnsi="Arial" w:cs="Arial"/>
          <w:i/>
          <w:iCs/>
          <w:sz w:val="20"/>
          <w:szCs w:val="20"/>
        </w:rPr>
        <w:t xml:space="preserve">Id. </w:t>
      </w:r>
      <w:r w:rsidRPr="00973EC1">
        <w:rPr>
          <w:rFonts w:ascii="Arial" w:hAnsi="Arial" w:cs="Arial"/>
          <w:sz w:val="20"/>
          <w:szCs w:val="20"/>
        </w:rPr>
        <w:t>at 436.</w:t>
      </w:r>
    </w:p>
    <w:p w14:paraId="75BBFAB0" w14:textId="77777777" w:rsidR="00DC19CB" w:rsidRPr="00DC19CB" w:rsidRDefault="00DC19CB" w:rsidP="00DC19CB">
      <w:pPr>
        <w:pStyle w:val="ListParagraph"/>
        <w:spacing w:before="240"/>
        <w:ind w:left="360"/>
        <w:rPr>
          <w:rFonts w:ascii="Arial" w:hAnsi="Arial" w:cs="Arial"/>
          <w:sz w:val="20"/>
          <w:szCs w:val="20"/>
        </w:rPr>
      </w:pPr>
    </w:p>
    <w:p w14:paraId="6DF87CE7" w14:textId="48959DBB" w:rsidR="000904B0" w:rsidRPr="00043891" w:rsidRDefault="005B5C0D" w:rsidP="00A07FC0">
      <w:pPr>
        <w:pStyle w:val="ListParagraph"/>
        <w:numPr>
          <w:ilvl w:val="0"/>
          <w:numId w:val="5"/>
        </w:numPr>
        <w:spacing w:before="240"/>
        <w:ind w:left="0" w:firstLine="360"/>
        <w:rPr>
          <w:rFonts w:ascii="Arial" w:hAnsi="Arial" w:cs="Arial"/>
          <w:sz w:val="20"/>
          <w:szCs w:val="20"/>
        </w:rPr>
      </w:pPr>
      <w:r w:rsidRPr="00043891">
        <w:rPr>
          <w:rFonts w:ascii="Arial" w:eastAsia="Times New Roman" w:hAnsi="Arial" w:cs="Arial"/>
          <w:b/>
          <w:bCs/>
          <w:sz w:val="20"/>
          <w:szCs w:val="20"/>
        </w:rPr>
        <w:t xml:space="preserve">Firearms </w:t>
      </w:r>
      <w:r w:rsidRPr="00DC19CB">
        <w:rPr>
          <w:rFonts w:ascii="Arial" w:hAnsi="Arial" w:cs="Arial"/>
          <w:b/>
          <w:bCs/>
          <w:sz w:val="20"/>
          <w:szCs w:val="20"/>
        </w:rPr>
        <w:t>Identification</w:t>
      </w:r>
      <w:r w:rsidRPr="00043891">
        <w:rPr>
          <w:rFonts w:ascii="Arial" w:eastAsia="Times New Roman" w:hAnsi="Arial" w:cs="Arial"/>
          <w:b/>
          <w:bCs/>
          <w:sz w:val="20"/>
          <w:szCs w:val="20"/>
        </w:rPr>
        <w:t xml:space="preserve"> Card</w:t>
      </w:r>
      <w:r w:rsidRPr="00043891">
        <w:rPr>
          <w:rFonts w:ascii="Arial" w:eastAsia="Times New Roman" w:hAnsi="Arial" w:cs="Arial"/>
          <w:sz w:val="20"/>
          <w:szCs w:val="20"/>
        </w:rPr>
        <w:t xml:space="preserve">.  In </w:t>
      </w:r>
      <w:r w:rsidRPr="00043891">
        <w:rPr>
          <w:rFonts w:ascii="Arial" w:eastAsia="Times New Roman" w:hAnsi="Arial" w:cs="Arial"/>
          <w:i/>
          <w:iCs/>
          <w:sz w:val="20"/>
          <w:szCs w:val="20"/>
        </w:rPr>
        <w:t>Commonwealth v. Ewan</w:t>
      </w:r>
      <w:r w:rsidRPr="00043891">
        <w:rPr>
          <w:rFonts w:ascii="Arial" w:eastAsia="Times New Roman" w:hAnsi="Arial" w:cs="Arial"/>
          <w:sz w:val="20"/>
          <w:szCs w:val="20"/>
        </w:rPr>
        <w:t xml:space="preserve">, 105 Mass. App. Ct. </w:t>
      </w:r>
      <w:r w:rsidR="00BA1DD3" w:rsidRPr="00043891">
        <w:rPr>
          <w:rFonts w:ascii="Arial" w:eastAsia="Times New Roman" w:hAnsi="Arial" w:cs="Arial"/>
          <w:sz w:val="20"/>
          <w:szCs w:val="20"/>
        </w:rPr>
        <w:t xml:space="preserve">42, 43-44 (2021), the Appeals Court </w:t>
      </w:r>
      <w:r w:rsidR="002C41CB" w:rsidRPr="00043891">
        <w:rPr>
          <w:rFonts w:ascii="Arial" w:eastAsia="Times New Roman" w:hAnsi="Arial" w:cs="Arial"/>
          <w:sz w:val="20"/>
          <w:szCs w:val="20"/>
        </w:rPr>
        <w:t>clarified that, while</w:t>
      </w:r>
      <w:r w:rsidR="00635A7F" w:rsidRPr="00043891">
        <w:rPr>
          <w:rFonts w:ascii="Arial" w:eastAsia="Times New Roman" w:hAnsi="Arial" w:cs="Arial"/>
          <w:sz w:val="20"/>
          <w:szCs w:val="20"/>
        </w:rPr>
        <w:t xml:space="preserve"> a firearms identification card </w:t>
      </w:r>
      <w:r w:rsidR="00E91B22" w:rsidRPr="00043891">
        <w:rPr>
          <w:rFonts w:ascii="Arial" w:eastAsia="Times New Roman" w:hAnsi="Arial" w:cs="Arial"/>
          <w:sz w:val="20"/>
          <w:szCs w:val="20"/>
        </w:rPr>
        <w:t xml:space="preserve">authorizes the cardholder to possess a rifle or shotgun, it </w:t>
      </w:r>
      <w:r w:rsidR="00635A7F" w:rsidRPr="00043891">
        <w:rPr>
          <w:rFonts w:ascii="Arial" w:eastAsia="Times New Roman" w:hAnsi="Arial" w:cs="Arial"/>
          <w:sz w:val="20"/>
          <w:szCs w:val="20"/>
        </w:rPr>
        <w:t>does not authorize possession of a handgun, even in</w:t>
      </w:r>
      <w:r w:rsidR="002C41CB" w:rsidRPr="00043891">
        <w:rPr>
          <w:rFonts w:ascii="Arial" w:eastAsia="Times New Roman" w:hAnsi="Arial" w:cs="Arial"/>
          <w:sz w:val="20"/>
          <w:szCs w:val="20"/>
        </w:rPr>
        <w:t xml:space="preserve"> one’s home. </w:t>
      </w:r>
      <w:r w:rsidR="009874F6" w:rsidRPr="00043891">
        <w:rPr>
          <w:rFonts w:ascii="Arial" w:eastAsia="Times New Roman" w:hAnsi="Arial" w:cs="Arial"/>
          <w:sz w:val="20"/>
          <w:szCs w:val="20"/>
        </w:rPr>
        <w:t xml:space="preserve">See </w:t>
      </w:r>
      <w:r w:rsidR="008A3990" w:rsidRPr="00043891">
        <w:rPr>
          <w:rFonts w:ascii="Arial" w:eastAsia="Times New Roman" w:hAnsi="Arial" w:cs="Arial"/>
          <w:i/>
          <w:iCs/>
          <w:sz w:val="20"/>
          <w:szCs w:val="20"/>
        </w:rPr>
        <w:t>id</w:t>
      </w:r>
      <w:r w:rsidR="008A3990" w:rsidRPr="00043891">
        <w:rPr>
          <w:rFonts w:ascii="Arial" w:eastAsia="Times New Roman" w:hAnsi="Arial" w:cs="Arial"/>
          <w:sz w:val="20"/>
          <w:szCs w:val="20"/>
        </w:rPr>
        <w:t xml:space="preserve">, n. 6. </w:t>
      </w:r>
    </w:p>
    <w:sectPr w:rsidR="000904B0" w:rsidRPr="00043891" w:rsidSect="003E28C0">
      <w:headerReference w:type="even" r:id="rId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F7150" w14:textId="77777777" w:rsidR="00787B7F" w:rsidRDefault="00787B7F" w:rsidP="006B74C7">
      <w:pPr>
        <w:spacing w:after="0" w:line="240" w:lineRule="auto"/>
      </w:pPr>
      <w:r>
        <w:separator/>
      </w:r>
    </w:p>
  </w:endnote>
  <w:endnote w:type="continuationSeparator" w:id="0">
    <w:p w14:paraId="6CBFF0EF" w14:textId="77777777" w:rsidR="00787B7F" w:rsidRDefault="00787B7F" w:rsidP="006B7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17B34" w14:textId="77777777" w:rsidR="00787B7F" w:rsidRDefault="00787B7F" w:rsidP="006B74C7">
      <w:pPr>
        <w:spacing w:after="0" w:line="240" w:lineRule="auto"/>
      </w:pPr>
      <w:r>
        <w:separator/>
      </w:r>
    </w:p>
  </w:footnote>
  <w:footnote w:type="continuationSeparator" w:id="0">
    <w:p w14:paraId="0817AA94" w14:textId="77777777" w:rsidR="00787B7F" w:rsidRDefault="00787B7F" w:rsidP="006B74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B36C5" w14:textId="5BBC5593" w:rsidR="00632160" w:rsidRDefault="00632160" w:rsidP="00632160">
    <w:pPr>
      <w:pStyle w:val="Header"/>
      <w:pBdr>
        <w:bottom w:val="single" w:sz="12" w:space="0" w:color="auto"/>
      </w:pBdr>
      <w:tabs>
        <w:tab w:val="clear" w:pos="4680"/>
        <w:tab w:val="clear" w:pos="9360"/>
        <w:tab w:val="right" w:pos="10800"/>
      </w:tabs>
      <w:jc w:val="center"/>
      <w:rPr>
        <w:rFonts w:ascii="Arial" w:hAnsi="Arial" w:cs="Arial"/>
        <w:noProof/>
        <w:sz w:val="20"/>
        <w:szCs w:val="20"/>
      </w:rPr>
    </w:pPr>
    <w:r w:rsidRPr="00C966C9">
      <w:rPr>
        <w:rFonts w:ascii="Arial" w:hAnsi="Arial" w:cs="Arial"/>
        <w:b/>
        <w:bCs/>
        <w:noProof/>
        <w:sz w:val="24"/>
        <w:szCs w:val="24"/>
      </w:rPr>
      <w:t>INSTRUCTIONS FOR OFFENSES COMMITTED BEFORE</w:t>
    </w:r>
    <w:r w:rsidR="002132CB">
      <w:rPr>
        <w:rFonts w:ascii="Arial" w:hAnsi="Arial" w:cs="Arial"/>
        <w:b/>
        <w:bCs/>
        <w:noProof/>
        <w:sz w:val="24"/>
        <w:szCs w:val="24"/>
      </w:rPr>
      <w:t xml:space="preserve"> </w:t>
    </w:r>
    <w:r w:rsidRPr="00C966C9">
      <w:rPr>
        <w:rFonts w:ascii="Arial" w:hAnsi="Arial" w:cs="Arial"/>
        <w:b/>
        <w:bCs/>
        <w:noProof/>
        <w:sz w:val="24"/>
        <w:szCs w:val="24"/>
      </w:rPr>
      <w:t>OCTOBER</w:t>
    </w:r>
    <w:r w:rsidR="00D15A6B">
      <w:rPr>
        <w:rFonts w:ascii="Arial" w:hAnsi="Arial" w:cs="Arial"/>
        <w:b/>
        <w:bCs/>
        <w:noProof/>
        <w:sz w:val="24"/>
        <w:szCs w:val="24"/>
      </w:rPr>
      <w:t xml:space="preserve"> 2,</w:t>
    </w:r>
    <w:r w:rsidRPr="00C966C9">
      <w:rPr>
        <w:rFonts w:ascii="Arial" w:hAnsi="Arial" w:cs="Arial"/>
        <w:b/>
        <w:bCs/>
        <w:noProof/>
        <w:sz w:val="24"/>
        <w:szCs w:val="24"/>
      </w:rPr>
      <w:t xml:space="preserve"> 2024</w:t>
    </w:r>
  </w:p>
  <w:p w14:paraId="06510954" w14:textId="3F489EA7" w:rsidR="00043891" w:rsidRPr="00293A4F" w:rsidRDefault="00486409" w:rsidP="00EE73CF">
    <w:pPr>
      <w:pStyle w:val="Header"/>
      <w:pBdr>
        <w:bottom w:val="single" w:sz="12" w:space="0" w:color="auto"/>
      </w:pBdr>
      <w:tabs>
        <w:tab w:val="clear" w:pos="4680"/>
        <w:tab w:val="clear" w:pos="9360"/>
        <w:tab w:val="right" w:pos="10800"/>
      </w:tabs>
      <w:rPr>
        <w:rFonts w:ascii="Arial" w:hAnsi="Arial" w:cs="Arial"/>
        <w:noProof/>
        <w:sz w:val="20"/>
        <w:szCs w:val="20"/>
      </w:rPr>
    </w:pPr>
    <w:r w:rsidRPr="00293A4F">
      <w:rPr>
        <w:rFonts w:ascii="Arial" w:hAnsi="Arial" w:cs="Arial"/>
        <w:noProof/>
        <w:sz w:val="20"/>
        <w:szCs w:val="20"/>
      </w:rPr>
      <w:t xml:space="preserve">Instruction </w:t>
    </w:r>
    <w:r>
      <w:rPr>
        <w:rFonts w:ascii="Arial" w:hAnsi="Arial" w:cs="Arial"/>
        <w:noProof/>
        <w:sz w:val="20"/>
        <w:szCs w:val="20"/>
      </w:rPr>
      <w:t>7.600</w:t>
    </w:r>
    <w:r w:rsidR="009D2367">
      <w:rPr>
        <w:rFonts w:ascii="Arial" w:hAnsi="Arial" w:cs="Arial"/>
        <w:noProof/>
        <w:sz w:val="20"/>
        <w:szCs w:val="20"/>
      </w:rPr>
      <w:t>A</w:t>
    </w:r>
    <w:r w:rsidRPr="00293A4F">
      <w:rPr>
        <w:rFonts w:ascii="Arial" w:hAnsi="Arial" w:cs="Arial"/>
        <w:noProof/>
        <w:sz w:val="20"/>
        <w:szCs w:val="20"/>
      </w:rPr>
      <w:tab/>
      <w:t>Page</w:t>
    </w:r>
    <w:r>
      <w:rPr>
        <w:rFonts w:ascii="Arial" w:hAnsi="Arial" w:cs="Arial"/>
        <w:noProof/>
        <w:sz w:val="20"/>
        <w:szCs w:val="20"/>
      </w:rPr>
      <w:t xml:space="preserve"> </w:t>
    </w:r>
    <w:r w:rsidRPr="00293A4F">
      <w:rPr>
        <w:rFonts w:ascii="Arial" w:hAnsi="Arial" w:cs="Arial"/>
        <w:noProof/>
        <w:sz w:val="20"/>
        <w:szCs w:val="20"/>
      </w:rPr>
      <w:t xml:space="preserve"> </w:t>
    </w:r>
    <w:r w:rsidRPr="00EE73CF">
      <w:rPr>
        <w:rFonts w:ascii="Arial" w:hAnsi="Arial" w:cs="Arial"/>
        <w:noProof/>
        <w:sz w:val="20"/>
        <w:szCs w:val="20"/>
      </w:rPr>
      <w:fldChar w:fldCharType="begin"/>
    </w:r>
    <w:r w:rsidRPr="00EE73CF">
      <w:rPr>
        <w:rFonts w:ascii="Arial" w:hAnsi="Arial" w:cs="Arial"/>
        <w:noProof/>
        <w:sz w:val="20"/>
        <w:szCs w:val="20"/>
      </w:rPr>
      <w:instrText xml:space="preserve"> PAGE   \* MERGEFORMAT </w:instrText>
    </w:r>
    <w:r w:rsidRPr="00EE73CF">
      <w:rPr>
        <w:rFonts w:ascii="Arial" w:hAnsi="Arial" w:cs="Arial"/>
        <w:noProof/>
        <w:sz w:val="20"/>
        <w:szCs w:val="20"/>
      </w:rPr>
      <w:fldChar w:fldCharType="separate"/>
    </w:r>
    <w:r w:rsidRPr="00EE73CF">
      <w:rPr>
        <w:rFonts w:ascii="Arial" w:hAnsi="Arial" w:cs="Arial"/>
        <w:noProof/>
        <w:sz w:val="20"/>
        <w:szCs w:val="20"/>
      </w:rPr>
      <w:t>1</w:t>
    </w:r>
    <w:r w:rsidRPr="00EE73CF">
      <w:rPr>
        <w:rFonts w:ascii="Arial" w:hAnsi="Arial" w:cs="Arial"/>
        <w:noProof/>
        <w:sz w:val="20"/>
        <w:szCs w:val="20"/>
      </w:rPr>
      <w:fldChar w:fldCharType="end"/>
    </w:r>
  </w:p>
  <w:p w14:paraId="0D071E92" w14:textId="2F0EDDB3" w:rsidR="00043891" w:rsidRDefault="00486409" w:rsidP="00BB73D0">
    <w:pPr>
      <w:pStyle w:val="Header"/>
      <w:tabs>
        <w:tab w:val="clear" w:pos="4680"/>
        <w:tab w:val="clear" w:pos="9360"/>
        <w:tab w:val="right" w:pos="10800"/>
      </w:tabs>
      <w:rPr>
        <w:rFonts w:ascii="Arial" w:hAnsi="Arial" w:cs="Arial"/>
        <w:sz w:val="20"/>
        <w:szCs w:val="20"/>
      </w:rPr>
    </w:pPr>
    <w:r>
      <w:rPr>
        <w:rFonts w:ascii="Arial" w:hAnsi="Arial" w:cs="Arial"/>
        <w:b/>
        <w:sz w:val="20"/>
        <w:szCs w:val="20"/>
      </w:rPr>
      <w:t xml:space="preserve">POSSESSION </w:t>
    </w:r>
    <w:r w:rsidR="009D2367">
      <w:rPr>
        <w:rFonts w:ascii="Arial" w:hAnsi="Arial" w:cs="Arial"/>
        <w:b/>
        <w:sz w:val="20"/>
        <w:szCs w:val="20"/>
      </w:rPr>
      <w:t>OF</w:t>
    </w:r>
    <w:r>
      <w:rPr>
        <w:rFonts w:ascii="Arial" w:hAnsi="Arial" w:cs="Arial"/>
        <w:b/>
        <w:sz w:val="20"/>
        <w:szCs w:val="20"/>
      </w:rPr>
      <w:t xml:space="preserve"> A </w:t>
    </w:r>
    <w:r w:rsidR="00FB6881">
      <w:rPr>
        <w:rFonts w:ascii="Arial" w:hAnsi="Arial" w:cs="Arial"/>
        <w:b/>
        <w:sz w:val="20"/>
        <w:szCs w:val="20"/>
      </w:rPr>
      <w:t>(</w:t>
    </w:r>
    <w:r>
      <w:rPr>
        <w:rFonts w:ascii="Arial" w:hAnsi="Arial" w:cs="Arial"/>
        <w:b/>
        <w:sz w:val="20"/>
        <w:szCs w:val="20"/>
      </w:rPr>
      <w:t>FIREARM</w:t>
    </w:r>
    <w:r w:rsidR="00FB6881">
      <w:rPr>
        <w:rFonts w:ascii="Arial" w:hAnsi="Arial" w:cs="Arial"/>
        <w:b/>
        <w:sz w:val="20"/>
        <w:szCs w:val="20"/>
      </w:rPr>
      <w:t>)</w:t>
    </w:r>
    <w:r>
      <w:rPr>
        <w:rFonts w:ascii="Arial" w:hAnsi="Arial" w:cs="Arial"/>
        <w:b/>
        <w:sz w:val="20"/>
        <w:szCs w:val="20"/>
      </w:rPr>
      <w:t xml:space="preserve"> </w:t>
    </w:r>
    <w:r w:rsidR="00FB6881">
      <w:rPr>
        <w:rFonts w:ascii="Arial" w:hAnsi="Arial" w:cs="Arial"/>
        <w:b/>
        <w:sz w:val="20"/>
        <w:szCs w:val="20"/>
      </w:rPr>
      <w:t xml:space="preserve">(RIFLE) (SHOTGUN) </w:t>
    </w:r>
    <w:r w:rsidR="00AD1A65">
      <w:rPr>
        <w:rFonts w:ascii="Arial" w:hAnsi="Arial" w:cs="Arial"/>
        <w:b/>
        <w:sz w:val="20"/>
        <w:szCs w:val="20"/>
      </w:rPr>
      <w:t xml:space="preserve">WITHOUT A LICENSE </w:t>
    </w:r>
    <w:r>
      <w:rPr>
        <w:rFonts w:ascii="Arial" w:hAnsi="Arial" w:cs="Arial"/>
        <w:b/>
        <w:sz w:val="20"/>
        <w:szCs w:val="20"/>
      </w:rPr>
      <w:t>OUTSIDE OF HOME OR BUSINESS</w:t>
    </w:r>
    <w:r>
      <w:rPr>
        <w:rFonts w:ascii="Arial" w:hAnsi="Arial" w:cs="Arial"/>
        <w:b/>
        <w:sz w:val="20"/>
        <w:szCs w:val="20"/>
      </w:rPr>
      <w:tab/>
    </w:r>
    <w:r>
      <w:rPr>
        <w:rFonts w:ascii="Arial" w:hAnsi="Arial" w:cs="Arial"/>
        <w:sz w:val="20"/>
        <w:szCs w:val="20"/>
      </w:rPr>
      <w:t xml:space="preserve">Revised </w:t>
    </w:r>
    <w:r w:rsidR="00BB73D0" w:rsidRPr="00BB73D0">
      <w:rPr>
        <w:rFonts w:ascii="Arial" w:hAnsi="Arial" w:cs="Arial"/>
        <w:sz w:val="20"/>
        <w:szCs w:val="20"/>
      </w:rPr>
      <w:t>J</w:t>
    </w:r>
    <w:r w:rsidR="008B1F76">
      <w:rPr>
        <w:rFonts w:ascii="Arial" w:hAnsi="Arial" w:cs="Arial"/>
        <w:sz w:val="20"/>
        <w:szCs w:val="20"/>
      </w:rPr>
      <w:t>une</w:t>
    </w:r>
    <w:r w:rsidR="00BB73D0" w:rsidRPr="00BB73D0">
      <w:rPr>
        <w:rFonts w:ascii="Arial" w:hAnsi="Arial" w:cs="Arial"/>
        <w:sz w:val="20"/>
        <w:szCs w:val="20"/>
      </w:rPr>
      <w:t xml:space="preserve"> 2026</w:t>
    </w:r>
  </w:p>
  <w:p w14:paraId="652C86BA" w14:textId="77777777" w:rsidR="00043891" w:rsidRPr="00293A4F" w:rsidRDefault="00486409" w:rsidP="00EE73CF">
    <w:pPr>
      <w:pStyle w:val="Header"/>
      <w:rPr>
        <w:rFonts w:ascii="Arial" w:hAnsi="Arial" w:cs="Arial"/>
        <w:sz w:val="20"/>
        <w:szCs w:val="20"/>
      </w:rPr>
    </w:pPr>
    <w:r>
      <w:rPr>
        <w:rFonts w:ascii="Arial" w:hAnsi="Arial" w:cs="Arial"/>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59EB1" w14:textId="776216E6" w:rsidR="00043891" w:rsidRPr="00F452B5" w:rsidRDefault="00C1263D" w:rsidP="00F452B5">
    <w:pPr>
      <w:pStyle w:val="Header"/>
      <w:pBdr>
        <w:bottom w:val="single" w:sz="12" w:space="1" w:color="auto"/>
      </w:pBdr>
      <w:tabs>
        <w:tab w:val="clear" w:pos="4680"/>
        <w:tab w:val="clear" w:pos="9360"/>
        <w:tab w:val="right" w:pos="10800"/>
      </w:tabs>
      <w:rPr>
        <w:rFonts w:ascii="Arial" w:hAnsi="Arial" w:cs="Arial"/>
        <w:noProof/>
        <w:sz w:val="20"/>
        <w:szCs w:val="20"/>
      </w:rPr>
    </w:pPr>
    <w:r>
      <w:rPr>
        <w:rFonts w:ascii="Arial" w:hAnsi="Arial" w:cs="Arial"/>
        <w:noProof/>
        <w:sz w:val="20"/>
        <w:szCs w:val="20"/>
      </w:rPr>
      <w:t xml:space="preserve">        </w:t>
    </w:r>
    <w:r w:rsidR="008E284D" w:rsidRPr="00C966C9">
      <w:rPr>
        <w:rFonts w:ascii="Arial" w:hAnsi="Arial" w:cs="Arial"/>
        <w:b/>
        <w:bCs/>
        <w:noProof/>
        <w:sz w:val="24"/>
        <w:szCs w:val="24"/>
      </w:rPr>
      <w:t>INSTRUCTIONS FOR OFFENSES COMMITTED BEFORE</w:t>
    </w:r>
    <w:r w:rsidR="002132CB">
      <w:rPr>
        <w:rFonts w:ascii="Arial" w:hAnsi="Arial" w:cs="Arial"/>
        <w:b/>
        <w:bCs/>
        <w:noProof/>
        <w:sz w:val="24"/>
        <w:szCs w:val="24"/>
      </w:rPr>
      <w:t xml:space="preserve"> </w:t>
    </w:r>
    <w:r w:rsidR="008E284D" w:rsidRPr="00C966C9">
      <w:rPr>
        <w:rFonts w:ascii="Arial" w:hAnsi="Arial" w:cs="Arial"/>
        <w:b/>
        <w:bCs/>
        <w:noProof/>
        <w:sz w:val="24"/>
        <w:szCs w:val="24"/>
      </w:rPr>
      <w:t xml:space="preserve">OCTOBER </w:t>
    </w:r>
    <w:r w:rsidR="00D15A6B">
      <w:rPr>
        <w:rFonts w:ascii="Arial" w:hAnsi="Arial" w:cs="Arial"/>
        <w:b/>
        <w:bCs/>
        <w:noProof/>
        <w:sz w:val="24"/>
        <w:szCs w:val="24"/>
      </w:rPr>
      <w:t xml:space="preserve">2, </w:t>
    </w:r>
    <w:r w:rsidR="008E284D" w:rsidRPr="00C966C9">
      <w:rPr>
        <w:rFonts w:ascii="Arial" w:hAnsi="Arial" w:cs="Arial"/>
        <w:b/>
        <w:bCs/>
        <w:noProof/>
        <w:sz w:val="24"/>
        <w:szCs w:val="24"/>
      </w:rPr>
      <w:t>2024</w:t>
    </w:r>
    <w:r w:rsidR="008E284D">
      <w:rPr>
        <w:rFonts w:ascii="Arial" w:hAnsi="Arial" w:cs="Arial"/>
        <w:b/>
        <w:bCs/>
        <w:noProof/>
        <w:sz w:val="24"/>
        <w:szCs w:val="24"/>
      </w:rPr>
      <w:t xml:space="preserve">     </w:t>
    </w:r>
    <w:r w:rsidR="008E284D">
      <w:rPr>
        <w:rFonts w:ascii="Arial" w:hAnsi="Arial" w:cs="Arial"/>
        <w:noProof/>
        <w:sz w:val="20"/>
        <w:szCs w:val="20"/>
      </w:rPr>
      <w:t xml:space="preserve">Page </w:t>
    </w:r>
    <w:r w:rsidR="002132CB" w:rsidRPr="002132CB">
      <w:rPr>
        <w:rFonts w:ascii="Arial" w:hAnsi="Arial" w:cs="Arial"/>
        <w:noProof/>
        <w:sz w:val="20"/>
        <w:szCs w:val="20"/>
      </w:rPr>
      <w:fldChar w:fldCharType="begin"/>
    </w:r>
    <w:r w:rsidR="002132CB" w:rsidRPr="002132CB">
      <w:rPr>
        <w:rFonts w:ascii="Arial" w:hAnsi="Arial" w:cs="Arial"/>
        <w:noProof/>
        <w:sz w:val="20"/>
        <w:szCs w:val="20"/>
      </w:rPr>
      <w:instrText xml:space="preserve"> PAGE   \* MERGEFORMAT </w:instrText>
    </w:r>
    <w:r w:rsidR="002132CB" w:rsidRPr="002132CB">
      <w:rPr>
        <w:rFonts w:ascii="Arial" w:hAnsi="Arial" w:cs="Arial"/>
        <w:noProof/>
        <w:sz w:val="20"/>
        <w:szCs w:val="20"/>
      </w:rPr>
      <w:fldChar w:fldCharType="separate"/>
    </w:r>
    <w:r w:rsidR="002132CB" w:rsidRPr="002132CB">
      <w:rPr>
        <w:rFonts w:ascii="Arial" w:hAnsi="Arial" w:cs="Arial"/>
        <w:noProof/>
        <w:sz w:val="20"/>
        <w:szCs w:val="20"/>
      </w:rPr>
      <w:t>1</w:t>
    </w:r>
    <w:r w:rsidR="002132CB" w:rsidRPr="002132CB">
      <w:rPr>
        <w:rFonts w:ascii="Arial" w:hAnsi="Arial" w:cs="Arial"/>
        <w:noProof/>
        <w:sz w:val="20"/>
        <w:szCs w:val="20"/>
      </w:rPr>
      <w:fldChar w:fldCharType="end"/>
    </w:r>
    <w:r w:rsidR="00486409" w:rsidRPr="00A44C0A">
      <w:rPr>
        <w:rFonts w:ascii="Arial" w:hAnsi="Arial" w:cs="Arial"/>
        <w:noProof/>
        <w:sz w:val="20"/>
        <w:szCs w:val="20"/>
      </w:rPr>
      <w:tab/>
    </w:r>
    <w:r w:rsidR="00486409" w:rsidRPr="00F452B5">
      <w:rPr>
        <w:rFonts w:ascii="Arial" w:hAnsi="Arial" w:cs="Arial"/>
        <w:noProof/>
        <w:sz w:val="20"/>
        <w:szCs w:val="20"/>
      </w:rPr>
      <w:t xml:space="preserve">Instruction </w:t>
    </w:r>
    <w:r w:rsidR="00486409">
      <w:rPr>
        <w:rFonts w:ascii="Arial" w:hAnsi="Arial" w:cs="Arial"/>
        <w:noProof/>
        <w:sz w:val="20"/>
        <w:szCs w:val="20"/>
      </w:rPr>
      <w:t>7.600</w:t>
    </w:r>
    <w:r w:rsidR="00C32F0A">
      <w:rPr>
        <w:rFonts w:ascii="Arial" w:hAnsi="Arial" w:cs="Arial"/>
        <w:noProof/>
        <w:sz w:val="20"/>
        <w:szCs w:val="20"/>
      </w:rPr>
      <w:t>A</w:t>
    </w:r>
  </w:p>
  <w:p w14:paraId="626AEB0C" w14:textId="68767714" w:rsidR="005C16A0" w:rsidRDefault="00486409" w:rsidP="00293A4F">
    <w:pPr>
      <w:pStyle w:val="Header"/>
      <w:tabs>
        <w:tab w:val="clear" w:pos="4680"/>
        <w:tab w:val="clear" w:pos="9360"/>
        <w:tab w:val="right" w:pos="10800"/>
      </w:tabs>
      <w:rPr>
        <w:rFonts w:ascii="Arial" w:hAnsi="Arial" w:cs="Arial"/>
        <w:b/>
        <w:sz w:val="20"/>
        <w:szCs w:val="20"/>
      </w:rPr>
    </w:pPr>
    <w:r>
      <w:rPr>
        <w:rFonts w:ascii="Arial" w:hAnsi="Arial" w:cs="Arial"/>
        <w:sz w:val="20"/>
        <w:szCs w:val="20"/>
      </w:rPr>
      <w:t xml:space="preserve">Revised </w:t>
    </w:r>
    <w:r w:rsidR="00BB73D0" w:rsidRPr="00BB73D0">
      <w:rPr>
        <w:rFonts w:ascii="Arial" w:hAnsi="Arial" w:cs="Arial"/>
        <w:sz w:val="20"/>
        <w:szCs w:val="20"/>
      </w:rPr>
      <w:t>J</w:t>
    </w:r>
    <w:r w:rsidR="008B1F76">
      <w:rPr>
        <w:rFonts w:ascii="Arial" w:hAnsi="Arial" w:cs="Arial"/>
        <w:sz w:val="20"/>
        <w:szCs w:val="20"/>
      </w:rPr>
      <w:t>une</w:t>
    </w:r>
    <w:r w:rsidR="00BB73D0" w:rsidRPr="00BB73D0">
      <w:rPr>
        <w:rFonts w:ascii="Arial" w:hAnsi="Arial" w:cs="Arial"/>
        <w:sz w:val="20"/>
        <w:szCs w:val="20"/>
      </w:rPr>
      <w:t xml:space="preserve"> 2026</w:t>
    </w:r>
    <w:r>
      <w:rPr>
        <w:rFonts w:ascii="Arial" w:hAnsi="Arial" w:cs="Arial"/>
        <w:b/>
        <w:sz w:val="20"/>
        <w:szCs w:val="20"/>
      </w:rPr>
      <w:tab/>
      <w:t xml:space="preserve">POSSESSION </w:t>
    </w:r>
    <w:r w:rsidR="005C16A0">
      <w:rPr>
        <w:rFonts w:ascii="Arial" w:hAnsi="Arial" w:cs="Arial"/>
        <w:b/>
        <w:sz w:val="20"/>
        <w:szCs w:val="20"/>
      </w:rPr>
      <w:t>OF</w:t>
    </w:r>
    <w:r>
      <w:rPr>
        <w:rFonts w:ascii="Arial" w:hAnsi="Arial" w:cs="Arial"/>
        <w:b/>
        <w:sz w:val="20"/>
        <w:szCs w:val="20"/>
      </w:rPr>
      <w:t xml:space="preserve"> A FIREARM</w:t>
    </w:r>
    <w:r w:rsidR="007066AC">
      <w:rPr>
        <w:rFonts w:ascii="Arial" w:hAnsi="Arial" w:cs="Arial"/>
        <w:b/>
        <w:sz w:val="20"/>
        <w:szCs w:val="20"/>
      </w:rPr>
      <w:t xml:space="preserve"> (RIFLE) (SHOTGUN)</w:t>
    </w:r>
    <w:r>
      <w:rPr>
        <w:rFonts w:ascii="Arial" w:hAnsi="Arial" w:cs="Arial"/>
        <w:b/>
        <w:sz w:val="20"/>
        <w:szCs w:val="20"/>
      </w:rPr>
      <w:t xml:space="preserve"> </w:t>
    </w:r>
    <w:r w:rsidR="005C16A0">
      <w:rPr>
        <w:rFonts w:ascii="Arial" w:hAnsi="Arial" w:cs="Arial"/>
        <w:b/>
        <w:sz w:val="20"/>
        <w:szCs w:val="20"/>
      </w:rPr>
      <w:t>WITHOUT</w:t>
    </w:r>
    <w:r w:rsidR="00FC5DAE">
      <w:rPr>
        <w:rFonts w:ascii="Arial" w:hAnsi="Arial" w:cs="Arial"/>
        <w:b/>
        <w:sz w:val="20"/>
        <w:szCs w:val="20"/>
      </w:rPr>
      <w:t xml:space="preserve"> A</w:t>
    </w:r>
    <w:r w:rsidR="005C16A0">
      <w:rPr>
        <w:rFonts w:ascii="Arial" w:hAnsi="Arial" w:cs="Arial"/>
        <w:b/>
        <w:sz w:val="20"/>
        <w:szCs w:val="20"/>
      </w:rPr>
      <w:t xml:space="preserve"> LICENSE </w:t>
    </w:r>
  </w:p>
  <w:p w14:paraId="5425D13A" w14:textId="43A5B770" w:rsidR="00043891" w:rsidRDefault="005C16A0" w:rsidP="00293A4F">
    <w:pPr>
      <w:pStyle w:val="Header"/>
      <w:tabs>
        <w:tab w:val="clear" w:pos="4680"/>
        <w:tab w:val="clear" w:pos="9360"/>
        <w:tab w:val="right" w:pos="10800"/>
      </w:tabs>
      <w:rPr>
        <w:rFonts w:ascii="Arial" w:hAnsi="Arial" w:cs="Arial"/>
        <w:b/>
        <w:sz w:val="20"/>
        <w:szCs w:val="20"/>
      </w:rPr>
    </w:pPr>
    <w:r>
      <w:rPr>
        <w:rFonts w:ascii="Arial" w:hAnsi="Arial" w:cs="Arial"/>
        <w:b/>
        <w:sz w:val="20"/>
        <w:szCs w:val="20"/>
      </w:rPr>
      <w:tab/>
    </w:r>
    <w:r w:rsidR="00486409">
      <w:rPr>
        <w:rFonts w:ascii="Arial" w:hAnsi="Arial" w:cs="Arial"/>
        <w:b/>
        <w:sz w:val="20"/>
        <w:szCs w:val="20"/>
      </w:rPr>
      <w:t>OUTSIDE OF HOME OR BUSINESS</w:t>
    </w:r>
  </w:p>
  <w:p w14:paraId="65809850" w14:textId="77777777" w:rsidR="00043891" w:rsidRDefault="000438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3"/>
    <w:multiLevelType w:val="multilevel"/>
    <w:tmpl w:val="C22EF0FC"/>
    <w:lvl w:ilvl="0">
      <w:start w:val="1"/>
      <w:numFmt w:val="decimal"/>
      <w:lvlText w:val="%1."/>
      <w:lvlJc w:val="left"/>
      <w:pPr>
        <w:ind w:left="120" w:hanging="720"/>
      </w:pPr>
      <w:rPr>
        <w:rFonts w:ascii="Arial" w:hAnsi="Arial" w:cs="Arial" w:hint="default"/>
        <w:b/>
        <w:bCs/>
        <w:spacing w:val="-25"/>
        <w:w w:val="99"/>
        <w:sz w:val="20"/>
        <w:szCs w:val="20"/>
      </w:rPr>
    </w:lvl>
    <w:lvl w:ilvl="1">
      <w:numFmt w:val="bullet"/>
      <w:lvlText w:val="•"/>
      <w:lvlJc w:val="left"/>
      <w:pPr>
        <w:ind w:left="1140" w:hanging="720"/>
      </w:pPr>
    </w:lvl>
    <w:lvl w:ilvl="2">
      <w:numFmt w:val="bullet"/>
      <w:lvlText w:val="•"/>
      <w:lvlJc w:val="left"/>
      <w:pPr>
        <w:ind w:left="2160" w:hanging="720"/>
      </w:pPr>
    </w:lvl>
    <w:lvl w:ilvl="3">
      <w:numFmt w:val="bullet"/>
      <w:lvlText w:val="•"/>
      <w:lvlJc w:val="left"/>
      <w:pPr>
        <w:ind w:left="3180" w:hanging="720"/>
      </w:pPr>
    </w:lvl>
    <w:lvl w:ilvl="4">
      <w:numFmt w:val="bullet"/>
      <w:lvlText w:val="•"/>
      <w:lvlJc w:val="left"/>
      <w:pPr>
        <w:ind w:left="4200" w:hanging="720"/>
      </w:pPr>
    </w:lvl>
    <w:lvl w:ilvl="5">
      <w:numFmt w:val="bullet"/>
      <w:lvlText w:val="•"/>
      <w:lvlJc w:val="left"/>
      <w:pPr>
        <w:ind w:left="5220" w:hanging="720"/>
      </w:pPr>
    </w:lvl>
    <w:lvl w:ilvl="6">
      <w:numFmt w:val="bullet"/>
      <w:lvlText w:val="•"/>
      <w:lvlJc w:val="left"/>
      <w:pPr>
        <w:ind w:left="6240" w:hanging="720"/>
      </w:pPr>
    </w:lvl>
    <w:lvl w:ilvl="7">
      <w:numFmt w:val="bullet"/>
      <w:lvlText w:val="•"/>
      <w:lvlJc w:val="left"/>
      <w:pPr>
        <w:ind w:left="7260" w:hanging="720"/>
      </w:pPr>
    </w:lvl>
    <w:lvl w:ilvl="8">
      <w:numFmt w:val="bullet"/>
      <w:lvlText w:val="•"/>
      <w:lvlJc w:val="left"/>
      <w:pPr>
        <w:ind w:left="8280" w:hanging="720"/>
      </w:pPr>
    </w:lvl>
  </w:abstractNum>
  <w:abstractNum w:abstractNumId="1" w15:restartNumberingAfterBreak="0">
    <w:nsid w:val="0D4C3CDE"/>
    <w:multiLevelType w:val="hybridMultilevel"/>
    <w:tmpl w:val="1310B1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F475CC"/>
    <w:multiLevelType w:val="hybridMultilevel"/>
    <w:tmpl w:val="F19C8570"/>
    <w:lvl w:ilvl="0" w:tplc="AD4E3000">
      <w:start w:val="1"/>
      <w:numFmt w:val="upperLetter"/>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C41743"/>
    <w:multiLevelType w:val="hybridMultilevel"/>
    <w:tmpl w:val="E92E18FA"/>
    <w:lvl w:ilvl="0" w:tplc="9FC0025A">
      <w:start w:val="1"/>
      <w:numFmt w:val="upperLetter"/>
      <w:lvlText w:val="%1."/>
      <w:lvlJc w:val="left"/>
      <w:pPr>
        <w:ind w:left="795" w:hanging="435"/>
      </w:pPr>
      <w:rPr>
        <w:rFonts w:hint="default"/>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CD1F02"/>
    <w:multiLevelType w:val="hybridMultilevel"/>
    <w:tmpl w:val="BC405BE6"/>
    <w:lvl w:ilvl="0" w:tplc="037AD7E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2840774">
    <w:abstractNumId w:val="0"/>
    <w:lvlOverride w:ilvl="0">
      <w:startOverride w:val="1"/>
    </w:lvlOverride>
    <w:lvlOverride w:ilvl="1"/>
    <w:lvlOverride w:ilvl="2"/>
    <w:lvlOverride w:ilvl="3"/>
    <w:lvlOverride w:ilvl="4"/>
    <w:lvlOverride w:ilvl="5"/>
    <w:lvlOverride w:ilvl="6"/>
    <w:lvlOverride w:ilvl="7"/>
    <w:lvlOverride w:ilvl="8"/>
  </w:num>
  <w:num w:numId="2" w16cid:durableId="608046387">
    <w:abstractNumId w:val="2"/>
  </w:num>
  <w:num w:numId="3" w16cid:durableId="265504324">
    <w:abstractNumId w:val="3"/>
  </w:num>
  <w:num w:numId="4" w16cid:durableId="1734498314">
    <w:abstractNumId w:val="1"/>
  </w:num>
  <w:num w:numId="5" w16cid:durableId="4609219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4C7"/>
    <w:rsid w:val="00005457"/>
    <w:rsid w:val="00006ADB"/>
    <w:rsid w:val="00017E47"/>
    <w:rsid w:val="0004276B"/>
    <w:rsid w:val="00043891"/>
    <w:rsid w:val="00052A26"/>
    <w:rsid w:val="00053620"/>
    <w:rsid w:val="000569B3"/>
    <w:rsid w:val="00081A6E"/>
    <w:rsid w:val="0008509D"/>
    <w:rsid w:val="000904B0"/>
    <w:rsid w:val="000A761A"/>
    <w:rsid w:val="000B06C3"/>
    <w:rsid w:val="000E37A3"/>
    <w:rsid w:val="001072C0"/>
    <w:rsid w:val="00134EEA"/>
    <w:rsid w:val="00143C29"/>
    <w:rsid w:val="0015766C"/>
    <w:rsid w:val="00192161"/>
    <w:rsid w:val="00195F4B"/>
    <w:rsid w:val="001A4F9C"/>
    <w:rsid w:val="00200098"/>
    <w:rsid w:val="002132CB"/>
    <w:rsid w:val="00225B08"/>
    <w:rsid w:val="002375D0"/>
    <w:rsid w:val="00253C77"/>
    <w:rsid w:val="00255A24"/>
    <w:rsid w:val="00274AB1"/>
    <w:rsid w:val="00293795"/>
    <w:rsid w:val="00295AEC"/>
    <w:rsid w:val="002C41CB"/>
    <w:rsid w:val="002E2496"/>
    <w:rsid w:val="002F7A36"/>
    <w:rsid w:val="00325724"/>
    <w:rsid w:val="003317A0"/>
    <w:rsid w:val="0033615E"/>
    <w:rsid w:val="00336615"/>
    <w:rsid w:val="00372B37"/>
    <w:rsid w:val="003802A3"/>
    <w:rsid w:val="003B7BEE"/>
    <w:rsid w:val="003C23AF"/>
    <w:rsid w:val="003D7BD9"/>
    <w:rsid w:val="003E28C0"/>
    <w:rsid w:val="00437300"/>
    <w:rsid w:val="00464710"/>
    <w:rsid w:val="0048174D"/>
    <w:rsid w:val="00486409"/>
    <w:rsid w:val="00487191"/>
    <w:rsid w:val="004A73F2"/>
    <w:rsid w:val="004C0586"/>
    <w:rsid w:val="004E7537"/>
    <w:rsid w:val="004F1774"/>
    <w:rsid w:val="00522B33"/>
    <w:rsid w:val="00525A45"/>
    <w:rsid w:val="005666B5"/>
    <w:rsid w:val="005A31CD"/>
    <w:rsid w:val="005B5C0D"/>
    <w:rsid w:val="005C16A0"/>
    <w:rsid w:val="005E3E75"/>
    <w:rsid w:val="006273C5"/>
    <w:rsid w:val="00632160"/>
    <w:rsid w:val="00635A7F"/>
    <w:rsid w:val="006368A4"/>
    <w:rsid w:val="00646347"/>
    <w:rsid w:val="00653A3E"/>
    <w:rsid w:val="00663B14"/>
    <w:rsid w:val="006658C1"/>
    <w:rsid w:val="00676006"/>
    <w:rsid w:val="00682BF5"/>
    <w:rsid w:val="0068699C"/>
    <w:rsid w:val="00696A52"/>
    <w:rsid w:val="006B74C7"/>
    <w:rsid w:val="006D3D04"/>
    <w:rsid w:val="006D5EED"/>
    <w:rsid w:val="006E2894"/>
    <w:rsid w:val="006E3672"/>
    <w:rsid w:val="00702BEB"/>
    <w:rsid w:val="007066AC"/>
    <w:rsid w:val="00742199"/>
    <w:rsid w:val="00743F4A"/>
    <w:rsid w:val="00783453"/>
    <w:rsid w:val="00787B7F"/>
    <w:rsid w:val="00790458"/>
    <w:rsid w:val="007A0D4C"/>
    <w:rsid w:val="007B5AA0"/>
    <w:rsid w:val="007B7520"/>
    <w:rsid w:val="007C674E"/>
    <w:rsid w:val="007D2C7D"/>
    <w:rsid w:val="007D5771"/>
    <w:rsid w:val="007D608C"/>
    <w:rsid w:val="007E542D"/>
    <w:rsid w:val="0082454A"/>
    <w:rsid w:val="008374EC"/>
    <w:rsid w:val="00854BAE"/>
    <w:rsid w:val="00884B10"/>
    <w:rsid w:val="00885528"/>
    <w:rsid w:val="008A3990"/>
    <w:rsid w:val="008B16F2"/>
    <w:rsid w:val="008B1F76"/>
    <w:rsid w:val="008D2E7A"/>
    <w:rsid w:val="008E284D"/>
    <w:rsid w:val="008E3CDF"/>
    <w:rsid w:val="008E46BC"/>
    <w:rsid w:val="008F1128"/>
    <w:rsid w:val="00901EB2"/>
    <w:rsid w:val="00931B4A"/>
    <w:rsid w:val="00942768"/>
    <w:rsid w:val="0095423C"/>
    <w:rsid w:val="00962767"/>
    <w:rsid w:val="009874F6"/>
    <w:rsid w:val="009B531A"/>
    <w:rsid w:val="009D2367"/>
    <w:rsid w:val="009E0BD2"/>
    <w:rsid w:val="009E4085"/>
    <w:rsid w:val="00A07FC0"/>
    <w:rsid w:val="00A21504"/>
    <w:rsid w:val="00A643D1"/>
    <w:rsid w:val="00A751BC"/>
    <w:rsid w:val="00A83C97"/>
    <w:rsid w:val="00AC1F56"/>
    <w:rsid w:val="00AD1A65"/>
    <w:rsid w:val="00B27CA8"/>
    <w:rsid w:val="00B749B4"/>
    <w:rsid w:val="00B82707"/>
    <w:rsid w:val="00B95FAB"/>
    <w:rsid w:val="00BA1DD3"/>
    <w:rsid w:val="00BA794B"/>
    <w:rsid w:val="00BB73D0"/>
    <w:rsid w:val="00BC59E5"/>
    <w:rsid w:val="00C03B3E"/>
    <w:rsid w:val="00C1047E"/>
    <w:rsid w:val="00C1263D"/>
    <w:rsid w:val="00C25D4F"/>
    <w:rsid w:val="00C2654B"/>
    <w:rsid w:val="00C32F0A"/>
    <w:rsid w:val="00C4541D"/>
    <w:rsid w:val="00C51B0F"/>
    <w:rsid w:val="00C522BD"/>
    <w:rsid w:val="00CB4775"/>
    <w:rsid w:val="00CB4B17"/>
    <w:rsid w:val="00CB5166"/>
    <w:rsid w:val="00CC0083"/>
    <w:rsid w:val="00CD0162"/>
    <w:rsid w:val="00CD1B34"/>
    <w:rsid w:val="00CD2804"/>
    <w:rsid w:val="00D15A6B"/>
    <w:rsid w:val="00D3529C"/>
    <w:rsid w:val="00D45DD7"/>
    <w:rsid w:val="00D755AA"/>
    <w:rsid w:val="00D770D8"/>
    <w:rsid w:val="00DC0D14"/>
    <w:rsid w:val="00DC1544"/>
    <w:rsid w:val="00DC19CB"/>
    <w:rsid w:val="00DD485E"/>
    <w:rsid w:val="00DF2824"/>
    <w:rsid w:val="00DF3098"/>
    <w:rsid w:val="00E108A6"/>
    <w:rsid w:val="00E21E1A"/>
    <w:rsid w:val="00E512A2"/>
    <w:rsid w:val="00E60ECB"/>
    <w:rsid w:val="00E71592"/>
    <w:rsid w:val="00E75EF3"/>
    <w:rsid w:val="00E91B22"/>
    <w:rsid w:val="00EA6E99"/>
    <w:rsid w:val="00EB40B4"/>
    <w:rsid w:val="00EF34B9"/>
    <w:rsid w:val="00F15425"/>
    <w:rsid w:val="00F25A4F"/>
    <w:rsid w:val="00F322F5"/>
    <w:rsid w:val="00F6173C"/>
    <w:rsid w:val="00F906E2"/>
    <w:rsid w:val="00F91328"/>
    <w:rsid w:val="00F927F3"/>
    <w:rsid w:val="00FA0067"/>
    <w:rsid w:val="00FB6881"/>
    <w:rsid w:val="00FC5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CAD4B3"/>
  <w15:chartTrackingRefBased/>
  <w15:docId w15:val="{9AE276B5-FB91-4928-A663-3B2BA106C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4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B74C7"/>
    <w:pPr>
      <w:ind w:left="720"/>
      <w:contextualSpacing/>
    </w:pPr>
  </w:style>
  <w:style w:type="paragraph" w:styleId="NormalWeb">
    <w:name w:val="Normal (Web)"/>
    <w:basedOn w:val="Normal"/>
    <w:uiPriority w:val="99"/>
    <w:unhideWhenUsed/>
    <w:rsid w:val="006B74C7"/>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6B74C7"/>
    <w:pPr>
      <w:widowControl w:val="0"/>
      <w:autoSpaceDE w:val="0"/>
      <w:autoSpaceDN w:val="0"/>
      <w:adjustRightInd w:val="0"/>
      <w:spacing w:after="0" w:line="240" w:lineRule="auto"/>
    </w:pPr>
    <w:rPr>
      <w:rFonts w:ascii="Arial" w:eastAsiaTheme="minorEastAsia" w:hAnsi="Arial" w:cs="Arial"/>
      <w:b/>
      <w:bCs/>
      <w:sz w:val="28"/>
      <w:szCs w:val="28"/>
    </w:rPr>
  </w:style>
  <w:style w:type="character" w:customStyle="1" w:styleId="BodyTextChar">
    <w:name w:val="Body Text Char"/>
    <w:basedOn w:val="DefaultParagraphFont"/>
    <w:link w:val="BodyText"/>
    <w:uiPriority w:val="1"/>
    <w:rsid w:val="006B74C7"/>
    <w:rPr>
      <w:rFonts w:ascii="Arial" w:eastAsiaTheme="minorEastAsia" w:hAnsi="Arial" w:cs="Arial"/>
      <w:b/>
      <w:bCs/>
      <w:sz w:val="28"/>
      <w:szCs w:val="28"/>
    </w:rPr>
  </w:style>
  <w:style w:type="paragraph" w:styleId="Header">
    <w:name w:val="header"/>
    <w:basedOn w:val="Normal"/>
    <w:link w:val="HeaderChar"/>
    <w:uiPriority w:val="99"/>
    <w:unhideWhenUsed/>
    <w:rsid w:val="006B74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74C7"/>
  </w:style>
  <w:style w:type="character" w:customStyle="1" w:styleId="ac">
    <w:name w:val="ac"/>
    <w:basedOn w:val="DefaultParagraphFont"/>
    <w:rsid w:val="006B74C7"/>
  </w:style>
  <w:style w:type="character" w:customStyle="1" w:styleId="sssh">
    <w:name w:val="ss_sh"/>
    <w:basedOn w:val="DefaultParagraphFont"/>
    <w:rsid w:val="006B74C7"/>
  </w:style>
  <w:style w:type="paragraph" w:styleId="Footer">
    <w:name w:val="footer"/>
    <w:basedOn w:val="Normal"/>
    <w:link w:val="FooterChar"/>
    <w:uiPriority w:val="99"/>
    <w:unhideWhenUsed/>
    <w:rsid w:val="006B74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74C7"/>
  </w:style>
  <w:style w:type="paragraph" w:styleId="Revision">
    <w:name w:val="Revision"/>
    <w:hidden/>
    <w:uiPriority w:val="99"/>
    <w:semiHidden/>
    <w:rsid w:val="003E28C0"/>
    <w:pPr>
      <w:spacing w:after="0" w:line="240" w:lineRule="auto"/>
    </w:pPr>
  </w:style>
  <w:style w:type="character" w:styleId="CommentReference">
    <w:name w:val="annotation reference"/>
    <w:basedOn w:val="DefaultParagraphFont"/>
    <w:uiPriority w:val="99"/>
    <w:semiHidden/>
    <w:unhideWhenUsed/>
    <w:rsid w:val="003E28C0"/>
    <w:rPr>
      <w:sz w:val="16"/>
      <w:szCs w:val="16"/>
    </w:rPr>
  </w:style>
  <w:style w:type="paragraph" w:styleId="CommentText">
    <w:name w:val="annotation text"/>
    <w:basedOn w:val="Normal"/>
    <w:link w:val="CommentTextChar"/>
    <w:uiPriority w:val="99"/>
    <w:unhideWhenUsed/>
    <w:rsid w:val="003E28C0"/>
    <w:pPr>
      <w:spacing w:line="240" w:lineRule="auto"/>
    </w:pPr>
    <w:rPr>
      <w:sz w:val="20"/>
      <w:szCs w:val="20"/>
    </w:rPr>
  </w:style>
  <w:style w:type="character" w:customStyle="1" w:styleId="CommentTextChar">
    <w:name w:val="Comment Text Char"/>
    <w:basedOn w:val="DefaultParagraphFont"/>
    <w:link w:val="CommentText"/>
    <w:uiPriority w:val="99"/>
    <w:rsid w:val="003E28C0"/>
    <w:rPr>
      <w:sz w:val="20"/>
      <w:szCs w:val="20"/>
    </w:rPr>
  </w:style>
  <w:style w:type="paragraph" w:styleId="CommentSubject">
    <w:name w:val="annotation subject"/>
    <w:basedOn w:val="CommentText"/>
    <w:next w:val="CommentText"/>
    <w:link w:val="CommentSubjectChar"/>
    <w:uiPriority w:val="99"/>
    <w:semiHidden/>
    <w:unhideWhenUsed/>
    <w:rsid w:val="003E28C0"/>
    <w:rPr>
      <w:b/>
      <w:bCs/>
    </w:rPr>
  </w:style>
  <w:style w:type="character" w:customStyle="1" w:styleId="CommentSubjectChar">
    <w:name w:val="Comment Subject Char"/>
    <w:basedOn w:val="CommentTextChar"/>
    <w:link w:val="CommentSubject"/>
    <w:uiPriority w:val="99"/>
    <w:semiHidden/>
    <w:rsid w:val="003E28C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9A5E2D-54DE-4449-A52A-D49444902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4198</Words>
  <Characters>23935</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D McDonough</dc:creator>
  <cp:keywords/>
  <dc:description/>
  <cp:lastModifiedBy>Sarah M Adamson</cp:lastModifiedBy>
  <cp:revision>3</cp:revision>
  <cp:lastPrinted>2023-07-10T13:15:00Z</cp:lastPrinted>
  <dcterms:created xsi:type="dcterms:W3CDTF">2026-06-05T17:59:00Z</dcterms:created>
  <dcterms:modified xsi:type="dcterms:W3CDTF">2026-06-16T17:32:00Z</dcterms:modified>
</cp:coreProperties>
</file>