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B456" w14:textId="77777777" w:rsidR="00FC3A12" w:rsidRDefault="00FC3A12" w:rsidP="00B94899">
      <w:pPr>
        <w:pStyle w:val="BodyText"/>
        <w:kinsoku w:val="0"/>
        <w:overflowPunct w:val="0"/>
        <w:ind w:left="840" w:right="836"/>
        <w:jc w:val="center"/>
        <w:rPr>
          <w:b w:val="0"/>
          <w:bCs w:val="0"/>
          <w:sz w:val="20"/>
          <w:szCs w:val="20"/>
        </w:rPr>
      </w:pPr>
    </w:p>
    <w:p w14:paraId="325315D5" w14:textId="77777777" w:rsidR="00FC3A12" w:rsidRPr="004F508F" w:rsidRDefault="00FC3A12" w:rsidP="00FC3A12">
      <w:pPr>
        <w:pStyle w:val="BodyText"/>
        <w:kinsoku w:val="0"/>
        <w:overflowPunct w:val="0"/>
        <w:spacing w:line="266" w:lineRule="auto"/>
        <w:jc w:val="center"/>
        <w:rPr>
          <w:b w:val="0"/>
          <w:bCs w:val="0"/>
          <w:sz w:val="20"/>
          <w:szCs w:val="20"/>
        </w:rPr>
      </w:pPr>
      <w:r>
        <w:t>POSSESSION OF A LOADED FIREARM WITHOUT A LICENSE OUTSIDE OF HOME OR BUSINESS</w:t>
      </w:r>
    </w:p>
    <w:p w14:paraId="38794866" w14:textId="77777777" w:rsidR="00FC3A12" w:rsidRDefault="00FC3A12" w:rsidP="00FC3A12">
      <w:pPr>
        <w:pStyle w:val="BodyText"/>
        <w:kinsoku w:val="0"/>
        <w:overflowPunct w:val="0"/>
        <w:spacing w:line="266" w:lineRule="auto"/>
        <w:ind w:left="840" w:right="836"/>
        <w:jc w:val="center"/>
        <w:rPr>
          <w:b w:val="0"/>
          <w:bCs w:val="0"/>
          <w:sz w:val="20"/>
          <w:szCs w:val="20"/>
        </w:rPr>
      </w:pPr>
    </w:p>
    <w:p w14:paraId="1FDB377D" w14:textId="77777777" w:rsidR="00FC3A12" w:rsidRPr="003D3622" w:rsidRDefault="00FC3A12" w:rsidP="00FC3A12">
      <w:pPr>
        <w:pStyle w:val="BodyText"/>
        <w:kinsoku w:val="0"/>
        <w:overflowPunct w:val="0"/>
        <w:spacing w:line="266" w:lineRule="auto"/>
        <w:ind w:left="840" w:right="836"/>
        <w:jc w:val="center"/>
        <w:rPr>
          <w:b w:val="0"/>
          <w:bCs w:val="0"/>
          <w:sz w:val="20"/>
          <w:szCs w:val="20"/>
        </w:rPr>
      </w:pPr>
      <w:r w:rsidRPr="003D3622">
        <w:rPr>
          <w:b w:val="0"/>
          <w:bCs w:val="0"/>
          <w:sz w:val="20"/>
          <w:szCs w:val="20"/>
        </w:rPr>
        <w:t>G.L. c. 269, § 10(n)</w:t>
      </w:r>
    </w:p>
    <w:p w14:paraId="37EC865C" w14:textId="77777777" w:rsidR="00FC3A12" w:rsidRDefault="00FC3A12" w:rsidP="00FC3A12">
      <w:pPr>
        <w:pStyle w:val="BodyText"/>
        <w:kinsoku w:val="0"/>
        <w:overflowPunct w:val="0"/>
        <w:spacing w:line="266" w:lineRule="auto"/>
        <w:ind w:left="840" w:right="836"/>
        <w:jc w:val="center"/>
        <w:rPr>
          <w:b w:val="0"/>
          <w:bCs w:val="0"/>
          <w:sz w:val="20"/>
          <w:szCs w:val="20"/>
        </w:rPr>
      </w:pPr>
    </w:p>
    <w:p w14:paraId="3FDD86C8" w14:textId="7C8C1693" w:rsidR="005B478C" w:rsidRDefault="00FC3A12" w:rsidP="0009317C">
      <w:pPr>
        <w:spacing w:line="240" w:lineRule="auto"/>
        <w:ind w:left="720" w:right="720"/>
        <w:jc w:val="both"/>
        <w:rPr>
          <w:rFonts w:ascii="Arial" w:eastAsia="Times New Roman" w:hAnsi="Arial" w:cs="Arial"/>
          <w:color w:val="000000"/>
          <w:sz w:val="20"/>
          <w:szCs w:val="20"/>
        </w:rPr>
      </w:pPr>
      <w:r>
        <w:rPr>
          <w:rFonts w:ascii="Arial" w:eastAsia="Times New Roman" w:hAnsi="Arial" w:cs="Arial"/>
          <w:color w:val="000000"/>
          <w:sz w:val="20"/>
          <w:szCs w:val="20"/>
        </w:rPr>
        <w:t>This instruction can be read if the complaint charges a violation of both § 10(a) and § 10(n)</w:t>
      </w:r>
      <w:r w:rsidR="00173AC4">
        <w:rPr>
          <w:rFonts w:ascii="Arial" w:eastAsia="Times New Roman" w:hAnsi="Arial" w:cs="Arial"/>
          <w:color w:val="000000"/>
          <w:sz w:val="20"/>
          <w:szCs w:val="20"/>
        </w:rPr>
        <w:t>.</w:t>
      </w:r>
      <w:r>
        <w:rPr>
          <w:rFonts w:ascii="Arial" w:eastAsia="Times New Roman" w:hAnsi="Arial" w:cs="Arial"/>
          <w:color w:val="000000"/>
          <w:sz w:val="20"/>
          <w:szCs w:val="20"/>
        </w:rPr>
        <w:t xml:space="preserve"> A conviction </w:t>
      </w:r>
      <w:r w:rsidRPr="00245E8B">
        <w:rPr>
          <w:rFonts w:ascii="Arial" w:eastAsia="Times New Roman" w:hAnsi="Arial" w:cs="Arial"/>
          <w:color w:val="000000"/>
          <w:sz w:val="20"/>
          <w:szCs w:val="20"/>
        </w:rPr>
        <w:t>under § 10(</w:t>
      </w:r>
      <w:r w:rsidRPr="006F4D28">
        <w:rPr>
          <w:rFonts w:ascii="Arial" w:eastAsia="Times New Roman" w:hAnsi="Arial" w:cs="Arial"/>
          <w:color w:val="000000"/>
          <w:sz w:val="20"/>
          <w:szCs w:val="20"/>
          <w:bdr w:val="none" w:sz="0" w:space="0" w:color="auto" w:frame="1"/>
        </w:rPr>
        <w:t>n</w:t>
      </w:r>
      <w:r w:rsidRPr="00245E8B">
        <w:rPr>
          <w:rFonts w:ascii="Arial" w:eastAsia="Times New Roman" w:hAnsi="Arial" w:cs="Arial"/>
          <w:color w:val="000000"/>
          <w:sz w:val="20"/>
          <w:szCs w:val="20"/>
        </w:rPr>
        <w:t>)</w:t>
      </w:r>
      <w:r>
        <w:rPr>
          <w:rFonts w:ascii="Arial" w:eastAsia="Times New Roman" w:hAnsi="Arial" w:cs="Arial"/>
          <w:color w:val="000000"/>
          <w:sz w:val="20"/>
          <w:szCs w:val="20"/>
        </w:rPr>
        <w:t xml:space="preserve"> requires a defendant to also be charged and convicted </w:t>
      </w:r>
      <w:r w:rsidRPr="00245E8B">
        <w:rPr>
          <w:rFonts w:ascii="Arial" w:eastAsia="Times New Roman" w:hAnsi="Arial" w:cs="Arial"/>
          <w:color w:val="000000"/>
          <w:sz w:val="20"/>
          <w:szCs w:val="20"/>
        </w:rPr>
        <w:t>under G. L. c. 269, § 10 (</w:t>
      </w:r>
      <w:r w:rsidRPr="00245E8B">
        <w:rPr>
          <w:rFonts w:ascii="Arial" w:eastAsia="Times New Roman" w:hAnsi="Arial" w:cs="Arial"/>
          <w:i/>
          <w:iCs/>
          <w:color w:val="000000"/>
          <w:sz w:val="20"/>
          <w:szCs w:val="20"/>
          <w:bdr w:val="none" w:sz="0" w:space="0" w:color="auto" w:frame="1"/>
        </w:rPr>
        <w:t>a</w:t>
      </w:r>
      <w:r w:rsidRPr="00245E8B">
        <w:rPr>
          <w:rFonts w:ascii="Arial" w:eastAsia="Times New Roman" w:hAnsi="Arial" w:cs="Arial"/>
          <w:color w:val="000000"/>
          <w:sz w:val="20"/>
          <w:szCs w:val="20"/>
        </w:rPr>
        <w:t xml:space="preserve">).  See </w:t>
      </w:r>
      <w:r w:rsidRPr="00245E8B">
        <w:rPr>
          <w:rFonts w:ascii="Arial" w:eastAsia="Times New Roman" w:hAnsi="Arial" w:cs="Arial"/>
          <w:i/>
          <w:iCs/>
          <w:sz w:val="20"/>
          <w:szCs w:val="20"/>
          <w:bdr w:val="none" w:sz="0" w:space="0" w:color="auto" w:frame="1"/>
          <w:shd w:val="clear" w:color="auto" w:fill="FFFFFF"/>
        </w:rPr>
        <w:t>Commonwealth v. Brown</w:t>
      </w:r>
      <w:r w:rsidRPr="00245E8B">
        <w:rPr>
          <w:rFonts w:ascii="Arial" w:eastAsia="Times New Roman" w:hAnsi="Arial" w:cs="Arial"/>
          <w:sz w:val="20"/>
          <w:szCs w:val="20"/>
          <w:bdr w:val="none" w:sz="0" w:space="0" w:color="auto" w:frame="1"/>
          <w:shd w:val="clear" w:color="auto" w:fill="FFFFFF"/>
        </w:rPr>
        <w:t>, 479 Mass. 600, 604</w:t>
      </w:r>
      <w:r w:rsidRPr="00245E8B">
        <w:rPr>
          <w:rFonts w:ascii="Arial" w:eastAsia="Times New Roman" w:hAnsi="Arial" w:cs="Arial"/>
          <w:sz w:val="20"/>
          <w:szCs w:val="20"/>
        </w:rPr>
        <w:t xml:space="preserve"> (2018), citing C</w:t>
      </w:r>
      <w:r w:rsidRPr="00245E8B">
        <w:rPr>
          <w:rFonts w:ascii="Arial" w:eastAsia="Times New Roman" w:hAnsi="Arial" w:cs="Arial"/>
          <w:i/>
          <w:iCs/>
          <w:color w:val="000000"/>
          <w:sz w:val="20"/>
          <w:szCs w:val="20"/>
          <w:bdr w:val="none" w:sz="0" w:space="0" w:color="auto" w:frame="1"/>
        </w:rPr>
        <w:t>ommonwealth</w:t>
      </w:r>
      <w:r w:rsidRPr="00245E8B">
        <w:rPr>
          <w:rFonts w:ascii="Arial" w:eastAsia="Times New Roman" w:hAnsi="Arial" w:cs="Arial"/>
          <w:color w:val="000000"/>
          <w:sz w:val="20"/>
          <w:szCs w:val="20"/>
        </w:rPr>
        <w:t> v. </w:t>
      </w:r>
      <w:r w:rsidRPr="00245E8B">
        <w:rPr>
          <w:rFonts w:ascii="Arial" w:eastAsia="Times New Roman" w:hAnsi="Arial" w:cs="Arial"/>
          <w:i/>
          <w:iCs/>
          <w:color w:val="000000"/>
          <w:sz w:val="20"/>
          <w:szCs w:val="20"/>
          <w:bdr w:val="none" w:sz="0" w:space="0" w:color="auto" w:frame="1"/>
        </w:rPr>
        <w:t>Loadholt</w:t>
      </w:r>
      <w:r w:rsidRPr="00245E8B">
        <w:rPr>
          <w:rFonts w:ascii="Arial" w:eastAsia="Times New Roman" w:hAnsi="Arial" w:cs="Arial"/>
          <w:color w:val="000000"/>
          <w:sz w:val="20"/>
          <w:szCs w:val="20"/>
        </w:rPr>
        <w:t>, 456 Mass. 411, 423-424 (2010), S.C., 460 Mass. 723 (2011).</w:t>
      </w:r>
      <w:r>
        <w:rPr>
          <w:rFonts w:ascii="Arial" w:eastAsia="Times New Roman" w:hAnsi="Arial" w:cs="Arial"/>
          <w:color w:val="000000"/>
          <w:sz w:val="20"/>
          <w:szCs w:val="20"/>
        </w:rPr>
        <w:t xml:space="preserve">  Note: This </w:t>
      </w:r>
      <w:proofErr w:type="gramStart"/>
      <w:r>
        <w:rPr>
          <w:rFonts w:ascii="Arial" w:eastAsia="Times New Roman" w:hAnsi="Arial" w:cs="Arial"/>
          <w:color w:val="000000"/>
          <w:sz w:val="20"/>
          <w:szCs w:val="20"/>
        </w:rPr>
        <w:t>sentencing</w:t>
      </w:r>
      <w:proofErr w:type="gramEnd"/>
      <w:r>
        <w:rPr>
          <w:rFonts w:ascii="Arial" w:eastAsia="Times New Roman" w:hAnsi="Arial" w:cs="Arial"/>
          <w:color w:val="000000"/>
          <w:sz w:val="20"/>
          <w:szCs w:val="20"/>
        </w:rPr>
        <w:t xml:space="preserve"> enhancement does not apply to a conviction under </w:t>
      </w:r>
      <w:r w:rsidRPr="003D3622">
        <w:rPr>
          <w:sz w:val="20"/>
          <w:szCs w:val="20"/>
        </w:rPr>
        <w:t>§</w:t>
      </w:r>
      <w:r>
        <w:rPr>
          <w:sz w:val="20"/>
          <w:szCs w:val="20"/>
        </w:rPr>
        <w:t xml:space="preserve"> </w:t>
      </w:r>
      <w:r>
        <w:rPr>
          <w:rFonts w:ascii="Arial" w:eastAsia="Times New Roman" w:hAnsi="Arial" w:cs="Arial"/>
          <w:color w:val="000000"/>
          <w:sz w:val="20"/>
          <w:szCs w:val="20"/>
        </w:rPr>
        <w:t xml:space="preserve">10(h) or to a loaded rifle or shotgun.  </w:t>
      </w:r>
    </w:p>
    <w:p w14:paraId="48205421" w14:textId="77777777" w:rsidR="0009317C" w:rsidRPr="0009317C" w:rsidRDefault="0009317C" w:rsidP="0009317C">
      <w:pPr>
        <w:spacing w:line="240" w:lineRule="auto"/>
        <w:ind w:left="720" w:right="720"/>
        <w:jc w:val="both"/>
        <w:rPr>
          <w:rFonts w:ascii="Arial" w:eastAsia="Times New Roman" w:hAnsi="Arial" w:cs="Arial"/>
          <w:color w:val="000000"/>
          <w:sz w:val="20"/>
          <w:szCs w:val="20"/>
        </w:rPr>
      </w:pPr>
    </w:p>
    <w:p w14:paraId="63EA9182" w14:textId="77777777" w:rsidR="008221F3" w:rsidRPr="00DF64F3" w:rsidRDefault="008221F3" w:rsidP="008221F3">
      <w:pPr>
        <w:spacing w:line="480" w:lineRule="auto"/>
        <w:ind w:firstLine="720"/>
        <w:rPr>
          <w:rFonts w:ascii="Arial" w:hAnsi="Arial" w:cs="Arial"/>
          <w:b/>
          <w:bCs/>
          <w:sz w:val="28"/>
          <w:szCs w:val="28"/>
        </w:rPr>
      </w:pPr>
      <w:r w:rsidRPr="00DF64F3">
        <w:rPr>
          <w:rFonts w:ascii="Arial" w:hAnsi="Arial" w:cs="Arial"/>
          <w:b/>
          <w:bCs/>
          <w:sz w:val="28"/>
          <w:szCs w:val="28"/>
        </w:rPr>
        <w:t xml:space="preserve">The defendant is </w:t>
      </w:r>
      <w:r>
        <w:rPr>
          <w:rFonts w:ascii="Arial" w:hAnsi="Arial" w:cs="Arial"/>
          <w:b/>
          <w:bCs/>
          <w:sz w:val="28"/>
          <w:szCs w:val="28"/>
        </w:rPr>
        <w:t xml:space="preserve">also </w:t>
      </w:r>
      <w:r w:rsidRPr="00DF64F3">
        <w:rPr>
          <w:rFonts w:ascii="Arial" w:hAnsi="Arial" w:cs="Arial"/>
          <w:b/>
          <w:bCs/>
          <w:sz w:val="28"/>
          <w:szCs w:val="28"/>
        </w:rPr>
        <w:t xml:space="preserve">charged with knowingly possessing a </w:t>
      </w:r>
      <w:r w:rsidRPr="009326F6">
        <w:rPr>
          <w:rFonts w:ascii="Arial" w:hAnsi="Arial" w:cs="Arial"/>
          <w:b/>
          <w:bCs/>
          <w:sz w:val="28"/>
          <w:szCs w:val="28"/>
          <w:u w:val="single"/>
        </w:rPr>
        <w:t>loaded</w:t>
      </w:r>
      <w:r w:rsidRPr="00DF64F3">
        <w:rPr>
          <w:rFonts w:ascii="Arial" w:hAnsi="Arial" w:cs="Arial"/>
          <w:b/>
          <w:bCs/>
          <w:sz w:val="28"/>
          <w:szCs w:val="28"/>
        </w:rPr>
        <w:t xml:space="preserve"> firearm</w:t>
      </w:r>
      <w:r>
        <w:rPr>
          <w:rFonts w:ascii="Arial" w:hAnsi="Arial" w:cs="Arial"/>
          <w:b/>
          <w:bCs/>
          <w:sz w:val="28"/>
          <w:szCs w:val="28"/>
        </w:rPr>
        <w:t xml:space="preserve"> </w:t>
      </w:r>
      <w:r w:rsidRPr="00DF64F3">
        <w:rPr>
          <w:rFonts w:ascii="Arial" w:hAnsi="Arial" w:cs="Arial"/>
          <w:b/>
          <w:bCs/>
          <w:sz w:val="28"/>
          <w:szCs w:val="28"/>
        </w:rPr>
        <w:t xml:space="preserve">unlawfully. </w:t>
      </w:r>
    </w:p>
    <w:p w14:paraId="38DD1CD1" w14:textId="5BDCC755" w:rsidR="008221F3" w:rsidRDefault="008221F3" w:rsidP="008221F3">
      <w:pPr>
        <w:spacing w:line="480" w:lineRule="auto"/>
        <w:ind w:firstLine="720"/>
        <w:rPr>
          <w:rFonts w:ascii="Arial" w:hAnsi="Arial" w:cs="Arial"/>
          <w:b/>
          <w:bCs/>
          <w:sz w:val="28"/>
          <w:szCs w:val="28"/>
        </w:rPr>
      </w:pPr>
      <w:r>
        <w:rPr>
          <w:rFonts w:ascii="Arial" w:hAnsi="Arial" w:cs="Arial"/>
          <w:b/>
          <w:bCs/>
          <w:sz w:val="28"/>
          <w:szCs w:val="28"/>
        </w:rPr>
        <w:t xml:space="preserve">To prove the defendant guilty of </w:t>
      </w:r>
      <w:r w:rsidR="00797D56" w:rsidRPr="00DF64F3">
        <w:rPr>
          <w:rFonts w:ascii="Arial" w:hAnsi="Arial" w:cs="Arial"/>
          <w:b/>
          <w:bCs/>
          <w:sz w:val="28"/>
          <w:szCs w:val="28"/>
        </w:rPr>
        <w:t xml:space="preserve">knowingly possessing a </w:t>
      </w:r>
      <w:r w:rsidR="00797D56" w:rsidRPr="009326F6">
        <w:rPr>
          <w:rFonts w:ascii="Arial" w:hAnsi="Arial" w:cs="Arial"/>
          <w:b/>
          <w:bCs/>
          <w:sz w:val="28"/>
          <w:szCs w:val="28"/>
          <w:u w:val="single"/>
        </w:rPr>
        <w:t>loaded</w:t>
      </w:r>
      <w:r w:rsidR="00797D56" w:rsidRPr="00DF64F3">
        <w:rPr>
          <w:rFonts w:ascii="Arial" w:hAnsi="Arial" w:cs="Arial"/>
          <w:b/>
          <w:bCs/>
          <w:sz w:val="28"/>
          <w:szCs w:val="28"/>
        </w:rPr>
        <w:t xml:space="preserve"> firearm</w:t>
      </w:r>
      <w:r w:rsidR="00797D56">
        <w:rPr>
          <w:rFonts w:ascii="Arial" w:hAnsi="Arial" w:cs="Arial"/>
          <w:b/>
          <w:bCs/>
          <w:sz w:val="28"/>
          <w:szCs w:val="28"/>
        </w:rPr>
        <w:t xml:space="preserve"> </w:t>
      </w:r>
      <w:r w:rsidR="00797D56" w:rsidRPr="00DF64F3">
        <w:rPr>
          <w:rFonts w:ascii="Arial" w:hAnsi="Arial" w:cs="Arial"/>
          <w:b/>
          <w:bCs/>
          <w:sz w:val="28"/>
          <w:szCs w:val="28"/>
        </w:rPr>
        <w:t>unlawfully</w:t>
      </w:r>
      <w:r>
        <w:rPr>
          <w:rFonts w:ascii="Arial" w:hAnsi="Arial" w:cs="Arial"/>
          <w:b/>
          <w:bCs/>
          <w:sz w:val="28"/>
          <w:szCs w:val="28"/>
        </w:rPr>
        <w:t>, the Commonwealth must also prove two additional elements beyond a reasonable doubt.  In addition to the (four) (five) elements on which I have already instructed you, the Commonwealth must also prove beyond a reasonable doubt:</w:t>
      </w:r>
    </w:p>
    <w:p w14:paraId="15A749AE" w14:textId="77777777" w:rsidR="008221F3" w:rsidRPr="00DF64F3" w:rsidRDefault="008221F3" w:rsidP="008221F3">
      <w:pPr>
        <w:spacing w:line="480" w:lineRule="auto"/>
        <w:ind w:firstLine="720"/>
        <w:rPr>
          <w:rFonts w:ascii="Arial" w:hAnsi="Arial" w:cs="Arial"/>
          <w:b/>
          <w:bCs/>
          <w:sz w:val="28"/>
          <w:szCs w:val="28"/>
        </w:rPr>
      </w:pPr>
      <w:r>
        <w:rPr>
          <w:rFonts w:ascii="Arial" w:hAnsi="Arial" w:cs="Arial"/>
          <w:b/>
          <w:bCs/>
          <w:i/>
          <w:iCs/>
          <w:sz w:val="28"/>
          <w:szCs w:val="28"/>
        </w:rPr>
        <w:t>First</w:t>
      </w:r>
      <w:proofErr w:type="gramStart"/>
      <w:r w:rsidRPr="00DF64F3">
        <w:rPr>
          <w:rFonts w:ascii="Arial" w:hAnsi="Arial" w:cs="Arial"/>
          <w:b/>
          <w:bCs/>
          <w:sz w:val="28"/>
          <w:szCs w:val="28"/>
        </w:rPr>
        <w:t>:  That</w:t>
      </w:r>
      <w:proofErr w:type="gramEnd"/>
      <w:r w:rsidRPr="00DF64F3">
        <w:rPr>
          <w:rFonts w:ascii="Arial" w:hAnsi="Arial" w:cs="Arial"/>
          <w:b/>
          <w:bCs/>
          <w:sz w:val="28"/>
          <w:szCs w:val="28"/>
        </w:rPr>
        <w:t xml:space="preserve"> the firearm was loaded</w:t>
      </w:r>
      <w:r>
        <w:rPr>
          <w:rFonts w:ascii="Arial" w:hAnsi="Arial" w:cs="Arial"/>
          <w:b/>
          <w:bCs/>
          <w:sz w:val="28"/>
          <w:szCs w:val="28"/>
        </w:rPr>
        <w:t xml:space="preserve"> with ammunition</w:t>
      </w:r>
      <w:r w:rsidRPr="00DF64F3">
        <w:rPr>
          <w:rFonts w:ascii="Arial" w:hAnsi="Arial" w:cs="Arial"/>
          <w:b/>
          <w:bCs/>
          <w:sz w:val="28"/>
          <w:szCs w:val="28"/>
        </w:rPr>
        <w:t>;</w:t>
      </w:r>
      <w:r>
        <w:rPr>
          <w:rFonts w:ascii="Arial" w:hAnsi="Arial" w:cs="Arial"/>
          <w:b/>
          <w:bCs/>
          <w:sz w:val="28"/>
          <w:szCs w:val="28"/>
        </w:rPr>
        <w:t xml:space="preserve"> and</w:t>
      </w:r>
    </w:p>
    <w:p w14:paraId="4DC26430" w14:textId="1972B176" w:rsidR="008221F3" w:rsidRDefault="008221F3" w:rsidP="008221F3">
      <w:pPr>
        <w:spacing w:line="480" w:lineRule="auto"/>
        <w:ind w:firstLine="720"/>
        <w:rPr>
          <w:rFonts w:ascii="Arial" w:hAnsi="Arial" w:cs="Arial"/>
          <w:b/>
          <w:bCs/>
          <w:sz w:val="28"/>
          <w:szCs w:val="28"/>
        </w:rPr>
      </w:pPr>
      <w:r>
        <w:rPr>
          <w:rFonts w:ascii="Arial" w:hAnsi="Arial" w:cs="Arial"/>
          <w:b/>
          <w:bCs/>
          <w:i/>
          <w:iCs/>
          <w:sz w:val="28"/>
          <w:szCs w:val="28"/>
        </w:rPr>
        <w:t>Second</w:t>
      </w:r>
      <w:proofErr w:type="gramStart"/>
      <w:r w:rsidRPr="00DF64F3">
        <w:rPr>
          <w:rFonts w:ascii="Arial" w:hAnsi="Arial" w:cs="Arial"/>
          <w:b/>
          <w:bCs/>
          <w:sz w:val="28"/>
          <w:szCs w:val="28"/>
        </w:rPr>
        <w:t>:  That</w:t>
      </w:r>
      <w:proofErr w:type="gramEnd"/>
      <w:r w:rsidRPr="00DF64F3">
        <w:rPr>
          <w:rFonts w:ascii="Arial" w:hAnsi="Arial" w:cs="Arial"/>
          <w:b/>
          <w:bCs/>
          <w:sz w:val="28"/>
          <w:szCs w:val="28"/>
        </w:rPr>
        <w:t xml:space="preserve"> the defendant knew that the firearm</w:t>
      </w:r>
      <w:bookmarkStart w:id="0" w:name="_Hlk121740614"/>
      <w:r>
        <w:rPr>
          <w:rFonts w:ascii="Arial" w:hAnsi="Arial" w:cs="Arial"/>
          <w:b/>
          <w:bCs/>
          <w:sz w:val="28"/>
          <w:szCs w:val="28"/>
        </w:rPr>
        <w:t xml:space="preserve"> </w:t>
      </w:r>
      <w:bookmarkEnd w:id="0"/>
      <w:r w:rsidRPr="00DF64F3">
        <w:rPr>
          <w:rFonts w:ascii="Arial" w:hAnsi="Arial" w:cs="Arial"/>
          <w:b/>
          <w:bCs/>
          <w:sz w:val="28"/>
          <w:szCs w:val="28"/>
        </w:rPr>
        <w:t>they</w:t>
      </w:r>
      <w:r w:rsidR="00F74AB3">
        <w:rPr>
          <w:rFonts w:ascii="Arial" w:hAnsi="Arial" w:cs="Arial"/>
          <w:b/>
          <w:bCs/>
          <w:sz w:val="28"/>
          <w:szCs w:val="28"/>
        </w:rPr>
        <w:t xml:space="preserve"> </w:t>
      </w:r>
      <w:r w:rsidRPr="00DF64F3">
        <w:rPr>
          <w:rFonts w:ascii="Arial" w:hAnsi="Arial" w:cs="Arial"/>
          <w:b/>
          <w:bCs/>
          <w:sz w:val="28"/>
          <w:szCs w:val="28"/>
        </w:rPr>
        <w:t>possessed was loaded</w:t>
      </w:r>
      <w:r>
        <w:rPr>
          <w:rFonts w:ascii="Arial" w:hAnsi="Arial" w:cs="Arial"/>
          <w:b/>
          <w:bCs/>
          <w:sz w:val="28"/>
          <w:szCs w:val="28"/>
        </w:rPr>
        <w:t xml:space="preserve"> with </w:t>
      </w:r>
      <w:r w:rsidRPr="003073FC">
        <w:rPr>
          <w:rFonts w:ascii="Arial" w:hAnsi="Arial" w:cs="Arial"/>
          <w:b/>
          <w:bCs/>
          <w:sz w:val="28"/>
          <w:szCs w:val="28"/>
        </w:rPr>
        <w:t xml:space="preserve">ammunition. </w:t>
      </w:r>
    </w:p>
    <w:p w14:paraId="19842C50" w14:textId="77777777" w:rsidR="008221F3" w:rsidRPr="004116DB" w:rsidRDefault="008221F3" w:rsidP="008221F3">
      <w:pPr>
        <w:spacing w:line="480" w:lineRule="auto"/>
        <w:ind w:firstLine="720"/>
        <w:rPr>
          <w:b/>
          <w:bCs/>
          <w:color w:val="000000"/>
          <w:sz w:val="28"/>
          <w:szCs w:val="28"/>
        </w:rPr>
      </w:pPr>
      <w:r w:rsidRPr="003073FC">
        <w:rPr>
          <w:rFonts w:ascii="Arial" w:hAnsi="Arial" w:cs="Arial"/>
          <w:b/>
          <w:bCs/>
          <w:sz w:val="28"/>
          <w:szCs w:val="28"/>
        </w:rPr>
        <w:t xml:space="preserve">To prove the </w:t>
      </w:r>
      <w:r>
        <w:rPr>
          <w:rFonts w:ascii="Arial" w:hAnsi="Arial" w:cs="Arial"/>
          <w:b/>
          <w:bCs/>
          <w:sz w:val="28"/>
          <w:szCs w:val="28"/>
        </w:rPr>
        <w:t xml:space="preserve">first </w:t>
      </w:r>
      <w:r w:rsidRPr="003073FC">
        <w:rPr>
          <w:rFonts w:ascii="Arial" w:hAnsi="Arial" w:cs="Arial"/>
          <w:b/>
          <w:bCs/>
          <w:sz w:val="28"/>
          <w:szCs w:val="28"/>
        </w:rPr>
        <w:t xml:space="preserve">element, the Commonwealth must prove </w:t>
      </w:r>
      <w:r w:rsidRPr="004116DB">
        <w:rPr>
          <w:rFonts w:ascii="Arial" w:hAnsi="Arial" w:cs="Arial"/>
          <w:b/>
          <w:bCs/>
          <w:sz w:val="28"/>
          <w:szCs w:val="28"/>
        </w:rPr>
        <w:t>beyond a reasonable doubt that the</w:t>
      </w:r>
      <w:r>
        <w:rPr>
          <w:rFonts w:ascii="Arial" w:hAnsi="Arial" w:cs="Arial"/>
          <w:b/>
          <w:bCs/>
          <w:sz w:val="28"/>
          <w:szCs w:val="28"/>
        </w:rPr>
        <w:t xml:space="preserve"> firearm </w:t>
      </w:r>
      <w:r w:rsidRPr="004116DB">
        <w:rPr>
          <w:rFonts w:ascii="Arial" w:hAnsi="Arial" w:cs="Arial"/>
          <w:b/>
          <w:bCs/>
          <w:sz w:val="28"/>
          <w:szCs w:val="28"/>
        </w:rPr>
        <w:t xml:space="preserve">was loaded with ammunition.  </w:t>
      </w:r>
      <w:r w:rsidRPr="004116DB">
        <w:rPr>
          <w:rFonts w:ascii="Arial" w:hAnsi="Arial" w:cs="Arial"/>
          <w:b/>
          <w:bCs/>
          <w:color w:val="000000"/>
          <w:sz w:val="28"/>
          <w:szCs w:val="28"/>
        </w:rPr>
        <w:t xml:space="preserve">Ammunition </w:t>
      </w:r>
      <w:r>
        <w:rPr>
          <w:rFonts w:ascii="Arial" w:hAnsi="Arial" w:cs="Arial"/>
          <w:b/>
          <w:bCs/>
          <w:color w:val="000000"/>
          <w:sz w:val="28"/>
          <w:szCs w:val="28"/>
        </w:rPr>
        <w:t xml:space="preserve">is any </w:t>
      </w:r>
      <w:r w:rsidRPr="004116DB">
        <w:rPr>
          <w:rFonts w:ascii="Arial" w:hAnsi="Arial" w:cs="Arial"/>
          <w:b/>
          <w:bCs/>
          <w:color w:val="000000"/>
          <w:sz w:val="28"/>
          <w:szCs w:val="28"/>
        </w:rPr>
        <w:t>cartridge or cartridge case, primer</w:t>
      </w:r>
      <w:r>
        <w:rPr>
          <w:rFonts w:ascii="Arial" w:hAnsi="Arial" w:cs="Arial"/>
          <w:b/>
          <w:bCs/>
          <w:color w:val="000000"/>
          <w:sz w:val="28"/>
          <w:szCs w:val="28"/>
        </w:rPr>
        <w:t xml:space="preserve"> </w:t>
      </w:r>
      <w:r>
        <w:rPr>
          <w:rFonts w:ascii="Arial" w:hAnsi="Arial" w:cs="Arial"/>
          <w:b/>
          <w:bCs/>
          <w:color w:val="000000"/>
          <w:sz w:val="28"/>
          <w:szCs w:val="28"/>
        </w:rPr>
        <w:lastRenderedPageBreak/>
        <w:t>(</w:t>
      </w:r>
      <w:r w:rsidRPr="004116DB">
        <w:rPr>
          <w:rFonts w:ascii="Arial" w:hAnsi="Arial" w:cs="Arial"/>
          <w:b/>
          <w:bCs/>
          <w:color w:val="000000"/>
          <w:sz w:val="28"/>
          <w:szCs w:val="28"/>
        </w:rPr>
        <w:t>igniter</w:t>
      </w:r>
      <w:r>
        <w:rPr>
          <w:rFonts w:ascii="Arial" w:hAnsi="Arial" w:cs="Arial"/>
          <w:b/>
          <w:bCs/>
          <w:color w:val="000000"/>
          <w:sz w:val="28"/>
          <w:szCs w:val="28"/>
        </w:rPr>
        <w:t>)</w:t>
      </w:r>
      <w:r w:rsidRPr="004116DB">
        <w:rPr>
          <w:rFonts w:ascii="Arial" w:hAnsi="Arial" w:cs="Arial"/>
          <w:b/>
          <w:bCs/>
          <w:color w:val="000000"/>
          <w:sz w:val="28"/>
          <w:szCs w:val="28"/>
        </w:rPr>
        <w:t>, bullet or propellant powder designed for use in any firearm, rifle or shotgun.</w:t>
      </w:r>
      <w:r>
        <w:rPr>
          <w:b/>
          <w:bCs/>
          <w:color w:val="000000"/>
          <w:sz w:val="28"/>
          <w:szCs w:val="28"/>
        </w:rPr>
        <w:t xml:space="preserve">  </w:t>
      </w:r>
      <w:r>
        <w:rPr>
          <w:rFonts w:ascii="Arial" w:hAnsi="Arial" w:cs="Arial"/>
          <w:b/>
          <w:bCs/>
          <w:sz w:val="28"/>
          <w:szCs w:val="28"/>
        </w:rPr>
        <w:t xml:space="preserve">A firearm </w:t>
      </w:r>
      <w:r w:rsidRPr="004116DB">
        <w:rPr>
          <w:rFonts w:ascii="Arial" w:hAnsi="Arial" w:cs="Arial"/>
          <w:b/>
          <w:bCs/>
          <w:sz w:val="28"/>
          <w:szCs w:val="28"/>
        </w:rPr>
        <w:t xml:space="preserve">is </w:t>
      </w:r>
      <w:r w:rsidRPr="004116DB">
        <w:rPr>
          <w:rFonts w:ascii="Arial" w:hAnsi="Arial" w:cs="Arial"/>
          <w:b/>
          <w:bCs/>
          <w:color w:val="000000"/>
          <w:sz w:val="28"/>
          <w:szCs w:val="28"/>
        </w:rPr>
        <w:t xml:space="preserve">loaded if ammunition is contained in the </w:t>
      </w:r>
      <w:r>
        <w:rPr>
          <w:rFonts w:ascii="Arial" w:hAnsi="Arial" w:cs="Arial"/>
          <w:b/>
          <w:bCs/>
          <w:color w:val="000000"/>
          <w:sz w:val="28"/>
          <w:szCs w:val="28"/>
        </w:rPr>
        <w:t>firearm</w:t>
      </w:r>
      <w:r w:rsidRPr="004116DB">
        <w:rPr>
          <w:rFonts w:ascii="Arial" w:hAnsi="Arial" w:cs="Arial"/>
          <w:b/>
          <w:bCs/>
          <w:color w:val="000000"/>
          <w:sz w:val="28"/>
          <w:szCs w:val="28"/>
        </w:rPr>
        <w:t xml:space="preserve"> or within a feeding device attached to the </w:t>
      </w:r>
      <w:r>
        <w:rPr>
          <w:rFonts w:ascii="Arial" w:hAnsi="Arial" w:cs="Arial"/>
          <w:b/>
          <w:bCs/>
          <w:color w:val="000000"/>
          <w:sz w:val="28"/>
          <w:szCs w:val="28"/>
        </w:rPr>
        <w:t>firearm</w:t>
      </w:r>
      <w:r w:rsidRPr="004116DB">
        <w:rPr>
          <w:rFonts w:ascii="Arial" w:hAnsi="Arial" w:cs="Arial"/>
          <w:b/>
          <w:bCs/>
          <w:color w:val="000000"/>
          <w:sz w:val="28"/>
          <w:szCs w:val="28"/>
        </w:rPr>
        <w:t xml:space="preserve">.  </w:t>
      </w:r>
    </w:p>
    <w:p w14:paraId="7EA4A857" w14:textId="77777777" w:rsidR="008221F3" w:rsidRDefault="008221F3" w:rsidP="008221F3">
      <w:pPr>
        <w:spacing w:line="240" w:lineRule="auto"/>
        <w:ind w:left="810"/>
        <w:rPr>
          <w:rFonts w:ascii="Arial" w:hAnsi="Arial" w:cs="Arial"/>
          <w:i/>
          <w:iCs/>
          <w:sz w:val="20"/>
          <w:szCs w:val="20"/>
        </w:rPr>
      </w:pPr>
      <w:r w:rsidRPr="00435730">
        <w:rPr>
          <w:rFonts w:ascii="Arial" w:hAnsi="Arial" w:cs="Arial"/>
          <w:sz w:val="20"/>
          <w:szCs w:val="20"/>
        </w:rPr>
        <w:t>G.L. c. 269, § 10(o). See also G.L. c. 140, § 121</w:t>
      </w:r>
      <w:r>
        <w:rPr>
          <w:rFonts w:ascii="Arial" w:hAnsi="Arial" w:cs="Arial"/>
          <w:i/>
          <w:iCs/>
          <w:sz w:val="20"/>
          <w:szCs w:val="20"/>
        </w:rPr>
        <w:t>.</w:t>
      </w:r>
    </w:p>
    <w:p w14:paraId="0DDB030D" w14:textId="77777777" w:rsidR="008221F3" w:rsidRDefault="008221F3" w:rsidP="008221F3">
      <w:pPr>
        <w:spacing w:line="240" w:lineRule="auto"/>
        <w:ind w:firstLine="720"/>
        <w:rPr>
          <w:rFonts w:ascii="Arial" w:hAnsi="Arial" w:cs="Arial"/>
          <w:i/>
          <w:iCs/>
          <w:sz w:val="20"/>
          <w:szCs w:val="20"/>
        </w:rPr>
      </w:pPr>
    </w:p>
    <w:p w14:paraId="2610BD80" w14:textId="0DBCC8BF" w:rsidR="008221F3" w:rsidRDefault="008221F3" w:rsidP="008221F3">
      <w:pPr>
        <w:spacing w:line="480" w:lineRule="auto"/>
        <w:ind w:firstLine="720"/>
        <w:rPr>
          <w:rFonts w:ascii="Arial" w:hAnsi="Arial" w:cs="Arial"/>
          <w:b/>
          <w:bCs/>
          <w:sz w:val="28"/>
          <w:szCs w:val="28"/>
        </w:rPr>
      </w:pPr>
      <w:r w:rsidRPr="004116DB">
        <w:rPr>
          <w:rFonts w:ascii="Arial" w:hAnsi="Arial" w:cs="Arial"/>
          <w:b/>
          <w:bCs/>
          <w:sz w:val="28"/>
          <w:szCs w:val="28"/>
        </w:rPr>
        <w:t>To prove the</w:t>
      </w:r>
      <w:r>
        <w:rPr>
          <w:rFonts w:ascii="Arial" w:hAnsi="Arial" w:cs="Arial"/>
          <w:b/>
          <w:bCs/>
          <w:sz w:val="28"/>
          <w:szCs w:val="28"/>
        </w:rPr>
        <w:t xml:space="preserve"> second </w:t>
      </w:r>
      <w:r w:rsidRPr="004116DB">
        <w:rPr>
          <w:rFonts w:ascii="Arial" w:hAnsi="Arial" w:cs="Arial"/>
          <w:b/>
          <w:bCs/>
          <w:sz w:val="28"/>
          <w:szCs w:val="28"/>
        </w:rPr>
        <w:t xml:space="preserve">element, the Commonwealth must prove beyond a reasonable doubt that the defendant knew that </w:t>
      </w:r>
      <w:r>
        <w:rPr>
          <w:rFonts w:ascii="Arial" w:hAnsi="Arial" w:cs="Arial"/>
          <w:b/>
          <w:bCs/>
          <w:sz w:val="28"/>
          <w:szCs w:val="28"/>
        </w:rPr>
        <w:t>the</w:t>
      </w:r>
      <w:r w:rsidRPr="004116DB">
        <w:rPr>
          <w:rFonts w:ascii="Arial" w:hAnsi="Arial" w:cs="Arial"/>
          <w:b/>
          <w:bCs/>
          <w:sz w:val="28"/>
          <w:szCs w:val="28"/>
        </w:rPr>
        <w:t xml:space="preserve"> </w:t>
      </w:r>
      <w:r w:rsidRPr="00DF64F3">
        <w:rPr>
          <w:rFonts w:ascii="Arial" w:hAnsi="Arial" w:cs="Arial"/>
          <w:b/>
          <w:bCs/>
          <w:sz w:val="28"/>
          <w:szCs w:val="28"/>
        </w:rPr>
        <w:t>firearm</w:t>
      </w:r>
      <w:r>
        <w:rPr>
          <w:rFonts w:ascii="Arial" w:hAnsi="Arial" w:cs="Arial"/>
          <w:b/>
          <w:bCs/>
          <w:sz w:val="28"/>
          <w:szCs w:val="28"/>
        </w:rPr>
        <w:t xml:space="preserve"> </w:t>
      </w:r>
      <w:r w:rsidRPr="00DF64F3">
        <w:rPr>
          <w:rFonts w:ascii="Arial" w:hAnsi="Arial" w:cs="Arial"/>
          <w:b/>
          <w:bCs/>
          <w:sz w:val="28"/>
          <w:szCs w:val="28"/>
        </w:rPr>
        <w:t>they possessed was loaded</w:t>
      </w:r>
      <w:r>
        <w:rPr>
          <w:rFonts w:ascii="Arial" w:hAnsi="Arial" w:cs="Arial"/>
          <w:b/>
          <w:bCs/>
          <w:sz w:val="28"/>
          <w:szCs w:val="28"/>
        </w:rPr>
        <w:t xml:space="preserve"> with amm</w:t>
      </w:r>
      <w:r w:rsidRPr="00BD4B54">
        <w:rPr>
          <w:rFonts w:ascii="Arial" w:hAnsi="Arial" w:cs="Arial"/>
          <w:b/>
          <w:bCs/>
          <w:sz w:val="28"/>
          <w:szCs w:val="28"/>
        </w:rPr>
        <w:t xml:space="preserve">unition.  You may examine the defendant’s actions and words, </w:t>
      </w:r>
      <w:r>
        <w:rPr>
          <w:rFonts w:ascii="Arial" w:hAnsi="Arial" w:cs="Arial"/>
          <w:b/>
          <w:bCs/>
          <w:sz w:val="28"/>
          <w:szCs w:val="28"/>
        </w:rPr>
        <w:t xml:space="preserve">any </w:t>
      </w:r>
      <w:r w:rsidRPr="00BD4B54">
        <w:rPr>
          <w:rFonts w:ascii="Arial" w:hAnsi="Arial" w:cs="Arial"/>
          <w:b/>
          <w:bCs/>
          <w:sz w:val="28"/>
          <w:szCs w:val="28"/>
        </w:rPr>
        <w:t xml:space="preserve">external indications about the nature of the weapon, </w:t>
      </w:r>
      <w:proofErr w:type="gramStart"/>
      <w:r w:rsidRPr="00BD4B54">
        <w:rPr>
          <w:rFonts w:ascii="Arial" w:hAnsi="Arial" w:cs="Arial"/>
          <w:b/>
          <w:bCs/>
          <w:sz w:val="28"/>
          <w:szCs w:val="28"/>
        </w:rPr>
        <w:t>all of</w:t>
      </w:r>
      <w:proofErr w:type="gramEnd"/>
      <w:r w:rsidRPr="00BD4B54">
        <w:rPr>
          <w:rFonts w:ascii="Arial" w:hAnsi="Arial" w:cs="Arial"/>
          <w:b/>
          <w:bCs/>
          <w:sz w:val="28"/>
          <w:szCs w:val="28"/>
        </w:rPr>
        <w:t xml:space="preserve"> the surrounding circumstances, </w:t>
      </w:r>
      <w:r>
        <w:rPr>
          <w:rFonts w:ascii="Arial" w:hAnsi="Arial" w:cs="Arial"/>
          <w:b/>
          <w:bCs/>
          <w:sz w:val="28"/>
          <w:szCs w:val="28"/>
        </w:rPr>
        <w:t xml:space="preserve">and any reasonable inferences from the evidence, </w:t>
      </w:r>
      <w:r w:rsidRPr="00BD4B54">
        <w:rPr>
          <w:rFonts w:ascii="Arial" w:hAnsi="Arial" w:cs="Arial"/>
          <w:b/>
          <w:bCs/>
          <w:sz w:val="28"/>
          <w:szCs w:val="28"/>
        </w:rPr>
        <w:t xml:space="preserve">to help you determine </w:t>
      </w:r>
      <w:r>
        <w:rPr>
          <w:rFonts w:ascii="Arial" w:hAnsi="Arial" w:cs="Arial"/>
          <w:b/>
          <w:bCs/>
          <w:sz w:val="28"/>
          <w:szCs w:val="28"/>
        </w:rPr>
        <w:t>whether the defendant knew the firearm was loaded with ammunition</w:t>
      </w:r>
      <w:r w:rsidRPr="00BD4B54">
        <w:rPr>
          <w:rFonts w:ascii="Arial" w:hAnsi="Arial" w:cs="Arial"/>
          <w:b/>
          <w:bCs/>
          <w:sz w:val="28"/>
          <w:szCs w:val="28"/>
        </w:rPr>
        <w:t>.</w:t>
      </w:r>
      <w:r>
        <w:t xml:space="preserve"> </w:t>
      </w:r>
    </w:p>
    <w:p w14:paraId="6B429EAE" w14:textId="77777777" w:rsidR="008221F3" w:rsidRPr="007413F1" w:rsidRDefault="008221F3" w:rsidP="008221F3">
      <w:pPr>
        <w:pStyle w:val="NormalWeb"/>
        <w:shd w:val="clear" w:color="auto" w:fill="FFFFFF"/>
        <w:spacing w:before="0" w:beforeAutospacing="0" w:after="0" w:afterAutospacing="0"/>
        <w:ind w:left="720" w:right="720"/>
        <w:textAlignment w:val="baseline"/>
        <w:rPr>
          <w:rFonts w:ascii="Arial" w:hAnsi="Arial" w:cs="Arial"/>
          <w:color w:val="000000"/>
          <w:sz w:val="20"/>
          <w:szCs w:val="20"/>
          <w:bdr w:val="none" w:sz="0" w:space="0" w:color="auto" w:frame="1"/>
        </w:rPr>
      </w:pPr>
      <w:r w:rsidRPr="007413F1">
        <w:rPr>
          <w:rFonts w:ascii="Arial" w:hAnsi="Arial" w:cs="Arial"/>
          <w:sz w:val="20"/>
          <w:szCs w:val="20"/>
          <w:bdr w:val="none" w:sz="0" w:space="0" w:color="auto" w:frame="1"/>
        </w:rPr>
        <w:t>“’[K]</w:t>
      </w:r>
      <w:proofErr w:type="spellStart"/>
      <w:r w:rsidRPr="007413F1">
        <w:rPr>
          <w:rFonts w:ascii="Arial" w:hAnsi="Arial" w:cs="Arial"/>
          <w:sz w:val="20"/>
          <w:szCs w:val="20"/>
          <w:bdr w:val="none" w:sz="0" w:space="0" w:color="auto" w:frame="1"/>
        </w:rPr>
        <w:t>nowledge</w:t>
      </w:r>
      <w:proofErr w:type="spellEnd"/>
      <w:r w:rsidRPr="007413F1">
        <w:rPr>
          <w:rFonts w:ascii="Arial" w:hAnsi="Arial" w:cs="Arial"/>
          <w:sz w:val="20"/>
          <w:szCs w:val="20"/>
          <w:bdr w:val="none" w:sz="0" w:space="0" w:color="auto" w:frame="1"/>
        </w:rPr>
        <w:t xml:space="preserve"> can be inferred from circumstantial evidence, including any external indications signaling the nature of the weapon.’” </w:t>
      </w:r>
      <w:r w:rsidRPr="007413F1">
        <w:rPr>
          <w:rFonts w:ascii="Arial" w:hAnsi="Arial" w:cs="Arial"/>
          <w:sz w:val="20"/>
          <w:szCs w:val="20"/>
        </w:rPr>
        <w:t xml:space="preserve">See </w:t>
      </w:r>
      <w:r w:rsidRPr="007413F1">
        <w:rPr>
          <w:rFonts w:ascii="Arial" w:hAnsi="Arial" w:cs="Arial"/>
          <w:i/>
          <w:iCs/>
          <w:sz w:val="20"/>
          <w:szCs w:val="20"/>
          <w:bdr w:val="none" w:sz="0" w:space="0" w:color="auto" w:frame="1"/>
          <w:shd w:val="clear" w:color="auto" w:fill="FFFFFF"/>
        </w:rPr>
        <w:t>Commonwealth v. Brown</w:t>
      </w:r>
      <w:r w:rsidRPr="007413F1">
        <w:rPr>
          <w:rFonts w:ascii="Arial" w:hAnsi="Arial" w:cs="Arial"/>
          <w:sz w:val="20"/>
          <w:szCs w:val="20"/>
          <w:bdr w:val="none" w:sz="0" w:space="0" w:color="auto" w:frame="1"/>
          <w:shd w:val="clear" w:color="auto" w:fill="FFFFFF"/>
        </w:rPr>
        <w:t>, 479 Mass. 600, 608</w:t>
      </w:r>
      <w:r w:rsidRPr="007413F1">
        <w:rPr>
          <w:rFonts w:ascii="Arial" w:hAnsi="Arial" w:cs="Arial"/>
          <w:sz w:val="20"/>
          <w:szCs w:val="20"/>
        </w:rPr>
        <w:t xml:space="preserve"> (2018), quoting</w:t>
      </w:r>
      <w:r w:rsidRPr="007413F1">
        <w:rPr>
          <w:rFonts w:ascii="Arial" w:hAnsi="Arial" w:cs="Arial"/>
          <w:sz w:val="20"/>
          <w:szCs w:val="20"/>
          <w:bdr w:val="none" w:sz="0" w:space="0" w:color="auto" w:frame="1"/>
        </w:rPr>
        <w:t> </w:t>
      </w:r>
      <w:r w:rsidRPr="007413F1">
        <w:rPr>
          <w:rFonts w:ascii="Arial" w:hAnsi="Arial" w:cs="Arial"/>
          <w:i/>
          <w:iCs/>
          <w:sz w:val="20"/>
          <w:szCs w:val="20"/>
          <w:bdr w:val="none" w:sz="0" w:space="0" w:color="auto" w:frame="1"/>
        </w:rPr>
        <w:t>Staples</w:t>
      </w:r>
      <w:r w:rsidRPr="007413F1">
        <w:rPr>
          <w:rFonts w:ascii="Arial" w:hAnsi="Arial" w:cs="Arial"/>
          <w:sz w:val="20"/>
          <w:szCs w:val="20"/>
          <w:bdr w:val="none" w:sz="0" w:space="0" w:color="auto" w:frame="1"/>
        </w:rPr>
        <w:t> v. </w:t>
      </w:r>
      <w:r w:rsidRPr="007413F1">
        <w:rPr>
          <w:rFonts w:ascii="Arial" w:hAnsi="Arial" w:cs="Arial"/>
          <w:i/>
          <w:iCs/>
          <w:sz w:val="20"/>
          <w:szCs w:val="20"/>
          <w:bdr w:val="none" w:sz="0" w:space="0" w:color="auto" w:frame="1"/>
        </w:rPr>
        <w:t>United States</w:t>
      </w:r>
      <w:r w:rsidRPr="007413F1">
        <w:rPr>
          <w:rFonts w:ascii="Arial" w:hAnsi="Arial" w:cs="Arial"/>
          <w:sz w:val="20"/>
          <w:szCs w:val="20"/>
          <w:bdr w:val="none" w:sz="0" w:space="0" w:color="auto" w:frame="1"/>
        </w:rPr>
        <w:t>, 511 U.S. 600, 615 n.11 (1994) (insufficient evidence to prove defendant knew firearm was loaded; magazine inserted and not visible</w:t>
      </w:r>
      <w:r>
        <w:rPr>
          <w:rFonts w:ascii="Arial" w:hAnsi="Arial" w:cs="Arial"/>
          <w:sz w:val="20"/>
          <w:szCs w:val="20"/>
          <w:bdr w:val="none" w:sz="0" w:space="0" w:color="auto" w:frame="1"/>
        </w:rPr>
        <w:t xml:space="preserve">; </w:t>
      </w:r>
      <w:r w:rsidRPr="007413F1">
        <w:rPr>
          <w:rFonts w:ascii="Arial" w:hAnsi="Arial" w:cs="Arial"/>
          <w:sz w:val="20"/>
          <w:szCs w:val="20"/>
          <w:bdr w:val="none" w:sz="0" w:space="0" w:color="auto" w:frame="1"/>
        </w:rPr>
        <w:t>no other evidence warranting inference of knowledge)</w:t>
      </w:r>
      <w:r>
        <w:rPr>
          <w:rFonts w:ascii="Arial" w:hAnsi="Arial" w:cs="Arial"/>
          <w:sz w:val="20"/>
          <w:szCs w:val="20"/>
          <w:bdr w:val="none" w:sz="0" w:space="0" w:color="auto" w:frame="1"/>
        </w:rPr>
        <w:t>;</w:t>
      </w:r>
      <w:r w:rsidRPr="007413F1">
        <w:rPr>
          <w:rFonts w:ascii="Arial" w:hAnsi="Arial" w:cs="Arial"/>
          <w:sz w:val="20"/>
          <w:szCs w:val="20"/>
          <w:bdr w:val="none" w:sz="0" w:space="0" w:color="auto" w:frame="1"/>
        </w:rPr>
        <w:t xml:space="preserve"> </w:t>
      </w:r>
      <w:r w:rsidRPr="007413F1">
        <w:rPr>
          <w:rFonts w:ascii="Arial" w:hAnsi="Arial" w:cs="Arial"/>
          <w:i/>
          <w:iCs/>
          <w:sz w:val="20"/>
          <w:szCs w:val="20"/>
        </w:rPr>
        <w:t>Commonwealth v. Galarza</w:t>
      </w:r>
      <w:r w:rsidRPr="007413F1">
        <w:rPr>
          <w:rFonts w:ascii="Arial" w:hAnsi="Arial" w:cs="Arial"/>
          <w:sz w:val="20"/>
          <w:szCs w:val="20"/>
        </w:rPr>
        <w:t xml:space="preserve">, 93 Mass. App. Ct. 740, 748 (2018) (same).  See also </w:t>
      </w:r>
      <w:r w:rsidRPr="007413F1">
        <w:rPr>
          <w:rFonts w:ascii="Arial" w:hAnsi="Arial" w:cs="Arial"/>
          <w:i/>
          <w:iCs/>
          <w:sz w:val="20"/>
          <w:szCs w:val="20"/>
          <w:bdr w:val="none" w:sz="0" w:space="0" w:color="auto" w:frame="1"/>
          <w:shd w:val="clear" w:color="auto" w:fill="FFFFFF"/>
        </w:rPr>
        <w:t xml:space="preserve">Commonwealth v. </w:t>
      </w:r>
      <w:proofErr w:type="spellStart"/>
      <w:r w:rsidRPr="007413F1">
        <w:rPr>
          <w:rFonts w:ascii="Arial" w:hAnsi="Arial" w:cs="Arial"/>
          <w:i/>
          <w:iCs/>
          <w:sz w:val="20"/>
          <w:szCs w:val="20"/>
          <w:bdr w:val="none" w:sz="0" w:space="0" w:color="auto" w:frame="1"/>
          <w:shd w:val="clear" w:color="auto" w:fill="FFFFFF"/>
        </w:rPr>
        <w:t>Silvelo</w:t>
      </w:r>
      <w:proofErr w:type="spellEnd"/>
      <w:r w:rsidRPr="007413F1">
        <w:rPr>
          <w:rFonts w:ascii="Arial" w:hAnsi="Arial" w:cs="Arial"/>
          <w:sz w:val="20"/>
          <w:szCs w:val="20"/>
          <w:bdr w:val="none" w:sz="0" w:space="0" w:color="auto" w:frame="1"/>
          <w:shd w:val="clear" w:color="auto" w:fill="FFFFFF"/>
        </w:rPr>
        <w:t>, 486 Mass. 13, 19</w:t>
      </w:r>
      <w:r w:rsidRPr="007413F1">
        <w:rPr>
          <w:rFonts w:ascii="Arial" w:hAnsi="Arial" w:cs="Arial"/>
          <w:sz w:val="20"/>
          <w:szCs w:val="20"/>
        </w:rPr>
        <w:t xml:space="preserve"> (2020) (</w:t>
      </w:r>
      <w:r w:rsidRPr="007413F1">
        <w:rPr>
          <w:rFonts w:ascii="Arial" w:hAnsi="Arial" w:cs="Arial"/>
          <w:sz w:val="20"/>
          <w:szCs w:val="20"/>
          <w:bdr w:val="none" w:sz="0" w:space="0" w:color="auto" w:frame="1"/>
        </w:rPr>
        <w:t xml:space="preserve">ammunition would have been clearly visible in chamber given revolver's configuration); </w:t>
      </w:r>
      <w:r w:rsidRPr="007413F1">
        <w:rPr>
          <w:rFonts w:ascii="Arial" w:hAnsi="Arial" w:cs="Arial"/>
          <w:i/>
          <w:iCs/>
          <w:color w:val="000000"/>
          <w:sz w:val="20"/>
          <w:szCs w:val="20"/>
          <w:bdr w:val="none" w:sz="0" w:space="0" w:color="auto" w:frame="1"/>
        </w:rPr>
        <w:t>Commonwealth v. Cooper</w:t>
      </w:r>
      <w:r w:rsidRPr="007413F1">
        <w:rPr>
          <w:rFonts w:ascii="Arial" w:hAnsi="Arial" w:cs="Arial"/>
          <w:color w:val="000000"/>
          <w:sz w:val="20"/>
          <w:szCs w:val="20"/>
          <w:bdr w:val="none" w:sz="0" w:space="0" w:color="auto" w:frame="1"/>
        </w:rPr>
        <w:t xml:space="preserve">, 97 Mass. App. Ct. 772, 774 (2020) </w:t>
      </w:r>
      <w:r>
        <w:rPr>
          <w:rFonts w:ascii="Arial" w:hAnsi="Arial" w:cs="Arial"/>
          <w:color w:val="000000"/>
          <w:sz w:val="20"/>
          <w:szCs w:val="20"/>
          <w:bdr w:val="none" w:sz="0" w:space="0" w:color="auto" w:frame="1"/>
        </w:rPr>
        <w:t xml:space="preserve">(knowledge reasonably inferred where </w:t>
      </w:r>
      <w:r w:rsidRPr="007413F1">
        <w:rPr>
          <w:rFonts w:ascii="Arial" w:hAnsi="Arial" w:cs="Arial"/>
          <w:color w:val="000000"/>
          <w:sz w:val="20"/>
          <w:szCs w:val="20"/>
          <w:bdr w:val="none" w:sz="0" w:space="0" w:color="auto" w:frame="1"/>
        </w:rPr>
        <w:t xml:space="preserve">defendant was outside, gun </w:t>
      </w:r>
      <w:r>
        <w:rPr>
          <w:rFonts w:ascii="Arial" w:hAnsi="Arial" w:cs="Arial"/>
          <w:color w:val="000000"/>
          <w:sz w:val="20"/>
          <w:szCs w:val="20"/>
          <w:bdr w:val="none" w:sz="0" w:space="0" w:color="auto" w:frame="1"/>
        </w:rPr>
        <w:t>neither</w:t>
      </w:r>
      <w:r w:rsidRPr="007413F1">
        <w:rPr>
          <w:rFonts w:ascii="Arial" w:hAnsi="Arial" w:cs="Arial"/>
          <w:color w:val="000000"/>
          <w:sz w:val="20"/>
          <w:szCs w:val="20"/>
          <w:bdr w:val="none" w:sz="0" w:space="0" w:color="auto" w:frame="1"/>
        </w:rPr>
        <w:t xml:space="preserve"> holstered nor concealed but drawn and tucked into his armpit area</w:t>
      </w:r>
      <w:r>
        <w:rPr>
          <w:rFonts w:ascii="Arial" w:hAnsi="Arial" w:cs="Arial"/>
          <w:color w:val="000000"/>
          <w:sz w:val="20"/>
          <w:szCs w:val="20"/>
          <w:bdr w:val="none" w:sz="0" w:space="0" w:color="auto" w:frame="1"/>
        </w:rPr>
        <w:t xml:space="preserve">; </w:t>
      </w:r>
      <w:r w:rsidRPr="007413F1">
        <w:rPr>
          <w:rFonts w:ascii="Arial" w:hAnsi="Arial" w:cs="Arial"/>
          <w:color w:val="000000"/>
          <w:sz w:val="20"/>
          <w:szCs w:val="20"/>
          <w:bdr w:val="none" w:sz="0" w:space="0" w:color="auto" w:frame="1"/>
        </w:rPr>
        <w:t>defendant stated he obtained gun for self-protecti</w:t>
      </w:r>
      <w:r>
        <w:rPr>
          <w:rFonts w:ascii="Arial" w:hAnsi="Arial" w:cs="Arial"/>
          <w:color w:val="000000"/>
          <w:sz w:val="20"/>
          <w:szCs w:val="20"/>
          <w:bdr w:val="none" w:sz="0" w:space="0" w:color="auto" w:frame="1"/>
        </w:rPr>
        <w:t>on</w:t>
      </w:r>
      <w:r w:rsidRPr="007413F1">
        <w:rPr>
          <w:rFonts w:ascii="Arial" w:hAnsi="Arial" w:cs="Arial"/>
          <w:color w:val="000000"/>
          <w:sz w:val="20"/>
          <w:szCs w:val="20"/>
          <w:bdr w:val="none" w:sz="0" w:space="0" w:color="auto" w:frame="1"/>
        </w:rPr>
        <w:t xml:space="preserve"> after recent homicide); </w:t>
      </w:r>
      <w:r w:rsidRPr="007413F1">
        <w:rPr>
          <w:rFonts w:ascii="Arial" w:hAnsi="Arial" w:cs="Arial"/>
          <w:i/>
          <w:iCs/>
          <w:color w:val="000000"/>
          <w:sz w:val="20"/>
          <w:szCs w:val="20"/>
          <w:bdr w:val="none" w:sz="0" w:space="0" w:color="auto" w:frame="1"/>
        </w:rPr>
        <w:t>Commonwealth v. Mitchell</w:t>
      </w:r>
      <w:r w:rsidRPr="007413F1">
        <w:rPr>
          <w:rFonts w:ascii="Arial" w:hAnsi="Arial" w:cs="Arial"/>
          <w:color w:val="000000"/>
          <w:sz w:val="20"/>
          <w:szCs w:val="20"/>
          <w:bdr w:val="none" w:sz="0" w:space="0" w:color="auto" w:frame="1"/>
        </w:rPr>
        <w:t xml:space="preserve">, 95 Mass. App. Ct. 406, 419 (2019) </w:t>
      </w:r>
      <w:r>
        <w:rPr>
          <w:rFonts w:ascii="Arial" w:hAnsi="Arial" w:cs="Arial"/>
          <w:color w:val="000000"/>
          <w:sz w:val="20"/>
          <w:szCs w:val="20"/>
          <w:bdr w:val="none" w:sz="0" w:space="0" w:color="auto" w:frame="1"/>
        </w:rPr>
        <w:t>(</w:t>
      </w:r>
      <w:r w:rsidRPr="007413F1">
        <w:rPr>
          <w:rFonts w:ascii="Arial" w:hAnsi="Arial" w:cs="Arial"/>
          <w:color w:val="000000"/>
          <w:sz w:val="20"/>
          <w:szCs w:val="20"/>
          <w:bdr w:val="none" w:sz="0" w:space="0" w:color="auto" w:frame="1"/>
        </w:rPr>
        <w:t>“</w:t>
      </w:r>
      <w:r w:rsidRPr="007413F1">
        <w:rPr>
          <w:rFonts w:ascii="Arial" w:hAnsi="Arial" w:cs="Arial"/>
          <w:color w:val="000000"/>
          <w:sz w:val="20"/>
          <w:szCs w:val="20"/>
        </w:rPr>
        <w:t>reasonable to infer that one who brings a gun to a location knows whether or not it is loaded”</w:t>
      </w:r>
      <w:r>
        <w:rPr>
          <w:rFonts w:ascii="Arial" w:hAnsi="Arial" w:cs="Arial"/>
          <w:color w:val="000000"/>
          <w:sz w:val="20"/>
          <w:szCs w:val="20"/>
        </w:rPr>
        <w:t>)</w:t>
      </w:r>
      <w:r w:rsidRPr="007413F1">
        <w:rPr>
          <w:rFonts w:ascii="Arial" w:hAnsi="Arial" w:cs="Arial"/>
          <w:color w:val="000000"/>
          <w:sz w:val="20"/>
          <w:szCs w:val="20"/>
        </w:rPr>
        <w:t>;</w:t>
      </w:r>
      <w:r>
        <w:rPr>
          <w:rFonts w:ascii="Arial" w:hAnsi="Arial" w:cs="Arial"/>
          <w:color w:val="000000"/>
          <w:sz w:val="20"/>
          <w:szCs w:val="20"/>
        </w:rPr>
        <w:t xml:space="preserve"> </w:t>
      </w:r>
      <w:r w:rsidRPr="00435730">
        <w:rPr>
          <w:rFonts w:ascii="Arial" w:hAnsi="Arial" w:cs="Arial"/>
          <w:i/>
          <w:iCs/>
          <w:color w:val="000000"/>
          <w:sz w:val="20"/>
          <w:szCs w:val="20"/>
        </w:rPr>
        <w:t>C</w:t>
      </w:r>
      <w:r w:rsidRPr="007413F1">
        <w:rPr>
          <w:rFonts w:ascii="Arial" w:hAnsi="Arial" w:cs="Arial"/>
          <w:i/>
          <w:iCs/>
          <w:color w:val="000000"/>
          <w:sz w:val="20"/>
          <w:szCs w:val="20"/>
          <w:bdr w:val="none" w:sz="0" w:space="0" w:color="auto" w:frame="1"/>
        </w:rPr>
        <w:t>ommonwealth</w:t>
      </w:r>
      <w:r w:rsidRPr="007413F1">
        <w:rPr>
          <w:rFonts w:ascii="Arial" w:hAnsi="Arial" w:cs="Arial"/>
          <w:color w:val="000000"/>
          <w:sz w:val="20"/>
          <w:szCs w:val="20"/>
          <w:bdr w:val="none" w:sz="0" w:space="0" w:color="auto" w:frame="1"/>
        </w:rPr>
        <w:t> v. </w:t>
      </w:r>
      <w:r w:rsidRPr="007413F1">
        <w:rPr>
          <w:rFonts w:ascii="Arial" w:hAnsi="Arial" w:cs="Arial"/>
          <w:i/>
          <w:iCs/>
          <w:color w:val="000000"/>
          <w:sz w:val="20"/>
          <w:szCs w:val="20"/>
          <w:bdr w:val="none" w:sz="0" w:space="0" w:color="auto" w:frame="1"/>
        </w:rPr>
        <w:t>Resende</w:t>
      </w:r>
      <w:r w:rsidRPr="007413F1">
        <w:rPr>
          <w:rFonts w:ascii="Arial" w:hAnsi="Arial" w:cs="Arial"/>
          <w:color w:val="000000"/>
          <w:sz w:val="20"/>
          <w:szCs w:val="20"/>
          <w:bdr w:val="none" w:sz="0" w:space="0" w:color="auto" w:frame="1"/>
        </w:rPr>
        <w:t xml:space="preserve">, 94 Mass. App. Ct. 194, 200 (2018) (jury reasonably could have </w:t>
      </w:r>
      <w:r>
        <w:rPr>
          <w:rFonts w:ascii="Arial" w:hAnsi="Arial" w:cs="Arial"/>
          <w:color w:val="000000"/>
          <w:sz w:val="20"/>
          <w:szCs w:val="20"/>
          <w:bdr w:val="none" w:sz="0" w:space="0" w:color="auto" w:frame="1"/>
        </w:rPr>
        <w:t xml:space="preserve">inferred knowledge where </w:t>
      </w:r>
      <w:r w:rsidRPr="007413F1">
        <w:rPr>
          <w:rFonts w:ascii="Arial" w:hAnsi="Arial" w:cs="Arial"/>
          <w:color w:val="000000"/>
          <w:sz w:val="20"/>
          <w:szCs w:val="20"/>
          <w:bdr w:val="none" w:sz="0" w:space="0" w:color="auto" w:frame="1"/>
        </w:rPr>
        <w:t>defendant would have checked to see if firearm was loaded before he put it in his waistband</w:t>
      </w:r>
      <w:r>
        <w:rPr>
          <w:rFonts w:ascii="Arial" w:hAnsi="Arial" w:cs="Arial"/>
          <w:color w:val="000000"/>
          <w:sz w:val="20"/>
          <w:szCs w:val="20"/>
          <w:bdr w:val="none" w:sz="0" w:space="0" w:color="auto" w:frame="1"/>
        </w:rPr>
        <w:t>, among other circumstances</w:t>
      </w:r>
      <w:r w:rsidRPr="007413F1">
        <w:rPr>
          <w:rFonts w:ascii="Arial" w:hAnsi="Arial" w:cs="Arial"/>
          <w:color w:val="000000"/>
          <w:sz w:val="20"/>
          <w:szCs w:val="20"/>
          <w:bdr w:val="none" w:sz="0" w:space="0" w:color="auto" w:frame="1"/>
        </w:rPr>
        <w:t>). </w:t>
      </w:r>
    </w:p>
    <w:p w14:paraId="75CE687A" w14:textId="77777777" w:rsidR="008221F3" w:rsidRPr="00B56D07" w:rsidRDefault="008221F3" w:rsidP="008221F3">
      <w:pPr>
        <w:spacing w:line="240" w:lineRule="auto"/>
        <w:rPr>
          <w:rFonts w:ascii="Arial" w:hAnsi="Arial" w:cs="Arial"/>
          <w:i/>
          <w:iCs/>
          <w:sz w:val="24"/>
          <w:szCs w:val="24"/>
        </w:rPr>
      </w:pPr>
    </w:p>
    <w:p w14:paraId="181A968C" w14:textId="283EA831" w:rsidR="006B74C7" w:rsidRDefault="008221F3" w:rsidP="0009317C">
      <w:pPr>
        <w:spacing w:line="480" w:lineRule="auto"/>
        <w:ind w:firstLine="720"/>
        <w:rPr>
          <w:rFonts w:ascii="Arial" w:hAnsi="Arial" w:cs="Arial"/>
          <w:b/>
          <w:bCs/>
          <w:sz w:val="28"/>
          <w:szCs w:val="28"/>
        </w:rPr>
      </w:pPr>
      <w:r w:rsidRPr="00B520A4">
        <w:rPr>
          <w:rFonts w:ascii="Arial" w:hAnsi="Arial" w:cs="Arial"/>
          <w:b/>
          <w:bCs/>
          <w:sz w:val="28"/>
          <w:szCs w:val="28"/>
        </w:rPr>
        <w:lastRenderedPageBreak/>
        <w:t>If the Commonwealth has prove</w:t>
      </w:r>
      <w:r>
        <w:rPr>
          <w:rFonts w:ascii="Arial" w:hAnsi="Arial" w:cs="Arial"/>
          <w:b/>
          <w:bCs/>
          <w:sz w:val="28"/>
          <w:szCs w:val="28"/>
        </w:rPr>
        <w:t xml:space="preserve">d these two additional </w:t>
      </w:r>
      <w:r w:rsidRPr="00B520A4">
        <w:rPr>
          <w:rFonts w:ascii="Arial" w:hAnsi="Arial" w:cs="Arial"/>
          <w:b/>
          <w:bCs/>
          <w:sz w:val="28"/>
          <w:szCs w:val="28"/>
        </w:rPr>
        <w:t>element</w:t>
      </w:r>
      <w:r>
        <w:rPr>
          <w:rFonts w:ascii="Arial" w:hAnsi="Arial" w:cs="Arial"/>
          <w:b/>
          <w:bCs/>
          <w:sz w:val="28"/>
          <w:szCs w:val="28"/>
        </w:rPr>
        <w:t xml:space="preserve">s </w:t>
      </w:r>
      <w:r w:rsidRPr="00B520A4">
        <w:rPr>
          <w:rFonts w:ascii="Arial" w:hAnsi="Arial" w:cs="Arial"/>
          <w:b/>
          <w:bCs/>
          <w:sz w:val="28"/>
          <w:szCs w:val="28"/>
        </w:rPr>
        <w:t xml:space="preserve">beyond a reasonable doubt, </w:t>
      </w:r>
      <w:r>
        <w:rPr>
          <w:rFonts w:ascii="Arial" w:hAnsi="Arial" w:cs="Arial"/>
          <w:b/>
          <w:bCs/>
          <w:sz w:val="28"/>
          <w:szCs w:val="28"/>
        </w:rPr>
        <w:t>you should return a verdict of</w:t>
      </w:r>
      <w:r w:rsidRPr="00B520A4">
        <w:rPr>
          <w:rFonts w:ascii="Arial" w:hAnsi="Arial" w:cs="Arial"/>
          <w:b/>
          <w:bCs/>
          <w:sz w:val="28"/>
          <w:szCs w:val="28"/>
        </w:rPr>
        <w:t xml:space="preserve"> </w:t>
      </w:r>
      <w:proofErr w:type="gramStart"/>
      <w:r w:rsidRPr="00B520A4">
        <w:rPr>
          <w:rFonts w:ascii="Arial" w:hAnsi="Arial" w:cs="Arial"/>
          <w:b/>
          <w:bCs/>
          <w:sz w:val="28"/>
          <w:szCs w:val="28"/>
        </w:rPr>
        <w:t>guilty</w:t>
      </w:r>
      <w:proofErr w:type="gramEnd"/>
      <w:r w:rsidR="00797D56">
        <w:rPr>
          <w:rFonts w:ascii="Arial" w:hAnsi="Arial" w:cs="Arial"/>
          <w:b/>
          <w:bCs/>
          <w:sz w:val="28"/>
          <w:szCs w:val="28"/>
        </w:rPr>
        <w:t xml:space="preserve"> of knowingly possessing a loaded firearm</w:t>
      </w:r>
      <w:r w:rsidRPr="00B520A4">
        <w:rPr>
          <w:rFonts w:ascii="Arial" w:hAnsi="Arial" w:cs="Arial"/>
          <w:b/>
          <w:bCs/>
          <w:sz w:val="28"/>
          <w:szCs w:val="28"/>
        </w:rPr>
        <w:t>.  If the Commonwealth has failed to prove one or more of the elements</w:t>
      </w:r>
      <w:r>
        <w:rPr>
          <w:rFonts w:ascii="Arial" w:hAnsi="Arial" w:cs="Arial"/>
          <w:b/>
          <w:bCs/>
          <w:sz w:val="28"/>
          <w:szCs w:val="28"/>
        </w:rPr>
        <w:t xml:space="preserve"> beyond a reasonable doubt</w:t>
      </w:r>
      <w:r w:rsidRPr="00B520A4">
        <w:rPr>
          <w:rFonts w:ascii="Arial" w:hAnsi="Arial" w:cs="Arial"/>
          <w:b/>
          <w:bCs/>
          <w:sz w:val="28"/>
          <w:szCs w:val="28"/>
        </w:rPr>
        <w:t>, you must find the defendant not guilty</w:t>
      </w:r>
      <w:r w:rsidR="00797D56">
        <w:rPr>
          <w:rFonts w:ascii="Arial" w:hAnsi="Arial" w:cs="Arial"/>
          <w:b/>
          <w:bCs/>
          <w:sz w:val="28"/>
          <w:szCs w:val="28"/>
        </w:rPr>
        <w:t xml:space="preserve"> of knowingly possessing a loaded firearm</w:t>
      </w:r>
      <w:r w:rsidRPr="00B520A4">
        <w:rPr>
          <w:rFonts w:ascii="Arial" w:hAnsi="Arial" w:cs="Arial"/>
          <w:b/>
          <w:bCs/>
          <w:sz w:val="28"/>
          <w:szCs w:val="28"/>
        </w:rPr>
        <w:t xml:space="preserve">.  </w:t>
      </w:r>
    </w:p>
    <w:p w14:paraId="5C76D220" w14:textId="1385BAE4" w:rsidR="009E413B" w:rsidRPr="009E413B" w:rsidRDefault="009E413B" w:rsidP="009E413B">
      <w:pPr>
        <w:spacing w:after="0" w:line="240" w:lineRule="auto"/>
        <w:rPr>
          <w:rFonts w:ascii="Arial" w:hAnsi="Arial" w:cs="Arial"/>
          <w:b/>
          <w:bCs/>
          <w:sz w:val="20"/>
          <w:szCs w:val="20"/>
        </w:rPr>
      </w:pPr>
      <w:r w:rsidRPr="009E413B">
        <w:rPr>
          <w:rFonts w:ascii="Arial" w:hAnsi="Arial" w:cs="Arial"/>
          <w:b/>
          <w:bCs/>
          <w:sz w:val="20"/>
          <w:szCs w:val="20"/>
        </w:rPr>
        <w:t>NOTES:</w:t>
      </w:r>
    </w:p>
    <w:p w14:paraId="1AFC1F9A" w14:textId="77777777" w:rsidR="009E413B" w:rsidRDefault="009E413B" w:rsidP="00EB62EF">
      <w:pPr>
        <w:pStyle w:val="ListParagraph"/>
        <w:numPr>
          <w:ilvl w:val="0"/>
          <w:numId w:val="12"/>
        </w:numPr>
        <w:spacing w:before="240" w:after="0" w:line="240" w:lineRule="auto"/>
        <w:ind w:left="0" w:firstLine="360"/>
        <w:rPr>
          <w:rFonts w:ascii="Arial" w:hAnsi="Arial" w:cs="Arial"/>
          <w:b/>
          <w:bCs/>
          <w:sz w:val="20"/>
          <w:szCs w:val="20"/>
        </w:rPr>
      </w:pPr>
      <w:r w:rsidRPr="009E413B">
        <w:rPr>
          <w:rFonts w:ascii="Arial" w:hAnsi="Arial" w:cs="Arial"/>
          <w:b/>
          <w:bCs/>
          <w:sz w:val="20"/>
          <w:szCs w:val="20"/>
        </w:rPr>
        <w:t xml:space="preserve">Commonwealth must prove defendant </w:t>
      </w:r>
      <w:proofErr w:type="gramStart"/>
      <w:r w:rsidRPr="009E413B">
        <w:rPr>
          <w:rFonts w:ascii="Arial" w:hAnsi="Arial" w:cs="Arial"/>
          <w:b/>
          <w:bCs/>
          <w:sz w:val="20"/>
          <w:szCs w:val="20"/>
        </w:rPr>
        <w:t>not</w:t>
      </w:r>
      <w:proofErr w:type="gramEnd"/>
      <w:r w:rsidRPr="009E413B">
        <w:rPr>
          <w:rFonts w:ascii="Arial" w:hAnsi="Arial" w:cs="Arial"/>
          <w:b/>
          <w:bCs/>
          <w:sz w:val="20"/>
          <w:szCs w:val="20"/>
        </w:rPr>
        <w:t xml:space="preserve"> licensed.</w:t>
      </w:r>
      <w:r w:rsidRPr="009E413B">
        <w:rPr>
          <w:rFonts w:ascii="Arial" w:hAnsi="Arial" w:cs="Arial"/>
          <w:sz w:val="20"/>
          <w:szCs w:val="20"/>
        </w:rPr>
        <w:t xml:space="preserve">  The Commonwealth must prove that the defendant was not licensed to carry a firearm as an element of unlawful possession of a firearm under G.L. c. 269, § 10(a).  </w:t>
      </w:r>
      <w:r w:rsidRPr="009E413B">
        <w:rPr>
          <w:rFonts w:ascii="Arial" w:hAnsi="Arial" w:cs="Arial"/>
          <w:i/>
          <w:iCs/>
          <w:sz w:val="20"/>
          <w:szCs w:val="20"/>
        </w:rPr>
        <w:t>Commonwealth v. Guardado</w:t>
      </w:r>
      <w:r w:rsidRPr="009E413B">
        <w:rPr>
          <w:rFonts w:ascii="Arial" w:hAnsi="Arial" w:cs="Arial"/>
          <w:sz w:val="20"/>
          <w:szCs w:val="20"/>
        </w:rPr>
        <w:t xml:space="preserve">, 491 Mass. 666, 668 (2023).  This new rule applies prospectively and to those cases that were active or pending on direct review as of June 23, 2022, the date of the issuance of </w:t>
      </w:r>
      <w:r w:rsidRPr="009E413B">
        <w:rPr>
          <w:rFonts w:ascii="Arial" w:hAnsi="Arial" w:cs="Arial"/>
          <w:i/>
          <w:iCs/>
          <w:sz w:val="20"/>
          <w:szCs w:val="20"/>
        </w:rPr>
        <w:t xml:space="preserve">New York State Rifle &amp; Pistol </w:t>
      </w:r>
      <w:proofErr w:type="spellStart"/>
      <w:r w:rsidRPr="009E413B">
        <w:rPr>
          <w:rFonts w:ascii="Arial" w:hAnsi="Arial" w:cs="Arial"/>
          <w:i/>
          <w:iCs/>
          <w:sz w:val="20"/>
          <w:szCs w:val="20"/>
        </w:rPr>
        <w:t>Ass’n</w:t>
      </w:r>
      <w:proofErr w:type="spellEnd"/>
      <w:r w:rsidRPr="009E413B">
        <w:rPr>
          <w:rFonts w:ascii="Arial" w:hAnsi="Arial" w:cs="Arial"/>
          <w:sz w:val="20"/>
          <w:szCs w:val="20"/>
        </w:rPr>
        <w:t xml:space="preserve"> </w:t>
      </w:r>
      <w:r w:rsidRPr="009E413B">
        <w:rPr>
          <w:rFonts w:ascii="Arial" w:hAnsi="Arial" w:cs="Arial"/>
          <w:i/>
          <w:iCs/>
          <w:sz w:val="20"/>
          <w:szCs w:val="20"/>
        </w:rPr>
        <w:t>v. Bruen</w:t>
      </w:r>
      <w:r w:rsidRPr="009E413B">
        <w:rPr>
          <w:rFonts w:ascii="Arial" w:hAnsi="Arial" w:cs="Arial"/>
          <w:sz w:val="20"/>
          <w:szCs w:val="20"/>
        </w:rPr>
        <w:t xml:space="preserve">, 142 S. Ct. 2111, 2122 (2022), in which the Supreme Court held that the Second Amendment to the United States Constitution protects an individual’s right to carry a firearm in public.  As a result of this ruling, in </w:t>
      </w:r>
      <w:r w:rsidRPr="009E413B">
        <w:rPr>
          <w:rFonts w:ascii="Arial" w:hAnsi="Arial" w:cs="Arial"/>
          <w:i/>
          <w:iCs/>
          <w:sz w:val="20"/>
          <w:szCs w:val="20"/>
        </w:rPr>
        <w:t>Guardado</w:t>
      </w:r>
      <w:r w:rsidRPr="009E413B">
        <w:rPr>
          <w:rFonts w:ascii="Arial" w:hAnsi="Arial" w:cs="Arial"/>
          <w:sz w:val="20"/>
          <w:szCs w:val="20"/>
        </w:rPr>
        <w:t xml:space="preserve">, the Supreme Judicial Court overturned Massachusetts precedent that licensure is an affirmative defense and instead, placed the burden on the Commonwealth to prove that the defendant did not have a license at the time of the offense.  See </w:t>
      </w:r>
      <w:r w:rsidRPr="009E413B">
        <w:rPr>
          <w:rFonts w:ascii="Arial" w:hAnsi="Arial" w:cs="Arial"/>
          <w:i/>
          <w:iCs/>
          <w:sz w:val="20"/>
          <w:szCs w:val="20"/>
        </w:rPr>
        <w:t>id.</w:t>
      </w:r>
      <w:r w:rsidRPr="009E413B">
        <w:rPr>
          <w:rFonts w:ascii="Arial" w:hAnsi="Arial" w:cs="Arial"/>
          <w:sz w:val="20"/>
          <w:szCs w:val="20"/>
        </w:rPr>
        <w:t xml:space="preserve"> at 668, 690. </w:t>
      </w:r>
    </w:p>
    <w:p w14:paraId="3B0A7C92" w14:textId="77777777" w:rsidR="009E413B" w:rsidRDefault="009E413B" w:rsidP="00EB62EF">
      <w:pPr>
        <w:pStyle w:val="ListParagraph"/>
        <w:spacing w:before="240" w:after="0" w:line="240" w:lineRule="auto"/>
        <w:ind w:left="360"/>
        <w:rPr>
          <w:rFonts w:ascii="Arial" w:hAnsi="Arial" w:cs="Arial"/>
          <w:b/>
          <w:bCs/>
          <w:sz w:val="20"/>
          <w:szCs w:val="20"/>
        </w:rPr>
      </w:pPr>
    </w:p>
    <w:p w14:paraId="3B1DA27B" w14:textId="77777777" w:rsidR="009E413B" w:rsidRPr="009E413B" w:rsidRDefault="006B74C7" w:rsidP="00EB62EF">
      <w:pPr>
        <w:pStyle w:val="ListParagraph"/>
        <w:numPr>
          <w:ilvl w:val="0"/>
          <w:numId w:val="12"/>
        </w:numPr>
        <w:spacing w:before="240" w:after="0" w:line="240" w:lineRule="auto"/>
        <w:ind w:left="0" w:firstLine="360"/>
        <w:rPr>
          <w:rFonts w:ascii="Arial" w:hAnsi="Arial" w:cs="Arial"/>
          <w:b/>
          <w:bCs/>
          <w:sz w:val="20"/>
          <w:szCs w:val="20"/>
        </w:rPr>
      </w:pPr>
      <w:r w:rsidRPr="009E413B">
        <w:rPr>
          <w:rFonts w:ascii="Arial" w:hAnsi="Arial" w:cs="Arial"/>
          <w:b/>
          <w:bCs/>
          <w:sz w:val="20"/>
          <w:szCs w:val="20"/>
        </w:rPr>
        <w:t>Proof of absence of license.</w:t>
      </w:r>
      <w:r w:rsidRPr="009E413B">
        <w:rPr>
          <w:rFonts w:ascii="Arial" w:hAnsi="Arial" w:cs="Arial"/>
          <w:sz w:val="20"/>
          <w:szCs w:val="20"/>
        </w:rPr>
        <w:t xml:space="preserve">  The Commonwealth may seek to admit statements by the defendant about the absence of a license or card.  See G. L. c. 140, § 129C, paragraph 9 (obligation to produce firearm license upon request of a police officer).  The Commonwealth may also seek to introduce properly certified or attested official government records from a local police department or the Firearms Records Bureau (or both).  G L. c. 233, §§ 76, 78 and 79J; Mass. R. Crim. P. 40 (a).  While such agency certificates or affidavits stating that there is no record of a firearm license issued to a defendant may not run afoul of hearsay or evidentiary rules, the Confrontation Clause would likely prohibit their admission without a testifying witness from the agency responsible for keeping such records, and who is familiar with how the records are kept, made, and stored.  </w:t>
      </w:r>
      <w:r w:rsidRPr="009E413B">
        <w:rPr>
          <w:rFonts w:ascii="Arial" w:hAnsi="Arial" w:cs="Arial"/>
          <w:i/>
          <w:iCs/>
          <w:sz w:val="20"/>
          <w:szCs w:val="20"/>
        </w:rPr>
        <w:t>Guardado</w:t>
      </w:r>
      <w:r w:rsidRPr="009E413B">
        <w:rPr>
          <w:rFonts w:ascii="Arial" w:hAnsi="Arial" w:cs="Arial"/>
          <w:sz w:val="20"/>
          <w:szCs w:val="20"/>
        </w:rPr>
        <w:t xml:space="preserve">, </w:t>
      </w:r>
      <w:r w:rsidRPr="009E413B">
        <w:rPr>
          <w:rFonts w:ascii="Arial" w:hAnsi="Arial" w:cs="Arial"/>
          <w:i/>
          <w:iCs/>
          <w:sz w:val="20"/>
          <w:szCs w:val="20"/>
        </w:rPr>
        <w:t>supra</w:t>
      </w:r>
      <w:r w:rsidRPr="009E413B">
        <w:rPr>
          <w:rFonts w:ascii="Arial" w:hAnsi="Arial" w:cs="Arial"/>
          <w:sz w:val="20"/>
          <w:szCs w:val="20"/>
        </w:rPr>
        <w:t xml:space="preserve"> at 695 (Lowy, J., concurring).  Whether a witness other than the one who undertook the search was qualified to testify about the search would be a preliminary question for the trial judge to decide.  </w:t>
      </w:r>
      <w:r w:rsidRPr="009E413B">
        <w:rPr>
          <w:rFonts w:ascii="Arial" w:hAnsi="Arial" w:cs="Arial"/>
          <w:i/>
          <w:iCs/>
          <w:sz w:val="20"/>
          <w:szCs w:val="20"/>
        </w:rPr>
        <w:t>Id</w:t>
      </w:r>
      <w:r w:rsidR="00DC1544" w:rsidRPr="009E413B">
        <w:rPr>
          <w:rFonts w:ascii="Arial" w:hAnsi="Arial" w:cs="Arial"/>
          <w:i/>
          <w:iCs/>
          <w:sz w:val="20"/>
          <w:szCs w:val="20"/>
        </w:rPr>
        <w:t>.</w:t>
      </w:r>
      <w:r w:rsidRPr="009E413B">
        <w:rPr>
          <w:rFonts w:ascii="Arial" w:hAnsi="Arial" w:cs="Arial"/>
          <w:i/>
          <w:iCs/>
          <w:sz w:val="20"/>
          <w:szCs w:val="20"/>
        </w:rPr>
        <w:t xml:space="preserve"> </w:t>
      </w:r>
      <w:r w:rsidRPr="009E413B">
        <w:rPr>
          <w:rFonts w:ascii="Arial" w:hAnsi="Arial" w:cs="Arial"/>
          <w:sz w:val="20"/>
          <w:szCs w:val="20"/>
        </w:rPr>
        <w:t>at 702-703</w:t>
      </w:r>
      <w:r w:rsidRPr="009E413B">
        <w:rPr>
          <w:rFonts w:ascii="Arial" w:hAnsi="Arial" w:cs="Arial"/>
          <w:i/>
          <w:iCs/>
          <w:sz w:val="20"/>
          <w:szCs w:val="20"/>
        </w:rPr>
        <w:t>.</w:t>
      </w:r>
      <w:r w:rsidRPr="009E413B">
        <w:rPr>
          <w:rFonts w:ascii="Arial" w:hAnsi="Arial" w:cs="Arial"/>
          <w:sz w:val="20"/>
          <w:szCs w:val="20"/>
        </w:rPr>
        <w:t xml:space="preserve">  </w:t>
      </w:r>
      <w:r w:rsidR="001E1E02" w:rsidRPr="009E413B">
        <w:rPr>
          <w:rFonts w:ascii="Arial" w:hAnsi="Arial" w:cs="Arial"/>
          <w:sz w:val="20"/>
          <w:szCs w:val="20"/>
        </w:rPr>
        <w:t xml:space="preserve">“For a witness ‘to be competent to testify that a search of the database returned no result ... [i]t suffices that the witness be familiar with the process of searching the database and with the public record-keeping practices with respect to the database.’” </w:t>
      </w:r>
      <w:r w:rsidR="001E1E02" w:rsidRPr="009E413B">
        <w:rPr>
          <w:rFonts w:ascii="Arial" w:hAnsi="Arial" w:cs="Arial"/>
          <w:i/>
          <w:iCs/>
          <w:sz w:val="20"/>
          <w:szCs w:val="20"/>
        </w:rPr>
        <w:t>Commonwealth v.</w:t>
      </w:r>
      <w:r w:rsidR="001E1E02" w:rsidRPr="009E413B">
        <w:rPr>
          <w:rFonts w:ascii="Arial" w:hAnsi="Arial" w:cs="Arial"/>
          <w:sz w:val="20"/>
          <w:szCs w:val="20"/>
        </w:rPr>
        <w:t xml:space="preserve"> Jones, 106 Mass. App. Ct. 613, 617 (2026), quoting </w:t>
      </w:r>
      <w:r w:rsidR="001E1E02" w:rsidRPr="009E413B">
        <w:rPr>
          <w:rFonts w:ascii="Arial" w:hAnsi="Arial" w:cs="Arial"/>
          <w:i/>
          <w:iCs/>
          <w:sz w:val="20"/>
          <w:szCs w:val="20"/>
        </w:rPr>
        <w:t>Commonwealth v. Smith</w:t>
      </w:r>
      <w:r w:rsidR="001E1E02" w:rsidRPr="009E413B">
        <w:rPr>
          <w:rFonts w:ascii="Arial" w:hAnsi="Arial" w:cs="Arial"/>
          <w:sz w:val="20"/>
          <w:szCs w:val="20"/>
        </w:rPr>
        <w:t xml:space="preserve">, 496 Mass. 304, 312 (2025). A diligent search to determine the absence of a record is met where the search efforts utilized would have found the record if it existed; the fact that it does not take a long time to search a database does not nullify the diligence of the search. </w:t>
      </w:r>
      <w:r w:rsidR="001E1E02" w:rsidRPr="009E413B">
        <w:rPr>
          <w:rFonts w:ascii="Arial" w:hAnsi="Arial" w:cs="Arial"/>
          <w:i/>
          <w:iCs/>
          <w:sz w:val="20"/>
          <w:szCs w:val="20"/>
        </w:rPr>
        <w:t xml:space="preserve">Jones, </w:t>
      </w:r>
      <w:r w:rsidR="001E1E02" w:rsidRPr="009E413B">
        <w:rPr>
          <w:rFonts w:ascii="Arial" w:hAnsi="Arial" w:cs="Arial"/>
          <w:sz w:val="20"/>
          <w:szCs w:val="20"/>
        </w:rPr>
        <w:t xml:space="preserve">106 Mass. App. Ct. 613.    </w:t>
      </w:r>
    </w:p>
    <w:p w14:paraId="3F912871" w14:textId="77777777" w:rsidR="009E413B" w:rsidRPr="009E413B" w:rsidRDefault="009E413B" w:rsidP="00EB62EF">
      <w:pPr>
        <w:pStyle w:val="ListParagraph"/>
        <w:spacing w:before="240" w:after="0" w:line="240" w:lineRule="auto"/>
        <w:ind w:left="360"/>
        <w:rPr>
          <w:rFonts w:ascii="Arial" w:hAnsi="Arial" w:cs="Arial"/>
          <w:b/>
          <w:bCs/>
          <w:sz w:val="20"/>
          <w:szCs w:val="20"/>
        </w:rPr>
      </w:pPr>
    </w:p>
    <w:p w14:paraId="0A9FEF27" w14:textId="77777777" w:rsidR="009E413B" w:rsidRPr="009E413B" w:rsidRDefault="006B74C7" w:rsidP="00EB62EF">
      <w:pPr>
        <w:pStyle w:val="ListParagraph"/>
        <w:numPr>
          <w:ilvl w:val="0"/>
          <w:numId w:val="12"/>
        </w:numPr>
        <w:spacing w:before="240" w:after="0" w:line="240" w:lineRule="auto"/>
        <w:ind w:left="0" w:firstLine="360"/>
        <w:rPr>
          <w:rFonts w:ascii="Arial" w:hAnsi="Arial" w:cs="Arial"/>
          <w:b/>
          <w:bCs/>
          <w:sz w:val="20"/>
          <w:szCs w:val="20"/>
        </w:rPr>
      </w:pPr>
      <w:r w:rsidRPr="009E413B">
        <w:rPr>
          <w:rFonts w:ascii="Arial" w:hAnsi="Arial" w:cs="Arial"/>
          <w:b/>
          <w:bCs/>
          <w:sz w:val="20"/>
          <w:szCs w:val="20"/>
        </w:rPr>
        <w:t>Ballistics certificate.</w:t>
      </w:r>
      <w:r w:rsidRPr="009E413B">
        <w:rPr>
          <w:rFonts w:ascii="Arial" w:hAnsi="Arial" w:cs="Arial"/>
          <w:sz w:val="20"/>
          <w:szCs w:val="20"/>
        </w:rPr>
        <w:t xml:space="preserve"> </w:t>
      </w:r>
      <w:r w:rsidR="00EF1707" w:rsidRPr="009E413B">
        <w:rPr>
          <w:rFonts w:ascii="Arial" w:hAnsi="Arial" w:cs="Arial"/>
          <w:sz w:val="20"/>
          <w:szCs w:val="20"/>
        </w:rPr>
        <w:t xml:space="preserve"> </w:t>
      </w:r>
      <w:r w:rsidRPr="009E413B">
        <w:rPr>
          <w:rFonts w:ascii="Arial" w:hAnsi="Arial" w:cs="Arial"/>
          <w:sz w:val="20"/>
          <w:szCs w:val="20"/>
        </w:rPr>
        <w:t>Despite the provision in G.L. c. 140, § 121</w:t>
      </w:r>
      <w:proofErr w:type="gramStart"/>
      <w:r w:rsidRPr="009E413B">
        <w:rPr>
          <w:rFonts w:ascii="Arial" w:hAnsi="Arial" w:cs="Arial"/>
          <w:sz w:val="20"/>
          <w:szCs w:val="20"/>
        </w:rPr>
        <w:t>A that</w:t>
      </w:r>
      <w:proofErr w:type="gramEnd"/>
      <w:r w:rsidRPr="009E413B">
        <w:rPr>
          <w:rFonts w:ascii="Arial" w:hAnsi="Arial" w:cs="Arial"/>
          <w:sz w:val="20"/>
          <w:szCs w:val="20"/>
        </w:rPr>
        <w:t xml:space="preserve"> a sworn certificate shall constitute prima facie evidence of the findings of a ballistics expert, the admission of a ballistics certificate without the opportunity to cross-examine the certifying ballistician is constitutional error.  See </w:t>
      </w:r>
      <w:r w:rsidRPr="009E413B">
        <w:rPr>
          <w:rStyle w:val="ac"/>
          <w:rFonts w:ascii="Arial" w:hAnsi="Arial" w:cs="Arial"/>
          <w:i/>
          <w:iCs/>
          <w:sz w:val="20"/>
          <w:szCs w:val="20"/>
          <w:bdr w:val="none" w:sz="0" w:space="0" w:color="auto" w:frame="1"/>
          <w:shd w:val="clear" w:color="auto" w:fill="FFFFFF"/>
        </w:rPr>
        <w:lastRenderedPageBreak/>
        <w:t>Commonwealth v. Brown</w:t>
      </w:r>
      <w:r w:rsidRPr="009E413B">
        <w:rPr>
          <w:rStyle w:val="ac"/>
          <w:rFonts w:ascii="Arial" w:hAnsi="Arial" w:cs="Arial"/>
          <w:sz w:val="20"/>
          <w:szCs w:val="20"/>
          <w:bdr w:val="none" w:sz="0" w:space="0" w:color="auto" w:frame="1"/>
          <w:shd w:val="clear" w:color="auto" w:fill="FFFFFF"/>
        </w:rPr>
        <w:t>, 75 Mass. App. Ct. 361, 363</w:t>
      </w:r>
      <w:r w:rsidRPr="009E413B">
        <w:rPr>
          <w:rFonts w:ascii="Arial" w:hAnsi="Arial" w:cs="Arial"/>
          <w:sz w:val="20"/>
          <w:szCs w:val="20"/>
        </w:rPr>
        <w:t xml:space="preserve"> (2009), citing </w:t>
      </w:r>
      <w:r w:rsidRPr="009E413B">
        <w:rPr>
          <w:rFonts w:ascii="Arial" w:hAnsi="Arial" w:cs="Arial"/>
          <w:i/>
          <w:iCs/>
          <w:sz w:val="20"/>
          <w:szCs w:val="20"/>
        </w:rPr>
        <w:t>Melendez-Diaz v. Massachusetts</w:t>
      </w:r>
      <w:r w:rsidRPr="009E413B">
        <w:rPr>
          <w:rFonts w:ascii="Arial" w:hAnsi="Arial" w:cs="Arial"/>
          <w:sz w:val="20"/>
          <w:szCs w:val="20"/>
        </w:rPr>
        <w:t xml:space="preserve">, 557 U.S. 305 (2009).  See also </w:t>
      </w:r>
      <w:r w:rsidRPr="009E413B">
        <w:rPr>
          <w:rFonts w:ascii="Arial" w:hAnsi="Arial" w:cs="Arial"/>
          <w:i/>
          <w:iCs/>
          <w:sz w:val="20"/>
          <w:szCs w:val="20"/>
        </w:rPr>
        <w:t>Commonwealth v. Muniz,</w:t>
      </w:r>
      <w:r w:rsidRPr="009E413B">
        <w:rPr>
          <w:rFonts w:ascii="Arial" w:hAnsi="Arial" w:cs="Arial"/>
          <w:sz w:val="20"/>
          <w:szCs w:val="20"/>
        </w:rPr>
        <w:t xml:space="preserve"> 456 Mass. 166, 168 (2010). </w:t>
      </w:r>
    </w:p>
    <w:p w14:paraId="34A658BA" w14:textId="77777777" w:rsidR="009E413B" w:rsidRPr="009E413B" w:rsidRDefault="009E413B" w:rsidP="00EB62EF">
      <w:pPr>
        <w:pStyle w:val="ListParagraph"/>
        <w:spacing w:after="0" w:line="240" w:lineRule="auto"/>
        <w:rPr>
          <w:rFonts w:ascii="Arial" w:hAnsi="Arial" w:cs="Arial"/>
          <w:b/>
          <w:bCs/>
          <w:sz w:val="20"/>
          <w:szCs w:val="20"/>
        </w:rPr>
      </w:pPr>
    </w:p>
    <w:p w14:paraId="28A6ABF4" w14:textId="77777777" w:rsidR="009E413B" w:rsidRPr="009E413B" w:rsidRDefault="00117FC2" w:rsidP="00EB62EF">
      <w:pPr>
        <w:pStyle w:val="ListParagraph"/>
        <w:numPr>
          <w:ilvl w:val="0"/>
          <w:numId w:val="12"/>
        </w:numPr>
        <w:spacing w:before="240" w:after="0" w:line="240" w:lineRule="auto"/>
        <w:ind w:left="0" w:firstLine="360"/>
        <w:rPr>
          <w:rFonts w:ascii="Arial" w:hAnsi="Arial" w:cs="Arial"/>
          <w:b/>
          <w:bCs/>
          <w:sz w:val="20"/>
          <w:szCs w:val="20"/>
        </w:rPr>
      </w:pPr>
      <w:r w:rsidRPr="009E413B">
        <w:rPr>
          <w:rFonts w:ascii="Arial" w:hAnsi="Arial" w:cs="Arial"/>
          <w:b/>
          <w:bCs/>
          <w:sz w:val="20"/>
          <w:szCs w:val="20"/>
        </w:rPr>
        <w:t>Intended design v. operability.</w:t>
      </w:r>
      <w:r w:rsidRPr="009E413B">
        <w:rPr>
          <w:rFonts w:ascii="Arial" w:hAnsi="Arial" w:cs="Arial"/>
          <w:sz w:val="20"/>
          <w:szCs w:val="20"/>
        </w:rPr>
        <w:t xml:space="preserve">  </w:t>
      </w:r>
      <w:r w:rsidR="00A127B5" w:rsidRPr="009E413B">
        <w:rPr>
          <w:rFonts w:ascii="Arial" w:hAnsi="Arial" w:cs="Arial"/>
          <w:sz w:val="20"/>
          <w:szCs w:val="20"/>
        </w:rPr>
        <w:t xml:space="preserve">The 2024 revision—requiring proof that the item was designed to expel a shot or bullet—is a significant departure from the prior language, which required proof of operability.  Under the prior definition of “firearm,” expert testimony was not required to establish operability.  </w:t>
      </w:r>
      <w:r w:rsidR="00A127B5" w:rsidRPr="009E413B">
        <w:rPr>
          <w:rFonts w:ascii="Arial" w:hAnsi="Arial" w:cs="Arial"/>
          <w:i/>
          <w:iCs/>
          <w:sz w:val="20"/>
          <w:szCs w:val="20"/>
        </w:rPr>
        <w:t>Commonwealth v. Marrero</w:t>
      </w:r>
      <w:r w:rsidR="00A127B5" w:rsidRPr="009E413B">
        <w:rPr>
          <w:rFonts w:ascii="Arial" w:hAnsi="Arial" w:cs="Arial"/>
          <w:sz w:val="20"/>
          <w:szCs w:val="20"/>
        </w:rPr>
        <w:t xml:space="preserve">, 484 Mass. 341, 347-48 (2020), citing </w:t>
      </w:r>
      <w:r w:rsidR="00A127B5" w:rsidRPr="009E413B">
        <w:rPr>
          <w:rFonts w:ascii="Arial" w:hAnsi="Arial" w:cs="Arial"/>
          <w:i/>
          <w:iCs/>
          <w:sz w:val="20"/>
          <w:szCs w:val="20"/>
        </w:rPr>
        <w:t>Commonwealth v. Tuitt</w:t>
      </w:r>
      <w:r w:rsidR="00A127B5" w:rsidRPr="009E413B">
        <w:rPr>
          <w:rFonts w:ascii="Arial" w:hAnsi="Arial" w:cs="Arial"/>
          <w:sz w:val="20"/>
          <w:szCs w:val="20"/>
        </w:rPr>
        <w:t xml:space="preserve">, 393 Mass. 801, 810 (1985), and </w:t>
      </w:r>
      <w:r w:rsidR="00A127B5" w:rsidRPr="009E413B">
        <w:rPr>
          <w:rFonts w:ascii="Arial" w:hAnsi="Arial" w:cs="Arial"/>
          <w:i/>
          <w:iCs/>
          <w:sz w:val="20"/>
          <w:szCs w:val="20"/>
        </w:rPr>
        <w:t>Commonwealth v. Fancy</w:t>
      </w:r>
      <w:r w:rsidR="00A127B5" w:rsidRPr="009E413B">
        <w:rPr>
          <w:rFonts w:ascii="Arial" w:hAnsi="Arial" w:cs="Arial"/>
          <w:sz w:val="20"/>
          <w:szCs w:val="20"/>
        </w:rPr>
        <w:t xml:space="preserve">, 349 Mass. 196, 204 (1965); </w:t>
      </w:r>
      <w:r w:rsidR="00A127B5" w:rsidRPr="009E413B">
        <w:rPr>
          <w:rFonts w:ascii="Arial" w:hAnsi="Arial" w:cs="Arial"/>
          <w:i/>
          <w:iCs/>
          <w:sz w:val="20"/>
          <w:szCs w:val="20"/>
        </w:rPr>
        <w:t>see id.</w:t>
      </w:r>
      <w:r w:rsidR="00A127B5" w:rsidRPr="009E413B">
        <w:rPr>
          <w:rFonts w:ascii="Arial" w:hAnsi="Arial" w:cs="Arial"/>
          <w:sz w:val="20"/>
          <w:szCs w:val="20"/>
        </w:rPr>
        <w:t xml:space="preserve"> at 347-48 (expert testimony not required where no weapon was recovered but witness testified about seeing and hearing weapon fire); </w:t>
      </w:r>
      <w:r w:rsidR="00A127B5" w:rsidRPr="009E413B">
        <w:rPr>
          <w:rFonts w:ascii="Arial" w:hAnsi="Arial" w:cs="Arial"/>
          <w:i/>
          <w:iCs/>
          <w:sz w:val="20"/>
          <w:szCs w:val="20"/>
        </w:rPr>
        <w:t>Fancy</w:t>
      </w:r>
      <w:r w:rsidR="00A127B5" w:rsidRPr="009E413B">
        <w:rPr>
          <w:rFonts w:ascii="Arial" w:hAnsi="Arial" w:cs="Arial"/>
          <w:sz w:val="20"/>
          <w:szCs w:val="20"/>
        </w:rPr>
        <w:t>, 349 Mass. at 205 (expert testimony not required where jury could inspect the item in evidence to determine whether it met the statutory definition). However, operability will still be relevant where the statute’s definition of firearms excludes firearms that are “permanently inoperable”.  G.L. 140, § 121.  While not defined by case law or statutorily, the Massachusetts State Police, in their Firearms Identification Section policies and procedures, define permanently inoperable as “a firearm . . . that is incapable of expelling a shot or bullet and incapable of being readily restored to a firing condition.”  See also 27 CFR § 478.11.</w:t>
      </w:r>
    </w:p>
    <w:p w14:paraId="5DF864B5" w14:textId="77777777" w:rsidR="009E413B" w:rsidRPr="009E413B" w:rsidRDefault="009E413B" w:rsidP="00EB62EF">
      <w:pPr>
        <w:pStyle w:val="ListParagraph"/>
        <w:spacing w:before="240" w:after="0" w:line="240" w:lineRule="auto"/>
        <w:ind w:left="360"/>
        <w:rPr>
          <w:rFonts w:ascii="Arial" w:hAnsi="Arial" w:cs="Arial"/>
          <w:b/>
          <w:bCs/>
          <w:sz w:val="20"/>
          <w:szCs w:val="20"/>
        </w:rPr>
      </w:pPr>
    </w:p>
    <w:p w14:paraId="2F771C1A" w14:textId="77777777" w:rsidR="009E413B" w:rsidRPr="009E413B" w:rsidRDefault="006B74C7" w:rsidP="00EB62EF">
      <w:pPr>
        <w:pStyle w:val="ListParagraph"/>
        <w:numPr>
          <w:ilvl w:val="0"/>
          <w:numId w:val="12"/>
        </w:numPr>
        <w:spacing w:before="240" w:after="0" w:line="240" w:lineRule="auto"/>
        <w:ind w:left="0" w:firstLine="360"/>
        <w:rPr>
          <w:rFonts w:ascii="Arial" w:hAnsi="Arial" w:cs="Arial"/>
          <w:b/>
          <w:bCs/>
          <w:sz w:val="20"/>
          <w:szCs w:val="20"/>
        </w:rPr>
      </w:pPr>
      <w:r w:rsidRPr="009E413B">
        <w:rPr>
          <w:rFonts w:ascii="Arial" w:hAnsi="Arial" w:cs="Arial"/>
          <w:b/>
          <w:bCs/>
          <w:sz w:val="20"/>
          <w:szCs w:val="20"/>
        </w:rPr>
        <w:t>Necessity defense.</w:t>
      </w:r>
      <w:r w:rsidRPr="009E413B">
        <w:rPr>
          <w:rFonts w:ascii="Arial" w:hAnsi="Arial" w:cs="Arial"/>
          <w:sz w:val="20"/>
          <w:szCs w:val="20"/>
        </w:rPr>
        <w:t xml:space="preserve"> </w:t>
      </w:r>
      <w:r w:rsidR="006333FE" w:rsidRPr="009E413B">
        <w:rPr>
          <w:rFonts w:ascii="Arial" w:hAnsi="Arial" w:cs="Arial"/>
          <w:sz w:val="20"/>
          <w:szCs w:val="20"/>
        </w:rPr>
        <w:t xml:space="preserve"> </w:t>
      </w:r>
      <w:r w:rsidRPr="009E413B">
        <w:rPr>
          <w:rFonts w:ascii="Arial" w:hAnsi="Arial" w:cs="Arial"/>
          <w:sz w:val="20"/>
          <w:szCs w:val="20"/>
        </w:rPr>
        <w:t xml:space="preserve">The Supreme Judicial Court has assumed that a threat of death or serious injury, if it is direct and immediate, may excuse momentary </w:t>
      </w:r>
      <w:r w:rsidR="007A3A34" w:rsidRPr="009E413B">
        <w:rPr>
          <w:rFonts w:ascii="Arial" w:hAnsi="Arial" w:cs="Arial"/>
          <w:sz w:val="20"/>
          <w:szCs w:val="20"/>
        </w:rPr>
        <w:t xml:space="preserve">possession </w:t>
      </w:r>
      <w:r w:rsidRPr="009E413B">
        <w:rPr>
          <w:rFonts w:ascii="Arial" w:hAnsi="Arial" w:cs="Arial"/>
          <w:sz w:val="20"/>
          <w:szCs w:val="20"/>
        </w:rPr>
        <w:t xml:space="preserve">of a firearm.  </w:t>
      </w:r>
      <w:r w:rsidRPr="009E413B">
        <w:rPr>
          <w:rFonts w:ascii="Arial" w:hAnsi="Arial" w:cs="Arial"/>
          <w:i/>
          <w:iCs/>
          <w:sz w:val="20"/>
          <w:szCs w:val="20"/>
        </w:rPr>
        <w:t>Commonwealth v. Lindsey</w:t>
      </w:r>
      <w:r w:rsidRPr="009E413B">
        <w:rPr>
          <w:rFonts w:ascii="Arial" w:hAnsi="Arial" w:cs="Arial"/>
          <w:sz w:val="20"/>
          <w:szCs w:val="20"/>
        </w:rPr>
        <w:t xml:space="preserve">, 396 Mass. 840, 843-845 (1986). See </w:t>
      </w:r>
      <w:r w:rsidRPr="009E413B">
        <w:rPr>
          <w:rFonts w:ascii="Arial" w:hAnsi="Arial" w:cs="Arial"/>
          <w:i/>
          <w:iCs/>
          <w:sz w:val="20"/>
          <w:szCs w:val="20"/>
        </w:rPr>
        <w:t>Commonwealth v. Iglesia</w:t>
      </w:r>
      <w:r w:rsidRPr="009E413B">
        <w:rPr>
          <w:rFonts w:ascii="Arial" w:hAnsi="Arial" w:cs="Arial"/>
          <w:sz w:val="20"/>
          <w:szCs w:val="20"/>
        </w:rPr>
        <w:t xml:space="preserve">, 403 Mass. 132, 135-136 (1988); </w:t>
      </w:r>
      <w:r w:rsidRPr="009E413B">
        <w:rPr>
          <w:rFonts w:ascii="Arial" w:hAnsi="Arial" w:cs="Arial"/>
          <w:i/>
          <w:iCs/>
          <w:sz w:val="20"/>
          <w:szCs w:val="20"/>
        </w:rPr>
        <w:t>Commonwealth v. Franklin</w:t>
      </w:r>
      <w:r w:rsidRPr="009E413B">
        <w:rPr>
          <w:rFonts w:ascii="Arial" w:hAnsi="Arial" w:cs="Arial"/>
          <w:sz w:val="20"/>
          <w:szCs w:val="20"/>
        </w:rPr>
        <w:t>, 376 Mass. 885, 888 n.2 (1978). See Instruction 9.240 (Necessity or Duress).</w:t>
      </w:r>
      <w:bookmarkStart w:id="1" w:name="_Hlk129685372"/>
    </w:p>
    <w:p w14:paraId="077DDC87" w14:textId="77777777" w:rsidR="009E413B" w:rsidRPr="009E413B" w:rsidRDefault="009E413B" w:rsidP="00EB62EF">
      <w:pPr>
        <w:pStyle w:val="ListParagraph"/>
        <w:spacing w:after="0" w:line="240" w:lineRule="auto"/>
        <w:rPr>
          <w:rFonts w:ascii="Arial" w:hAnsi="Arial" w:cs="Arial"/>
          <w:b/>
          <w:bCs/>
          <w:sz w:val="20"/>
          <w:szCs w:val="20"/>
        </w:rPr>
      </w:pPr>
    </w:p>
    <w:p w14:paraId="078C48AB" w14:textId="245D6EF9" w:rsidR="006B74C7" w:rsidRPr="009E413B" w:rsidRDefault="006B74C7" w:rsidP="00EB62EF">
      <w:pPr>
        <w:pStyle w:val="ListParagraph"/>
        <w:numPr>
          <w:ilvl w:val="0"/>
          <w:numId w:val="12"/>
        </w:numPr>
        <w:spacing w:after="0" w:line="240" w:lineRule="auto"/>
        <w:ind w:left="0" w:firstLine="360"/>
        <w:rPr>
          <w:rFonts w:ascii="Arial" w:hAnsi="Arial" w:cs="Arial"/>
          <w:b/>
          <w:bCs/>
          <w:sz w:val="20"/>
          <w:szCs w:val="20"/>
        </w:rPr>
      </w:pPr>
      <w:r w:rsidRPr="009E413B">
        <w:rPr>
          <w:rFonts w:ascii="Arial" w:hAnsi="Arial" w:cs="Arial"/>
          <w:b/>
          <w:bCs/>
          <w:sz w:val="20"/>
          <w:szCs w:val="20"/>
        </w:rPr>
        <w:t>Notice of affirmative defenses.</w:t>
      </w:r>
      <w:r w:rsidRPr="009E413B">
        <w:rPr>
          <w:rFonts w:ascii="Arial" w:hAnsi="Arial" w:cs="Arial"/>
          <w:sz w:val="20"/>
          <w:szCs w:val="20"/>
        </w:rPr>
        <w:t xml:space="preserve"> </w:t>
      </w:r>
      <w:r w:rsidR="006333FE" w:rsidRPr="009E413B">
        <w:rPr>
          <w:rFonts w:ascii="Arial" w:hAnsi="Arial" w:cs="Arial"/>
          <w:sz w:val="20"/>
          <w:szCs w:val="20"/>
        </w:rPr>
        <w:t xml:space="preserve"> </w:t>
      </w:r>
      <w:r w:rsidRPr="009E413B">
        <w:rPr>
          <w:rFonts w:ascii="Arial" w:hAnsi="Arial" w:cs="Arial"/>
          <w:sz w:val="20"/>
          <w:szCs w:val="20"/>
        </w:rPr>
        <w:t xml:space="preserve">The issuance of firearm identification cards and licenses to carry are governed by G.L. c. 140, §§ 129B and 131, respectively. Section 129C lists </w:t>
      </w:r>
      <w:proofErr w:type="gramStart"/>
      <w:r w:rsidRPr="009E413B">
        <w:rPr>
          <w:rFonts w:ascii="Arial" w:hAnsi="Arial" w:cs="Arial"/>
          <w:sz w:val="20"/>
          <w:szCs w:val="20"/>
        </w:rPr>
        <w:t>a number of</w:t>
      </w:r>
      <w:proofErr w:type="gramEnd"/>
      <w:r w:rsidRPr="009E413B">
        <w:rPr>
          <w:rFonts w:ascii="Arial" w:hAnsi="Arial" w:cs="Arial"/>
          <w:sz w:val="20"/>
          <w:szCs w:val="20"/>
        </w:rPr>
        <w:t xml:space="preserve"> statutory exemptions.  Generally, these exemptions cover nonresidents in various circumstances, federally licensed firearms manufacturers or wholesale dealers and persons employed by them, persons in the military, police officers and other peace officers of any jurisdiction either in performance of their duties or who are duly authorized to possess, members of a veteran’s organization when on official parade duty or ceremonial occasions, to list a few. G.</w:t>
      </w:r>
      <w:proofErr w:type="gramStart"/>
      <w:r w:rsidRPr="009E413B">
        <w:rPr>
          <w:rFonts w:ascii="Arial" w:hAnsi="Arial" w:cs="Arial"/>
          <w:sz w:val="20"/>
          <w:szCs w:val="20"/>
        </w:rPr>
        <w:t>L. c</w:t>
      </w:r>
      <w:proofErr w:type="gramEnd"/>
      <w:r w:rsidRPr="009E413B">
        <w:rPr>
          <w:rFonts w:ascii="Arial" w:hAnsi="Arial" w:cs="Arial"/>
          <w:sz w:val="20"/>
          <w:szCs w:val="20"/>
        </w:rPr>
        <w:t>. 140, § 129C, ¶ 4 (a) - (u).</w:t>
      </w:r>
    </w:p>
    <w:p w14:paraId="47A48098" w14:textId="77777777" w:rsidR="007E7C3E" w:rsidRPr="009A1619" w:rsidRDefault="007E7C3E" w:rsidP="00EB62EF">
      <w:pPr>
        <w:widowControl w:val="0"/>
        <w:tabs>
          <w:tab w:val="left" w:pos="1560"/>
        </w:tabs>
        <w:kinsoku w:val="0"/>
        <w:overflowPunct w:val="0"/>
        <w:autoSpaceDE w:val="0"/>
        <w:autoSpaceDN w:val="0"/>
        <w:adjustRightInd w:val="0"/>
        <w:spacing w:after="0" w:line="240" w:lineRule="auto"/>
        <w:rPr>
          <w:rFonts w:ascii="Arial" w:hAnsi="Arial" w:cs="Arial"/>
          <w:sz w:val="20"/>
          <w:szCs w:val="20"/>
        </w:rPr>
      </w:pPr>
    </w:p>
    <w:p w14:paraId="052DFC6B" w14:textId="77777777" w:rsidR="009F5DCB" w:rsidRDefault="00790458" w:rsidP="00EB62EF">
      <w:pPr>
        <w:spacing w:after="0" w:line="240" w:lineRule="auto"/>
        <w:ind w:firstLine="720"/>
        <w:rPr>
          <w:rFonts w:ascii="Arial" w:hAnsi="Arial" w:cs="Arial"/>
          <w:sz w:val="20"/>
          <w:szCs w:val="20"/>
        </w:rPr>
      </w:pPr>
      <w:r w:rsidRPr="009A1619">
        <w:rPr>
          <w:rFonts w:ascii="Arial" w:hAnsi="Arial" w:cs="Arial"/>
          <w:sz w:val="20"/>
          <w:szCs w:val="20"/>
        </w:rPr>
        <w:t xml:space="preserve">Under Mass. </w:t>
      </w:r>
      <w:r w:rsidR="006B74C7" w:rsidRPr="009A1619">
        <w:rPr>
          <w:rFonts w:ascii="Arial" w:hAnsi="Arial" w:cs="Arial"/>
          <w:sz w:val="20"/>
          <w:szCs w:val="20"/>
        </w:rPr>
        <w:t>R. Crim. P. 14</w:t>
      </w:r>
      <w:r w:rsidR="00252A8C">
        <w:rPr>
          <w:rFonts w:ascii="Arial" w:hAnsi="Arial" w:cs="Arial"/>
          <w:sz w:val="20"/>
          <w:szCs w:val="20"/>
        </w:rPr>
        <w:t>.3</w:t>
      </w:r>
      <w:r w:rsidR="006B74C7" w:rsidRPr="009A1619">
        <w:rPr>
          <w:rFonts w:ascii="Arial" w:hAnsi="Arial" w:cs="Arial"/>
          <w:sz w:val="20"/>
          <w:szCs w:val="20"/>
        </w:rPr>
        <w:t>(b)</w:t>
      </w:r>
      <w:r w:rsidRPr="009A1619">
        <w:rPr>
          <w:rFonts w:ascii="Arial" w:hAnsi="Arial" w:cs="Arial"/>
          <w:sz w:val="20"/>
          <w:szCs w:val="20"/>
        </w:rPr>
        <w:t xml:space="preserve">, </w:t>
      </w:r>
      <w:r w:rsidR="006B74C7" w:rsidRPr="009A1619">
        <w:rPr>
          <w:rFonts w:ascii="Arial" w:hAnsi="Arial" w:cs="Arial"/>
          <w:sz w:val="20"/>
          <w:szCs w:val="20"/>
        </w:rPr>
        <w:t xml:space="preserve">a defendant who intends to rely upon an affirmative defense of exemption </w:t>
      </w:r>
      <w:r w:rsidRPr="009A1619">
        <w:rPr>
          <w:rFonts w:ascii="Arial" w:hAnsi="Arial" w:cs="Arial"/>
          <w:sz w:val="20"/>
          <w:szCs w:val="20"/>
        </w:rPr>
        <w:t xml:space="preserve">must </w:t>
      </w:r>
      <w:r w:rsidR="006B74C7" w:rsidRPr="009A1619">
        <w:rPr>
          <w:rFonts w:ascii="Arial" w:hAnsi="Arial" w:cs="Arial"/>
          <w:sz w:val="20"/>
          <w:szCs w:val="20"/>
        </w:rPr>
        <w:t>file advance notice of such a defense with the prosecutor and the clerk-magistrate.  If the defendant fails to comply with the requirement, the defendant may not rely upon such a defense.  The judge may allow late filing of the notice, order a continuance, or make other appropriate orders.</w:t>
      </w:r>
    </w:p>
    <w:p w14:paraId="4031D4A9" w14:textId="77777777" w:rsidR="009F5DCB" w:rsidRDefault="009F5DCB" w:rsidP="00EB62EF">
      <w:pPr>
        <w:spacing w:after="0" w:line="240" w:lineRule="auto"/>
        <w:ind w:firstLine="720"/>
        <w:rPr>
          <w:rFonts w:ascii="Arial" w:hAnsi="Arial" w:cs="Arial"/>
          <w:sz w:val="20"/>
          <w:szCs w:val="20"/>
        </w:rPr>
      </w:pPr>
    </w:p>
    <w:p w14:paraId="22743BBD" w14:textId="77777777" w:rsidR="009E413B" w:rsidRDefault="006B74C7" w:rsidP="00EB62EF">
      <w:pPr>
        <w:pStyle w:val="ListParagraph"/>
        <w:numPr>
          <w:ilvl w:val="0"/>
          <w:numId w:val="12"/>
        </w:numPr>
        <w:spacing w:after="0" w:line="240" w:lineRule="auto"/>
        <w:ind w:left="0" w:firstLine="360"/>
        <w:rPr>
          <w:rFonts w:ascii="Arial" w:hAnsi="Arial" w:cs="Arial"/>
          <w:sz w:val="20"/>
          <w:szCs w:val="20"/>
        </w:rPr>
      </w:pPr>
      <w:r w:rsidRPr="009E413B">
        <w:rPr>
          <w:rFonts w:ascii="Arial" w:hAnsi="Arial" w:cs="Arial"/>
          <w:b/>
          <w:bCs/>
          <w:sz w:val="20"/>
          <w:szCs w:val="20"/>
        </w:rPr>
        <w:t>Notice of license revocation.</w:t>
      </w:r>
      <w:r w:rsidRPr="009E413B">
        <w:rPr>
          <w:rFonts w:ascii="Arial" w:hAnsi="Arial" w:cs="Arial"/>
          <w:sz w:val="20"/>
          <w:szCs w:val="20"/>
        </w:rPr>
        <w:t xml:space="preserve"> </w:t>
      </w:r>
      <w:r w:rsidR="000E2928" w:rsidRPr="009E413B">
        <w:rPr>
          <w:rFonts w:ascii="Arial" w:hAnsi="Arial" w:cs="Arial"/>
          <w:sz w:val="20"/>
          <w:szCs w:val="20"/>
        </w:rPr>
        <w:t xml:space="preserve"> </w:t>
      </w:r>
      <w:r w:rsidR="007756C0" w:rsidRPr="009E413B">
        <w:rPr>
          <w:rFonts w:ascii="Arial" w:hAnsi="Arial" w:cs="Arial"/>
          <w:sz w:val="20"/>
          <w:szCs w:val="20"/>
        </w:rPr>
        <w:t xml:space="preserve">The Commonwealth may prove that the defendant was given notice of the denial either orally or in writing.  </w:t>
      </w:r>
      <w:r w:rsidR="007756C0" w:rsidRPr="009E413B">
        <w:rPr>
          <w:rFonts w:ascii="Arial" w:hAnsi="Arial" w:cs="Arial"/>
          <w:i/>
          <w:iCs/>
          <w:sz w:val="20"/>
          <w:szCs w:val="20"/>
        </w:rPr>
        <w:t>Commonwealth v. Farley</w:t>
      </w:r>
      <w:r w:rsidR="007756C0" w:rsidRPr="009E413B">
        <w:rPr>
          <w:rFonts w:ascii="Arial" w:hAnsi="Arial" w:cs="Arial"/>
          <w:sz w:val="20"/>
          <w:szCs w:val="20"/>
        </w:rPr>
        <w:t>, 64 Mass. App. Ct. 854, 865-67 (2005).</w:t>
      </w:r>
      <w:r w:rsidR="001132DA" w:rsidRPr="009E413B">
        <w:rPr>
          <w:rFonts w:ascii="Arial" w:hAnsi="Arial" w:cs="Arial"/>
          <w:sz w:val="20"/>
          <w:szCs w:val="20"/>
        </w:rPr>
        <w:t xml:space="preserve">  </w:t>
      </w:r>
      <w:r w:rsidRPr="009E413B">
        <w:rPr>
          <w:rFonts w:ascii="Arial" w:hAnsi="Arial" w:cs="Arial"/>
          <w:sz w:val="20"/>
          <w:szCs w:val="20"/>
        </w:rPr>
        <w:t xml:space="preserve">See </w:t>
      </w:r>
      <w:r w:rsidRPr="009E413B">
        <w:rPr>
          <w:rFonts w:ascii="Arial" w:hAnsi="Arial" w:cs="Arial"/>
          <w:i/>
          <w:iCs/>
          <w:sz w:val="20"/>
          <w:szCs w:val="20"/>
        </w:rPr>
        <w:t>Police Comm’r of Boston v. Robinson</w:t>
      </w:r>
      <w:r w:rsidRPr="009E413B">
        <w:rPr>
          <w:rFonts w:ascii="Arial" w:hAnsi="Arial" w:cs="Arial"/>
          <w:sz w:val="20"/>
          <w:szCs w:val="20"/>
        </w:rPr>
        <w:t xml:space="preserve">, 47 Mass. App. Ct. 767, 773, 774 (1999) (proving notice of license revocation by certified mail requires proof of receipt); </w:t>
      </w:r>
      <w:r w:rsidRPr="009E413B">
        <w:rPr>
          <w:rFonts w:ascii="Arial" w:hAnsi="Arial" w:cs="Arial"/>
          <w:i/>
          <w:iCs/>
          <w:sz w:val="20"/>
          <w:szCs w:val="20"/>
        </w:rPr>
        <w:t>Commonwealth v. Hampton</w:t>
      </w:r>
      <w:r w:rsidRPr="009E413B">
        <w:rPr>
          <w:rFonts w:ascii="Arial" w:hAnsi="Arial" w:cs="Arial"/>
          <w:sz w:val="20"/>
          <w:szCs w:val="20"/>
        </w:rPr>
        <w:t>, 26 Mass. App. Ct. 938, 940 (1988) (defendant who purposefully or willfully evaded notice of license revocation sent by certified mail had constructive notice of license revocation).</w:t>
      </w:r>
      <w:bookmarkStart w:id="2" w:name="_Hlk129685483"/>
      <w:bookmarkEnd w:id="1"/>
    </w:p>
    <w:p w14:paraId="727AA834" w14:textId="77777777" w:rsidR="009E413B" w:rsidRDefault="009E413B" w:rsidP="00EB62EF">
      <w:pPr>
        <w:pStyle w:val="ListParagraph"/>
        <w:spacing w:after="0" w:line="240" w:lineRule="auto"/>
        <w:ind w:left="360"/>
        <w:rPr>
          <w:rFonts w:ascii="Arial" w:hAnsi="Arial" w:cs="Arial"/>
          <w:sz w:val="20"/>
          <w:szCs w:val="20"/>
        </w:rPr>
      </w:pPr>
    </w:p>
    <w:p w14:paraId="011B7A0E" w14:textId="77777777" w:rsidR="009E413B" w:rsidRDefault="006B74C7" w:rsidP="00EB62EF">
      <w:pPr>
        <w:pStyle w:val="ListParagraph"/>
        <w:numPr>
          <w:ilvl w:val="0"/>
          <w:numId w:val="12"/>
        </w:numPr>
        <w:spacing w:after="0" w:line="240" w:lineRule="auto"/>
        <w:ind w:left="0" w:firstLine="360"/>
        <w:rPr>
          <w:rFonts w:ascii="Arial" w:hAnsi="Arial" w:cs="Arial"/>
          <w:sz w:val="20"/>
          <w:szCs w:val="20"/>
        </w:rPr>
      </w:pPr>
      <w:r w:rsidRPr="009E413B">
        <w:rPr>
          <w:rFonts w:ascii="Arial" w:hAnsi="Arial" w:cs="Arial"/>
          <w:b/>
          <w:bCs/>
          <w:sz w:val="20"/>
          <w:szCs w:val="20"/>
        </w:rPr>
        <w:t xml:space="preserve">“Residence </w:t>
      </w:r>
      <w:bookmarkStart w:id="3" w:name="_Hlk133834343"/>
      <w:r w:rsidRPr="009E413B">
        <w:rPr>
          <w:rFonts w:ascii="Arial" w:hAnsi="Arial" w:cs="Arial"/>
          <w:b/>
          <w:bCs/>
          <w:sz w:val="20"/>
          <w:szCs w:val="20"/>
        </w:rPr>
        <w:t>or place of business</w:t>
      </w:r>
      <w:r w:rsidR="000E2928" w:rsidRPr="009E413B">
        <w:rPr>
          <w:rFonts w:ascii="Arial" w:hAnsi="Arial" w:cs="Arial"/>
          <w:b/>
          <w:bCs/>
          <w:sz w:val="20"/>
          <w:szCs w:val="20"/>
        </w:rPr>
        <w:t>.</w:t>
      </w:r>
      <w:r w:rsidRPr="009E413B">
        <w:rPr>
          <w:rFonts w:ascii="Arial" w:hAnsi="Arial" w:cs="Arial"/>
          <w:b/>
          <w:bCs/>
          <w:sz w:val="20"/>
          <w:szCs w:val="20"/>
        </w:rPr>
        <w:t>”</w:t>
      </w:r>
      <w:r w:rsidRPr="009E413B">
        <w:rPr>
          <w:rFonts w:ascii="Arial" w:hAnsi="Arial" w:cs="Arial"/>
          <w:sz w:val="20"/>
          <w:szCs w:val="20"/>
        </w:rPr>
        <w:t xml:space="preserve"> </w:t>
      </w:r>
      <w:r w:rsidR="000E2928" w:rsidRPr="009E413B">
        <w:rPr>
          <w:rFonts w:ascii="Arial" w:hAnsi="Arial" w:cs="Arial"/>
          <w:sz w:val="20"/>
          <w:szCs w:val="20"/>
        </w:rPr>
        <w:t xml:space="preserve"> </w:t>
      </w:r>
      <w:r w:rsidR="00E960F3" w:rsidRPr="009E413B">
        <w:rPr>
          <w:rFonts w:ascii="Arial" w:hAnsi="Arial" w:cs="Arial"/>
          <w:sz w:val="20"/>
          <w:szCs w:val="20"/>
        </w:rPr>
        <w:t>While declining to address the scope of the place of business exemption, and whether it is limited to “an owner or proprietor of [a] business</w:t>
      </w:r>
      <w:r w:rsidR="00D16994" w:rsidRPr="009E413B">
        <w:rPr>
          <w:rFonts w:ascii="Arial" w:hAnsi="Arial" w:cs="Arial"/>
          <w:sz w:val="20"/>
          <w:szCs w:val="20"/>
        </w:rPr>
        <w:t>,</w:t>
      </w:r>
      <w:r w:rsidR="00E960F3" w:rsidRPr="009E413B">
        <w:rPr>
          <w:rFonts w:ascii="Arial" w:hAnsi="Arial" w:cs="Arial"/>
          <w:sz w:val="20"/>
          <w:szCs w:val="20"/>
        </w:rPr>
        <w:t xml:space="preserve">” </w:t>
      </w:r>
      <w:r w:rsidR="00E960F3" w:rsidRPr="009E413B">
        <w:rPr>
          <w:rFonts w:ascii="Arial" w:hAnsi="Arial" w:cs="Arial"/>
          <w:i/>
          <w:iCs/>
          <w:sz w:val="20"/>
          <w:szCs w:val="20"/>
        </w:rPr>
        <w:t>Commonwealth v. Guardado</w:t>
      </w:r>
      <w:r w:rsidR="00E960F3" w:rsidRPr="009E413B">
        <w:rPr>
          <w:rFonts w:ascii="Arial" w:hAnsi="Arial" w:cs="Arial"/>
          <w:sz w:val="20"/>
          <w:szCs w:val="20"/>
        </w:rPr>
        <w:t xml:space="preserve">, 491 Mass. 666, 686 &amp; n.9 (2023), the Court did hold that </w:t>
      </w:r>
      <w:r w:rsidR="004031F4" w:rsidRPr="009E413B">
        <w:rPr>
          <w:rFonts w:ascii="Arial" w:hAnsi="Arial" w:cs="Arial"/>
          <w:sz w:val="20"/>
          <w:szCs w:val="20"/>
        </w:rPr>
        <w:t>“</w:t>
      </w:r>
      <w:r w:rsidR="00E960F3" w:rsidRPr="009E413B">
        <w:rPr>
          <w:rFonts w:ascii="Arial" w:hAnsi="Arial" w:cs="Arial"/>
          <w:sz w:val="20"/>
          <w:szCs w:val="20"/>
        </w:rPr>
        <w:t>a</w:t>
      </w:r>
      <w:r w:rsidR="004031F4" w:rsidRPr="009E413B">
        <w:rPr>
          <w:rFonts w:ascii="Arial" w:hAnsi="Arial" w:cs="Arial"/>
          <w:sz w:val="20"/>
          <w:szCs w:val="20"/>
        </w:rPr>
        <w:t xml:space="preserve"> firearm located within a parking lot falls within the place of business exemption only if the parking lot is within the exclusive control of the business</w:t>
      </w:r>
      <w:r w:rsidR="00D16994" w:rsidRPr="009E413B">
        <w:rPr>
          <w:rFonts w:ascii="Arial" w:hAnsi="Arial" w:cs="Arial"/>
          <w:sz w:val="20"/>
          <w:szCs w:val="20"/>
        </w:rPr>
        <w:t>.</w:t>
      </w:r>
      <w:r w:rsidR="004031F4" w:rsidRPr="009E413B">
        <w:rPr>
          <w:rFonts w:ascii="Arial" w:hAnsi="Arial" w:cs="Arial"/>
          <w:sz w:val="20"/>
          <w:szCs w:val="20"/>
        </w:rPr>
        <w:t>”</w:t>
      </w:r>
      <w:r w:rsidR="00D16994" w:rsidRPr="009E413B">
        <w:rPr>
          <w:rFonts w:ascii="Arial" w:hAnsi="Arial" w:cs="Arial"/>
          <w:sz w:val="20"/>
          <w:szCs w:val="20"/>
        </w:rPr>
        <w:t xml:space="preserve"> </w:t>
      </w:r>
      <w:r w:rsidR="00D16994" w:rsidRPr="009E413B">
        <w:rPr>
          <w:rFonts w:ascii="Arial" w:hAnsi="Arial" w:cs="Arial"/>
          <w:i/>
          <w:iCs/>
          <w:sz w:val="20"/>
          <w:szCs w:val="20"/>
        </w:rPr>
        <w:t>I</w:t>
      </w:r>
      <w:r w:rsidR="00E960F3" w:rsidRPr="009E413B">
        <w:rPr>
          <w:rFonts w:ascii="Arial" w:hAnsi="Arial" w:cs="Arial"/>
          <w:i/>
          <w:iCs/>
          <w:sz w:val="20"/>
          <w:szCs w:val="20"/>
        </w:rPr>
        <w:t>d</w:t>
      </w:r>
      <w:r w:rsidR="00E960F3" w:rsidRPr="009E413B">
        <w:rPr>
          <w:rFonts w:ascii="Arial" w:hAnsi="Arial" w:cs="Arial"/>
          <w:sz w:val="20"/>
          <w:szCs w:val="20"/>
        </w:rPr>
        <w:t xml:space="preserve">. at </w:t>
      </w:r>
      <w:r w:rsidR="004031F4" w:rsidRPr="009E413B">
        <w:rPr>
          <w:rFonts w:ascii="Arial" w:hAnsi="Arial" w:cs="Arial"/>
          <w:sz w:val="20"/>
          <w:szCs w:val="20"/>
        </w:rPr>
        <w:t>684</w:t>
      </w:r>
      <w:r w:rsidRPr="009E413B">
        <w:rPr>
          <w:rFonts w:ascii="Arial" w:hAnsi="Arial" w:cs="Arial"/>
          <w:sz w:val="20"/>
          <w:szCs w:val="20"/>
        </w:rPr>
        <w:t xml:space="preserve"> (</w:t>
      </w:r>
      <w:r w:rsidRPr="009E413B">
        <w:rPr>
          <w:rFonts w:ascii="Arial" w:hAnsi="Arial" w:cs="Arial"/>
          <w:color w:val="000000"/>
          <w:sz w:val="20"/>
          <w:szCs w:val="20"/>
          <w:bdr w:val="none" w:sz="0" w:space="0" w:color="auto" w:frame="1"/>
        </w:rPr>
        <w:t>“</w:t>
      </w:r>
      <w:r w:rsidRPr="009E413B">
        <w:rPr>
          <w:rFonts w:ascii="Arial" w:hAnsi="Arial" w:cs="Arial"/>
          <w:color w:val="000000"/>
          <w:sz w:val="20"/>
          <w:szCs w:val="20"/>
        </w:rPr>
        <w:t>An individual has an interest in protecting his or her place of business, but that interest is attenuated when the individual enters an area that is not within the exclusive control of that business”)</w:t>
      </w:r>
      <w:r w:rsidR="00E960F3" w:rsidRPr="009E413B">
        <w:rPr>
          <w:rFonts w:ascii="Arial" w:hAnsi="Arial" w:cs="Arial"/>
          <w:color w:val="000000"/>
          <w:sz w:val="20"/>
          <w:szCs w:val="20"/>
        </w:rPr>
        <w:t xml:space="preserve">.  See </w:t>
      </w:r>
      <w:bookmarkEnd w:id="3"/>
      <w:r w:rsidRPr="009E413B">
        <w:rPr>
          <w:rFonts w:ascii="Arial" w:hAnsi="Arial" w:cs="Arial"/>
          <w:i/>
          <w:iCs/>
          <w:sz w:val="20"/>
          <w:szCs w:val="20"/>
        </w:rPr>
        <w:t>Commonwealth v. Coren</w:t>
      </w:r>
      <w:r w:rsidRPr="009E413B">
        <w:rPr>
          <w:rFonts w:ascii="Arial" w:hAnsi="Arial" w:cs="Arial"/>
          <w:sz w:val="20"/>
          <w:szCs w:val="20"/>
        </w:rPr>
        <w:t xml:space="preserve">, 437 Mass. 723, 734 (2002) (defining “residence” to include “all areas in and around a defendant’s property, including outside areas, over which defendant retains exclusive control,” but not including “public streets, sidewalks, and common areas to which occupants of multiple dwellings have access”); </w:t>
      </w:r>
      <w:r w:rsidRPr="009E413B">
        <w:rPr>
          <w:rFonts w:ascii="Arial" w:hAnsi="Arial" w:cs="Arial"/>
          <w:i/>
          <w:iCs/>
          <w:sz w:val="20"/>
          <w:szCs w:val="20"/>
        </w:rPr>
        <w:t>Commonwealth v. Dunphy</w:t>
      </w:r>
      <w:r w:rsidRPr="009E413B">
        <w:rPr>
          <w:rFonts w:ascii="Arial" w:hAnsi="Arial" w:cs="Arial"/>
          <w:sz w:val="20"/>
          <w:szCs w:val="20"/>
        </w:rPr>
        <w:t xml:space="preserve">, 377 Mass. 453, 458-460 (1979) (jury issue whether backyard was common area); </w:t>
      </w:r>
      <w:r w:rsidRPr="009E413B">
        <w:rPr>
          <w:rFonts w:ascii="Arial" w:hAnsi="Arial" w:cs="Arial"/>
          <w:i/>
          <w:iCs/>
          <w:sz w:val="20"/>
          <w:szCs w:val="20"/>
        </w:rPr>
        <w:t>Commonwealth v. Domingue</w:t>
      </w:r>
      <w:r w:rsidRPr="009E413B">
        <w:rPr>
          <w:rFonts w:ascii="Arial" w:hAnsi="Arial" w:cs="Arial"/>
          <w:sz w:val="20"/>
          <w:szCs w:val="20"/>
        </w:rPr>
        <w:t xml:space="preserve">, 18 Mass. App. Ct. 987, 990 (1984) (defendant privileged to carry at place of business); </w:t>
      </w:r>
      <w:r w:rsidRPr="009E413B">
        <w:rPr>
          <w:rFonts w:ascii="Arial" w:hAnsi="Arial" w:cs="Arial"/>
          <w:i/>
          <w:iCs/>
          <w:sz w:val="20"/>
          <w:szCs w:val="20"/>
        </w:rPr>
        <w:t>Commonwealth v. Morales</w:t>
      </w:r>
      <w:r w:rsidRPr="009E413B">
        <w:rPr>
          <w:rFonts w:ascii="Arial" w:hAnsi="Arial" w:cs="Arial"/>
          <w:sz w:val="20"/>
          <w:szCs w:val="20"/>
        </w:rPr>
        <w:t xml:space="preserve">, 14 Mass. App. Ct. 1034, </w:t>
      </w:r>
      <w:r w:rsidRPr="009E413B">
        <w:rPr>
          <w:rFonts w:ascii="Arial" w:hAnsi="Arial" w:cs="Arial"/>
          <w:sz w:val="20"/>
          <w:szCs w:val="20"/>
        </w:rPr>
        <w:lastRenderedPageBreak/>
        <w:t xml:space="preserve">1035 (1982) (jury issue whether area was a common area to which other occupants or owner had access); </w:t>
      </w:r>
      <w:r w:rsidRPr="009E413B">
        <w:rPr>
          <w:rFonts w:ascii="Arial" w:hAnsi="Arial" w:cs="Arial"/>
          <w:i/>
          <w:iCs/>
          <w:sz w:val="20"/>
          <w:szCs w:val="20"/>
        </w:rPr>
        <w:t>Commonwealth v. Samaras</w:t>
      </w:r>
      <w:r w:rsidRPr="009E413B">
        <w:rPr>
          <w:rFonts w:ascii="Arial" w:hAnsi="Arial" w:cs="Arial"/>
          <w:sz w:val="20"/>
          <w:szCs w:val="20"/>
        </w:rPr>
        <w:t>, 10 Mass. App. Ct. 910, 910 (1980) (no privilege to carry on sidewalk in front of defendant’s house).</w:t>
      </w:r>
    </w:p>
    <w:p w14:paraId="4FFC25A6" w14:textId="77777777" w:rsidR="009E413B" w:rsidRDefault="009E413B" w:rsidP="00EB62EF">
      <w:pPr>
        <w:pStyle w:val="ListParagraph"/>
        <w:spacing w:after="0" w:line="240" w:lineRule="auto"/>
        <w:ind w:left="360"/>
        <w:rPr>
          <w:rFonts w:ascii="Arial" w:hAnsi="Arial" w:cs="Arial"/>
          <w:sz w:val="20"/>
          <w:szCs w:val="20"/>
        </w:rPr>
      </w:pPr>
    </w:p>
    <w:p w14:paraId="79F3A208" w14:textId="77777777" w:rsidR="009E413B" w:rsidRPr="009E413B" w:rsidRDefault="00A13AE2" w:rsidP="00EB62EF">
      <w:pPr>
        <w:pStyle w:val="ListParagraph"/>
        <w:numPr>
          <w:ilvl w:val="0"/>
          <w:numId w:val="12"/>
        </w:numPr>
        <w:spacing w:after="0" w:line="240" w:lineRule="auto"/>
        <w:ind w:left="0" w:firstLine="360"/>
        <w:rPr>
          <w:rFonts w:ascii="Arial" w:hAnsi="Arial" w:cs="Arial"/>
          <w:sz w:val="20"/>
          <w:szCs w:val="20"/>
        </w:rPr>
      </w:pPr>
      <w:r w:rsidRPr="009E413B">
        <w:rPr>
          <w:rFonts w:ascii="Arial" w:hAnsi="Arial" w:cs="Arial"/>
          <w:b/>
          <w:bCs/>
          <w:sz w:val="20"/>
          <w:szCs w:val="20"/>
        </w:rPr>
        <w:t xml:space="preserve">Lesser included offense of possession of a firearm under G.L. c. </w:t>
      </w:r>
      <w:r w:rsidR="004C59C7" w:rsidRPr="009E413B">
        <w:rPr>
          <w:rFonts w:ascii="Arial" w:hAnsi="Arial" w:cs="Arial"/>
          <w:b/>
          <w:bCs/>
          <w:sz w:val="20"/>
          <w:szCs w:val="20"/>
        </w:rPr>
        <w:t>269, § 10(h).</w:t>
      </w:r>
      <w:r w:rsidR="004C59C7" w:rsidRPr="009E413B">
        <w:rPr>
          <w:rFonts w:ascii="Arial" w:hAnsi="Arial" w:cs="Arial"/>
          <w:sz w:val="20"/>
          <w:szCs w:val="20"/>
        </w:rPr>
        <w:t xml:space="preserve">  </w:t>
      </w:r>
      <w:r w:rsidR="00B01617" w:rsidRPr="009E413B">
        <w:rPr>
          <w:rFonts w:ascii="Arial" w:hAnsi="Arial" w:cs="Arial"/>
          <w:sz w:val="20"/>
          <w:szCs w:val="20"/>
        </w:rPr>
        <w:t xml:space="preserve">Prior to 1991, possession of a firearm (§ 10(h)) was a lesser included offense of carrying a firearm (§ 10(a)).  See </w:t>
      </w:r>
      <w:r w:rsidR="00B01617" w:rsidRPr="009E413B">
        <w:rPr>
          <w:rFonts w:ascii="Arial" w:hAnsi="Arial" w:cs="Arial"/>
          <w:i/>
          <w:iCs/>
          <w:sz w:val="20"/>
          <w:szCs w:val="20"/>
        </w:rPr>
        <w:t xml:space="preserve">Commonwealth v. </w:t>
      </w:r>
      <w:proofErr w:type="spellStart"/>
      <w:r w:rsidR="00B01617" w:rsidRPr="009E413B">
        <w:rPr>
          <w:rFonts w:ascii="Arial" w:hAnsi="Arial" w:cs="Arial"/>
          <w:i/>
          <w:iCs/>
          <w:sz w:val="20"/>
          <w:szCs w:val="20"/>
        </w:rPr>
        <w:t>Nessolini</w:t>
      </w:r>
      <w:proofErr w:type="spellEnd"/>
      <w:r w:rsidR="00B01617" w:rsidRPr="009E413B">
        <w:rPr>
          <w:rFonts w:ascii="Arial" w:hAnsi="Arial" w:cs="Arial"/>
          <w:sz w:val="20"/>
          <w:szCs w:val="20"/>
        </w:rPr>
        <w:t>, 19 Mass. App. Ct. 1016, 1016 (1985).  In 1991, the Legislature amended § 10(h) to provide that “[a] violation of this subsection shall not be considered a lesser included offense to a violation of subsection (a) nor shall anyone prosecute as a violation of [§ 10(h)] the mere possession of a firearm, rifle, or shotgun by an unlicensed person not being present in or on his residence or place of business, nor shall the court allow an attempt to so prosecute.” St. 1990, c. 511 (eff</w:t>
      </w:r>
      <w:r w:rsidR="005A0149" w:rsidRPr="009E413B">
        <w:rPr>
          <w:rFonts w:ascii="Arial" w:hAnsi="Arial" w:cs="Arial"/>
          <w:sz w:val="20"/>
          <w:szCs w:val="20"/>
        </w:rPr>
        <w:t>.</w:t>
      </w:r>
      <w:r w:rsidR="00B01617" w:rsidRPr="009E413B">
        <w:rPr>
          <w:rFonts w:ascii="Arial" w:hAnsi="Arial" w:cs="Arial"/>
          <w:sz w:val="20"/>
          <w:szCs w:val="20"/>
        </w:rPr>
        <w:t xml:space="preserve"> Jan</w:t>
      </w:r>
      <w:r w:rsidR="005A0149" w:rsidRPr="009E413B">
        <w:rPr>
          <w:rFonts w:ascii="Arial" w:hAnsi="Arial" w:cs="Arial"/>
          <w:sz w:val="20"/>
          <w:szCs w:val="20"/>
        </w:rPr>
        <w:t>.</w:t>
      </w:r>
      <w:r w:rsidR="00B01617" w:rsidRPr="009E413B">
        <w:rPr>
          <w:rFonts w:ascii="Arial" w:hAnsi="Arial" w:cs="Arial"/>
          <w:sz w:val="20"/>
          <w:szCs w:val="20"/>
        </w:rPr>
        <w:t xml:space="preserve"> 2, 1991). This provision was deleted when the statute was rewritten</w:t>
      </w:r>
      <w:r w:rsidR="005A0149" w:rsidRPr="009E413B">
        <w:rPr>
          <w:rFonts w:ascii="Arial" w:hAnsi="Arial" w:cs="Arial"/>
          <w:sz w:val="20"/>
          <w:szCs w:val="20"/>
        </w:rPr>
        <w:t xml:space="preserve"> in 1998.</w:t>
      </w:r>
      <w:r w:rsidR="00B01617" w:rsidRPr="009E413B">
        <w:rPr>
          <w:rFonts w:ascii="Arial" w:hAnsi="Arial" w:cs="Arial"/>
          <w:sz w:val="20"/>
          <w:szCs w:val="20"/>
        </w:rPr>
        <w:t xml:space="preserve"> St. 1998, c. 180, § 69 (</w:t>
      </w:r>
      <w:r w:rsidR="005A0149" w:rsidRPr="009E413B">
        <w:rPr>
          <w:rFonts w:ascii="Arial" w:hAnsi="Arial" w:cs="Arial"/>
          <w:sz w:val="20"/>
          <w:szCs w:val="20"/>
        </w:rPr>
        <w:t>eff.</w:t>
      </w:r>
      <w:r w:rsidR="00B01617" w:rsidRPr="009E413B">
        <w:rPr>
          <w:rFonts w:ascii="Arial" w:hAnsi="Arial" w:cs="Arial"/>
          <w:sz w:val="20"/>
          <w:szCs w:val="20"/>
        </w:rPr>
        <w:t xml:space="preserve"> </w:t>
      </w:r>
      <w:r w:rsidR="005A0149" w:rsidRPr="009E413B">
        <w:rPr>
          <w:rFonts w:ascii="Arial" w:hAnsi="Arial" w:cs="Arial"/>
          <w:sz w:val="20"/>
          <w:szCs w:val="20"/>
        </w:rPr>
        <w:t>Oct.</w:t>
      </w:r>
      <w:r w:rsidR="00B01617" w:rsidRPr="009E413B">
        <w:rPr>
          <w:rFonts w:ascii="Arial" w:hAnsi="Arial" w:cs="Arial"/>
          <w:sz w:val="20"/>
          <w:szCs w:val="20"/>
        </w:rPr>
        <w:t xml:space="preserve"> 21, 1998)</w:t>
      </w:r>
      <w:r w:rsidR="009F5DCB" w:rsidRPr="009E413B">
        <w:rPr>
          <w:rFonts w:ascii="Arial" w:hAnsi="Arial" w:cs="Arial"/>
          <w:sz w:val="20"/>
          <w:szCs w:val="20"/>
        </w:rPr>
        <w:t xml:space="preserve">. </w:t>
      </w:r>
      <w:r w:rsidR="008D2C5C" w:rsidRPr="009E413B">
        <w:rPr>
          <w:rFonts w:ascii="Arial" w:hAnsi="Arial" w:cs="Arial"/>
          <w:sz w:val="20"/>
          <w:szCs w:val="20"/>
        </w:rPr>
        <w:t>W</w:t>
      </w:r>
      <w:r w:rsidR="009F5DCB" w:rsidRPr="009E413B">
        <w:rPr>
          <w:rFonts w:ascii="Arial" w:hAnsi="Arial" w:cs="Arial"/>
          <w:sz w:val="20"/>
          <w:szCs w:val="20"/>
        </w:rPr>
        <w:t xml:space="preserve">here the </w:t>
      </w:r>
      <w:r w:rsidR="008D2C5C" w:rsidRPr="009E413B">
        <w:rPr>
          <w:rFonts w:ascii="Arial" w:hAnsi="Arial" w:cs="Arial"/>
          <w:sz w:val="20"/>
          <w:szCs w:val="20"/>
        </w:rPr>
        <w:t xml:space="preserve">place of possession is at issue in a case, the </w:t>
      </w:r>
      <w:r w:rsidR="00AA6075" w:rsidRPr="009E413B">
        <w:rPr>
          <w:rFonts w:ascii="Arial" w:hAnsi="Arial" w:cs="Arial"/>
          <w:sz w:val="20"/>
          <w:szCs w:val="20"/>
        </w:rPr>
        <w:t xml:space="preserve">court may consider, with </w:t>
      </w:r>
      <w:r w:rsidR="00A47A63" w:rsidRPr="009E413B">
        <w:rPr>
          <w:rFonts w:ascii="Arial" w:hAnsi="Arial" w:cs="Arial"/>
          <w:sz w:val="20"/>
          <w:szCs w:val="20"/>
        </w:rPr>
        <w:t xml:space="preserve">input from </w:t>
      </w:r>
      <w:r w:rsidR="00AA6075" w:rsidRPr="009E413B">
        <w:rPr>
          <w:rFonts w:ascii="Arial" w:hAnsi="Arial" w:cs="Arial"/>
          <w:sz w:val="20"/>
          <w:szCs w:val="20"/>
        </w:rPr>
        <w:t>the parties, whether</w:t>
      </w:r>
      <w:r w:rsidR="00980B63" w:rsidRPr="009E413B">
        <w:rPr>
          <w:rFonts w:ascii="Arial" w:hAnsi="Arial" w:cs="Arial"/>
          <w:sz w:val="20"/>
          <w:szCs w:val="20"/>
        </w:rPr>
        <w:t xml:space="preserve"> to give </w:t>
      </w:r>
      <w:r w:rsidR="00B91B04" w:rsidRPr="009E413B">
        <w:rPr>
          <w:rFonts w:ascii="Arial" w:hAnsi="Arial" w:cs="Arial"/>
          <w:sz w:val="20"/>
          <w:szCs w:val="20"/>
        </w:rPr>
        <w:t>an instruction on 10(</w:t>
      </w:r>
      <w:r w:rsidR="00AA6075" w:rsidRPr="009E413B">
        <w:rPr>
          <w:rFonts w:ascii="Arial" w:hAnsi="Arial" w:cs="Arial"/>
          <w:sz w:val="20"/>
          <w:szCs w:val="20"/>
        </w:rPr>
        <w:t xml:space="preserve">h) as a lesser included offense of 10(a), where </w:t>
      </w:r>
      <w:r w:rsidR="00AA6075" w:rsidRPr="009E413B">
        <w:rPr>
          <w:rFonts w:ascii="Arial" w:hAnsi="Arial" w:cs="Arial"/>
          <w:color w:val="000000"/>
          <w:sz w:val="20"/>
          <w:szCs w:val="20"/>
          <w:bdr w:val="none" w:sz="0" w:space="0" w:color="auto" w:frame="1"/>
        </w:rPr>
        <w:t xml:space="preserve">being outside the home or business is </w:t>
      </w:r>
      <w:r w:rsidR="00E960F3" w:rsidRPr="009E413B">
        <w:rPr>
          <w:rFonts w:ascii="Arial" w:hAnsi="Arial" w:cs="Arial"/>
          <w:color w:val="000000"/>
          <w:sz w:val="20"/>
          <w:szCs w:val="20"/>
          <w:bdr w:val="none" w:sz="0" w:space="0" w:color="auto" w:frame="1"/>
        </w:rPr>
        <w:t xml:space="preserve">often </w:t>
      </w:r>
      <w:r w:rsidR="00AA6075" w:rsidRPr="009E413B">
        <w:rPr>
          <w:rFonts w:ascii="Arial" w:hAnsi="Arial" w:cs="Arial"/>
          <w:color w:val="000000"/>
          <w:sz w:val="20"/>
          <w:szCs w:val="20"/>
          <w:bdr w:val="none" w:sz="0" w:space="0" w:color="auto" w:frame="1"/>
        </w:rPr>
        <w:t xml:space="preserve">what distinguishes the two offenses. </w:t>
      </w:r>
      <w:bookmarkStart w:id="4" w:name="_Hlk129685550"/>
      <w:bookmarkEnd w:id="2"/>
    </w:p>
    <w:p w14:paraId="129C00C0" w14:textId="77777777" w:rsidR="009E413B" w:rsidRPr="009E413B" w:rsidRDefault="009E413B" w:rsidP="00EB62EF">
      <w:pPr>
        <w:pStyle w:val="ListParagraph"/>
        <w:spacing w:after="0" w:line="240" w:lineRule="auto"/>
        <w:rPr>
          <w:rFonts w:ascii="Arial" w:hAnsi="Arial" w:cs="Arial"/>
          <w:b/>
          <w:bCs/>
          <w:sz w:val="20"/>
          <w:szCs w:val="20"/>
        </w:rPr>
      </w:pPr>
    </w:p>
    <w:p w14:paraId="18CB97A7" w14:textId="06760D94" w:rsidR="006B74C7" w:rsidRPr="009E413B" w:rsidRDefault="006B74C7" w:rsidP="00EB62EF">
      <w:pPr>
        <w:pStyle w:val="ListParagraph"/>
        <w:numPr>
          <w:ilvl w:val="0"/>
          <w:numId w:val="12"/>
        </w:numPr>
        <w:spacing w:after="0" w:line="240" w:lineRule="auto"/>
        <w:ind w:left="0" w:firstLine="360"/>
        <w:rPr>
          <w:rFonts w:ascii="Arial" w:hAnsi="Arial" w:cs="Arial"/>
          <w:sz w:val="20"/>
          <w:szCs w:val="20"/>
        </w:rPr>
      </w:pPr>
      <w:r w:rsidRPr="009E413B">
        <w:rPr>
          <w:rFonts w:ascii="Arial" w:hAnsi="Arial" w:cs="Arial"/>
          <w:b/>
          <w:bCs/>
          <w:sz w:val="20"/>
          <w:szCs w:val="20"/>
        </w:rPr>
        <w:t xml:space="preserve">Constructive possession requires knowledge, ability, and intention to control.  </w:t>
      </w:r>
      <w:proofErr w:type="gramStart"/>
      <w:r w:rsidRPr="009E413B">
        <w:rPr>
          <w:rFonts w:ascii="Arial" w:hAnsi="Arial" w:cs="Arial"/>
          <w:sz w:val="20"/>
          <w:szCs w:val="20"/>
        </w:rPr>
        <w:t>In order to</w:t>
      </w:r>
      <w:proofErr w:type="gramEnd"/>
      <w:r w:rsidRPr="009E413B">
        <w:rPr>
          <w:rFonts w:ascii="Arial" w:hAnsi="Arial" w:cs="Arial"/>
          <w:sz w:val="20"/>
          <w:szCs w:val="20"/>
        </w:rPr>
        <w:t xml:space="preserve"> prove constructive possession of an item, the Commonwealth must show “</w:t>
      </w:r>
      <w:r w:rsidR="00B14360" w:rsidRPr="009E413B">
        <w:rPr>
          <w:rFonts w:ascii="Arial" w:hAnsi="Arial" w:cs="Arial"/>
          <w:sz w:val="20"/>
          <w:szCs w:val="20"/>
        </w:rPr>
        <w:t>’</w:t>
      </w:r>
      <w:r w:rsidRPr="009E413B">
        <w:rPr>
          <w:rFonts w:ascii="Arial" w:hAnsi="Arial" w:cs="Arial"/>
          <w:sz w:val="20"/>
          <w:szCs w:val="20"/>
        </w:rPr>
        <w:t xml:space="preserve">knowledge coupled with the ability and intention to exercise dominion and control.”  </w:t>
      </w:r>
      <w:r w:rsidRPr="009E413B">
        <w:rPr>
          <w:rFonts w:ascii="Arial" w:eastAsia="Times New Roman" w:hAnsi="Arial" w:cs="Arial"/>
          <w:i/>
          <w:iCs/>
          <w:sz w:val="20"/>
          <w:szCs w:val="20"/>
          <w:bdr w:val="none" w:sz="0" w:space="0" w:color="auto" w:frame="1"/>
          <w:shd w:val="clear" w:color="auto" w:fill="FFFFFF"/>
        </w:rPr>
        <w:t>Commonwealth v. Romero</w:t>
      </w:r>
      <w:r w:rsidRPr="009E413B">
        <w:rPr>
          <w:rFonts w:ascii="Arial" w:eastAsia="Times New Roman" w:hAnsi="Arial" w:cs="Arial"/>
          <w:sz w:val="20"/>
          <w:szCs w:val="20"/>
          <w:bdr w:val="none" w:sz="0" w:space="0" w:color="auto" w:frame="1"/>
          <w:shd w:val="clear" w:color="auto" w:fill="FFFFFF"/>
        </w:rPr>
        <w:t xml:space="preserve">, 464 Mass. 648, 653 (2013), quoting </w:t>
      </w:r>
      <w:r w:rsidRPr="009E413B">
        <w:rPr>
          <w:rFonts w:ascii="Arial" w:eastAsia="Times New Roman" w:hAnsi="Arial" w:cs="Arial"/>
          <w:i/>
          <w:iCs/>
          <w:sz w:val="20"/>
          <w:szCs w:val="20"/>
          <w:bdr w:val="none" w:sz="0" w:space="0" w:color="auto" w:frame="1"/>
          <w:shd w:val="clear" w:color="auto" w:fill="FFFFFF"/>
        </w:rPr>
        <w:t>Commonwealth v. Brzezinski</w:t>
      </w:r>
      <w:r w:rsidRPr="009E413B">
        <w:rPr>
          <w:rFonts w:ascii="Arial" w:eastAsia="Times New Roman" w:hAnsi="Arial" w:cs="Arial"/>
          <w:sz w:val="20"/>
          <w:szCs w:val="20"/>
          <w:bdr w:val="none" w:sz="0" w:space="0" w:color="auto" w:frame="1"/>
          <w:shd w:val="clear" w:color="auto" w:fill="FFFFFF"/>
        </w:rPr>
        <w:t xml:space="preserve">, 405 Mass. 401, 409 (1989).  Proof of constructive possession may be established by circumstantial evidence and the reasonable inferences drawn from the evidence.  See </w:t>
      </w:r>
      <w:r w:rsidRPr="009E413B">
        <w:rPr>
          <w:rFonts w:ascii="Arial" w:eastAsia="Times New Roman" w:hAnsi="Arial" w:cs="Arial"/>
          <w:i/>
          <w:iCs/>
          <w:sz w:val="20"/>
          <w:szCs w:val="20"/>
          <w:bdr w:val="none" w:sz="0" w:space="0" w:color="auto" w:frame="1"/>
          <w:shd w:val="clear" w:color="auto" w:fill="FFFFFF"/>
        </w:rPr>
        <w:t>id.</w:t>
      </w:r>
      <w:r w:rsidRPr="009E413B">
        <w:rPr>
          <w:rFonts w:ascii="Arial" w:eastAsia="Times New Roman" w:hAnsi="Arial" w:cs="Arial"/>
          <w:sz w:val="20"/>
          <w:szCs w:val="20"/>
          <w:bdr w:val="none" w:sz="0" w:space="0" w:color="auto" w:frame="1"/>
          <w:shd w:val="clear" w:color="auto" w:fill="FFFFFF"/>
        </w:rPr>
        <w:t xml:space="preserve"> “P</w:t>
      </w:r>
      <w:r w:rsidRPr="009E413B">
        <w:rPr>
          <w:rFonts w:ascii="Arial" w:eastAsia="Times New Roman" w:hAnsi="Arial" w:cs="Arial"/>
          <w:sz w:val="20"/>
          <w:szCs w:val="20"/>
          <w:bdr w:val="none" w:sz="0" w:space="0" w:color="auto" w:frame="1"/>
        </w:rPr>
        <w:t>resence alone cannot show the requisite knowledge, power, or intention to exercise control over [contraband], but presence, supplemented by other incriminating evidence, 'will serve to tip the scale in favor of sufficiency.'" </w:t>
      </w:r>
      <w:r w:rsidRPr="009E413B">
        <w:rPr>
          <w:rFonts w:ascii="Arial" w:eastAsia="Times New Roman" w:hAnsi="Arial" w:cs="Arial"/>
          <w:i/>
          <w:iCs/>
          <w:sz w:val="20"/>
          <w:szCs w:val="20"/>
          <w:bdr w:val="none" w:sz="0" w:space="0" w:color="auto" w:frame="1"/>
        </w:rPr>
        <w:t>Commonwealth v. Albano</w:t>
      </w:r>
      <w:r w:rsidRPr="009E413B">
        <w:rPr>
          <w:rFonts w:ascii="Arial" w:eastAsia="Times New Roman" w:hAnsi="Arial" w:cs="Arial"/>
          <w:sz w:val="20"/>
          <w:szCs w:val="20"/>
          <w:bdr w:val="none" w:sz="0" w:space="0" w:color="auto" w:frame="1"/>
        </w:rPr>
        <w:t>, 373 Mass. 132, 134 (1977), quoting </w:t>
      </w:r>
      <w:r w:rsidRPr="009E413B">
        <w:rPr>
          <w:rFonts w:ascii="Arial" w:eastAsia="Times New Roman" w:hAnsi="Arial" w:cs="Arial"/>
          <w:i/>
          <w:iCs/>
          <w:sz w:val="20"/>
          <w:szCs w:val="20"/>
          <w:bdr w:val="none" w:sz="0" w:space="0" w:color="auto" w:frame="1"/>
        </w:rPr>
        <w:t>United States v. Birmley</w:t>
      </w:r>
      <w:r w:rsidRPr="009E413B">
        <w:rPr>
          <w:rFonts w:ascii="Arial" w:eastAsia="Times New Roman" w:hAnsi="Arial" w:cs="Arial"/>
          <w:sz w:val="20"/>
          <w:szCs w:val="20"/>
          <w:bdr w:val="none" w:sz="0" w:space="0" w:color="auto" w:frame="1"/>
        </w:rPr>
        <w:t xml:space="preserve">, 529 F.2d 103, 108 (6th Cir. 1976). Even with evidence of knowledge of a firearm and the ability to control it, the Commonwealth must prove that the defendant had the intent to control the firearm.  </w:t>
      </w:r>
      <w:r w:rsidRPr="009E413B">
        <w:rPr>
          <w:rFonts w:ascii="Arial" w:eastAsia="Times New Roman" w:hAnsi="Arial" w:cs="Arial"/>
          <w:i/>
          <w:iCs/>
          <w:sz w:val="20"/>
          <w:szCs w:val="20"/>
          <w:bdr w:val="none" w:sz="0" w:space="0" w:color="auto" w:frame="1"/>
        </w:rPr>
        <w:t>Romero</w:t>
      </w:r>
      <w:r w:rsidRPr="009E413B">
        <w:rPr>
          <w:rFonts w:ascii="Arial" w:eastAsia="Times New Roman" w:hAnsi="Arial" w:cs="Arial"/>
          <w:sz w:val="20"/>
          <w:szCs w:val="20"/>
          <w:bdr w:val="none" w:sz="0" w:space="0" w:color="auto" w:frame="1"/>
        </w:rPr>
        <w:t xml:space="preserve">, </w:t>
      </w:r>
      <w:r w:rsidR="00381048" w:rsidRPr="009E413B">
        <w:rPr>
          <w:rFonts w:ascii="Arial" w:eastAsia="Times New Roman" w:hAnsi="Arial" w:cs="Arial"/>
          <w:sz w:val="20"/>
          <w:szCs w:val="20"/>
          <w:bdr w:val="none" w:sz="0" w:space="0" w:color="auto" w:frame="1"/>
        </w:rPr>
        <w:t xml:space="preserve">464 Mass. </w:t>
      </w:r>
      <w:r w:rsidRPr="009E413B">
        <w:rPr>
          <w:rFonts w:ascii="Arial" w:eastAsia="Times New Roman" w:hAnsi="Arial" w:cs="Arial"/>
          <w:sz w:val="20"/>
          <w:szCs w:val="20"/>
          <w:bdr w:val="none" w:sz="0" w:space="0" w:color="auto" w:frame="1"/>
        </w:rPr>
        <w:t xml:space="preserve">at 654.  Presence in a vehicle with a firearm must be “augmented by additional </w:t>
      </w:r>
      <w:r w:rsidR="003A23A4" w:rsidRPr="009E413B">
        <w:rPr>
          <w:rFonts w:ascii="Arial" w:eastAsia="Times New Roman" w:hAnsi="Arial" w:cs="Arial"/>
          <w:sz w:val="20"/>
          <w:szCs w:val="20"/>
          <w:bdr w:val="none" w:sz="0" w:space="0" w:color="auto" w:frame="1"/>
        </w:rPr>
        <w:t xml:space="preserve">inculpatory </w:t>
      </w:r>
      <w:r w:rsidRPr="009E413B">
        <w:rPr>
          <w:rFonts w:ascii="Arial" w:eastAsia="Times New Roman" w:hAnsi="Arial" w:cs="Arial"/>
          <w:sz w:val="20"/>
          <w:szCs w:val="20"/>
          <w:bdr w:val="none" w:sz="0" w:space="0" w:color="auto" w:frame="1"/>
        </w:rPr>
        <w:t>evidence</w:t>
      </w:r>
      <w:r w:rsidR="00D774A1" w:rsidRPr="009E413B">
        <w:rPr>
          <w:rFonts w:ascii="Arial" w:eastAsia="Times New Roman" w:hAnsi="Arial" w:cs="Arial"/>
          <w:sz w:val="20"/>
          <w:szCs w:val="20"/>
          <w:bdr w:val="none" w:sz="0" w:space="0" w:color="auto" w:frame="1"/>
        </w:rPr>
        <w:t>.</w:t>
      </w:r>
      <w:r w:rsidRPr="009E413B">
        <w:rPr>
          <w:rFonts w:ascii="Arial" w:eastAsia="Times New Roman" w:hAnsi="Arial" w:cs="Arial"/>
          <w:sz w:val="20"/>
          <w:szCs w:val="20"/>
          <w:bdr w:val="none" w:sz="0" w:space="0" w:color="auto" w:frame="1"/>
        </w:rPr>
        <w:t xml:space="preserve">”  </w:t>
      </w:r>
      <w:r w:rsidRPr="009E413B">
        <w:rPr>
          <w:rFonts w:ascii="Arial" w:eastAsia="Times New Roman" w:hAnsi="Arial" w:cs="Arial"/>
          <w:i/>
          <w:iCs/>
          <w:sz w:val="20"/>
          <w:szCs w:val="20"/>
          <w:bdr w:val="none" w:sz="0" w:space="0" w:color="auto" w:frame="1"/>
        </w:rPr>
        <w:t>Id</w:t>
      </w:r>
      <w:r w:rsidRPr="009E413B">
        <w:rPr>
          <w:rFonts w:ascii="Arial" w:eastAsia="Times New Roman" w:hAnsi="Arial" w:cs="Arial"/>
          <w:sz w:val="20"/>
          <w:szCs w:val="20"/>
          <w:bdr w:val="none" w:sz="0" w:space="0" w:color="auto" w:frame="1"/>
        </w:rPr>
        <w:t xml:space="preserve">.  </w:t>
      </w:r>
    </w:p>
    <w:p w14:paraId="0903EDD4" w14:textId="77777777" w:rsidR="007E7C3E" w:rsidRPr="009A1619" w:rsidRDefault="007E7C3E" w:rsidP="00EB62EF">
      <w:pPr>
        <w:pStyle w:val="ListParagraph"/>
        <w:shd w:val="clear" w:color="auto" w:fill="FFFFFF"/>
        <w:spacing w:after="0" w:line="240" w:lineRule="auto"/>
        <w:ind w:left="0"/>
        <w:textAlignment w:val="baseline"/>
        <w:rPr>
          <w:rFonts w:ascii="Arial" w:eastAsia="Times New Roman" w:hAnsi="Arial" w:cs="Arial"/>
          <w:sz w:val="20"/>
          <w:szCs w:val="20"/>
        </w:rPr>
      </w:pPr>
    </w:p>
    <w:p w14:paraId="49268CA0" w14:textId="500F80FE" w:rsidR="00EB62EF" w:rsidRDefault="00AA5AC9" w:rsidP="002044B7">
      <w:pPr>
        <w:shd w:val="clear" w:color="auto" w:fill="FFFFFF"/>
        <w:spacing w:after="0" w:line="240" w:lineRule="auto"/>
        <w:ind w:firstLine="720"/>
        <w:textAlignment w:val="baseline"/>
        <w:rPr>
          <w:rFonts w:ascii="Arial" w:hAnsi="Arial" w:cs="Arial"/>
          <w:sz w:val="20"/>
          <w:szCs w:val="20"/>
        </w:rPr>
      </w:pPr>
      <w:r w:rsidRPr="009A1619">
        <w:rPr>
          <w:rFonts w:ascii="Arial" w:hAnsi="Arial" w:cs="Arial"/>
          <w:sz w:val="20"/>
          <w:szCs w:val="20"/>
        </w:rPr>
        <w:t xml:space="preserve">For further discussion of constructive possession in firearms cases, </w:t>
      </w:r>
      <w:r w:rsidRPr="009A1619">
        <w:rPr>
          <w:rFonts w:ascii="Arial" w:hAnsi="Arial" w:cs="Arial"/>
          <w:i/>
          <w:iCs/>
          <w:sz w:val="20"/>
          <w:szCs w:val="20"/>
        </w:rPr>
        <w:t>see</w:t>
      </w:r>
      <w:r w:rsidR="006B74C7" w:rsidRPr="009A1619">
        <w:rPr>
          <w:rFonts w:ascii="Arial" w:hAnsi="Arial" w:cs="Arial"/>
          <w:i/>
          <w:iCs/>
          <w:sz w:val="20"/>
          <w:szCs w:val="20"/>
        </w:rPr>
        <w:t xml:space="preserve"> Commonwealth v. Santos,</w:t>
      </w:r>
      <w:r w:rsidR="006B74C7" w:rsidRPr="009A1619">
        <w:rPr>
          <w:rFonts w:ascii="Arial" w:hAnsi="Arial" w:cs="Arial"/>
          <w:sz w:val="20"/>
          <w:szCs w:val="20"/>
        </w:rPr>
        <w:t xml:space="preserve"> 95 Mass. App. Ct. 791, 800 (2019) (sufficient evidence of knowledge, ability and intent to control firearm where car was registered to defendant’s mother and controlled by him, shotgun was partially in plain view and within his reach, defendant concealed shotgun, gave false information to police, and engaged in repair of shotgun);</w:t>
      </w:r>
      <w:r w:rsidR="006B74C7" w:rsidRPr="009A1619">
        <w:rPr>
          <w:rFonts w:ascii="Arial" w:hAnsi="Arial" w:cs="Arial"/>
          <w:i/>
          <w:iCs/>
          <w:sz w:val="20"/>
          <w:szCs w:val="20"/>
        </w:rPr>
        <w:t xml:space="preserve"> Commonwealth v. Albano, </w:t>
      </w:r>
      <w:r w:rsidR="006B74C7" w:rsidRPr="009A1619">
        <w:rPr>
          <w:rFonts w:ascii="Arial" w:hAnsi="Arial" w:cs="Arial"/>
          <w:sz w:val="20"/>
          <w:szCs w:val="20"/>
        </w:rPr>
        <w:t xml:space="preserve">373 Mass. 132, 134-36 (1977) (sufficient evidence where gun in plain view; defendant acted suspiciously); </w:t>
      </w:r>
      <w:r w:rsidR="006B74C7" w:rsidRPr="009A1619">
        <w:rPr>
          <w:rFonts w:ascii="Arial" w:hAnsi="Arial" w:cs="Arial"/>
          <w:i/>
          <w:iCs/>
          <w:sz w:val="20"/>
          <w:szCs w:val="20"/>
        </w:rPr>
        <w:t xml:space="preserve">Commonwealth v. Bailey, </w:t>
      </w:r>
      <w:r w:rsidR="006B74C7" w:rsidRPr="009A1619">
        <w:rPr>
          <w:rFonts w:ascii="Arial" w:hAnsi="Arial" w:cs="Arial"/>
          <w:sz w:val="20"/>
          <w:szCs w:val="20"/>
        </w:rPr>
        <w:t xml:space="preserve">29 Mass. App. Ct. 1007, 1008 (1990) (gun in plain view near defendant’s feet; car had been broken into; attempted escape); </w:t>
      </w:r>
      <w:r w:rsidR="006B74C7" w:rsidRPr="009A1619">
        <w:rPr>
          <w:rFonts w:ascii="Arial" w:hAnsi="Arial" w:cs="Arial"/>
          <w:i/>
          <w:iCs/>
          <w:sz w:val="20"/>
          <w:szCs w:val="20"/>
        </w:rPr>
        <w:t xml:space="preserve">Commonwealth v. Montgomery, </w:t>
      </w:r>
      <w:r w:rsidR="006B74C7" w:rsidRPr="009A1619">
        <w:rPr>
          <w:rFonts w:ascii="Arial" w:hAnsi="Arial" w:cs="Arial"/>
          <w:sz w:val="20"/>
          <w:szCs w:val="20"/>
        </w:rPr>
        <w:t xml:space="preserve">23 Mass. App. Ct. 909, 910 (1986) (gun on defendant’s side of auto and defendant had appropriate </w:t>
      </w:r>
      <w:r w:rsidR="007D2C7D" w:rsidRPr="009A1619">
        <w:rPr>
          <w:rFonts w:ascii="Arial" w:hAnsi="Arial" w:cs="Arial"/>
          <w:sz w:val="20"/>
          <w:szCs w:val="20"/>
        </w:rPr>
        <w:t xml:space="preserve">ammunition </w:t>
      </w:r>
      <w:r w:rsidR="006B74C7" w:rsidRPr="009A1619">
        <w:rPr>
          <w:rFonts w:ascii="Arial" w:hAnsi="Arial" w:cs="Arial"/>
          <w:sz w:val="20"/>
          <w:szCs w:val="20"/>
        </w:rPr>
        <w:t xml:space="preserve">clip); </w:t>
      </w:r>
      <w:r w:rsidR="006B74C7" w:rsidRPr="009A1619">
        <w:rPr>
          <w:rFonts w:ascii="Arial" w:hAnsi="Arial" w:cs="Arial"/>
          <w:i/>
          <w:iCs/>
          <w:sz w:val="20"/>
          <w:szCs w:val="20"/>
        </w:rPr>
        <w:t xml:space="preserve">Commonwealth v. Lucido, </w:t>
      </w:r>
      <w:r w:rsidR="006B74C7" w:rsidRPr="009A1619">
        <w:rPr>
          <w:rFonts w:ascii="Arial" w:hAnsi="Arial" w:cs="Arial"/>
          <w:sz w:val="20"/>
          <w:szCs w:val="20"/>
        </w:rPr>
        <w:t xml:space="preserve">18 Mass. App. Ct. 941, 943 (1984) (gun in glove compartment with defendant’s personal letters); </w:t>
      </w:r>
      <w:r w:rsidR="006B74C7" w:rsidRPr="009A1619">
        <w:rPr>
          <w:rFonts w:ascii="Arial" w:hAnsi="Arial" w:cs="Arial"/>
          <w:i/>
          <w:iCs/>
          <w:sz w:val="20"/>
          <w:szCs w:val="20"/>
        </w:rPr>
        <w:t xml:space="preserve">Commonwealth v. Donovan, </w:t>
      </w:r>
      <w:r w:rsidR="006B74C7" w:rsidRPr="009A1619">
        <w:rPr>
          <w:rFonts w:ascii="Arial" w:hAnsi="Arial" w:cs="Arial"/>
          <w:sz w:val="20"/>
          <w:szCs w:val="20"/>
        </w:rPr>
        <w:t>17 Mass. App. Ct. 83, 85-86</w:t>
      </w:r>
      <w:r w:rsidR="0006267F" w:rsidRPr="009A1619">
        <w:rPr>
          <w:rFonts w:ascii="Arial" w:hAnsi="Arial" w:cs="Arial"/>
          <w:sz w:val="20"/>
          <w:szCs w:val="20"/>
        </w:rPr>
        <w:t xml:space="preserve"> </w:t>
      </w:r>
      <w:r w:rsidR="006B74C7" w:rsidRPr="009A1619">
        <w:rPr>
          <w:rFonts w:ascii="Arial" w:hAnsi="Arial" w:cs="Arial"/>
          <w:sz w:val="20"/>
          <w:szCs w:val="20"/>
        </w:rPr>
        <w:t xml:space="preserve">(1983) (gun under seat of borrowed </w:t>
      </w:r>
      <w:r w:rsidR="0006267F" w:rsidRPr="009A1619">
        <w:rPr>
          <w:rFonts w:ascii="Arial" w:hAnsi="Arial" w:cs="Arial"/>
          <w:sz w:val="20"/>
          <w:szCs w:val="20"/>
        </w:rPr>
        <w:t xml:space="preserve">car </w:t>
      </w:r>
      <w:r w:rsidR="006B74C7" w:rsidRPr="009A1619">
        <w:rPr>
          <w:rFonts w:ascii="Arial" w:hAnsi="Arial" w:cs="Arial"/>
          <w:sz w:val="20"/>
          <w:szCs w:val="20"/>
        </w:rPr>
        <w:t xml:space="preserve">surrounded by defendant’s acknowledged property); </w:t>
      </w:r>
      <w:r w:rsidR="006B74C7" w:rsidRPr="009A1619">
        <w:rPr>
          <w:rFonts w:ascii="Arial" w:hAnsi="Arial" w:cs="Arial"/>
          <w:i/>
          <w:iCs/>
          <w:sz w:val="20"/>
          <w:szCs w:val="20"/>
        </w:rPr>
        <w:t xml:space="preserve">Diaz, supra </w:t>
      </w:r>
      <w:r w:rsidR="006B74C7" w:rsidRPr="009A1619">
        <w:rPr>
          <w:rFonts w:ascii="Arial" w:hAnsi="Arial" w:cs="Arial"/>
          <w:sz w:val="20"/>
          <w:szCs w:val="20"/>
        </w:rPr>
        <w:t xml:space="preserve">(gun in plain view on floor in front of defendant). Compare </w:t>
      </w:r>
      <w:r w:rsidR="006B74C7" w:rsidRPr="009A1619">
        <w:rPr>
          <w:rFonts w:ascii="Arial" w:hAnsi="Arial" w:cs="Arial"/>
          <w:i/>
          <w:iCs/>
          <w:sz w:val="20"/>
          <w:szCs w:val="20"/>
        </w:rPr>
        <w:t>Commonwealth v. Brown</w:t>
      </w:r>
      <w:r w:rsidR="006B74C7" w:rsidRPr="009A1619">
        <w:rPr>
          <w:rFonts w:ascii="Arial" w:hAnsi="Arial" w:cs="Arial"/>
          <w:sz w:val="20"/>
          <w:szCs w:val="20"/>
        </w:rPr>
        <w:t>, 401 Mass. 745, 747 (1988) (insufficient evidence to prove defendant had knowledge of firearm, where</w:t>
      </w:r>
      <w:r w:rsidR="00081A6E" w:rsidRPr="009A1619">
        <w:rPr>
          <w:rFonts w:ascii="Arial" w:hAnsi="Arial" w:cs="Arial"/>
          <w:sz w:val="20"/>
          <w:szCs w:val="20"/>
        </w:rPr>
        <w:t xml:space="preserve"> defendant</w:t>
      </w:r>
      <w:r w:rsidR="006B74C7" w:rsidRPr="009A1619">
        <w:rPr>
          <w:rFonts w:ascii="Arial" w:hAnsi="Arial" w:cs="Arial"/>
          <w:sz w:val="20"/>
          <w:szCs w:val="20"/>
        </w:rPr>
        <w:t xml:space="preserve"> drove stolen car, guns were found under passenger seat, both occupants bent forward in unison when stopped and no admissions); </w:t>
      </w:r>
      <w:r w:rsidR="006B74C7" w:rsidRPr="009A1619">
        <w:rPr>
          <w:rFonts w:ascii="Arial" w:hAnsi="Arial" w:cs="Arial"/>
          <w:i/>
          <w:iCs/>
          <w:sz w:val="20"/>
          <w:szCs w:val="20"/>
        </w:rPr>
        <w:t xml:space="preserve">Commonwealth v. Almeida, </w:t>
      </w:r>
      <w:r w:rsidR="006B74C7" w:rsidRPr="009A1619">
        <w:rPr>
          <w:rFonts w:ascii="Arial" w:hAnsi="Arial" w:cs="Arial"/>
          <w:sz w:val="20"/>
          <w:szCs w:val="20"/>
        </w:rPr>
        <w:t xml:space="preserve">381 Mass. 420, 422-423 (1980) (insufficient </w:t>
      </w:r>
      <w:r w:rsidR="004A73F2" w:rsidRPr="009A1619">
        <w:rPr>
          <w:rFonts w:ascii="Arial" w:hAnsi="Arial" w:cs="Arial"/>
          <w:sz w:val="20"/>
          <w:szCs w:val="20"/>
        </w:rPr>
        <w:t>proof of knowledge of defendant where</w:t>
      </w:r>
      <w:r w:rsidR="006B74C7" w:rsidRPr="009A1619">
        <w:rPr>
          <w:rFonts w:ascii="Arial" w:hAnsi="Arial" w:cs="Arial"/>
          <w:sz w:val="20"/>
          <w:szCs w:val="20"/>
        </w:rPr>
        <w:t xml:space="preserve"> gun </w:t>
      </w:r>
      <w:r w:rsidR="004A73F2" w:rsidRPr="009A1619">
        <w:rPr>
          <w:rFonts w:ascii="Arial" w:hAnsi="Arial" w:cs="Arial"/>
          <w:sz w:val="20"/>
          <w:szCs w:val="20"/>
        </w:rPr>
        <w:t xml:space="preserve">was </w:t>
      </w:r>
      <w:r w:rsidR="006B74C7" w:rsidRPr="009A1619">
        <w:rPr>
          <w:rFonts w:ascii="Arial" w:hAnsi="Arial" w:cs="Arial"/>
          <w:sz w:val="20"/>
          <w:szCs w:val="20"/>
        </w:rPr>
        <w:t xml:space="preserve">inside </w:t>
      </w:r>
      <w:r w:rsidR="004A73F2" w:rsidRPr="009A1619">
        <w:rPr>
          <w:rFonts w:ascii="Arial" w:hAnsi="Arial" w:cs="Arial"/>
          <w:sz w:val="20"/>
          <w:szCs w:val="20"/>
        </w:rPr>
        <w:t xml:space="preserve">covered </w:t>
      </w:r>
      <w:r w:rsidR="006B74C7" w:rsidRPr="009A1619">
        <w:rPr>
          <w:rFonts w:ascii="Arial" w:hAnsi="Arial" w:cs="Arial"/>
          <w:sz w:val="20"/>
          <w:szCs w:val="20"/>
        </w:rPr>
        <w:t xml:space="preserve">console of borrowed auto); </w:t>
      </w:r>
      <w:r w:rsidR="006B74C7" w:rsidRPr="009A1619">
        <w:rPr>
          <w:rFonts w:ascii="Arial" w:hAnsi="Arial" w:cs="Arial"/>
          <w:i/>
          <w:iCs/>
          <w:sz w:val="20"/>
          <w:szCs w:val="20"/>
        </w:rPr>
        <w:t xml:space="preserve">Commonwealth v. Boone, </w:t>
      </w:r>
      <w:r w:rsidR="006B74C7" w:rsidRPr="009A1619">
        <w:rPr>
          <w:rFonts w:ascii="Arial" w:hAnsi="Arial" w:cs="Arial"/>
          <w:sz w:val="20"/>
          <w:szCs w:val="20"/>
        </w:rPr>
        <w:t xml:space="preserve">356 Mass. 85, 87 (1969) (insufficient </w:t>
      </w:r>
      <w:r w:rsidR="007C674E" w:rsidRPr="009A1619">
        <w:rPr>
          <w:rFonts w:ascii="Arial" w:hAnsi="Arial" w:cs="Arial"/>
          <w:sz w:val="20"/>
          <w:szCs w:val="20"/>
        </w:rPr>
        <w:t>proof of</w:t>
      </w:r>
      <w:r w:rsidR="006B74C7" w:rsidRPr="009A1619">
        <w:rPr>
          <w:rFonts w:ascii="Arial" w:hAnsi="Arial" w:cs="Arial"/>
          <w:sz w:val="20"/>
          <w:szCs w:val="20"/>
        </w:rPr>
        <w:t xml:space="preserve"> </w:t>
      </w:r>
      <w:r w:rsidR="00E21E1A" w:rsidRPr="009A1619">
        <w:rPr>
          <w:rFonts w:ascii="Arial" w:hAnsi="Arial" w:cs="Arial"/>
          <w:sz w:val="20"/>
          <w:szCs w:val="20"/>
        </w:rPr>
        <w:t xml:space="preserve">knowledge </w:t>
      </w:r>
      <w:r w:rsidR="006658C1" w:rsidRPr="009A1619">
        <w:rPr>
          <w:rFonts w:ascii="Arial" w:hAnsi="Arial" w:cs="Arial"/>
          <w:sz w:val="20"/>
          <w:szCs w:val="20"/>
        </w:rPr>
        <w:t>where</w:t>
      </w:r>
      <w:r w:rsidR="00E21E1A" w:rsidRPr="009A1619">
        <w:rPr>
          <w:rFonts w:ascii="Arial" w:hAnsi="Arial" w:cs="Arial"/>
          <w:sz w:val="20"/>
          <w:szCs w:val="20"/>
        </w:rPr>
        <w:t xml:space="preserve"> </w:t>
      </w:r>
      <w:r w:rsidR="006B74C7" w:rsidRPr="009A1619">
        <w:rPr>
          <w:rFonts w:ascii="Arial" w:hAnsi="Arial" w:cs="Arial"/>
          <w:sz w:val="20"/>
          <w:szCs w:val="20"/>
        </w:rPr>
        <w:t xml:space="preserve">defendant </w:t>
      </w:r>
      <w:r w:rsidR="00E21E1A" w:rsidRPr="009A1619">
        <w:rPr>
          <w:rFonts w:ascii="Arial" w:hAnsi="Arial" w:cs="Arial"/>
          <w:sz w:val="20"/>
          <w:szCs w:val="20"/>
        </w:rPr>
        <w:t xml:space="preserve">was </w:t>
      </w:r>
      <w:r w:rsidR="006B74C7" w:rsidRPr="009A1619">
        <w:rPr>
          <w:rFonts w:ascii="Arial" w:hAnsi="Arial" w:cs="Arial"/>
          <w:sz w:val="20"/>
          <w:szCs w:val="20"/>
        </w:rPr>
        <w:t>passenger in a</w:t>
      </w:r>
      <w:r w:rsidR="0008509D" w:rsidRPr="009A1619">
        <w:rPr>
          <w:rFonts w:ascii="Arial" w:hAnsi="Arial" w:cs="Arial"/>
          <w:sz w:val="20"/>
          <w:szCs w:val="20"/>
        </w:rPr>
        <w:t xml:space="preserve"> car</w:t>
      </w:r>
      <w:r w:rsidR="006B74C7" w:rsidRPr="009A1619">
        <w:rPr>
          <w:rFonts w:ascii="Arial" w:hAnsi="Arial" w:cs="Arial"/>
          <w:sz w:val="20"/>
          <w:szCs w:val="20"/>
        </w:rPr>
        <w:t xml:space="preserve"> with gun under </w:t>
      </w:r>
      <w:r w:rsidR="00B82707" w:rsidRPr="009A1619">
        <w:rPr>
          <w:rFonts w:ascii="Arial" w:hAnsi="Arial" w:cs="Arial"/>
          <w:sz w:val="20"/>
          <w:szCs w:val="20"/>
        </w:rPr>
        <w:t>driver’s</w:t>
      </w:r>
      <w:r w:rsidR="006B74C7" w:rsidRPr="009A1619">
        <w:rPr>
          <w:rFonts w:ascii="Arial" w:hAnsi="Arial" w:cs="Arial"/>
          <w:sz w:val="20"/>
          <w:szCs w:val="20"/>
        </w:rPr>
        <w:t xml:space="preserve"> seat); </w:t>
      </w:r>
      <w:r w:rsidR="006B74C7" w:rsidRPr="009A1619">
        <w:rPr>
          <w:rFonts w:ascii="Arial" w:hAnsi="Arial" w:cs="Arial"/>
          <w:i/>
          <w:iCs/>
          <w:sz w:val="20"/>
          <w:szCs w:val="20"/>
        </w:rPr>
        <w:t xml:space="preserve">Commonwealth v. Hill, </w:t>
      </w:r>
      <w:r w:rsidR="006B74C7" w:rsidRPr="009A1619">
        <w:rPr>
          <w:rFonts w:ascii="Arial" w:hAnsi="Arial" w:cs="Arial"/>
          <w:sz w:val="20"/>
          <w:szCs w:val="20"/>
        </w:rPr>
        <w:t>15 Mass. App. Ct. 93, 94-97 (1983) (insufficient to prove gun inside woman’s purse at male passenger’s feet)</w:t>
      </w:r>
      <w:bookmarkEnd w:id="4"/>
      <w:r w:rsidR="009E413B">
        <w:rPr>
          <w:rFonts w:ascii="Arial" w:hAnsi="Arial" w:cs="Arial"/>
          <w:sz w:val="20"/>
          <w:szCs w:val="20"/>
        </w:rPr>
        <w:t xml:space="preserve">. </w:t>
      </w:r>
    </w:p>
    <w:p w14:paraId="47846867" w14:textId="77777777" w:rsidR="00EB62EF" w:rsidRDefault="00EB62EF" w:rsidP="00EB62EF">
      <w:pPr>
        <w:shd w:val="clear" w:color="auto" w:fill="FFFFFF"/>
        <w:spacing w:after="0" w:line="240" w:lineRule="auto"/>
        <w:ind w:firstLine="720"/>
        <w:textAlignment w:val="baseline"/>
        <w:rPr>
          <w:rFonts w:ascii="Arial" w:hAnsi="Arial" w:cs="Arial"/>
          <w:sz w:val="20"/>
          <w:szCs w:val="20"/>
        </w:rPr>
      </w:pPr>
    </w:p>
    <w:p w14:paraId="59341592" w14:textId="77777777" w:rsidR="009E413B" w:rsidRDefault="00F451C5" w:rsidP="00EB62EF">
      <w:pPr>
        <w:pStyle w:val="ListParagraph"/>
        <w:numPr>
          <w:ilvl w:val="0"/>
          <w:numId w:val="12"/>
        </w:numPr>
        <w:shd w:val="clear" w:color="auto" w:fill="FFFFFF"/>
        <w:spacing w:after="0" w:line="240" w:lineRule="auto"/>
        <w:ind w:left="0" w:firstLine="360"/>
        <w:textAlignment w:val="baseline"/>
        <w:rPr>
          <w:rFonts w:ascii="Arial" w:hAnsi="Arial" w:cs="Arial"/>
          <w:sz w:val="20"/>
          <w:szCs w:val="20"/>
        </w:rPr>
      </w:pPr>
      <w:r w:rsidRPr="009E413B">
        <w:rPr>
          <w:rFonts w:ascii="Arial" w:hAnsi="Arial" w:cs="Arial"/>
          <w:b/>
          <w:bCs/>
          <w:sz w:val="20"/>
          <w:szCs w:val="20"/>
        </w:rPr>
        <w:t>Flare guns.</w:t>
      </w:r>
      <w:r w:rsidRPr="009E413B">
        <w:rPr>
          <w:rFonts w:ascii="Arial" w:hAnsi="Arial" w:cs="Arial"/>
          <w:sz w:val="20"/>
          <w:szCs w:val="20"/>
        </w:rPr>
        <w:t xml:space="preserve">  A flare gun is not a “firearm” for purposes of G.L. c. 269, § 10(a). </w:t>
      </w:r>
      <w:r w:rsidRPr="009E413B">
        <w:rPr>
          <w:rFonts w:ascii="Arial" w:hAnsi="Arial" w:cs="Arial"/>
          <w:i/>
          <w:iCs/>
          <w:sz w:val="20"/>
          <w:szCs w:val="20"/>
        </w:rPr>
        <w:t xml:space="preserve">Commonwealth v. Sampson, </w:t>
      </w:r>
      <w:r w:rsidRPr="009E413B">
        <w:rPr>
          <w:rFonts w:ascii="Arial" w:hAnsi="Arial" w:cs="Arial"/>
          <w:sz w:val="20"/>
          <w:szCs w:val="20"/>
        </w:rPr>
        <w:t>383 Mass. 750, 753-761 (1981).</w:t>
      </w:r>
    </w:p>
    <w:p w14:paraId="45BC84B2" w14:textId="77777777" w:rsidR="009E413B" w:rsidRDefault="009E413B" w:rsidP="00EB62EF">
      <w:pPr>
        <w:pStyle w:val="ListParagraph"/>
        <w:shd w:val="clear" w:color="auto" w:fill="FFFFFF"/>
        <w:spacing w:after="0" w:line="240" w:lineRule="auto"/>
        <w:textAlignment w:val="baseline"/>
        <w:rPr>
          <w:rFonts w:ascii="Arial" w:hAnsi="Arial" w:cs="Arial"/>
          <w:sz w:val="20"/>
          <w:szCs w:val="20"/>
        </w:rPr>
      </w:pPr>
    </w:p>
    <w:p w14:paraId="716EFCF4" w14:textId="77777777" w:rsidR="009E413B" w:rsidRDefault="00F451C5" w:rsidP="00EB62EF">
      <w:pPr>
        <w:pStyle w:val="ListParagraph"/>
        <w:numPr>
          <w:ilvl w:val="0"/>
          <w:numId w:val="12"/>
        </w:numPr>
        <w:shd w:val="clear" w:color="auto" w:fill="FFFFFF"/>
        <w:spacing w:after="0" w:line="240" w:lineRule="auto"/>
        <w:ind w:left="0" w:firstLine="360"/>
        <w:textAlignment w:val="baseline"/>
        <w:rPr>
          <w:rFonts w:ascii="Arial" w:hAnsi="Arial" w:cs="Arial"/>
          <w:sz w:val="20"/>
          <w:szCs w:val="20"/>
        </w:rPr>
      </w:pPr>
      <w:r w:rsidRPr="009E413B">
        <w:rPr>
          <w:rFonts w:ascii="Arial" w:hAnsi="Arial" w:cs="Arial"/>
          <w:b/>
          <w:bCs/>
          <w:sz w:val="20"/>
          <w:szCs w:val="20"/>
        </w:rPr>
        <w:lastRenderedPageBreak/>
        <w:t>Stun guns.</w:t>
      </w:r>
      <w:r w:rsidRPr="009E413B">
        <w:rPr>
          <w:rFonts w:ascii="Arial" w:hAnsi="Arial" w:cs="Arial"/>
          <w:sz w:val="20"/>
          <w:szCs w:val="20"/>
        </w:rPr>
        <w:t xml:space="preserve">  </w:t>
      </w:r>
      <w:r w:rsidRPr="009E413B">
        <w:rPr>
          <w:rFonts w:ascii="Arial" w:hAnsi="Arial" w:cs="Arial"/>
          <w:color w:val="000000"/>
          <w:sz w:val="20"/>
          <w:szCs w:val="20"/>
        </w:rPr>
        <w:t xml:space="preserve">In 2018, the Legislature amended G.L. c. 140, § 121 to include a stun gun in the definition of a firearm.  </w:t>
      </w:r>
      <w:r w:rsidRPr="009E413B">
        <w:rPr>
          <w:rFonts w:ascii="Arial" w:hAnsi="Arial" w:cs="Arial"/>
          <w:i/>
          <w:iCs/>
          <w:color w:val="000000"/>
          <w:sz w:val="20"/>
          <w:szCs w:val="20"/>
        </w:rPr>
        <w:t>See</w:t>
      </w:r>
      <w:r w:rsidRPr="009E413B">
        <w:rPr>
          <w:rFonts w:ascii="Arial" w:hAnsi="Arial" w:cs="Arial"/>
          <w:color w:val="000000"/>
          <w:sz w:val="20"/>
          <w:szCs w:val="20"/>
        </w:rPr>
        <w:t xml:space="preserve"> St. 2018, c. 123, § 4.  As amended by St. 2024, c. 135, §§15-31, </w:t>
      </w:r>
      <w:r w:rsidRPr="009E413B">
        <w:rPr>
          <w:rFonts w:ascii="Arial" w:hAnsi="Arial" w:cs="Arial"/>
          <w:sz w:val="20"/>
          <w:szCs w:val="20"/>
        </w:rPr>
        <w:t xml:space="preserve">c. 140, § 121 now states that, “A stun gun is a firearm under our law. A stun gun is a portable device or weapon designed to incapacitate temporarily, injure, or kill by electrical shock, whether the shock passes by means of a dart or projectile with a wire lead or from an electrical current, impulse, wave, or beam.”  Although the legislature has included a stun gun in the definition of a firearm, as laid out above, a firearm is an item that is “designed to or may readily be converted to expel a shot or bullet.”  As they are manufactured, stun guns are not designed or converted to do so. Should the case involve illegal possession of a stun gun, the judge should instruct the </w:t>
      </w:r>
      <w:proofErr w:type="gramStart"/>
      <w:r w:rsidRPr="009E413B">
        <w:rPr>
          <w:rFonts w:ascii="Arial" w:hAnsi="Arial" w:cs="Arial"/>
          <w:sz w:val="20"/>
          <w:szCs w:val="20"/>
        </w:rPr>
        <w:t>jury</w:t>
      </w:r>
      <w:proofErr w:type="gramEnd"/>
      <w:r w:rsidRPr="009E413B">
        <w:rPr>
          <w:rFonts w:ascii="Arial" w:hAnsi="Arial" w:cs="Arial"/>
          <w:sz w:val="20"/>
          <w:szCs w:val="20"/>
        </w:rPr>
        <w:t xml:space="preserve"> accordingly, using these definitions. </w:t>
      </w:r>
    </w:p>
    <w:p w14:paraId="49EB0889" w14:textId="77777777" w:rsidR="009E413B" w:rsidRPr="009E413B" w:rsidRDefault="009E413B" w:rsidP="00EB62EF">
      <w:pPr>
        <w:pStyle w:val="ListParagraph"/>
        <w:spacing w:after="0" w:line="240" w:lineRule="auto"/>
        <w:rPr>
          <w:rFonts w:ascii="Arial" w:eastAsia="Times New Roman" w:hAnsi="Arial" w:cs="Arial"/>
          <w:b/>
          <w:bCs/>
          <w:sz w:val="20"/>
          <w:szCs w:val="20"/>
        </w:rPr>
      </w:pPr>
    </w:p>
    <w:p w14:paraId="36FA1DC2" w14:textId="77777777" w:rsidR="009E413B" w:rsidRDefault="00E960F3" w:rsidP="00EB62EF">
      <w:pPr>
        <w:pStyle w:val="ListParagraph"/>
        <w:widowControl w:val="0"/>
        <w:numPr>
          <w:ilvl w:val="0"/>
          <w:numId w:val="12"/>
        </w:numPr>
        <w:shd w:val="clear" w:color="auto" w:fill="FFFFFF"/>
        <w:kinsoku w:val="0"/>
        <w:overflowPunct w:val="0"/>
        <w:autoSpaceDE w:val="0"/>
        <w:autoSpaceDN w:val="0"/>
        <w:adjustRightInd w:val="0"/>
        <w:spacing w:after="0" w:line="240" w:lineRule="auto"/>
        <w:ind w:left="0" w:firstLine="360"/>
        <w:textAlignment w:val="baseline"/>
        <w:rPr>
          <w:rFonts w:ascii="Arial" w:hAnsi="Arial" w:cs="Arial"/>
          <w:sz w:val="20"/>
          <w:szCs w:val="20"/>
        </w:rPr>
      </w:pPr>
      <w:r w:rsidRPr="009E413B">
        <w:rPr>
          <w:rFonts w:ascii="Arial" w:eastAsia="Times New Roman" w:hAnsi="Arial" w:cs="Arial"/>
          <w:b/>
          <w:bCs/>
          <w:sz w:val="20"/>
          <w:szCs w:val="20"/>
        </w:rPr>
        <w:t xml:space="preserve">“Frame or receiver” and </w:t>
      </w:r>
      <w:r w:rsidRPr="009E413B">
        <w:rPr>
          <w:rFonts w:ascii="Arial" w:hAnsi="Arial" w:cs="Arial"/>
          <w:b/>
          <w:bCs/>
          <w:sz w:val="20"/>
          <w:szCs w:val="20"/>
        </w:rPr>
        <w:t>“unfinished frame or receiver.”</w:t>
      </w:r>
      <w:r w:rsidRPr="009E413B">
        <w:rPr>
          <w:rFonts w:ascii="Arial" w:eastAsia="Times New Roman" w:hAnsi="Arial" w:cs="Arial"/>
          <w:b/>
          <w:bCs/>
          <w:sz w:val="20"/>
          <w:szCs w:val="20"/>
        </w:rPr>
        <w:t xml:space="preserve"> </w:t>
      </w:r>
      <w:r w:rsidRPr="009E413B">
        <w:rPr>
          <w:rFonts w:ascii="Arial" w:eastAsia="Times New Roman" w:hAnsi="Arial" w:cs="Arial"/>
          <w:sz w:val="20"/>
          <w:szCs w:val="20"/>
        </w:rPr>
        <w:t xml:space="preserve">Chapter 269, § 10(a) also references in its definition of “firearm” both a “frame or receiver of such firearm,” or an “unfinished frame or receiver.”  </w:t>
      </w:r>
    </w:p>
    <w:p w14:paraId="65FC3267" w14:textId="77777777" w:rsidR="009E413B" w:rsidRDefault="009E413B" w:rsidP="00EB62EF">
      <w:pPr>
        <w:widowControl w:val="0"/>
        <w:shd w:val="clear" w:color="auto" w:fill="FFFFFF"/>
        <w:kinsoku w:val="0"/>
        <w:overflowPunct w:val="0"/>
        <w:autoSpaceDE w:val="0"/>
        <w:autoSpaceDN w:val="0"/>
        <w:adjustRightInd w:val="0"/>
        <w:spacing w:after="0" w:line="240" w:lineRule="auto"/>
        <w:textAlignment w:val="baseline"/>
        <w:rPr>
          <w:rFonts w:ascii="Arial" w:eastAsia="Times New Roman" w:hAnsi="Arial" w:cs="Arial"/>
          <w:sz w:val="20"/>
          <w:szCs w:val="20"/>
        </w:rPr>
      </w:pPr>
    </w:p>
    <w:p w14:paraId="71FDC848" w14:textId="09E9B61D" w:rsidR="00E960F3" w:rsidRDefault="00E960F3" w:rsidP="00EB62EF">
      <w:pPr>
        <w:widowControl w:val="0"/>
        <w:shd w:val="clear" w:color="auto" w:fill="FFFFFF"/>
        <w:kinsoku w:val="0"/>
        <w:overflowPunct w:val="0"/>
        <w:autoSpaceDE w:val="0"/>
        <w:autoSpaceDN w:val="0"/>
        <w:adjustRightInd w:val="0"/>
        <w:spacing w:after="0" w:line="240" w:lineRule="auto"/>
        <w:textAlignment w:val="baseline"/>
        <w:rPr>
          <w:rFonts w:ascii="Arial" w:hAnsi="Arial" w:cs="Arial"/>
          <w:sz w:val="20"/>
          <w:szCs w:val="20"/>
        </w:rPr>
      </w:pPr>
      <w:r w:rsidRPr="009E413B">
        <w:rPr>
          <w:rFonts w:ascii="Arial" w:eastAsia="Times New Roman" w:hAnsi="Arial" w:cs="Arial"/>
          <w:sz w:val="20"/>
          <w:szCs w:val="20"/>
        </w:rPr>
        <w:tab/>
        <w:t xml:space="preserve">A </w:t>
      </w:r>
      <w:r w:rsidRPr="009E413B">
        <w:rPr>
          <w:rFonts w:ascii="Arial" w:hAnsi="Arial" w:cs="Arial"/>
          <w:sz w:val="20"/>
          <w:szCs w:val="20"/>
        </w:rPr>
        <w:t xml:space="preserve">“frame” is defined as “the part of a pistol or revolver that provides housing or a structure for the component designed to hold back the hammer, striker, bolt or similar primary energized component prior to initiation of the firing sequence, even if pins or other attachments are required to connect such component to the housing or structure.”  </w:t>
      </w:r>
    </w:p>
    <w:p w14:paraId="39E113FC" w14:textId="77777777" w:rsidR="009E413B" w:rsidRPr="009E413B" w:rsidRDefault="009E413B" w:rsidP="00EB62EF">
      <w:pPr>
        <w:widowControl w:val="0"/>
        <w:shd w:val="clear" w:color="auto" w:fill="FFFFFF"/>
        <w:kinsoku w:val="0"/>
        <w:overflowPunct w:val="0"/>
        <w:autoSpaceDE w:val="0"/>
        <w:autoSpaceDN w:val="0"/>
        <w:adjustRightInd w:val="0"/>
        <w:spacing w:after="0" w:line="240" w:lineRule="auto"/>
        <w:textAlignment w:val="baseline"/>
        <w:rPr>
          <w:rFonts w:ascii="Arial" w:hAnsi="Arial" w:cs="Arial"/>
          <w:sz w:val="20"/>
          <w:szCs w:val="20"/>
        </w:rPr>
      </w:pPr>
    </w:p>
    <w:p w14:paraId="7470534D" w14:textId="77777777" w:rsidR="009E413B" w:rsidRDefault="00E960F3" w:rsidP="00EB62EF">
      <w:pPr>
        <w:pStyle w:val="ListParagraph"/>
        <w:widowControl w:val="0"/>
        <w:kinsoku w:val="0"/>
        <w:overflowPunct w:val="0"/>
        <w:autoSpaceDE w:val="0"/>
        <w:autoSpaceDN w:val="0"/>
        <w:adjustRightInd w:val="0"/>
        <w:spacing w:after="0" w:line="240" w:lineRule="auto"/>
        <w:ind w:left="0" w:firstLine="720"/>
        <w:rPr>
          <w:rFonts w:ascii="Arial" w:hAnsi="Arial" w:cs="Arial"/>
          <w:sz w:val="20"/>
          <w:szCs w:val="20"/>
        </w:rPr>
      </w:pPr>
      <w:r>
        <w:rPr>
          <w:rFonts w:ascii="Arial" w:hAnsi="Arial" w:cs="Arial"/>
          <w:sz w:val="20"/>
          <w:szCs w:val="20"/>
        </w:rPr>
        <w:t>A</w:t>
      </w:r>
      <w:r>
        <w:rPr>
          <w:rFonts w:ascii="Arial" w:eastAsia="Times New Roman" w:hAnsi="Arial" w:cs="Arial"/>
          <w:b/>
          <w:bCs/>
          <w:sz w:val="20"/>
          <w:szCs w:val="20"/>
        </w:rPr>
        <w:t xml:space="preserve"> </w:t>
      </w:r>
      <w:r w:rsidRPr="00CB3EE0">
        <w:rPr>
          <w:rFonts w:ascii="Arial" w:eastAsia="Times New Roman" w:hAnsi="Arial" w:cs="Arial"/>
          <w:sz w:val="20"/>
          <w:szCs w:val="20"/>
        </w:rPr>
        <w:t>“receiver” is defined as “</w:t>
      </w:r>
      <w:r w:rsidRPr="00CB3EE0">
        <w:rPr>
          <w:rFonts w:ascii="Arial" w:hAnsi="Arial" w:cs="Arial"/>
          <w:sz w:val="20"/>
          <w:szCs w:val="20"/>
        </w:rPr>
        <w:t>the part of a rifle or shotgun that provides housing or a structure for the primary component designed to block or seal the breech prior to initiation of the firing sequence, even if pins or other attachments are required to connect such component to the housing or structure.</w:t>
      </w:r>
      <w:r>
        <w:rPr>
          <w:rFonts w:ascii="Arial" w:hAnsi="Arial" w:cs="Arial"/>
          <w:sz w:val="20"/>
          <w:szCs w:val="20"/>
        </w:rPr>
        <w:t>”</w:t>
      </w:r>
      <w:r w:rsidRPr="0012110E">
        <w:rPr>
          <w:rFonts w:ascii="Arial" w:hAnsi="Arial" w:cs="Arial"/>
          <w:sz w:val="20"/>
          <w:szCs w:val="20"/>
        </w:rPr>
        <w:t xml:space="preserve"> </w:t>
      </w:r>
      <w:r>
        <w:rPr>
          <w:rFonts w:ascii="Arial" w:hAnsi="Arial" w:cs="Arial"/>
          <w:sz w:val="20"/>
          <w:szCs w:val="20"/>
        </w:rPr>
        <w:t xml:space="preserve">As to a frame or receiver, </w:t>
      </w:r>
      <w:r w:rsidRPr="009A1619">
        <w:rPr>
          <w:rFonts w:ascii="Arial" w:hAnsi="Arial" w:cs="Arial"/>
          <w:color w:val="000000"/>
          <w:sz w:val="20"/>
          <w:szCs w:val="20"/>
        </w:rPr>
        <w:t xml:space="preserve">“Any such part that is identified with an importer or manufacturer serial number shall be presumed, absent an official determination by the Bureau of Alcohol, Tobacco, Firearms and Explosives in the United States Department of Justice or other reliable evidence to the contrary, to be the frame of the firearm.”  </w:t>
      </w:r>
    </w:p>
    <w:p w14:paraId="5BF2341D" w14:textId="77777777" w:rsidR="009E413B" w:rsidRDefault="009E413B" w:rsidP="00EB62EF">
      <w:pPr>
        <w:pStyle w:val="ListParagraph"/>
        <w:widowControl w:val="0"/>
        <w:kinsoku w:val="0"/>
        <w:overflowPunct w:val="0"/>
        <w:autoSpaceDE w:val="0"/>
        <w:autoSpaceDN w:val="0"/>
        <w:adjustRightInd w:val="0"/>
        <w:spacing w:after="0" w:line="240" w:lineRule="auto"/>
        <w:ind w:left="0" w:firstLine="720"/>
        <w:rPr>
          <w:rFonts w:ascii="Arial" w:hAnsi="Arial" w:cs="Arial"/>
          <w:sz w:val="20"/>
          <w:szCs w:val="20"/>
        </w:rPr>
      </w:pPr>
    </w:p>
    <w:p w14:paraId="0F462984" w14:textId="1438A3D7" w:rsidR="00E960F3" w:rsidRDefault="00E960F3" w:rsidP="00EB62EF">
      <w:pPr>
        <w:pStyle w:val="ListParagraph"/>
        <w:widowControl w:val="0"/>
        <w:kinsoku w:val="0"/>
        <w:overflowPunct w:val="0"/>
        <w:autoSpaceDE w:val="0"/>
        <w:autoSpaceDN w:val="0"/>
        <w:adjustRightInd w:val="0"/>
        <w:spacing w:after="0" w:line="240" w:lineRule="auto"/>
        <w:ind w:left="0" w:firstLine="720"/>
        <w:rPr>
          <w:rFonts w:ascii="Arial" w:hAnsi="Arial" w:cs="Arial"/>
          <w:sz w:val="20"/>
          <w:szCs w:val="20"/>
        </w:rPr>
      </w:pPr>
      <w:r>
        <w:rPr>
          <w:rFonts w:ascii="Arial" w:hAnsi="Arial" w:cs="Arial"/>
          <w:sz w:val="20"/>
          <w:szCs w:val="20"/>
        </w:rPr>
        <w:t xml:space="preserve">An </w:t>
      </w:r>
      <w:r w:rsidRPr="00CB3EE0">
        <w:rPr>
          <w:rFonts w:ascii="Arial" w:hAnsi="Arial" w:cs="Arial"/>
          <w:sz w:val="20"/>
          <w:szCs w:val="20"/>
        </w:rPr>
        <w:t>“unfinished frame or receiver” is defined as a forging, casting, printing, extrusion, machined body, or similar item that:</w:t>
      </w:r>
    </w:p>
    <w:p w14:paraId="4D017F47" w14:textId="77777777" w:rsidR="009E413B" w:rsidRPr="00CB3EE0" w:rsidRDefault="009E413B" w:rsidP="00EB62EF">
      <w:pPr>
        <w:pStyle w:val="ListParagraph"/>
        <w:widowControl w:val="0"/>
        <w:kinsoku w:val="0"/>
        <w:overflowPunct w:val="0"/>
        <w:autoSpaceDE w:val="0"/>
        <w:autoSpaceDN w:val="0"/>
        <w:adjustRightInd w:val="0"/>
        <w:spacing w:after="0" w:line="240" w:lineRule="auto"/>
        <w:ind w:left="0" w:firstLine="720"/>
        <w:rPr>
          <w:rFonts w:ascii="Arial" w:hAnsi="Arial" w:cs="Arial"/>
          <w:sz w:val="20"/>
          <w:szCs w:val="20"/>
        </w:rPr>
      </w:pPr>
    </w:p>
    <w:p w14:paraId="11B35C76" w14:textId="77777777" w:rsidR="00E960F3" w:rsidRPr="009A1619" w:rsidRDefault="00E960F3" w:rsidP="00EB62EF">
      <w:pPr>
        <w:pStyle w:val="ListParagraph"/>
        <w:spacing w:after="0" w:line="240" w:lineRule="auto"/>
        <w:rPr>
          <w:rFonts w:ascii="Arial" w:hAnsi="Arial" w:cs="Arial"/>
          <w:sz w:val="20"/>
          <w:szCs w:val="20"/>
        </w:rPr>
      </w:pPr>
      <w:r w:rsidRPr="009A1619">
        <w:rPr>
          <w:rFonts w:ascii="Arial" w:hAnsi="Arial" w:cs="Arial"/>
          <w:sz w:val="20"/>
          <w:szCs w:val="20"/>
        </w:rPr>
        <w:t xml:space="preserve">(i) has reached a stage in manufacture when it may readily be completed or assembled to function as a frame or receiver; or </w:t>
      </w:r>
    </w:p>
    <w:p w14:paraId="28EED47D" w14:textId="77777777" w:rsidR="00E960F3" w:rsidRDefault="00E960F3" w:rsidP="00EB62EF">
      <w:pPr>
        <w:pStyle w:val="ListParagraph"/>
        <w:spacing w:after="0" w:line="240" w:lineRule="auto"/>
        <w:rPr>
          <w:rFonts w:ascii="Arial" w:hAnsi="Arial" w:cs="Arial"/>
          <w:sz w:val="20"/>
          <w:szCs w:val="20"/>
        </w:rPr>
      </w:pPr>
      <w:r w:rsidRPr="009A1619">
        <w:rPr>
          <w:rFonts w:ascii="Arial" w:hAnsi="Arial" w:cs="Arial"/>
          <w:sz w:val="20"/>
          <w:szCs w:val="20"/>
        </w:rPr>
        <w:t xml:space="preserve">(ii) is marketed or sold to the public to become or be used as the frame or receiver of a functional firearm once completed or assembled.   </w:t>
      </w:r>
    </w:p>
    <w:p w14:paraId="4114398F" w14:textId="77777777" w:rsidR="009E413B" w:rsidRPr="009A1619" w:rsidRDefault="009E413B" w:rsidP="00EB62EF">
      <w:pPr>
        <w:pStyle w:val="ListParagraph"/>
        <w:spacing w:after="0" w:line="240" w:lineRule="auto"/>
        <w:rPr>
          <w:rFonts w:ascii="Arial" w:hAnsi="Arial" w:cs="Arial"/>
          <w:sz w:val="20"/>
          <w:szCs w:val="20"/>
        </w:rPr>
      </w:pPr>
    </w:p>
    <w:p w14:paraId="6D5A8D09" w14:textId="77777777" w:rsidR="00E960F3" w:rsidRDefault="00E960F3" w:rsidP="00EB62EF">
      <w:pPr>
        <w:spacing w:after="0" w:line="240" w:lineRule="auto"/>
        <w:ind w:firstLine="720"/>
        <w:rPr>
          <w:rFonts w:ascii="Arial" w:eastAsia="Times New Roman" w:hAnsi="Arial" w:cs="Arial"/>
          <w:sz w:val="20"/>
          <w:szCs w:val="20"/>
        </w:rPr>
      </w:pPr>
      <w:r w:rsidRPr="009A1619">
        <w:rPr>
          <w:rFonts w:ascii="Arial" w:hAnsi="Arial" w:cs="Arial"/>
          <w:sz w:val="20"/>
          <w:szCs w:val="20"/>
        </w:rPr>
        <w:t xml:space="preserve">An “unfinished frame or receiver” does not include a component designed and intended for use in an “antique firearm.”  </w:t>
      </w:r>
      <w:r w:rsidRPr="009A1619">
        <w:rPr>
          <w:rFonts w:ascii="Arial" w:eastAsia="Times New Roman" w:hAnsi="Arial" w:cs="Arial"/>
          <w:sz w:val="20"/>
          <w:szCs w:val="20"/>
        </w:rPr>
        <w:t xml:space="preserve">G.L. c. 140, § 121 (defining “unfinished frame or receiver”). </w:t>
      </w:r>
    </w:p>
    <w:p w14:paraId="1A3E6D25" w14:textId="77777777" w:rsidR="009E413B" w:rsidRDefault="009E413B" w:rsidP="00EB62EF">
      <w:pPr>
        <w:spacing w:after="0" w:line="240" w:lineRule="auto"/>
        <w:ind w:firstLine="720"/>
        <w:rPr>
          <w:rFonts w:ascii="Arial" w:eastAsia="Times New Roman" w:hAnsi="Arial" w:cs="Arial"/>
          <w:sz w:val="20"/>
          <w:szCs w:val="20"/>
        </w:rPr>
      </w:pPr>
    </w:p>
    <w:p w14:paraId="45E17300" w14:textId="77777777" w:rsidR="00E960F3" w:rsidRDefault="00E960F3" w:rsidP="00EB62EF">
      <w:pPr>
        <w:pStyle w:val="ListParagraph"/>
        <w:widowControl w:val="0"/>
        <w:kinsoku w:val="0"/>
        <w:overflowPunct w:val="0"/>
        <w:autoSpaceDE w:val="0"/>
        <w:autoSpaceDN w:val="0"/>
        <w:adjustRightInd w:val="0"/>
        <w:spacing w:after="0" w:line="240" w:lineRule="auto"/>
        <w:ind w:left="0" w:right="720"/>
        <w:jc w:val="both"/>
        <w:rPr>
          <w:rStyle w:val="CommentReference"/>
        </w:rPr>
      </w:pPr>
      <w:r>
        <w:rPr>
          <w:rFonts w:ascii="Arial" w:hAnsi="Arial" w:cs="Arial"/>
          <w:sz w:val="20"/>
          <w:szCs w:val="20"/>
        </w:rPr>
        <w:tab/>
      </w:r>
      <w:r w:rsidRPr="00F17EA2">
        <w:rPr>
          <w:rFonts w:ascii="Arial" w:hAnsi="Arial" w:cs="Arial"/>
          <w:sz w:val="20"/>
          <w:szCs w:val="20"/>
        </w:rPr>
        <w:t xml:space="preserve">Although the legislature has included </w:t>
      </w:r>
      <w:r>
        <w:rPr>
          <w:rFonts w:ascii="Arial" w:hAnsi="Arial" w:cs="Arial"/>
          <w:sz w:val="20"/>
          <w:szCs w:val="20"/>
        </w:rPr>
        <w:t xml:space="preserve">finished and unfinished frames and receivers </w:t>
      </w:r>
      <w:r w:rsidRPr="00F17EA2">
        <w:rPr>
          <w:rFonts w:ascii="Arial" w:hAnsi="Arial" w:cs="Arial"/>
          <w:sz w:val="20"/>
          <w:szCs w:val="20"/>
        </w:rPr>
        <w:t xml:space="preserve">in the definition of a firearm, as </w:t>
      </w:r>
      <w:r>
        <w:rPr>
          <w:rFonts w:ascii="Arial" w:hAnsi="Arial" w:cs="Arial"/>
          <w:sz w:val="20"/>
          <w:szCs w:val="20"/>
        </w:rPr>
        <w:t xml:space="preserve">stated above, </w:t>
      </w:r>
      <w:r w:rsidRPr="00F17EA2">
        <w:rPr>
          <w:rFonts w:ascii="Arial" w:hAnsi="Arial" w:cs="Arial"/>
          <w:sz w:val="20"/>
          <w:szCs w:val="20"/>
        </w:rPr>
        <w:t xml:space="preserve">a firearm is an item that is “designed to or may readily be converted to expel a shot or bullet.” </w:t>
      </w:r>
      <w:r>
        <w:rPr>
          <w:rFonts w:ascii="Arial" w:hAnsi="Arial" w:cs="Arial"/>
          <w:sz w:val="20"/>
          <w:szCs w:val="20"/>
        </w:rPr>
        <w:t>Frames and receivers, finished or unfinished,</w:t>
      </w:r>
      <w:r w:rsidRPr="00F17EA2">
        <w:rPr>
          <w:rFonts w:ascii="Arial" w:hAnsi="Arial" w:cs="Arial"/>
          <w:sz w:val="20"/>
          <w:szCs w:val="20"/>
        </w:rPr>
        <w:t xml:space="preserve"> are not designed or converted to do so. Should the case involve illegal possession of a </w:t>
      </w:r>
      <w:r>
        <w:rPr>
          <w:rFonts w:ascii="Arial" w:hAnsi="Arial" w:cs="Arial"/>
          <w:sz w:val="20"/>
          <w:szCs w:val="20"/>
        </w:rPr>
        <w:t>finished or unfinished frame or receiver</w:t>
      </w:r>
      <w:r w:rsidRPr="00F17EA2">
        <w:rPr>
          <w:rFonts w:ascii="Arial" w:hAnsi="Arial" w:cs="Arial"/>
          <w:sz w:val="20"/>
          <w:szCs w:val="20"/>
        </w:rPr>
        <w:t xml:space="preserve">, the judge should instruct the </w:t>
      </w:r>
      <w:proofErr w:type="gramStart"/>
      <w:r w:rsidRPr="00F17EA2">
        <w:rPr>
          <w:rFonts w:ascii="Arial" w:hAnsi="Arial" w:cs="Arial"/>
          <w:sz w:val="20"/>
          <w:szCs w:val="20"/>
        </w:rPr>
        <w:t>jury</w:t>
      </w:r>
      <w:proofErr w:type="gramEnd"/>
      <w:r w:rsidRPr="00F17EA2">
        <w:rPr>
          <w:rFonts w:ascii="Arial" w:hAnsi="Arial" w:cs="Arial"/>
          <w:sz w:val="20"/>
          <w:szCs w:val="20"/>
        </w:rPr>
        <w:t xml:space="preserve"> accordingly, using the</w:t>
      </w:r>
      <w:r>
        <w:rPr>
          <w:rFonts w:ascii="Arial" w:hAnsi="Arial" w:cs="Arial"/>
          <w:sz w:val="20"/>
          <w:szCs w:val="20"/>
        </w:rPr>
        <w:t xml:space="preserve"> above</w:t>
      </w:r>
      <w:r w:rsidRPr="00F17EA2">
        <w:rPr>
          <w:rFonts w:ascii="Arial" w:hAnsi="Arial" w:cs="Arial"/>
          <w:sz w:val="20"/>
          <w:szCs w:val="20"/>
        </w:rPr>
        <w:t xml:space="preserve"> definitions. </w:t>
      </w:r>
    </w:p>
    <w:p w14:paraId="053773E1" w14:textId="77777777" w:rsidR="009E413B" w:rsidRDefault="009E413B" w:rsidP="00EB62EF">
      <w:pPr>
        <w:widowControl w:val="0"/>
        <w:kinsoku w:val="0"/>
        <w:overflowPunct w:val="0"/>
        <w:autoSpaceDE w:val="0"/>
        <w:autoSpaceDN w:val="0"/>
        <w:adjustRightInd w:val="0"/>
        <w:spacing w:after="0" w:line="240" w:lineRule="auto"/>
        <w:rPr>
          <w:rFonts w:ascii="Arial" w:hAnsi="Arial" w:cs="Arial"/>
          <w:b/>
          <w:bCs/>
          <w:sz w:val="20"/>
          <w:szCs w:val="20"/>
        </w:rPr>
      </w:pPr>
    </w:p>
    <w:p w14:paraId="2FAA4891" w14:textId="77777777" w:rsidR="009E413B" w:rsidRDefault="00F451C5" w:rsidP="00EB62EF">
      <w:pPr>
        <w:pStyle w:val="ListParagraph"/>
        <w:widowControl w:val="0"/>
        <w:numPr>
          <w:ilvl w:val="0"/>
          <w:numId w:val="12"/>
        </w:numPr>
        <w:kinsoku w:val="0"/>
        <w:overflowPunct w:val="0"/>
        <w:autoSpaceDE w:val="0"/>
        <w:autoSpaceDN w:val="0"/>
        <w:adjustRightInd w:val="0"/>
        <w:spacing w:after="0" w:line="240" w:lineRule="auto"/>
        <w:ind w:left="0" w:firstLine="360"/>
        <w:rPr>
          <w:rFonts w:ascii="Arial" w:hAnsi="Arial" w:cs="Arial"/>
          <w:sz w:val="20"/>
          <w:szCs w:val="20"/>
        </w:rPr>
      </w:pPr>
      <w:r w:rsidRPr="009E413B">
        <w:rPr>
          <w:rFonts w:ascii="Arial" w:hAnsi="Arial" w:cs="Arial"/>
          <w:b/>
          <w:bCs/>
          <w:sz w:val="20"/>
          <w:szCs w:val="20"/>
        </w:rPr>
        <w:t xml:space="preserve">BB or pellet guns.  </w:t>
      </w:r>
      <w:r w:rsidR="00107951" w:rsidRPr="009E413B">
        <w:rPr>
          <w:rFonts w:ascii="Arial" w:hAnsi="Arial" w:cs="Arial"/>
          <w:sz w:val="20"/>
          <w:szCs w:val="20"/>
        </w:rPr>
        <w:t>BB or pellet guns are only considered a firearm under G.L. c. 269, § 10(j), where</w:t>
      </w:r>
      <w:r w:rsidR="000F1E1F" w:rsidRPr="009E413B">
        <w:rPr>
          <w:rFonts w:ascii="Arial" w:hAnsi="Arial" w:cs="Arial"/>
          <w:sz w:val="20"/>
          <w:szCs w:val="20"/>
        </w:rPr>
        <w:t>, specifically for the pur</w:t>
      </w:r>
      <w:r w:rsidR="00A35338" w:rsidRPr="009E413B">
        <w:rPr>
          <w:rFonts w:ascii="Arial" w:hAnsi="Arial" w:cs="Arial"/>
          <w:sz w:val="20"/>
          <w:szCs w:val="20"/>
        </w:rPr>
        <w:t xml:space="preserve">poses of the offense of </w:t>
      </w:r>
      <w:r w:rsidR="007F0836" w:rsidRPr="009E413B">
        <w:rPr>
          <w:rFonts w:ascii="Arial" w:hAnsi="Arial" w:cs="Arial"/>
          <w:sz w:val="20"/>
          <w:szCs w:val="20"/>
        </w:rPr>
        <w:t>c</w:t>
      </w:r>
      <w:r w:rsidR="00A35338" w:rsidRPr="009E413B">
        <w:rPr>
          <w:rFonts w:ascii="Arial" w:hAnsi="Arial" w:cs="Arial"/>
          <w:sz w:val="20"/>
          <w:szCs w:val="20"/>
        </w:rPr>
        <w:t>arrying a firearm at a school</w:t>
      </w:r>
      <w:r w:rsidR="00EE1129" w:rsidRPr="009E413B">
        <w:rPr>
          <w:rFonts w:ascii="Arial" w:hAnsi="Arial" w:cs="Arial"/>
          <w:sz w:val="20"/>
          <w:szCs w:val="20"/>
        </w:rPr>
        <w:t>,</w:t>
      </w:r>
      <w:r w:rsidR="00947EEF" w:rsidRPr="009E413B">
        <w:rPr>
          <w:rFonts w:ascii="Arial" w:hAnsi="Arial" w:cs="Arial"/>
          <w:sz w:val="20"/>
          <w:szCs w:val="20"/>
        </w:rPr>
        <w:t xml:space="preserve"> college</w:t>
      </w:r>
      <w:r w:rsidR="00EE1129" w:rsidRPr="009E413B">
        <w:rPr>
          <w:rFonts w:ascii="Arial" w:hAnsi="Arial" w:cs="Arial"/>
          <w:sz w:val="20"/>
          <w:szCs w:val="20"/>
        </w:rPr>
        <w:t>,</w:t>
      </w:r>
      <w:r w:rsidR="00947EEF" w:rsidRPr="009E413B">
        <w:rPr>
          <w:rFonts w:ascii="Arial" w:hAnsi="Arial" w:cs="Arial"/>
          <w:sz w:val="20"/>
          <w:szCs w:val="20"/>
        </w:rPr>
        <w:t xml:space="preserve"> or university </w:t>
      </w:r>
      <w:r w:rsidR="00EE1129" w:rsidRPr="009E413B">
        <w:rPr>
          <w:rFonts w:ascii="Arial" w:hAnsi="Arial" w:cs="Arial"/>
          <w:sz w:val="20"/>
          <w:szCs w:val="20"/>
        </w:rPr>
        <w:t>or in transport for such an institution</w:t>
      </w:r>
      <w:r w:rsidR="00A35338" w:rsidRPr="009E413B">
        <w:rPr>
          <w:rFonts w:ascii="Arial" w:hAnsi="Arial" w:cs="Arial"/>
          <w:sz w:val="20"/>
          <w:szCs w:val="20"/>
        </w:rPr>
        <w:t xml:space="preserve">, the definition </w:t>
      </w:r>
      <w:r w:rsidR="007F0836" w:rsidRPr="009E413B">
        <w:rPr>
          <w:rFonts w:ascii="Arial" w:hAnsi="Arial" w:cs="Arial"/>
          <w:sz w:val="20"/>
          <w:szCs w:val="20"/>
        </w:rPr>
        <w:t>includes “</w:t>
      </w:r>
      <w:r w:rsidR="000F1E1F" w:rsidRPr="009E413B">
        <w:rPr>
          <w:rFonts w:ascii="Arial" w:hAnsi="Arial" w:cs="Arial"/>
          <w:sz w:val="20"/>
          <w:szCs w:val="20"/>
        </w:rPr>
        <w:t xml:space="preserve">any pistol, revolver, rifle or smoothbore arm from which a shot, bullet or </w:t>
      </w:r>
      <w:r w:rsidR="000F1E1F" w:rsidRPr="009E413B">
        <w:rPr>
          <w:rFonts w:ascii="Arial" w:hAnsi="Arial" w:cs="Arial"/>
          <w:sz w:val="20"/>
          <w:szCs w:val="20"/>
          <w:u w:val="single"/>
        </w:rPr>
        <w:t>pellet</w:t>
      </w:r>
      <w:r w:rsidR="000F1E1F" w:rsidRPr="009E413B">
        <w:rPr>
          <w:rFonts w:ascii="Arial" w:hAnsi="Arial" w:cs="Arial"/>
          <w:sz w:val="20"/>
          <w:szCs w:val="20"/>
        </w:rPr>
        <w:t xml:space="preserve"> can be discharged.</w:t>
      </w:r>
      <w:r w:rsidR="007F0836" w:rsidRPr="009E413B">
        <w:rPr>
          <w:rFonts w:ascii="Arial" w:hAnsi="Arial" w:cs="Arial"/>
          <w:sz w:val="20"/>
          <w:szCs w:val="20"/>
        </w:rPr>
        <w:t xml:space="preserve">”  </w:t>
      </w:r>
    </w:p>
    <w:p w14:paraId="3E0A6782" w14:textId="77777777" w:rsidR="009E413B" w:rsidRPr="009E413B" w:rsidRDefault="009E413B" w:rsidP="00EB62EF">
      <w:pPr>
        <w:pStyle w:val="ListParagraph"/>
        <w:widowControl w:val="0"/>
        <w:kinsoku w:val="0"/>
        <w:overflowPunct w:val="0"/>
        <w:autoSpaceDE w:val="0"/>
        <w:autoSpaceDN w:val="0"/>
        <w:adjustRightInd w:val="0"/>
        <w:spacing w:after="0" w:line="240" w:lineRule="auto"/>
        <w:ind w:left="360"/>
        <w:rPr>
          <w:rFonts w:ascii="Arial" w:hAnsi="Arial" w:cs="Arial"/>
          <w:sz w:val="20"/>
          <w:szCs w:val="20"/>
        </w:rPr>
      </w:pPr>
    </w:p>
    <w:p w14:paraId="35453CBC" w14:textId="77777777" w:rsidR="00EB62EF" w:rsidRDefault="00E960F3" w:rsidP="0042286A">
      <w:pPr>
        <w:pStyle w:val="ListParagraph"/>
        <w:widowControl w:val="0"/>
        <w:numPr>
          <w:ilvl w:val="0"/>
          <w:numId w:val="12"/>
        </w:numPr>
        <w:kinsoku w:val="0"/>
        <w:overflowPunct w:val="0"/>
        <w:autoSpaceDE w:val="0"/>
        <w:autoSpaceDN w:val="0"/>
        <w:adjustRightInd w:val="0"/>
        <w:spacing w:after="0" w:line="240" w:lineRule="auto"/>
        <w:ind w:left="0" w:firstLine="360"/>
        <w:rPr>
          <w:rFonts w:ascii="Arial" w:hAnsi="Arial" w:cs="Arial"/>
          <w:sz w:val="20"/>
          <w:szCs w:val="20"/>
        </w:rPr>
      </w:pPr>
      <w:r w:rsidRPr="00EB62EF">
        <w:rPr>
          <w:rFonts w:ascii="Arial" w:hAnsi="Arial" w:cs="Arial"/>
          <w:b/>
          <w:bCs/>
          <w:sz w:val="20"/>
          <w:szCs w:val="20"/>
        </w:rPr>
        <w:t>Other firearms.</w:t>
      </w:r>
      <w:r w:rsidRPr="00EB62EF">
        <w:rPr>
          <w:rFonts w:ascii="Arial" w:hAnsi="Arial" w:cs="Arial"/>
          <w:sz w:val="20"/>
          <w:szCs w:val="20"/>
        </w:rPr>
        <w:t xml:space="preserve">  The definition of “firearm” specifically enumerates additional weapons as firearms: sawed</w:t>
      </w:r>
      <w:r w:rsidRPr="00EB62EF">
        <w:rPr>
          <w:rFonts w:ascii="Arial" w:hAnsi="Arial" w:cs="Arial"/>
          <w:sz w:val="20"/>
          <w:szCs w:val="20"/>
        </w:rPr>
        <w:noBreakHyphen/>
        <w:t>off shotguns, large capacity firearms, assault</w:t>
      </w:r>
      <w:r w:rsidRPr="00EB62EF">
        <w:rPr>
          <w:rFonts w:ascii="Arial" w:hAnsi="Arial" w:cs="Arial"/>
          <w:sz w:val="20"/>
          <w:szCs w:val="20"/>
        </w:rPr>
        <w:noBreakHyphen/>
        <w:t>style firearms, and machine guns.  G.L. c. 140, § 121.  The District Court lacks jurisdiction over the possession of these specific firearms.  G.L. c. 140, § 131M (assault-style firearm); G.L. c. 269, § 10(c) (machine gun and sawed-off shotgun), 10(m) (large capacity firearm).</w:t>
      </w:r>
    </w:p>
    <w:p w14:paraId="3C37C6AC" w14:textId="77777777" w:rsidR="00EB62EF" w:rsidRPr="00EB62EF" w:rsidRDefault="00EB62EF" w:rsidP="00EB62EF">
      <w:pPr>
        <w:pStyle w:val="ListParagraph"/>
        <w:rPr>
          <w:rFonts w:ascii="Arial" w:hAnsi="Arial" w:cs="Arial"/>
          <w:b/>
          <w:bCs/>
          <w:sz w:val="20"/>
          <w:szCs w:val="20"/>
        </w:rPr>
      </w:pPr>
    </w:p>
    <w:p w14:paraId="6BA2A7AE" w14:textId="6465ED15" w:rsidR="009E413B" w:rsidRPr="00EB62EF" w:rsidRDefault="004229FE" w:rsidP="0042286A">
      <w:pPr>
        <w:pStyle w:val="ListParagraph"/>
        <w:widowControl w:val="0"/>
        <w:numPr>
          <w:ilvl w:val="0"/>
          <w:numId w:val="12"/>
        </w:numPr>
        <w:kinsoku w:val="0"/>
        <w:overflowPunct w:val="0"/>
        <w:autoSpaceDE w:val="0"/>
        <w:autoSpaceDN w:val="0"/>
        <w:adjustRightInd w:val="0"/>
        <w:spacing w:after="0" w:line="240" w:lineRule="auto"/>
        <w:ind w:left="0" w:firstLine="360"/>
        <w:rPr>
          <w:rFonts w:ascii="Arial" w:hAnsi="Arial" w:cs="Arial"/>
          <w:sz w:val="20"/>
          <w:szCs w:val="20"/>
        </w:rPr>
      </w:pPr>
      <w:r w:rsidRPr="00EB62EF">
        <w:rPr>
          <w:rFonts w:ascii="Arial" w:hAnsi="Arial" w:cs="Arial"/>
          <w:b/>
          <w:bCs/>
          <w:sz w:val="20"/>
          <w:szCs w:val="20"/>
        </w:rPr>
        <w:lastRenderedPageBreak/>
        <w:t>Antique firearms</w:t>
      </w:r>
      <w:r w:rsidRPr="00EB62EF">
        <w:rPr>
          <w:rFonts w:ascii="Arial" w:hAnsi="Arial" w:cs="Arial"/>
          <w:sz w:val="20"/>
          <w:szCs w:val="20"/>
        </w:rPr>
        <w:t xml:space="preserve">. Antique firearms are exempted from </w:t>
      </w:r>
      <w:r w:rsidR="00763093" w:rsidRPr="00EB62EF">
        <w:rPr>
          <w:rFonts w:ascii="Arial" w:hAnsi="Arial" w:cs="Arial"/>
          <w:sz w:val="20"/>
          <w:szCs w:val="20"/>
        </w:rPr>
        <w:t xml:space="preserve">G.L. c. </w:t>
      </w:r>
      <w:r w:rsidRPr="00EB62EF">
        <w:rPr>
          <w:rFonts w:ascii="Arial" w:hAnsi="Arial" w:cs="Arial"/>
          <w:sz w:val="20"/>
          <w:szCs w:val="20"/>
        </w:rPr>
        <w:t>269</w:t>
      </w:r>
      <w:r w:rsidR="005249E1" w:rsidRPr="00EB62EF">
        <w:rPr>
          <w:rFonts w:ascii="Arial" w:hAnsi="Arial" w:cs="Arial"/>
          <w:sz w:val="20"/>
          <w:szCs w:val="20"/>
        </w:rPr>
        <w:t>,</w:t>
      </w:r>
      <w:r w:rsidRPr="00EB62EF">
        <w:rPr>
          <w:rFonts w:ascii="Arial" w:hAnsi="Arial" w:cs="Arial"/>
          <w:sz w:val="20"/>
          <w:szCs w:val="20"/>
        </w:rPr>
        <w:t xml:space="preserve"> </w:t>
      </w:r>
      <w:r w:rsidR="00763093" w:rsidRPr="00EB62EF">
        <w:rPr>
          <w:rFonts w:ascii="Arial" w:hAnsi="Arial" w:cs="Arial"/>
          <w:sz w:val="20"/>
          <w:szCs w:val="20"/>
        </w:rPr>
        <w:t xml:space="preserve">§ </w:t>
      </w:r>
      <w:r w:rsidRPr="00EB62EF">
        <w:rPr>
          <w:rFonts w:ascii="Arial" w:hAnsi="Arial" w:cs="Arial"/>
          <w:sz w:val="20"/>
          <w:szCs w:val="20"/>
        </w:rPr>
        <w:t xml:space="preserve">10, and are defined by </w:t>
      </w:r>
      <w:r w:rsidR="00763093" w:rsidRPr="00EB62EF">
        <w:rPr>
          <w:rFonts w:ascii="Arial" w:eastAsia="Times New Roman" w:hAnsi="Arial" w:cs="Arial"/>
          <w:sz w:val="20"/>
          <w:szCs w:val="20"/>
        </w:rPr>
        <w:t>G.L.</w:t>
      </w:r>
      <w:r w:rsidR="00382907" w:rsidRPr="00EB62EF">
        <w:rPr>
          <w:rFonts w:ascii="Arial" w:eastAsia="Times New Roman" w:hAnsi="Arial" w:cs="Arial"/>
          <w:sz w:val="20"/>
          <w:szCs w:val="20"/>
        </w:rPr>
        <w:t xml:space="preserve"> c. 140, § 121” as any firearm or replica manufactured in or before 1899 if the firearm:</w:t>
      </w:r>
    </w:p>
    <w:p w14:paraId="207AECDD" w14:textId="77777777" w:rsidR="009E413B" w:rsidRPr="009E413B" w:rsidRDefault="009E413B" w:rsidP="00EB62EF">
      <w:pPr>
        <w:pStyle w:val="ListParagraph"/>
        <w:spacing w:after="0" w:line="240" w:lineRule="auto"/>
        <w:rPr>
          <w:rFonts w:ascii="Arial" w:hAnsi="Arial" w:cs="Arial"/>
          <w:sz w:val="20"/>
          <w:szCs w:val="20"/>
        </w:rPr>
      </w:pPr>
    </w:p>
    <w:p w14:paraId="063287E1" w14:textId="77777777" w:rsidR="00382907" w:rsidRPr="009A1619" w:rsidRDefault="00382907" w:rsidP="00EB62EF">
      <w:pPr>
        <w:pStyle w:val="ListParagraph"/>
        <w:spacing w:after="0" w:line="240" w:lineRule="auto"/>
        <w:ind w:left="0" w:firstLine="720"/>
        <w:rPr>
          <w:rFonts w:ascii="Arial" w:eastAsia="Times New Roman" w:hAnsi="Arial" w:cs="Arial"/>
          <w:sz w:val="20"/>
          <w:szCs w:val="20"/>
        </w:rPr>
      </w:pPr>
      <w:r w:rsidRPr="009A1619">
        <w:rPr>
          <w:rFonts w:ascii="Arial" w:eastAsia="Times New Roman" w:hAnsi="Arial" w:cs="Arial"/>
          <w:sz w:val="20"/>
          <w:szCs w:val="20"/>
        </w:rPr>
        <w:t>(i) is not designed or redesigned for using rimfire or conventional centerfire fixed ammunition; or</w:t>
      </w:r>
    </w:p>
    <w:p w14:paraId="5B936FD8" w14:textId="77777777" w:rsidR="00382907" w:rsidRPr="009A1619" w:rsidRDefault="00382907" w:rsidP="00EB62EF">
      <w:pPr>
        <w:pStyle w:val="ListParagraph"/>
        <w:spacing w:after="0" w:line="240" w:lineRule="auto"/>
        <w:rPr>
          <w:rFonts w:ascii="Arial" w:hAnsi="Arial" w:cs="Arial"/>
          <w:sz w:val="20"/>
          <w:szCs w:val="20"/>
        </w:rPr>
      </w:pPr>
      <w:r w:rsidRPr="009A1619">
        <w:rPr>
          <w:rFonts w:ascii="Arial" w:hAnsi="Arial" w:cs="Arial"/>
          <w:sz w:val="20"/>
          <w:szCs w:val="20"/>
        </w:rPr>
        <w:t>(ii) uses rimfire or conventional centerfire fixed ammunition that is no longer manufactured in the United States and which is not readily available in the ordinary channels of commercial trade.</w:t>
      </w:r>
    </w:p>
    <w:p w14:paraId="423698A5" w14:textId="77777777" w:rsidR="00382907" w:rsidRPr="009A1619" w:rsidRDefault="00382907" w:rsidP="00EB62EF">
      <w:pPr>
        <w:spacing w:after="0" w:line="240" w:lineRule="auto"/>
        <w:rPr>
          <w:rFonts w:ascii="Arial" w:hAnsi="Arial" w:cs="Arial"/>
          <w:sz w:val="20"/>
          <w:szCs w:val="20"/>
        </w:rPr>
      </w:pPr>
    </w:p>
    <w:p w14:paraId="438AD05A" w14:textId="77777777" w:rsidR="00382907" w:rsidRDefault="00382907" w:rsidP="00EB62EF">
      <w:pPr>
        <w:spacing w:after="0" w:line="240" w:lineRule="auto"/>
        <w:ind w:firstLine="720"/>
        <w:rPr>
          <w:rFonts w:ascii="Arial" w:hAnsi="Arial" w:cs="Arial"/>
          <w:sz w:val="20"/>
          <w:szCs w:val="20"/>
        </w:rPr>
      </w:pPr>
      <w:r w:rsidRPr="009A1619">
        <w:rPr>
          <w:rFonts w:ascii="Arial" w:hAnsi="Arial" w:cs="Arial"/>
          <w:sz w:val="20"/>
          <w:szCs w:val="20"/>
        </w:rPr>
        <w:t>That definition includes any muzzle</w:t>
      </w:r>
      <w:r w:rsidRPr="009A1619">
        <w:rPr>
          <w:rFonts w:ascii="Arial" w:hAnsi="Arial" w:cs="Arial"/>
          <w:sz w:val="20"/>
          <w:szCs w:val="20"/>
        </w:rPr>
        <w:noBreakHyphen/>
        <w:t>loading rifle, shotgun, or pistol that is designed to use black powder, or a black powder substitute, and that cannot use fixed ammunition, unless the firearm:</w:t>
      </w:r>
    </w:p>
    <w:p w14:paraId="7A807E3A" w14:textId="77777777" w:rsidR="009E413B" w:rsidRPr="009A1619" w:rsidRDefault="009E413B" w:rsidP="00EB62EF">
      <w:pPr>
        <w:spacing w:after="0" w:line="240" w:lineRule="auto"/>
        <w:ind w:firstLine="720"/>
        <w:rPr>
          <w:rFonts w:ascii="Arial" w:hAnsi="Arial" w:cs="Arial"/>
          <w:sz w:val="20"/>
          <w:szCs w:val="20"/>
        </w:rPr>
      </w:pPr>
    </w:p>
    <w:p w14:paraId="3F67E171" w14:textId="77777777" w:rsidR="00382907" w:rsidRPr="009A1619" w:rsidRDefault="00382907" w:rsidP="00EB62EF">
      <w:pPr>
        <w:spacing w:after="0" w:line="240" w:lineRule="auto"/>
        <w:ind w:firstLine="720"/>
        <w:rPr>
          <w:rFonts w:ascii="Arial" w:hAnsi="Arial" w:cs="Arial"/>
          <w:sz w:val="20"/>
          <w:szCs w:val="20"/>
        </w:rPr>
      </w:pPr>
      <w:r w:rsidRPr="009A1619">
        <w:rPr>
          <w:rFonts w:ascii="Arial" w:hAnsi="Arial" w:cs="Arial"/>
          <w:sz w:val="20"/>
          <w:szCs w:val="20"/>
        </w:rPr>
        <w:t xml:space="preserve">(a) incorporates a firearm frame or </w:t>
      </w:r>
      <w:proofErr w:type="gramStart"/>
      <w:r w:rsidRPr="009A1619">
        <w:rPr>
          <w:rFonts w:ascii="Arial" w:hAnsi="Arial" w:cs="Arial"/>
          <w:sz w:val="20"/>
          <w:szCs w:val="20"/>
        </w:rPr>
        <w:t>receiver;</w:t>
      </w:r>
      <w:proofErr w:type="gramEnd"/>
    </w:p>
    <w:p w14:paraId="0F40703D" w14:textId="77777777" w:rsidR="00382907" w:rsidRPr="009A1619" w:rsidRDefault="00382907" w:rsidP="00EB62EF">
      <w:pPr>
        <w:spacing w:after="0" w:line="240" w:lineRule="auto"/>
        <w:ind w:firstLine="720"/>
        <w:rPr>
          <w:rFonts w:ascii="Arial" w:hAnsi="Arial" w:cs="Arial"/>
          <w:sz w:val="20"/>
          <w:szCs w:val="20"/>
        </w:rPr>
      </w:pPr>
      <w:r w:rsidRPr="009A1619">
        <w:rPr>
          <w:rFonts w:ascii="Arial" w:hAnsi="Arial" w:cs="Arial"/>
          <w:sz w:val="20"/>
          <w:szCs w:val="20"/>
        </w:rPr>
        <w:t>(b) is converted into a muzzle-loading firearm; or</w:t>
      </w:r>
    </w:p>
    <w:p w14:paraId="361E92E0" w14:textId="77777777" w:rsidR="00382907" w:rsidRDefault="00382907" w:rsidP="00EB62EF">
      <w:pPr>
        <w:spacing w:after="0" w:line="240" w:lineRule="auto"/>
        <w:ind w:left="720"/>
        <w:rPr>
          <w:rFonts w:ascii="Arial" w:hAnsi="Arial" w:cs="Arial"/>
          <w:sz w:val="20"/>
          <w:szCs w:val="20"/>
        </w:rPr>
      </w:pPr>
      <w:r w:rsidRPr="009A1619">
        <w:rPr>
          <w:rFonts w:ascii="Arial" w:hAnsi="Arial" w:cs="Arial"/>
          <w:sz w:val="20"/>
          <w:szCs w:val="20"/>
        </w:rPr>
        <w:t>(c) is a muzzle</w:t>
      </w:r>
      <w:r w:rsidRPr="009A1619">
        <w:rPr>
          <w:rFonts w:ascii="Arial" w:hAnsi="Arial" w:cs="Arial"/>
          <w:sz w:val="20"/>
          <w:szCs w:val="20"/>
        </w:rPr>
        <w:noBreakHyphen/>
        <w:t>loading firearm that can be readily converted to fire fixed ammunition by replacing the barrel, bolt, breechblock, or any combination of those parts.</w:t>
      </w:r>
    </w:p>
    <w:p w14:paraId="7B030CFC" w14:textId="77777777" w:rsidR="00382907" w:rsidRDefault="00382907" w:rsidP="00EB62EF">
      <w:pPr>
        <w:spacing w:after="0" w:line="240" w:lineRule="auto"/>
        <w:ind w:left="720"/>
        <w:rPr>
          <w:rFonts w:ascii="Arial" w:hAnsi="Arial" w:cs="Arial"/>
          <w:sz w:val="20"/>
          <w:szCs w:val="20"/>
        </w:rPr>
      </w:pPr>
    </w:p>
    <w:p w14:paraId="607EB079" w14:textId="17EA6528" w:rsidR="003E039A" w:rsidRDefault="00382907" w:rsidP="00EB62EF">
      <w:pPr>
        <w:pStyle w:val="ListParagraph"/>
        <w:spacing w:after="0" w:line="240" w:lineRule="auto"/>
        <w:ind w:left="0" w:firstLine="720"/>
        <w:rPr>
          <w:rFonts w:ascii="Arial" w:hAnsi="Arial" w:cs="Arial"/>
          <w:sz w:val="20"/>
          <w:szCs w:val="20"/>
        </w:rPr>
      </w:pPr>
      <w:r>
        <w:rPr>
          <w:rFonts w:ascii="Arial" w:hAnsi="Arial" w:cs="Arial"/>
          <w:sz w:val="20"/>
          <w:szCs w:val="20"/>
        </w:rPr>
        <w:t xml:space="preserve">To the extent that this issue is a jury question, the jury should be instructed in accordance with this definition. </w:t>
      </w:r>
    </w:p>
    <w:p w14:paraId="73E36DE2" w14:textId="77777777" w:rsidR="00382907" w:rsidRPr="00382907" w:rsidRDefault="00382907" w:rsidP="00EB62EF">
      <w:pPr>
        <w:pStyle w:val="ListParagraph"/>
        <w:spacing w:after="0" w:line="240" w:lineRule="auto"/>
        <w:ind w:left="0"/>
        <w:rPr>
          <w:rFonts w:ascii="Arial" w:hAnsi="Arial" w:cs="Arial"/>
          <w:sz w:val="20"/>
          <w:szCs w:val="20"/>
        </w:rPr>
      </w:pPr>
    </w:p>
    <w:p w14:paraId="6FDD6978" w14:textId="5662CCDF" w:rsidR="003E039A" w:rsidRPr="007E1B52" w:rsidRDefault="003E039A" w:rsidP="00EB62EF">
      <w:pPr>
        <w:pStyle w:val="ListParagraph"/>
        <w:numPr>
          <w:ilvl w:val="0"/>
          <w:numId w:val="12"/>
        </w:numPr>
        <w:spacing w:after="0" w:line="240" w:lineRule="auto"/>
        <w:ind w:left="0" w:firstLine="360"/>
        <w:rPr>
          <w:rFonts w:ascii="Arial" w:hAnsi="Arial" w:cs="Arial"/>
          <w:b/>
          <w:bCs/>
          <w:sz w:val="20"/>
          <w:szCs w:val="20"/>
        </w:rPr>
      </w:pPr>
      <w:r w:rsidRPr="00C44F6D">
        <w:rPr>
          <w:rFonts w:ascii="Arial" w:hAnsi="Arial" w:cs="Arial"/>
          <w:b/>
          <w:bCs/>
          <w:sz w:val="20"/>
          <w:szCs w:val="20"/>
        </w:rPr>
        <w:t>Disqualifying conditions.</w:t>
      </w:r>
      <w:r w:rsidRPr="00C44F6D">
        <w:rPr>
          <w:rFonts w:ascii="Arial" w:hAnsi="Arial" w:cs="Arial"/>
          <w:sz w:val="20"/>
          <w:szCs w:val="20"/>
        </w:rPr>
        <w:t xml:space="preserve"> </w:t>
      </w:r>
      <w:r w:rsidR="0015238A" w:rsidRPr="00C44F6D">
        <w:rPr>
          <w:rFonts w:ascii="Arial" w:hAnsi="Arial" w:cs="Arial"/>
          <w:sz w:val="20"/>
          <w:szCs w:val="20"/>
        </w:rPr>
        <w:t xml:space="preserve"> </w:t>
      </w:r>
      <w:r w:rsidR="00256F06" w:rsidRPr="00C44F6D">
        <w:rPr>
          <w:rFonts w:ascii="Arial" w:hAnsi="Arial" w:cs="Arial"/>
          <w:sz w:val="20"/>
          <w:szCs w:val="20"/>
        </w:rPr>
        <w:t xml:space="preserve">As stated in </w:t>
      </w:r>
      <w:r w:rsidR="0060767C" w:rsidRPr="00C44F6D">
        <w:rPr>
          <w:rFonts w:ascii="Arial" w:hAnsi="Arial" w:cs="Arial"/>
          <w:sz w:val="20"/>
          <w:szCs w:val="20"/>
        </w:rPr>
        <w:t>several</w:t>
      </w:r>
      <w:r w:rsidR="00256F06" w:rsidRPr="00C44F6D">
        <w:rPr>
          <w:rFonts w:ascii="Arial" w:hAnsi="Arial" w:cs="Arial"/>
          <w:sz w:val="20"/>
          <w:szCs w:val="20"/>
        </w:rPr>
        <w:t xml:space="preserve"> supplemental instruction</w:t>
      </w:r>
      <w:r w:rsidR="0060767C" w:rsidRPr="00C44F6D">
        <w:rPr>
          <w:rFonts w:ascii="Arial" w:hAnsi="Arial" w:cs="Arial"/>
          <w:sz w:val="20"/>
          <w:szCs w:val="20"/>
        </w:rPr>
        <w:t>s</w:t>
      </w:r>
      <w:r w:rsidR="00256F06" w:rsidRPr="00C44F6D">
        <w:rPr>
          <w:rFonts w:ascii="Arial" w:hAnsi="Arial" w:cs="Arial"/>
          <w:sz w:val="20"/>
          <w:szCs w:val="20"/>
        </w:rPr>
        <w:t xml:space="preserve"> </w:t>
      </w:r>
      <w:r w:rsidR="00E960F3">
        <w:rPr>
          <w:rFonts w:ascii="Arial" w:hAnsi="Arial" w:cs="Arial"/>
          <w:i/>
          <w:iCs/>
          <w:sz w:val="20"/>
          <w:szCs w:val="20"/>
        </w:rPr>
        <w:t>infra.</w:t>
      </w:r>
      <w:r w:rsidR="00256F06" w:rsidRPr="00C44F6D">
        <w:rPr>
          <w:rFonts w:ascii="Arial" w:hAnsi="Arial" w:cs="Arial"/>
          <w:sz w:val="20"/>
          <w:szCs w:val="20"/>
        </w:rPr>
        <w:t xml:space="preserve">, a defendant may </w:t>
      </w:r>
      <w:r w:rsidR="0060767C" w:rsidRPr="00C44F6D">
        <w:rPr>
          <w:rFonts w:ascii="Arial" w:hAnsi="Arial" w:cs="Arial"/>
          <w:sz w:val="20"/>
          <w:szCs w:val="20"/>
        </w:rPr>
        <w:t xml:space="preserve">seek to assert an affirmative defense that </w:t>
      </w:r>
      <w:r w:rsidR="00D243FE" w:rsidRPr="00C44F6D">
        <w:rPr>
          <w:rFonts w:ascii="Arial" w:hAnsi="Arial" w:cs="Arial"/>
          <w:sz w:val="20"/>
          <w:szCs w:val="20"/>
        </w:rPr>
        <w:t xml:space="preserve">their </w:t>
      </w:r>
      <w:r w:rsidR="0060767C" w:rsidRPr="00C44F6D">
        <w:rPr>
          <w:rFonts w:ascii="Arial" w:hAnsi="Arial" w:cs="Arial"/>
          <w:sz w:val="20"/>
          <w:szCs w:val="20"/>
        </w:rPr>
        <w:t>license is</w:t>
      </w:r>
      <w:r w:rsidR="009937B0" w:rsidRPr="00C44F6D">
        <w:rPr>
          <w:rFonts w:ascii="Arial" w:hAnsi="Arial" w:cs="Arial"/>
          <w:sz w:val="20"/>
          <w:szCs w:val="20"/>
        </w:rPr>
        <w:t xml:space="preserve"> expired but</w:t>
      </w:r>
      <w:r w:rsidR="0060767C" w:rsidRPr="00C44F6D">
        <w:rPr>
          <w:rFonts w:ascii="Arial" w:hAnsi="Arial" w:cs="Arial"/>
          <w:sz w:val="20"/>
          <w:szCs w:val="20"/>
        </w:rPr>
        <w:t xml:space="preserve"> </w:t>
      </w:r>
      <w:r w:rsidR="00F1757A" w:rsidRPr="00C44F6D">
        <w:rPr>
          <w:rFonts w:ascii="Arial" w:hAnsi="Arial" w:cs="Arial"/>
          <w:sz w:val="20"/>
          <w:szCs w:val="20"/>
        </w:rPr>
        <w:t xml:space="preserve">valid </w:t>
      </w:r>
      <w:r w:rsidR="004F68DB" w:rsidRPr="00C44F6D">
        <w:rPr>
          <w:rFonts w:ascii="Arial" w:hAnsi="Arial" w:cs="Arial"/>
          <w:sz w:val="20"/>
          <w:szCs w:val="20"/>
        </w:rPr>
        <w:t xml:space="preserve">under G.L. c. 140, § 121F(s), </w:t>
      </w:r>
      <w:r w:rsidR="00D243FE" w:rsidRPr="00C44F6D">
        <w:rPr>
          <w:rFonts w:ascii="Arial" w:hAnsi="Arial" w:cs="Arial"/>
          <w:sz w:val="20"/>
          <w:szCs w:val="20"/>
        </w:rPr>
        <w:t>or they are</w:t>
      </w:r>
      <w:r w:rsidR="00256F06" w:rsidRPr="00C44F6D">
        <w:rPr>
          <w:rFonts w:ascii="Arial" w:hAnsi="Arial" w:cs="Arial"/>
          <w:sz w:val="20"/>
          <w:szCs w:val="20"/>
        </w:rPr>
        <w:t xml:space="preserve"> exempt from </w:t>
      </w:r>
      <w:r w:rsidR="00D243FE" w:rsidRPr="00C44F6D">
        <w:rPr>
          <w:rFonts w:ascii="Arial" w:hAnsi="Arial" w:cs="Arial"/>
          <w:sz w:val="20"/>
          <w:szCs w:val="20"/>
        </w:rPr>
        <w:t>punishment</w:t>
      </w:r>
      <w:r w:rsidR="00256F06" w:rsidRPr="00C44F6D">
        <w:rPr>
          <w:rFonts w:ascii="Arial" w:hAnsi="Arial" w:cs="Arial"/>
          <w:sz w:val="20"/>
          <w:szCs w:val="20"/>
        </w:rPr>
        <w:t xml:space="preserve"> if </w:t>
      </w:r>
      <w:r w:rsidR="00000D48" w:rsidRPr="00C44F6D">
        <w:rPr>
          <w:rFonts w:ascii="Arial" w:hAnsi="Arial" w:cs="Arial"/>
          <w:sz w:val="20"/>
          <w:szCs w:val="20"/>
        </w:rPr>
        <w:t xml:space="preserve">they hold an expired </w:t>
      </w:r>
      <w:r w:rsidR="002B6CCB" w:rsidRPr="00C44F6D">
        <w:rPr>
          <w:rFonts w:ascii="Arial" w:hAnsi="Arial" w:cs="Arial"/>
          <w:sz w:val="20"/>
          <w:szCs w:val="20"/>
        </w:rPr>
        <w:t>but</w:t>
      </w:r>
      <w:r w:rsidR="00000D48" w:rsidRPr="00C44F6D">
        <w:rPr>
          <w:rFonts w:ascii="Arial" w:hAnsi="Arial" w:cs="Arial"/>
          <w:sz w:val="20"/>
          <w:szCs w:val="20"/>
        </w:rPr>
        <w:t xml:space="preserve"> invalid license and that </w:t>
      </w:r>
      <w:r w:rsidR="002B6CCB" w:rsidRPr="00C44F6D">
        <w:rPr>
          <w:rFonts w:ascii="Arial" w:hAnsi="Arial" w:cs="Arial"/>
          <w:sz w:val="20"/>
          <w:szCs w:val="20"/>
        </w:rPr>
        <w:t>they would not be disqualified from renewing their license</w:t>
      </w:r>
      <w:r w:rsidR="007851A5" w:rsidRPr="00C44F6D">
        <w:rPr>
          <w:rFonts w:ascii="Arial" w:hAnsi="Arial" w:cs="Arial"/>
          <w:sz w:val="20"/>
          <w:szCs w:val="20"/>
        </w:rPr>
        <w:t xml:space="preserve">, under G.L. c. </w:t>
      </w:r>
      <w:r w:rsidR="00214775" w:rsidRPr="00C44F6D">
        <w:rPr>
          <w:rFonts w:ascii="Arial" w:hAnsi="Arial" w:cs="Arial"/>
          <w:sz w:val="20"/>
          <w:szCs w:val="20"/>
        </w:rPr>
        <w:t xml:space="preserve">140, § 121F(t).  </w:t>
      </w:r>
      <w:r w:rsidR="002C68CC" w:rsidRPr="00C44F6D">
        <w:rPr>
          <w:rFonts w:ascii="Arial" w:hAnsi="Arial" w:cs="Arial"/>
          <w:sz w:val="20"/>
          <w:szCs w:val="20"/>
        </w:rPr>
        <w:t xml:space="preserve">As such, </w:t>
      </w:r>
      <w:r w:rsidR="00984ADD" w:rsidRPr="00C44F6D">
        <w:rPr>
          <w:rFonts w:ascii="Arial" w:hAnsi="Arial" w:cs="Arial"/>
          <w:sz w:val="20"/>
          <w:szCs w:val="20"/>
        </w:rPr>
        <w:t xml:space="preserve">the issue of </w:t>
      </w:r>
      <w:proofErr w:type="gramStart"/>
      <w:r w:rsidR="00984ADD" w:rsidRPr="00C44F6D">
        <w:rPr>
          <w:rFonts w:ascii="Arial" w:hAnsi="Arial" w:cs="Arial"/>
          <w:sz w:val="20"/>
          <w:szCs w:val="20"/>
        </w:rPr>
        <w:t>whether or not</w:t>
      </w:r>
      <w:proofErr w:type="gramEnd"/>
      <w:r w:rsidR="00984ADD" w:rsidRPr="00C44F6D">
        <w:rPr>
          <w:rFonts w:ascii="Arial" w:hAnsi="Arial" w:cs="Arial"/>
          <w:sz w:val="20"/>
          <w:szCs w:val="20"/>
        </w:rPr>
        <w:t xml:space="preserve"> the defendant would be disqualified from </w:t>
      </w:r>
      <w:r w:rsidR="00C44F6D" w:rsidRPr="00C44F6D">
        <w:rPr>
          <w:rFonts w:ascii="Arial" w:hAnsi="Arial" w:cs="Arial"/>
          <w:sz w:val="20"/>
          <w:szCs w:val="20"/>
        </w:rPr>
        <w:t xml:space="preserve">holding a license may be </w:t>
      </w:r>
      <w:proofErr w:type="gramStart"/>
      <w:r w:rsidR="00C44F6D" w:rsidRPr="00C44F6D">
        <w:rPr>
          <w:rFonts w:ascii="Arial" w:hAnsi="Arial" w:cs="Arial"/>
          <w:sz w:val="20"/>
          <w:szCs w:val="20"/>
        </w:rPr>
        <w:t>germane</w:t>
      </w:r>
      <w:proofErr w:type="gramEnd"/>
      <w:r w:rsidR="00C44F6D" w:rsidRPr="00C44F6D">
        <w:rPr>
          <w:rFonts w:ascii="Arial" w:hAnsi="Arial" w:cs="Arial"/>
          <w:sz w:val="20"/>
          <w:szCs w:val="20"/>
        </w:rPr>
        <w:t xml:space="preserve"> to the case on trial. </w:t>
      </w:r>
      <w:r w:rsidR="002D3DBF">
        <w:rPr>
          <w:rFonts w:ascii="Arial" w:hAnsi="Arial" w:cs="Arial"/>
          <w:sz w:val="20"/>
          <w:szCs w:val="20"/>
        </w:rPr>
        <w:t xml:space="preserve"> </w:t>
      </w:r>
      <w:r w:rsidR="00C44F6D">
        <w:rPr>
          <w:rFonts w:ascii="Arial" w:hAnsi="Arial" w:cs="Arial"/>
          <w:sz w:val="20"/>
          <w:szCs w:val="20"/>
        </w:rPr>
        <w:t xml:space="preserve">See </w:t>
      </w:r>
      <w:r w:rsidR="00C44F6D" w:rsidRPr="00DE3F23">
        <w:rPr>
          <w:rFonts w:ascii="Arial" w:hAnsi="Arial" w:cs="Arial"/>
          <w:i/>
          <w:iCs/>
          <w:sz w:val="20"/>
          <w:szCs w:val="20"/>
        </w:rPr>
        <w:t>Commonwealth v. Farley</w:t>
      </w:r>
      <w:r w:rsidR="00C44F6D">
        <w:rPr>
          <w:rFonts w:ascii="Arial" w:hAnsi="Arial" w:cs="Arial"/>
          <w:sz w:val="20"/>
          <w:szCs w:val="20"/>
        </w:rPr>
        <w:t xml:space="preserve">, </w:t>
      </w:r>
      <w:r w:rsidR="00C44F6D" w:rsidRPr="00C44F6D">
        <w:rPr>
          <w:rFonts w:ascii="Arial" w:hAnsi="Arial" w:cs="Arial"/>
          <w:sz w:val="20"/>
          <w:szCs w:val="20"/>
        </w:rPr>
        <w:t>64 Mass. App. Ct. 854</w:t>
      </w:r>
      <w:r w:rsidR="002D3DBF">
        <w:rPr>
          <w:rFonts w:ascii="Arial" w:hAnsi="Arial" w:cs="Arial"/>
          <w:sz w:val="20"/>
          <w:szCs w:val="20"/>
        </w:rPr>
        <w:t>, 861</w:t>
      </w:r>
      <w:r w:rsidR="00C44F6D" w:rsidRPr="00C44F6D">
        <w:rPr>
          <w:rFonts w:ascii="Arial" w:hAnsi="Arial" w:cs="Arial"/>
          <w:sz w:val="20"/>
          <w:szCs w:val="20"/>
        </w:rPr>
        <w:t xml:space="preserve"> n.12</w:t>
      </w:r>
      <w:r w:rsidR="002D3DBF">
        <w:rPr>
          <w:rFonts w:ascii="Arial" w:hAnsi="Arial" w:cs="Arial"/>
          <w:sz w:val="20"/>
          <w:szCs w:val="20"/>
        </w:rPr>
        <w:t xml:space="preserve"> (2005)</w:t>
      </w:r>
      <w:r w:rsidR="00C44F6D" w:rsidRPr="00C44F6D">
        <w:rPr>
          <w:rFonts w:ascii="Arial" w:hAnsi="Arial" w:cs="Arial"/>
          <w:sz w:val="20"/>
          <w:szCs w:val="20"/>
        </w:rPr>
        <w:t>.</w:t>
      </w:r>
      <w:r w:rsidR="00C44F6D">
        <w:rPr>
          <w:rFonts w:ascii="Arial" w:hAnsi="Arial" w:cs="Arial"/>
          <w:sz w:val="20"/>
          <w:szCs w:val="20"/>
        </w:rPr>
        <w:t xml:space="preserve">  </w:t>
      </w:r>
      <w:r w:rsidR="0015238A" w:rsidRPr="00DE3F23">
        <w:rPr>
          <w:rFonts w:ascii="Arial" w:hAnsi="Arial" w:cs="Arial"/>
          <w:sz w:val="20"/>
          <w:szCs w:val="20"/>
        </w:rPr>
        <w:t>As laid out in G.L. c. 140, §</w:t>
      </w:r>
      <w:r w:rsidR="00091660" w:rsidRPr="00DE3F23">
        <w:rPr>
          <w:rFonts w:ascii="Arial" w:hAnsi="Arial" w:cs="Arial"/>
          <w:sz w:val="20"/>
          <w:szCs w:val="20"/>
        </w:rPr>
        <w:t xml:space="preserve"> 121F(j)</w:t>
      </w:r>
      <w:r w:rsidR="002D3DBF">
        <w:rPr>
          <w:rFonts w:ascii="Arial" w:hAnsi="Arial" w:cs="Arial"/>
          <w:sz w:val="20"/>
          <w:szCs w:val="20"/>
        </w:rPr>
        <w:t xml:space="preserve">, the following conditions may </w:t>
      </w:r>
      <w:r w:rsidR="006B25ED">
        <w:rPr>
          <w:rFonts w:ascii="Arial" w:hAnsi="Arial" w:cs="Arial"/>
          <w:sz w:val="20"/>
          <w:szCs w:val="20"/>
        </w:rPr>
        <w:t>make the defendant a “prohibited person,” to whom the licensing authority must deny an application for a license or renewal:</w:t>
      </w:r>
    </w:p>
    <w:p w14:paraId="54B0FC2F" w14:textId="77777777" w:rsidR="007E1B52" w:rsidRDefault="007E1B52" w:rsidP="00EB62EF">
      <w:pPr>
        <w:pStyle w:val="ListParagraph"/>
        <w:spacing w:after="0" w:line="240" w:lineRule="auto"/>
        <w:rPr>
          <w:rFonts w:ascii="Arial" w:hAnsi="Arial" w:cs="Arial"/>
          <w:b/>
          <w:bCs/>
          <w:sz w:val="20"/>
          <w:szCs w:val="20"/>
        </w:rPr>
      </w:pPr>
    </w:p>
    <w:p w14:paraId="739F12B4" w14:textId="77777777" w:rsidR="0032201B" w:rsidRPr="00DE3F23" w:rsidRDefault="0032201B" w:rsidP="00EB62EF">
      <w:pPr>
        <w:pStyle w:val="ListParagraph"/>
        <w:numPr>
          <w:ilvl w:val="0"/>
          <w:numId w:val="11"/>
        </w:numPr>
        <w:spacing w:after="0" w:line="240" w:lineRule="auto"/>
        <w:rPr>
          <w:rFonts w:ascii="Arial" w:hAnsi="Arial" w:cs="Arial"/>
          <w:sz w:val="20"/>
          <w:szCs w:val="20"/>
        </w:rPr>
      </w:pPr>
      <w:r w:rsidRPr="00DE3F23">
        <w:rPr>
          <w:rFonts w:ascii="Arial" w:hAnsi="Arial" w:cs="Arial"/>
          <w:sz w:val="20"/>
          <w:szCs w:val="20"/>
        </w:rPr>
        <w:t xml:space="preserve">Certain prior convictions and delinquency and youthful offender adjudications in the Commonwealth or any other state or federal jurisdiction. G.L. c. 140, § </w:t>
      </w:r>
      <w:r>
        <w:rPr>
          <w:rFonts w:ascii="Arial" w:hAnsi="Arial" w:cs="Arial"/>
          <w:sz w:val="20"/>
          <w:szCs w:val="20"/>
        </w:rPr>
        <w:t>121F</w:t>
      </w:r>
      <w:r w:rsidRPr="00DE3F23">
        <w:rPr>
          <w:rFonts w:ascii="Arial" w:hAnsi="Arial" w:cs="Arial"/>
          <w:sz w:val="20"/>
          <w:szCs w:val="20"/>
        </w:rPr>
        <w:t>(</w:t>
      </w:r>
      <w:r>
        <w:rPr>
          <w:rFonts w:ascii="Arial" w:hAnsi="Arial" w:cs="Arial"/>
          <w:sz w:val="20"/>
          <w:szCs w:val="20"/>
        </w:rPr>
        <w:t>j</w:t>
      </w:r>
      <w:r w:rsidRPr="00DE3F23">
        <w:rPr>
          <w:rFonts w:ascii="Arial" w:hAnsi="Arial" w:cs="Arial"/>
          <w:sz w:val="20"/>
          <w:szCs w:val="20"/>
        </w:rPr>
        <w:t>)(i).</w:t>
      </w:r>
    </w:p>
    <w:p w14:paraId="389D73A2" w14:textId="77777777" w:rsidR="0032201B" w:rsidRPr="00DE3F23" w:rsidRDefault="0032201B" w:rsidP="00EB62EF">
      <w:pPr>
        <w:pStyle w:val="ListParagraph"/>
        <w:numPr>
          <w:ilvl w:val="0"/>
          <w:numId w:val="11"/>
        </w:numPr>
        <w:spacing w:after="0" w:line="240" w:lineRule="auto"/>
        <w:rPr>
          <w:rFonts w:ascii="Arial" w:hAnsi="Arial" w:cs="Arial"/>
          <w:sz w:val="20"/>
          <w:szCs w:val="20"/>
        </w:rPr>
      </w:pPr>
      <w:r w:rsidRPr="00DE3F23">
        <w:rPr>
          <w:rFonts w:ascii="Arial" w:hAnsi="Arial" w:cs="Arial"/>
          <w:sz w:val="20"/>
          <w:szCs w:val="20"/>
        </w:rPr>
        <w:t>Prior commitment for mental illness, pursuant to G.L. c. 123, §§ 7, 8, 12(e), 15(b), 16(b), 16(c), &amp; 18, or for alcohol or substance use disorder, pursuant to G.L. c. 123, § 35, unless one of the enumerated exceptions is met. G.L. c. 140, § 1</w:t>
      </w:r>
      <w:r>
        <w:rPr>
          <w:rFonts w:ascii="Arial" w:hAnsi="Arial" w:cs="Arial"/>
          <w:sz w:val="20"/>
          <w:szCs w:val="20"/>
        </w:rPr>
        <w:t>2</w:t>
      </w:r>
      <w:r w:rsidRPr="00DE3F23">
        <w:rPr>
          <w:rFonts w:ascii="Arial" w:hAnsi="Arial" w:cs="Arial"/>
          <w:sz w:val="20"/>
          <w:szCs w:val="20"/>
        </w:rPr>
        <w:t>1</w:t>
      </w:r>
      <w:r>
        <w:rPr>
          <w:rFonts w:ascii="Arial" w:hAnsi="Arial" w:cs="Arial"/>
          <w:sz w:val="20"/>
          <w:szCs w:val="20"/>
        </w:rPr>
        <w:t>F</w:t>
      </w:r>
      <w:r w:rsidRPr="00DE3F23">
        <w:rPr>
          <w:rFonts w:ascii="Arial" w:hAnsi="Arial" w:cs="Arial"/>
          <w:sz w:val="20"/>
          <w:szCs w:val="20"/>
        </w:rPr>
        <w:t>(ii).</w:t>
      </w:r>
    </w:p>
    <w:p w14:paraId="0B69EB97" w14:textId="77777777" w:rsidR="0032201B" w:rsidRPr="00DE3F23" w:rsidRDefault="0032201B" w:rsidP="00EB62EF">
      <w:pPr>
        <w:pStyle w:val="ListParagraph"/>
        <w:numPr>
          <w:ilvl w:val="0"/>
          <w:numId w:val="11"/>
        </w:numPr>
        <w:spacing w:after="0" w:line="240" w:lineRule="auto"/>
        <w:rPr>
          <w:rFonts w:ascii="Arial" w:hAnsi="Arial" w:cs="Arial"/>
          <w:sz w:val="20"/>
          <w:szCs w:val="20"/>
        </w:rPr>
      </w:pPr>
      <w:r w:rsidRPr="00DE3F23">
        <w:rPr>
          <w:rFonts w:ascii="Arial" w:hAnsi="Arial" w:cs="Arial"/>
          <w:sz w:val="20"/>
          <w:szCs w:val="20"/>
        </w:rPr>
        <w:t>Alien without lawful permanent residency. G.L. c. 140, § 1</w:t>
      </w:r>
      <w:r>
        <w:rPr>
          <w:rFonts w:ascii="Arial" w:hAnsi="Arial" w:cs="Arial"/>
          <w:sz w:val="20"/>
          <w:szCs w:val="20"/>
        </w:rPr>
        <w:t>21F</w:t>
      </w:r>
      <w:r w:rsidRPr="00DE3F23">
        <w:rPr>
          <w:rFonts w:ascii="Arial" w:hAnsi="Arial" w:cs="Arial"/>
          <w:sz w:val="20"/>
          <w:szCs w:val="20"/>
        </w:rPr>
        <w:t xml:space="preserve">(v). </w:t>
      </w:r>
    </w:p>
    <w:p w14:paraId="797FBC3F" w14:textId="77777777" w:rsidR="0032201B" w:rsidRPr="00DE3F23" w:rsidRDefault="0032201B" w:rsidP="00EB62EF">
      <w:pPr>
        <w:pStyle w:val="ListParagraph"/>
        <w:numPr>
          <w:ilvl w:val="0"/>
          <w:numId w:val="11"/>
        </w:numPr>
        <w:spacing w:after="0" w:line="240" w:lineRule="auto"/>
        <w:rPr>
          <w:rFonts w:ascii="Arial" w:hAnsi="Arial" w:cs="Arial"/>
          <w:sz w:val="20"/>
          <w:szCs w:val="20"/>
        </w:rPr>
      </w:pPr>
      <w:r w:rsidRPr="00DE3F23">
        <w:rPr>
          <w:rFonts w:ascii="Arial" w:hAnsi="Arial" w:cs="Arial"/>
          <w:sz w:val="20"/>
          <w:szCs w:val="20"/>
        </w:rPr>
        <w:t>Currently subject to an order under G.L. c. 209A (abuse prevention) or c. 258E (harassment prevention), an extreme risk protection order under G.L. c. 140, §§ 131R-131</w:t>
      </w:r>
      <w:r>
        <w:rPr>
          <w:rFonts w:ascii="Arial" w:hAnsi="Arial" w:cs="Arial"/>
          <w:sz w:val="20"/>
          <w:szCs w:val="20"/>
        </w:rPr>
        <w:t>Y</w:t>
      </w:r>
      <w:r w:rsidRPr="00DE3F23">
        <w:rPr>
          <w:rFonts w:ascii="Arial" w:hAnsi="Arial" w:cs="Arial"/>
          <w:sz w:val="20"/>
          <w:szCs w:val="20"/>
        </w:rPr>
        <w:t>, or any other similar order issued by another jurisdiction. G.L. c. 140, § 1</w:t>
      </w:r>
      <w:r>
        <w:rPr>
          <w:rFonts w:ascii="Arial" w:hAnsi="Arial" w:cs="Arial"/>
          <w:sz w:val="20"/>
          <w:szCs w:val="20"/>
        </w:rPr>
        <w:t>21F</w:t>
      </w:r>
      <w:r w:rsidRPr="00DE3F23">
        <w:rPr>
          <w:rFonts w:ascii="Arial" w:hAnsi="Arial" w:cs="Arial"/>
          <w:sz w:val="20"/>
          <w:szCs w:val="20"/>
        </w:rPr>
        <w:t>(</w:t>
      </w:r>
      <w:r>
        <w:rPr>
          <w:rFonts w:ascii="Arial" w:hAnsi="Arial" w:cs="Arial"/>
          <w:sz w:val="20"/>
          <w:szCs w:val="20"/>
        </w:rPr>
        <w:t>iii</w:t>
      </w:r>
      <w:r w:rsidRPr="00DE3F23">
        <w:rPr>
          <w:rFonts w:ascii="Arial" w:hAnsi="Arial" w:cs="Arial"/>
          <w:sz w:val="20"/>
          <w:szCs w:val="20"/>
        </w:rPr>
        <w:t xml:space="preserve">). </w:t>
      </w:r>
    </w:p>
    <w:p w14:paraId="3465A629" w14:textId="77777777" w:rsidR="0032201B" w:rsidRPr="00DE3F23" w:rsidRDefault="0032201B" w:rsidP="00EB62EF">
      <w:pPr>
        <w:pStyle w:val="ListParagraph"/>
        <w:numPr>
          <w:ilvl w:val="0"/>
          <w:numId w:val="11"/>
        </w:numPr>
        <w:spacing w:after="0" w:line="240" w:lineRule="auto"/>
        <w:rPr>
          <w:rFonts w:ascii="Arial" w:hAnsi="Arial" w:cs="Arial"/>
          <w:sz w:val="20"/>
          <w:szCs w:val="20"/>
        </w:rPr>
      </w:pPr>
      <w:r w:rsidRPr="00DE3F23">
        <w:rPr>
          <w:rFonts w:ascii="Arial" w:hAnsi="Arial" w:cs="Arial"/>
          <w:sz w:val="20"/>
          <w:szCs w:val="20"/>
        </w:rPr>
        <w:t>Subject to an outstanding arrest warrant from any state or federal jurisdiction. G.L. c. 140, § 1</w:t>
      </w:r>
      <w:r>
        <w:rPr>
          <w:rFonts w:ascii="Arial" w:hAnsi="Arial" w:cs="Arial"/>
          <w:sz w:val="20"/>
          <w:szCs w:val="20"/>
        </w:rPr>
        <w:t>21F</w:t>
      </w:r>
      <w:r w:rsidRPr="00DE3F23">
        <w:rPr>
          <w:rFonts w:ascii="Arial" w:hAnsi="Arial" w:cs="Arial"/>
          <w:sz w:val="20"/>
          <w:szCs w:val="20"/>
        </w:rPr>
        <w:t>(i</w:t>
      </w:r>
      <w:r>
        <w:rPr>
          <w:rFonts w:ascii="Arial" w:hAnsi="Arial" w:cs="Arial"/>
          <w:sz w:val="20"/>
          <w:szCs w:val="20"/>
        </w:rPr>
        <w:t>v</w:t>
      </w:r>
      <w:r w:rsidRPr="00DE3F23">
        <w:rPr>
          <w:rFonts w:ascii="Arial" w:hAnsi="Arial" w:cs="Arial"/>
          <w:sz w:val="20"/>
          <w:szCs w:val="20"/>
        </w:rPr>
        <w:t xml:space="preserve">). </w:t>
      </w:r>
    </w:p>
    <w:p w14:paraId="3AA454AD" w14:textId="77777777" w:rsidR="0032201B" w:rsidRPr="00DE3F23" w:rsidRDefault="0032201B" w:rsidP="00EB62EF">
      <w:pPr>
        <w:pStyle w:val="ListParagraph"/>
        <w:numPr>
          <w:ilvl w:val="0"/>
          <w:numId w:val="11"/>
        </w:numPr>
        <w:spacing w:after="0" w:line="240" w:lineRule="auto"/>
        <w:rPr>
          <w:rFonts w:ascii="Arial" w:hAnsi="Arial" w:cs="Arial"/>
          <w:sz w:val="20"/>
          <w:szCs w:val="20"/>
        </w:rPr>
      </w:pPr>
      <w:r w:rsidRPr="00DE3F23">
        <w:rPr>
          <w:rFonts w:ascii="Arial" w:hAnsi="Arial" w:cs="Arial"/>
          <w:sz w:val="20"/>
          <w:szCs w:val="20"/>
        </w:rPr>
        <w:t xml:space="preserve">Dishonorable discharge from the United States armed forces. G.L. c. 140, § </w:t>
      </w:r>
      <w:r>
        <w:rPr>
          <w:rFonts w:ascii="Arial" w:hAnsi="Arial" w:cs="Arial"/>
          <w:sz w:val="20"/>
          <w:szCs w:val="20"/>
        </w:rPr>
        <w:t>121F(vi</w:t>
      </w:r>
      <w:r w:rsidRPr="00DE3F23">
        <w:rPr>
          <w:rFonts w:ascii="Arial" w:hAnsi="Arial" w:cs="Arial"/>
          <w:sz w:val="20"/>
          <w:szCs w:val="20"/>
        </w:rPr>
        <w:t xml:space="preserve">). </w:t>
      </w:r>
    </w:p>
    <w:p w14:paraId="4D514C42" w14:textId="77777777" w:rsidR="0032201B" w:rsidRPr="00DE3F23" w:rsidRDefault="0032201B" w:rsidP="00EB62EF">
      <w:pPr>
        <w:pStyle w:val="ListParagraph"/>
        <w:numPr>
          <w:ilvl w:val="0"/>
          <w:numId w:val="11"/>
        </w:numPr>
        <w:spacing w:after="0" w:line="240" w:lineRule="auto"/>
        <w:rPr>
          <w:rFonts w:ascii="Arial" w:hAnsi="Arial" w:cs="Arial"/>
          <w:sz w:val="20"/>
          <w:szCs w:val="20"/>
        </w:rPr>
      </w:pPr>
      <w:r w:rsidRPr="00DE3F23">
        <w:rPr>
          <w:rFonts w:ascii="Arial" w:hAnsi="Arial" w:cs="Arial"/>
          <w:sz w:val="20"/>
          <w:szCs w:val="20"/>
        </w:rPr>
        <w:t xml:space="preserve">A fugitive from justice. G.L. c. 140, § </w:t>
      </w:r>
      <w:r>
        <w:rPr>
          <w:rFonts w:ascii="Arial" w:hAnsi="Arial" w:cs="Arial"/>
          <w:sz w:val="20"/>
          <w:szCs w:val="20"/>
        </w:rPr>
        <w:t>121F(vii</w:t>
      </w:r>
      <w:r w:rsidRPr="00DE3F23">
        <w:rPr>
          <w:rFonts w:ascii="Arial" w:hAnsi="Arial" w:cs="Arial"/>
          <w:sz w:val="20"/>
          <w:szCs w:val="20"/>
        </w:rPr>
        <w:t xml:space="preserve">). </w:t>
      </w:r>
    </w:p>
    <w:p w14:paraId="42E770E5" w14:textId="77777777" w:rsidR="0032201B" w:rsidRDefault="0032201B" w:rsidP="00EB62EF">
      <w:pPr>
        <w:spacing w:after="0" w:line="240" w:lineRule="auto"/>
        <w:rPr>
          <w:rFonts w:ascii="Arial" w:hAnsi="Arial" w:cs="Arial"/>
          <w:sz w:val="20"/>
          <w:szCs w:val="20"/>
        </w:rPr>
      </w:pPr>
    </w:p>
    <w:p w14:paraId="696DC614" w14:textId="77777777" w:rsidR="009E413B" w:rsidRDefault="0032201B" w:rsidP="00EB62EF">
      <w:pPr>
        <w:spacing w:after="0" w:line="240" w:lineRule="auto"/>
        <w:ind w:firstLine="720"/>
        <w:rPr>
          <w:rFonts w:ascii="Arial" w:hAnsi="Arial" w:cs="Arial"/>
          <w:sz w:val="20"/>
          <w:szCs w:val="20"/>
        </w:rPr>
      </w:pPr>
      <w:r>
        <w:rPr>
          <w:rFonts w:ascii="Arial" w:hAnsi="Arial" w:cs="Arial"/>
          <w:sz w:val="20"/>
          <w:szCs w:val="20"/>
        </w:rPr>
        <w:t xml:space="preserve">Additionally, </w:t>
      </w:r>
      <w:r w:rsidRPr="00DE3F23">
        <w:rPr>
          <w:rFonts w:ascii="Arial" w:hAnsi="Arial" w:cs="Arial"/>
          <w:sz w:val="20"/>
          <w:szCs w:val="20"/>
        </w:rPr>
        <w:t>for any LTC issued on or after August 10, 2022, a licensing authority must deny or revoke an LTC if the applicant is unsuitable, and the unsuitability determination must “be based on reliable,</w:t>
      </w:r>
      <w:r>
        <w:rPr>
          <w:rFonts w:ascii="Arial" w:hAnsi="Arial" w:cs="Arial"/>
          <w:sz w:val="20"/>
          <w:szCs w:val="20"/>
        </w:rPr>
        <w:t xml:space="preserve"> </w:t>
      </w:r>
      <w:r w:rsidRPr="00DE3F23">
        <w:rPr>
          <w:rFonts w:ascii="Arial" w:hAnsi="Arial" w:cs="Arial"/>
          <w:sz w:val="20"/>
          <w:szCs w:val="20"/>
        </w:rPr>
        <w:t>articulable and credible information that the applicant or licensee has exhibited or engaged in behavior that suggests that, if issued a license, the applicant or licensee may create a risk to public safety or a risk of danger to self or others.” G.L. c. 140, § 1</w:t>
      </w:r>
      <w:r>
        <w:rPr>
          <w:rFonts w:ascii="Arial" w:hAnsi="Arial" w:cs="Arial"/>
          <w:sz w:val="20"/>
          <w:szCs w:val="20"/>
        </w:rPr>
        <w:t>21F(k</w:t>
      </w:r>
      <w:r w:rsidRPr="00DE3F23">
        <w:rPr>
          <w:rFonts w:ascii="Arial" w:hAnsi="Arial" w:cs="Arial"/>
          <w:sz w:val="20"/>
          <w:szCs w:val="20"/>
        </w:rPr>
        <w:t>).</w:t>
      </w:r>
    </w:p>
    <w:p w14:paraId="657A8A32" w14:textId="77777777" w:rsidR="00EB62EF" w:rsidRDefault="00EB62EF" w:rsidP="00EB62EF">
      <w:pPr>
        <w:spacing w:after="0" w:line="240" w:lineRule="auto"/>
        <w:ind w:firstLine="720"/>
        <w:rPr>
          <w:rFonts w:ascii="Arial" w:hAnsi="Arial" w:cs="Arial"/>
          <w:sz w:val="20"/>
          <w:szCs w:val="20"/>
        </w:rPr>
      </w:pPr>
    </w:p>
    <w:p w14:paraId="03A7DDA9" w14:textId="77777777" w:rsidR="009E413B" w:rsidRDefault="00973EC1" w:rsidP="00EB62EF">
      <w:pPr>
        <w:pStyle w:val="ListParagraph"/>
        <w:numPr>
          <w:ilvl w:val="0"/>
          <w:numId w:val="12"/>
        </w:numPr>
        <w:spacing w:after="0" w:line="240" w:lineRule="auto"/>
        <w:ind w:left="0" w:firstLine="360"/>
        <w:rPr>
          <w:rFonts w:ascii="Arial" w:hAnsi="Arial" w:cs="Arial"/>
          <w:sz w:val="20"/>
          <w:szCs w:val="20"/>
        </w:rPr>
      </w:pPr>
      <w:r w:rsidRPr="009E413B">
        <w:rPr>
          <w:rFonts w:ascii="Arial" w:hAnsi="Arial" w:cs="Arial"/>
          <w:b/>
          <w:bCs/>
          <w:sz w:val="20"/>
          <w:szCs w:val="20"/>
        </w:rPr>
        <w:t>Exemption for interstate transport of firearms.</w:t>
      </w:r>
      <w:r w:rsidRPr="009E413B">
        <w:rPr>
          <w:rFonts w:ascii="Arial" w:hAnsi="Arial" w:cs="Arial"/>
          <w:sz w:val="20"/>
          <w:szCs w:val="20"/>
        </w:rPr>
        <w:t xml:space="preserve">  Both Federal and Massachusetts law permit the interstate transport of firearms </w:t>
      </w:r>
      <w:proofErr w:type="gramStart"/>
      <w:r w:rsidRPr="009E413B">
        <w:rPr>
          <w:rFonts w:ascii="Arial" w:hAnsi="Arial" w:cs="Arial"/>
          <w:sz w:val="20"/>
          <w:szCs w:val="20"/>
        </w:rPr>
        <w:t>as long as</w:t>
      </w:r>
      <w:proofErr w:type="gramEnd"/>
      <w:r w:rsidRPr="009E413B">
        <w:rPr>
          <w:rFonts w:ascii="Arial" w:hAnsi="Arial" w:cs="Arial"/>
          <w:sz w:val="20"/>
          <w:szCs w:val="20"/>
        </w:rPr>
        <w:t xml:space="preserve"> certain conditions are met.  See G.L. c. 140, s. 129C(j)(iii) &amp; (k), and 18 U.S.C. s. 926A.  See supplemental instruction, </w:t>
      </w:r>
      <w:r w:rsidRPr="009E413B">
        <w:rPr>
          <w:rFonts w:ascii="Arial" w:hAnsi="Arial" w:cs="Arial"/>
          <w:i/>
          <w:iCs/>
          <w:sz w:val="20"/>
          <w:szCs w:val="20"/>
        </w:rPr>
        <w:t>infra</w:t>
      </w:r>
      <w:r w:rsidRPr="009E413B">
        <w:rPr>
          <w:rFonts w:ascii="Arial" w:hAnsi="Arial" w:cs="Arial"/>
          <w:sz w:val="20"/>
          <w:szCs w:val="20"/>
        </w:rPr>
        <w:t>.</w:t>
      </w:r>
    </w:p>
    <w:p w14:paraId="5BC36C01" w14:textId="77777777" w:rsidR="002044B7" w:rsidRDefault="002044B7" w:rsidP="002044B7">
      <w:pPr>
        <w:pStyle w:val="ListParagraph"/>
        <w:spacing w:after="0" w:line="240" w:lineRule="auto"/>
        <w:ind w:left="360"/>
        <w:rPr>
          <w:rFonts w:ascii="Arial" w:hAnsi="Arial" w:cs="Arial"/>
          <w:b/>
          <w:bCs/>
          <w:sz w:val="20"/>
          <w:szCs w:val="20"/>
        </w:rPr>
      </w:pPr>
    </w:p>
    <w:p w14:paraId="455DD887" w14:textId="77777777" w:rsidR="002044B7" w:rsidRDefault="002044B7" w:rsidP="002044B7">
      <w:pPr>
        <w:pStyle w:val="ListParagraph"/>
        <w:spacing w:after="0" w:line="240" w:lineRule="auto"/>
        <w:ind w:left="360"/>
        <w:rPr>
          <w:rFonts w:ascii="Arial" w:hAnsi="Arial" w:cs="Arial"/>
          <w:sz w:val="20"/>
          <w:szCs w:val="20"/>
        </w:rPr>
      </w:pPr>
    </w:p>
    <w:p w14:paraId="0AAB3E05" w14:textId="77777777" w:rsidR="009E413B" w:rsidRPr="009E413B" w:rsidRDefault="00973EC1" w:rsidP="00EB62EF">
      <w:pPr>
        <w:pStyle w:val="ListParagraph"/>
        <w:numPr>
          <w:ilvl w:val="0"/>
          <w:numId w:val="12"/>
        </w:numPr>
        <w:spacing w:after="0" w:line="240" w:lineRule="auto"/>
        <w:ind w:left="0" w:firstLine="360"/>
        <w:rPr>
          <w:rFonts w:ascii="Arial" w:hAnsi="Arial" w:cs="Arial"/>
          <w:sz w:val="20"/>
          <w:szCs w:val="20"/>
        </w:rPr>
      </w:pPr>
      <w:r w:rsidRPr="009E413B">
        <w:rPr>
          <w:rFonts w:ascii="Arial" w:hAnsi="Arial" w:cs="Arial"/>
          <w:b/>
          <w:bCs/>
          <w:sz w:val="20"/>
          <w:szCs w:val="20"/>
        </w:rPr>
        <w:lastRenderedPageBreak/>
        <w:t>Constitutional challenge.</w:t>
      </w:r>
      <w:r w:rsidRPr="009E413B">
        <w:rPr>
          <w:rFonts w:ascii="Arial" w:hAnsi="Arial" w:cs="Arial"/>
          <w:sz w:val="20"/>
          <w:szCs w:val="20"/>
        </w:rPr>
        <w:t xml:space="preserve">  </w:t>
      </w:r>
      <w:r w:rsidR="00A079B7" w:rsidRPr="009E413B">
        <w:rPr>
          <w:rFonts w:ascii="Arial" w:hAnsi="Arial" w:cs="Arial"/>
          <w:sz w:val="20"/>
          <w:szCs w:val="20"/>
        </w:rPr>
        <w:t xml:space="preserve">The Supreme Judicial Court has held that the nonresident firearm licensing scheme in effect after August 10, 2022, which mirrored the same substantive requirements as the resident licensing scheme in effect at that same time, was not facially unconstitutional.  </w:t>
      </w:r>
      <w:r w:rsidR="00A079B7" w:rsidRPr="009E413B">
        <w:rPr>
          <w:rFonts w:ascii="Arial" w:hAnsi="Arial" w:cs="Arial"/>
          <w:i/>
          <w:iCs/>
          <w:sz w:val="20"/>
          <w:szCs w:val="20"/>
        </w:rPr>
        <w:t>Commonwealth v. Marquis</w:t>
      </w:r>
      <w:r w:rsidR="00A079B7" w:rsidRPr="009E413B">
        <w:rPr>
          <w:rFonts w:ascii="Arial" w:hAnsi="Arial" w:cs="Arial"/>
          <w:sz w:val="20"/>
          <w:szCs w:val="20"/>
        </w:rPr>
        <w:t xml:space="preserve">, 495 Mass. 434, 458, 469-70 (2025) (criminal defendant may bring facial challenge to licensing scheme when charged with violating a licensing statute which is unconstitutional on its face).  The Court also held that the pre-2022 version of the resident licensing scheme was not unconstitutional on its face where at least some of its applications – exclusion of felons and violent criminal from firearm possession – are constitutionally valid.  </w:t>
      </w:r>
      <w:r w:rsidR="00A079B7" w:rsidRPr="009E413B">
        <w:rPr>
          <w:rFonts w:ascii="Arial" w:hAnsi="Arial" w:cs="Arial"/>
          <w:i/>
          <w:iCs/>
          <w:sz w:val="20"/>
          <w:szCs w:val="20"/>
        </w:rPr>
        <w:t>Commonwealth v. Rodriguez</w:t>
      </w:r>
      <w:r w:rsidR="00A079B7" w:rsidRPr="009E413B">
        <w:rPr>
          <w:rFonts w:ascii="Arial" w:hAnsi="Arial" w:cs="Arial"/>
          <w:sz w:val="20"/>
          <w:szCs w:val="20"/>
        </w:rPr>
        <w:t xml:space="preserve">, 496 Mass. 627, 642 &amp; n.8 (2025), abrogating </w:t>
      </w:r>
      <w:r w:rsidR="00A079B7" w:rsidRPr="009E413B">
        <w:rPr>
          <w:rFonts w:ascii="Arial" w:hAnsi="Arial" w:cs="Arial"/>
          <w:i/>
          <w:iCs/>
          <w:sz w:val="20"/>
          <w:szCs w:val="20"/>
        </w:rPr>
        <w:t>Commonwealth v. Donnell</w:t>
      </w:r>
      <w:r w:rsidR="00A079B7" w:rsidRPr="009E413B">
        <w:rPr>
          <w:rFonts w:ascii="Arial" w:hAnsi="Arial" w:cs="Arial"/>
          <w:sz w:val="20"/>
          <w:szCs w:val="20"/>
        </w:rPr>
        <w:t xml:space="preserve">, 495 Mass. 471, 484 (2025).  A defendant who has not applied for a license does not have standing to bring an as-applied challenge.  </w:t>
      </w:r>
      <w:r w:rsidR="00A079B7" w:rsidRPr="009E413B">
        <w:rPr>
          <w:rFonts w:ascii="Arial" w:hAnsi="Arial" w:cs="Arial"/>
          <w:i/>
          <w:iCs/>
          <w:sz w:val="20"/>
          <w:szCs w:val="20"/>
        </w:rPr>
        <w:t>Marquis</w:t>
      </w:r>
      <w:r w:rsidR="00A079B7" w:rsidRPr="009E413B">
        <w:rPr>
          <w:rFonts w:ascii="Arial" w:hAnsi="Arial" w:cs="Arial"/>
          <w:sz w:val="20"/>
          <w:szCs w:val="20"/>
        </w:rPr>
        <w:t>, 495 Mass. at 436.</w:t>
      </w:r>
      <w:r w:rsidR="00CD6416" w:rsidRPr="009E413B">
        <w:rPr>
          <w:rFonts w:ascii="Arial" w:hAnsi="Arial" w:cs="Arial"/>
          <w:b/>
          <w:bCs/>
          <w:sz w:val="20"/>
          <w:szCs w:val="20"/>
        </w:rPr>
        <w:t xml:space="preserve"> </w:t>
      </w:r>
    </w:p>
    <w:p w14:paraId="66770847" w14:textId="77777777" w:rsidR="009E413B" w:rsidRPr="009E413B" w:rsidRDefault="009E413B" w:rsidP="00EB62EF">
      <w:pPr>
        <w:pStyle w:val="ListParagraph"/>
        <w:spacing w:after="0" w:line="240" w:lineRule="auto"/>
        <w:rPr>
          <w:rFonts w:ascii="Arial" w:hAnsi="Arial" w:cs="Arial"/>
          <w:b/>
          <w:bCs/>
          <w:sz w:val="20"/>
          <w:szCs w:val="20"/>
        </w:rPr>
      </w:pPr>
    </w:p>
    <w:p w14:paraId="112C4373" w14:textId="77777777" w:rsidR="00EB62EF" w:rsidRDefault="00CD6416" w:rsidP="00EB62EF">
      <w:pPr>
        <w:pStyle w:val="ListParagraph"/>
        <w:numPr>
          <w:ilvl w:val="0"/>
          <w:numId w:val="12"/>
        </w:numPr>
        <w:spacing w:after="0" w:line="240" w:lineRule="auto"/>
        <w:ind w:left="0" w:firstLine="360"/>
        <w:rPr>
          <w:rFonts w:ascii="Arial" w:hAnsi="Arial" w:cs="Arial"/>
          <w:sz w:val="20"/>
          <w:szCs w:val="20"/>
        </w:rPr>
      </w:pPr>
      <w:r w:rsidRPr="009E413B">
        <w:rPr>
          <w:rFonts w:ascii="Arial" w:hAnsi="Arial" w:cs="Arial"/>
          <w:b/>
          <w:bCs/>
          <w:sz w:val="20"/>
          <w:szCs w:val="20"/>
        </w:rPr>
        <w:t>Proof of coventurer’s lack of license required for firearm possession under joint venture liability.</w:t>
      </w:r>
      <w:r w:rsidRPr="009E413B">
        <w:rPr>
          <w:rFonts w:ascii="Arial" w:hAnsi="Arial" w:cs="Arial"/>
          <w:sz w:val="20"/>
          <w:szCs w:val="20"/>
        </w:rPr>
        <w:t xml:space="preserve"> In </w:t>
      </w:r>
      <w:r w:rsidRPr="009E413B">
        <w:rPr>
          <w:rFonts w:ascii="Arial" w:hAnsi="Arial" w:cs="Arial"/>
          <w:i/>
          <w:iCs/>
          <w:sz w:val="20"/>
          <w:szCs w:val="20"/>
        </w:rPr>
        <w:t>Commonwealth v. Severino</w:t>
      </w:r>
      <w:r w:rsidRPr="009E413B">
        <w:rPr>
          <w:rFonts w:ascii="Arial" w:hAnsi="Arial" w:cs="Arial"/>
          <w:sz w:val="20"/>
          <w:szCs w:val="20"/>
        </w:rPr>
        <w:t xml:space="preserve">, 106 Mass. App. Ct. 170 (2025), the Appeals Court held that in light of </w:t>
      </w:r>
      <w:r w:rsidRPr="009E413B">
        <w:rPr>
          <w:rFonts w:ascii="Arial" w:hAnsi="Arial" w:cs="Arial"/>
          <w:i/>
          <w:iCs/>
          <w:sz w:val="20"/>
          <w:szCs w:val="20"/>
        </w:rPr>
        <w:t>Commonwealth v. Guardado</w:t>
      </w:r>
      <w:r w:rsidRPr="009E413B">
        <w:rPr>
          <w:rFonts w:ascii="Arial" w:hAnsi="Arial" w:cs="Arial"/>
          <w:sz w:val="20"/>
          <w:szCs w:val="20"/>
        </w:rPr>
        <w:t>, 491 Mass. 666 (2023) (</w:t>
      </w:r>
      <w:r w:rsidRPr="009E413B">
        <w:rPr>
          <w:rFonts w:ascii="Arial" w:hAnsi="Arial" w:cs="Arial"/>
          <w:i/>
          <w:iCs/>
          <w:sz w:val="20"/>
          <w:szCs w:val="20"/>
        </w:rPr>
        <w:t>Guardado I</w:t>
      </w:r>
      <w:r w:rsidRPr="009E413B">
        <w:rPr>
          <w:rFonts w:ascii="Arial" w:hAnsi="Arial" w:cs="Arial"/>
          <w:sz w:val="20"/>
          <w:szCs w:val="20"/>
        </w:rPr>
        <w:t>), and 493 Mass. 1 (2023) (</w:t>
      </w:r>
      <w:r w:rsidRPr="009E413B">
        <w:rPr>
          <w:rFonts w:ascii="Arial" w:hAnsi="Arial" w:cs="Arial"/>
          <w:i/>
          <w:iCs/>
          <w:sz w:val="20"/>
          <w:szCs w:val="20"/>
        </w:rPr>
        <w:t>Guardado II</w:t>
      </w:r>
      <w:r w:rsidRPr="009E413B">
        <w:rPr>
          <w:rFonts w:ascii="Arial" w:hAnsi="Arial" w:cs="Arial"/>
          <w:sz w:val="20"/>
          <w:szCs w:val="20"/>
        </w:rPr>
        <w:t>), proof of a coventurer’s lack of license is an essential element of joint venture liability for a firearms possession offense, where the coventurer is the person seen in possession of the firearm.</w:t>
      </w:r>
      <w:bookmarkStart w:id="5" w:name="_Hlk135806655"/>
    </w:p>
    <w:p w14:paraId="6A2440A2" w14:textId="77777777" w:rsidR="00EB62EF" w:rsidRPr="00EB62EF" w:rsidRDefault="00EB62EF" w:rsidP="00EB62EF">
      <w:pPr>
        <w:pStyle w:val="ListParagraph"/>
        <w:spacing w:after="0" w:line="240" w:lineRule="auto"/>
        <w:rPr>
          <w:rFonts w:ascii="Arial" w:eastAsia="Times New Roman" w:hAnsi="Arial" w:cs="Arial"/>
          <w:b/>
          <w:bCs/>
          <w:color w:val="000000"/>
          <w:sz w:val="20"/>
          <w:szCs w:val="20"/>
        </w:rPr>
      </w:pPr>
    </w:p>
    <w:p w14:paraId="048F4BCC" w14:textId="77777777" w:rsidR="00EB62EF" w:rsidRPr="00EB62EF" w:rsidRDefault="00443D01" w:rsidP="00EB62EF">
      <w:pPr>
        <w:pStyle w:val="ListParagraph"/>
        <w:numPr>
          <w:ilvl w:val="0"/>
          <w:numId w:val="12"/>
        </w:numPr>
        <w:spacing w:after="0" w:line="240" w:lineRule="auto"/>
        <w:ind w:left="0" w:firstLine="360"/>
        <w:rPr>
          <w:rFonts w:ascii="Arial" w:hAnsi="Arial" w:cs="Arial"/>
          <w:sz w:val="20"/>
          <w:szCs w:val="20"/>
        </w:rPr>
      </w:pPr>
      <w:r w:rsidRPr="00EB62EF">
        <w:rPr>
          <w:rFonts w:ascii="Arial" w:eastAsia="Times New Roman" w:hAnsi="Arial" w:cs="Arial"/>
          <w:b/>
          <w:bCs/>
          <w:color w:val="000000"/>
          <w:sz w:val="20"/>
          <w:szCs w:val="20"/>
        </w:rPr>
        <w:t>Sentencing enhancement.</w:t>
      </w:r>
      <w:r w:rsidRPr="00EB62EF">
        <w:rPr>
          <w:rFonts w:ascii="Arial" w:eastAsia="Times New Roman" w:hAnsi="Arial" w:cs="Arial"/>
          <w:color w:val="000000"/>
          <w:sz w:val="20"/>
          <w:szCs w:val="20"/>
        </w:rPr>
        <w:t xml:space="preserve">  “General Laws c. 269, § 10 (</w:t>
      </w:r>
      <w:r w:rsidRPr="00EB62EF">
        <w:rPr>
          <w:rFonts w:ascii="Arial" w:eastAsia="Times New Roman" w:hAnsi="Arial" w:cs="Arial"/>
          <w:i/>
          <w:iCs/>
          <w:color w:val="000000"/>
          <w:sz w:val="20"/>
          <w:szCs w:val="20"/>
          <w:bdr w:val="none" w:sz="0" w:space="0" w:color="auto" w:frame="1"/>
        </w:rPr>
        <w:t>n</w:t>
      </w:r>
      <w:r w:rsidRPr="00EB62EF">
        <w:rPr>
          <w:rFonts w:ascii="Arial" w:eastAsia="Times New Roman" w:hAnsi="Arial" w:cs="Arial"/>
          <w:color w:val="000000"/>
          <w:sz w:val="20"/>
          <w:szCs w:val="20"/>
        </w:rPr>
        <w:t>), provides a sentencing enhancement to the crime of unlicensed possession of a firearm where an unlicensed firearm was loaded.  It does not create a stand-alone offense</w:t>
      </w:r>
      <w:proofErr w:type="gramStart"/>
      <w:r w:rsidRPr="00EB62EF">
        <w:rPr>
          <w:rFonts w:ascii="Arial" w:eastAsia="Times New Roman" w:hAnsi="Arial" w:cs="Arial"/>
          <w:color w:val="000000"/>
          <w:sz w:val="20"/>
          <w:szCs w:val="20"/>
        </w:rPr>
        <w:t>… .</w:t>
      </w:r>
      <w:proofErr w:type="gramEnd"/>
      <w:r w:rsidRPr="00EB62EF">
        <w:rPr>
          <w:rFonts w:ascii="Arial" w:eastAsia="Times New Roman" w:hAnsi="Arial" w:cs="Arial"/>
          <w:color w:val="000000"/>
          <w:sz w:val="20"/>
          <w:szCs w:val="20"/>
        </w:rPr>
        <w:t xml:space="preserve">”  </w:t>
      </w:r>
      <w:r w:rsidRPr="00EB62EF">
        <w:rPr>
          <w:rFonts w:ascii="Arial" w:eastAsia="Times New Roman" w:hAnsi="Arial" w:cs="Arial"/>
          <w:i/>
          <w:iCs/>
          <w:color w:val="000000"/>
          <w:sz w:val="20"/>
          <w:szCs w:val="20"/>
        </w:rPr>
        <w:t xml:space="preserve">Commonwealth v. Brown, </w:t>
      </w:r>
      <w:r w:rsidRPr="00EB62EF">
        <w:rPr>
          <w:rFonts w:ascii="Arial" w:eastAsia="Times New Roman" w:hAnsi="Arial" w:cs="Arial"/>
          <w:color w:val="000000"/>
          <w:sz w:val="20"/>
          <w:szCs w:val="20"/>
        </w:rPr>
        <w:t xml:space="preserve">479 Mass. 600, 604 (2018).  See also </w:t>
      </w:r>
      <w:r w:rsidRPr="00EB62EF">
        <w:rPr>
          <w:rFonts w:ascii="Arial" w:hAnsi="Arial" w:cs="Arial"/>
          <w:i/>
          <w:iCs/>
          <w:sz w:val="20"/>
          <w:szCs w:val="20"/>
        </w:rPr>
        <w:t>Commonwealth v. Taylor</w:t>
      </w:r>
      <w:r w:rsidRPr="00EB62EF">
        <w:rPr>
          <w:rFonts w:ascii="Arial" w:hAnsi="Arial" w:cs="Arial"/>
          <w:sz w:val="20"/>
          <w:szCs w:val="20"/>
        </w:rPr>
        <w:t>, 486 Mass. 469, 473-474 (2020).</w:t>
      </w:r>
      <w:r>
        <w:t xml:space="preserve">  </w:t>
      </w:r>
      <w:r w:rsidRPr="00EB62EF">
        <w:rPr>
          <w:rFonts w:ascii="Arial" w:eastAsia="Times New Roman" w:hAnsi="Arial" w:cs="Arial"/>
          <w:sz w:val="20"/>
          <w:szCs w:val="20"/>
        </w:rPr>
        <w:t xml:space="preserve">Section 10(n) calls for </w:t>
      </w:r>
      <w:r w:rsidRPr="00EB62EF">
        <w:rPr>
          <w:rFonts w:ascii="Arial" w:hAnsi="Arial" w:cs="Arial"/>
          <w:color w:val="000000"/>
          <w:sz w:val="20"/>
          <w:szCs w:val="20"/>
        </w:rPr>
        <w:t>a sentence of up to two and a half years from and after the expiration of the sentence for the violation of paragraph (a).</w:t>
      </w:r>
      <w:bookmarkEnd w:id="5"/>
    </w:p>
    <w:p w14:paraId="085B8A35" w14:textId="77777777" w:rsidR="00EB62EF" w:rsidRPr="00EB62EF" w:rsidRDefault="00EB62EF" w:rsidP="00EB62EF">
      <w:pPr>
        <w:pStyle w:val="ListParagraph"/>
        <w:spacing w:after="0" w:line="240" w:lineRule="auto"/>
        <w:rPr>
          <w:rFonts w:ascii="Arial" w:hAnsi="Arial" w:cs="Arial"/>
          <w:b/>
          <w:bCs/>
          <w:spacing w:val="9"/>
          <w:sz w:val="20"/>
          <w:szCs w:val="20"/>
        </w:rPr>
      </w:pPr>
    </w:p>
    <w:p w14:paraId="57577BF8" w14:textId="1298F16A" w:rsidR="00443D01" w:rsidRPr="00EB62EF" w:rsidRDefault="00EB62EF" w:rsidP="00EB62EF">
      <w:pPr>
        <w:pStyle w:val="ListParagraph"/>
        <w:numPr>
          <w:ilvl w:val="0"/>
          <w:numId w:val="12"/>
        </w:numPr>
        <w:spacing w:after="0" w:line="240" w:lineRule="auto"/>
        <w:ind w:left="0" w:firstLine="360"/>
        <w:rPr>
          <w:rFonts w:ascii="Arial" w:hAnsi="Arial" w:cs="Arial"/>
          <w:sz w:val="20"/>
          <w:szCs w:val="20"/>
        </w:rPr>
      </w:pPr>
      <w:r w:rsidRPr="00EB62EF">
        <w:rPr>
          <w:rFonts w:ascii="Arial" w:hAnsi="Arial" w:cs="Arial"/>
          <w:b/>
          <w:bCs/>
          <w:sz w:val="20"/>
          <w:szCs w:val="20"/>
        </w:rPr>
        <w:t>Lesser Included Offense.</w:t>
      </w:r>
      <w:r w:rsidRPr="00EB62EF">
        <w:rPr>
          <w:rFonts w:ascii="Arial" w:hAnsi="Arial" w:cs="Arial"/>
          <w:sz w:val="20"/>
          <w:szCs w:val="20"/>
        </w:rPr>
        <w:t xml:space="preserve"> </w:t>
      </w:r>
      <w:r w:rsidR="00443D01" w:rsidRPr="00EB62EF">
        <w:rPr>
          <w:rFonts w:ascii="Arial" w:hAnsi="Arial" w:cs="Arial"/>
          <w:sz w:val="20"/>
          <w:szCs w:val="20"/>
        </w:rPr>
        <w:t xml:space="preserve">Possession of ammunition under G.L. c. 269, § 10(h) is a lesser included offense of unlawful possession of a loaded firearm under 10(n). </w:t>
      </w:r>
      <w:r w:rsidR="00443D01" w:rsidRPr="00EB62EF">
        <w:rPr>
          <w:rFonts w:ascii="Arial" w:hAnsi="Arial" w:cs="Arial"/>
          <w:i/>
          <w:iCs/>
          <w:sz w:val="20"/>
          <w:szCs w:val="20"/>
        </w:rPr>
        <w:t>Commonwealth v. Johnson</w:t>
      </w:r>
      <w:r w:rsidR="00443D01" w:rsidRPr="00EB62EF">
        <w:rPr>
          <w:rFonts w:ascii="Arial" w:hAnsi="Arial" w:cs="Arial"/>
          <w:sz w:val="20"/>
          <w:szCs w:val="20"/>
        </w:rPr>
        <w:t xml:space="preserve">, 461 Mass. 44, 54-55 (2011). When the only ammunition at issue is that which is contained in the firearm, one may not stand </w:t>
      </w:r>
      <w:proofErr w:type="gramStart"/>
      <w:r w:rsidR="00443D01" w:rsidRPr="00EB62EF">
        <w:rPr>
          <w:rFonts w:ascii="Arial" w:hAnsi="Arial" w:cs="Arial"/>
          <w:sz w:val="20"/>
          <w:szCs w:val="20"/>
        </w:rPr>
        <w:t>convicted</w:t>
      </w:r>
      <w:proofErr w:type="gramEnd"/>
      <w:r w:rsidR="00443D01" w:rsidRPr="00EB62EF">
        <w:rPr>
          <w:rFonts w:ascii="Arial" w:hAnsi="Arial" w:cs="Arial"/>
          <w:sz w:val="20"/>
          <w:szCs w:val="20"/>
        </w:rPr>
        <w:t xml:space="preserve"> of both crimes.  </w:t>
      </w:r>
      <w:r w:rsidR="00443D01" w:rsidRPr="00EB62EF">
        <w:rPr>
          <w:rFonts w:ascii="Arial" w:hAnsi="Arial" w:cs="Arial"/>
          <w:i/>
          <w:iCs/>
          <w:sz w:val="20"/>
          <w:szCs w:val="20"/>
        </w:rPr>
        <w:t>Id.</w:t>
      </w:r>
      <w:r w:rsidR="00443D01" w:rsidRPr="00EB62EF">
        <w:rPr>
          <w:rFonts w:ascii="Arial" w:hAnsi="Arial" w:cs="Arial"/>
          <w:sz w:val="20"/>
          <w:szCs w:val="20"/>
        </w:rPr>
        <w:t xml:space="preserve"> at 52-53. </w:t>
      </w:r>
    </w:p>
    <w:p w14:paraId="487FEC97" w14:textId="523BB960" w:rsidR="00443D01" w:rsidRDefault="00443D01" w:rsidP="00EB62EF">
      <w:pPr>
        <w:spacing w:after="0" w:line="240" w:lineRule="auto"/>
        <w:ind w:firstLine="720"/>
        <w:rPr>
          <w:rFonts w:ascii="Arial" w:hAnsi="Arial" w:cs="Arial"/>
          <w:sz w:val="20"/>
          <w:szCs w:val="20"/>
        </w:rPr>
      </w:pPr>
    </w:p>
    <w:p w14:paraId="42D81959" w14:textId="77777777" w:rsidR="00443D01" w:rsidRPr="00973EC1" w:rsidRDefault="00443D01" w:rsidP="00EB62EF">
      <w:pPr>
        <w:spacing w:after="0" w:line="240" w:lineRule="auto"/>
        <w:ind w:firstLine="720"/>
        <w:rPr>
          <w:rFonts w:ascii="Arial" w:hAnsi="Arial" w:cs="Arial"/>
          <w:sz w:val="20"/>
          <w:szCs w:val="20"/>
        </w:rPr>
      </w:pPr>
    </w:p>
    <w:p w14:paraId="3525D060" w14:textId="77777777" w:rsidR="00973EC1" w:rsidRPr="00973EC1" w:rsidRDefault="00973EC1" w:rsidP="00EB62EF">
      <w:pPr>
        <w:spacing w:after="0" w:line="240" w:lineRule="auto"/>
        <w:rPr>
          <w:rFonts w:ascii="Arial" w:hAnsi="Arial" w:cs="Arial"/>
          <w:sz w:val="20"/>
          <w:szCs w:val="20"/>
        </w:rPr>
      </w:pPr>
    </w:p>
    <w:p w14:paraId="4BC72DEF" w14:textId="77777777" w:rsidR="00091F4E" w:rsidRPr="009A1619" w:rsidRDefault="00091F4E" w:rsidP="00EB62EF">
      <w:pPr>
        <w:spacing w:after="0" w:line="240" w:lineRule="auto"/>
        <w:rPr>
          <w:rFonts w:ascii="Arial" w:hAnsi="Arial" w:cs="Arial"/>
          <w:sz w:val="20"/>
          <w:szCs w:val="20"/>
        </w:rPr>
      </w:pPr>
    </w:p>
    <w:sectPr w:rsidR="00091F4E" w:rsidRPr="009A1619" w:rsidSect="003E28C0">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A300" w14:textId="77777777" w:rsidR="0068700B" w:rsidRDefault="0068700B" w:rsidP="006B74C7">
      <w:pPr>
        <w:spacing w:after="0" w:line="240" w:lineRule="auto"/>
      </w:pPr>
      <w:r>
        <w:separator/>
      </w:r>
    </w:p>
  </w:endnote>
  <w:endnote w:type="continuationSeparator" w:id="0">
    <w:p w14:paraId="6B2C2AC6" w14:textId="77777777" w:rsidR="0068700B" w:rsidRDefault="0068700B" w:rsidP="006B7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8E4C" w14:textId="77777777" w:rsidR="0068700B" w:rsidRDefault="0068700B" w:rsidP="006B74C7">
      <w:pPr>
        <w:spacing w:after="0" w:line="240" w:lineRule="auto"/>
      </w:pPr>
      <w:r>
        <w:separator/>
      </w:r>
    </w:p>
  </w:footnote>
  <w:footnote w:type="continuationSeparator" w:id="0">
    <w:p w14:paraId="08B0BFD5" w14:textId="77777777" w:rsidR="0068700B" w:rsidRDefault="0068700B" w:rsidP="006B7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D7E1" w14:textId="2A40E6F4" w:rsidR="000A1338" w:rsidRPr="000A1338" w:rsidRDefault="000A1338" w:rsidP="006D7A57">
    <w:pPr>
      <w:pStyle w:val="BodyText"/>
      <w:tabs>
        <w:tab w:val="left" w:pos="8550"/>
      </w:tabs>
      <w:kinsoku w:val="0"/>
      <w:overflowPunct w:val="0"/>
      <w:jc w:val="center"/>
      <w:rPr>
        <w:b w:val="0"/>
        <w:bCs w:val="0"/>
        <w:sz w:val="22"/>
        <w:szCs w:val="22"/>
      </w:rPr>
    </w:pPr>
    <w:r w:rsidRPr="000874D6">
      <w:rPr>
        <w:noProof/>
        <w:sz w:val="22"/>
        <w:szCs w:val="22"/>
      </w:rPr>
      <w:t>INSTRUCTIONS FOR OFFENSES COMMITTED ON OR AFTER</w:t>
    </w:r>
    <w:r w:rsidR="00EB62EF">
      <w:rPr>
        <w:noProof/>
        <w:sz w:val="22"/>
        <w:szCs w:val="22"/>
      </w:rPr>
      <w:t xml:space="preserve"> </w:t>
    </w:r>
    <w:r w:rsidRPr="000874D6">
      <w:rPr>
        <w:noProof/>
        <w:sz w:val="22"/>
        <w:szCs w:val="22"/>
      </w:rPr>
      <w:t>OCTOBER</w:t>
    </w:r>
    <w:r w:rsidR="006D7A57">
      <w:rPr>
        <w:noProof/>
        <w:sz w:val="22"/>
        <w:szCs w:val="22"/>
      </w:rPr>
      <w:t xml:space="preserve"> 2, </w:t>
    </w:r>
    <w:r w:rsidRPr="000874D6">
      <w:rPr>
        <w:noProof/>
        <w:sz w:val="22"/>
        <w:szCs w:val="22"/>
      </w:rPr>
      <w:t>2024</w:t>
    </w:r>
  </w:p>
  <w:p w14:paraId="06510954" w14:textId="4C4995EF" w:rsidR="008424DA" w:rsidRPr="00293A4F" w:rsidRDefault="00486409" w:rsidP="00EE73CF">
    <w:pPr>
      <w:pStyle w:val="Header"/>
      <w:pBdr>
        <w:bottom w:val="single" w:sz="12" w:space="0" w:color="auto"/>
      </w:pBdr>
      <w:tabs>
        <w:tab w:val="clear" w:pos="4680"/>
        <w:tab w:val="clear" w:pos="9360"/>
        <w:tab w:val="right" w:pos="10800"/>
      </w:tabs>
      <w:rPr>
        <w:rFonts w:ascii="Arial" w:hAnsi="Arial" w:cs="Arial"/>
        <w:noProof/>
        <w:sz w:val="20"/>
        <w:szCs w:val="20"/>
      </w:rPr>
    </w:pPr>
    <w:r w:rsidRPr="00293A4F">
      <w:rPr>
        <w:rFonts w:ascii="Arial" w:hAnsi="Arial" w:cs="Arial"/>
        <w:noProof/>
        <w:sz w:val="20"/>
        <w:szCs w:val="20"/>
      </w:rPr>
      <w:t xml:space="preserve">Instruction </w:t>
    </w:r>
    <w:r>
      <w:rPr>
        <w:rFonts w:ascii="Arial" w:hAnsi="Arial" w:cs="Arial"/>
        <w:noProof/>
        <w:sz w:val="20"/>
        <w:szCs w:val="20"/>
      </w:rPr>
      <w:t>7.6</w:t>
    </w:r>
    <w:r w:rsidR="001C471C">
      <w:rPr>
        <w:rFonts w:ascii="Arial" w:hAnsi="Arial" w:cs="Arial"/>
        <w:noProof/>
        <w:sz w:val="20"/>
        <w:szCs w:val="20"/>
      </w:rPr>
      <w:t>1</w:t>
    </w:r>
    <w:r>
      <w:rPr>
        <w:rFonts w:ascii="Arial" w:hAnsi="Arial" w:cs="Arial"/>
        <w:noProof/>
        <w:sz w:val="20"/>
        <w:szCs w:val="20"/>
      </w:rPr>
      <w:t>0</w:t>
    </w:r>
    <w:r w:rsidRPr="00293A4F">
      <w:rPr>
        <w:rFonts w:ascii="Arial" w:hAnsi="Arial" w:cs="Arial"/>
        <w:noProof/>
        <w:sz w:val="20"/>
        <w:szCs w:val="20"/>
      </w:rPr>
      <w:tab/>
      <w:t>Page</w:t>
    </w:r>
    <w:r>
      <w:rPr>
        <w:rFonts w:ascii="Arial" w:hAnsi="Arial" w:cs="Arial"/>
        <w:noProof/>
        <w:sz w:val="20"/>
        <w:szCs w:val="20"/>
      </w:rPr>
      <w:t xml:space="preserve"> </w:t>
    </w:r>
    <w:r w:rsidRPr="00293A4F">
      <w:rPr>
        <w:rFonts w:ascii="Arial" w:hAnsi="Arial" w:cs="Arial"/>
        <w:noProof/>
        <w:sz w:val="20"/>
        <w:szCs w:val="20"/>
      </w:rPr>
      <w:t xml:space="preserve"> </w:t>
    </w:r>
    <w:r w:rsidRPr="00EE73CF">
      <w:rPr>
        <w:rFonts w:ascii="Arial" w:hAnsi="Arial" w:cs="Arial"/>
        <w:noProof/>
        <w:sz w:val="20"/>
        <w:szCs w:val="20"/>
      </w:rPr>
      <w:fldChar w:fldCharType="begin"/>
    </w:r>
    <w:r w:rsidRPr="00EE73CF">
      <w:rPr>
        <w:rFonts w:ascii="Arial" w:hAnsi="Arial" w:cs="Arial"/>
        <w:noProof/>
        <w:sz w:val="20"/>
        <w:szCs w:val="20"/>
      </w:rPr>
      <w:instrText xml:space="preserve"> PAGE   \* MERGEFORMAT </w:instrText>
    </w:r>
    <w:r w:rsidRPr="00EE73CF">
      <w:rPr>
        <w:rFonts w:ascii="Arial" w:hAnsi="Arial" w:cs="Arial"/>
        <w:noProof/>
        <w:sz w:val="20"/>
        <w:szCs w:val="20"/>
      </w:rPr>
      <w:fldChar w:fldCharType="separate"/>
    </w:r>
    <w:r w:rsidRPr="00EE73CF">
      <w:rPr>
        <w:rFonts w:ascii="Arial" w:hAnsi="Arial" w:cs="Arial"/>
        <w:noProof/>
        <w:sz w:val="20"/>
        <w:szCs w:val="20"/>
      </w:rPr>
      <w:t>1</w:t>
    </w:r>
    <w:r w:rsidRPr="00EE73CF">
      <w:rPr>
        <w:rFonts w:ascii="Arial" w:hAnsi="Arial" w:cs="Arial"/>
        <w:noProof/>
        <w:sz w:val="20"/>
        <w:szCs w:val="20"/>
      </w:rPr>
      <w:fldChar w:fldCharType="end"/>
    </w:r>
  </w:p>
  <w:p w14:paraId="1A71D951" w14:textId="6D678C15" w:rsidR="00CF2E07" w:rsidRDefault="00486409" w:rsidP="00EE73CF">
    <w:pPr>
      <w:pStyle w:val="Header"/>
      <w:tabs>
        <w:tab w:val="clear" w:pos="4680"/>
        <w:tab w:val="clear" w:pos="9360"/>
        <w:tab w:val="right" w:pos="10800"/>
      </w:tabs>
      <w:rPr>
        <w:rFonts w:ascii="Arial" w:hAnsi="Arial" w:cs="Arial"/>
        <w:b/>
        <w:sz w:val="20"/>
        <w:szCs w:val="20"/>
      </w:rPr>
    </w:pPr>
    <w:r>
      <w:rPr>
        <w:rFonts w:ascii="Arial" w:hAnsi="Arial" w:cs="Arial"/>
        <w:b/>
        <w:sz w:val="20"/>
        <w:szCs w:val="20"/>
      </w:rPr>
      <w:t xml:space="preserve">POSSESSION </w:t>
    </w:r>
    <w:r w:rsidR="00CA3093">
      <w:rPr>
        <w:rFonts w:ascii="Arial" w:hAnsi="Arial" w:cs="Arial"/>
        <w:b/>
        <w:sz w:val="20"/>
        <w:szCs w:val="20"/>
      </w:rPr>
      <w:t>OF</w:t>
    </w:r>
    <w:r w:rsidR="005C2FC6">
      <w:rPr>
        <w:rFonts w:ascii="Arial" w:hAnsi="Arial" w:cs="Arial"/>
        <w:b/>
        <w:sz w:val="20"/>
        <w:szCs w:val="20"/>
      </w:rPr>
      <w:t xml:space="preserve"> </w:t>
    </w:r>
    <w:r>
      <w:rPr>
        <w:rFonts w:ascii="Arial" w:hAnsi="Arial" w:cs="Arial"/>
        <w:b/>
        <w:sz w:val="20"/>
        <w:szCs w:val="20"/>
      </w:rPr>
      <w:t xml:space="preserve">A </w:t>
    </w:r>
    <w:r w:rsidR="001C471C">
      <w:rPr>
        <w:rFonts w:ascii="Arial" w:hAnsi="Arial" w:cs="Arial"/>
        <w:b/>
        <w:sz w:val="20"/>
        <w:szCs w:val="20"/>
      </w:rPr>
      <w:t xml:space="preserve">LOADED </w:t>
    </w:r>
    <w:r>
      <w:rPr>
        <w:rFonts w:ascii="Arial" w:hAnsi="Arial" w:cs="Arial"/>
        <w:b/>
        <w:sz w:val="20"/>
        <w:szCs w:val="20"/>
      </w:rPr>
      <w:t xml:space="preserve">FIREARM </w:t>
    </w:r>
    <w:r w:rsidR="005C2FC6">
      <w:rPr>
        <w:rFonts w:ascii="Arial" w:hAnsi="Arial" w:cs="Arial"/>
        <w:b/>
        <w:sz w:val="20"/>
        <w:szCs w:val="20"/>
      </w:rPr>
      <w:t xml:space="preserve">WITHOUT A LICENSE </w:t>
    </w:r>
    <w:r w:rsidR="00587324">
      <w:rPr>
        <w:rFonts w:ascii="Arial" w:hAnsi="Arial" w:cs="Arial"/>
        <w:b/>
        <w:sz w:val="20"/>
        <w:szCs w:val="20"/>
      </w:rPr>
      <w:t xml:space="preserve">                          </w:t>
    </w:r>
    <w:r w:rsidR="0009317C">
      <w:rPr>
        <w:rFonts w:ascii="Arial" w:hAnsi="Arial" w:cs="Arial"/>
        <w:b/>
        <w:sz w:val="20"/>
        <w:szCs w:val="20"/>
      </w:rPr>
      <w:tab/>
    </w:r>
    <w:r w:rsidR="00494337">
      <w:rPr>
        <w:rFonts w:ascii="Arial" w:hAnsi="Arial" w:cs="Arial"/>
        <w:sz w:val="20"/>
        <w:szCs w:val="20"/>
      </w:rPr>
      <w:t xml:space="preserve">Revised </w:t>
    </w:r>
    <w:r w:rsidR="00587324" w:rsidRPr="00587324">
      <w:rPr>
        <w:rFonts w:ascii="Arial" w:hAnsi="Arial" w:cs="Arial"/>
        <w:sz w:val="20"/>
        <w:szCs w:val="20"/>
      </w:rPr>
      <w:t>J</w:t>
    </w:r>
    <w:r w:rsidR="0009317C">
      <w:rPr>
        <w:rFonts w:ascii="Arial" w:hAnsi="Arial" w:cs="Arial"/>
        <w:sz w:val="20"/>
        <w:szCs w:val="20"/>
      </w:rPr>
      <w:t>une</w:t>
    </w:r>
    <w:r w:rsidR="00587324" w:rsidRPr="00587324">
      <w:rPr>
        <w:rFonts w:ascii="Arial" w:hAnsi="Arial" w:cs="Arial"/>
        <w:sz w:val="20"/>
        <w:szCs w:val="20"/>
      </w:rPr>
      <w:t xml:space="preserve"> 2026</w:t>
    </w:r>
  </w:p>
  <w:p w14:paraId="6DDF8AF2" w14:textId="7194541D" w:rsidR="008424DA" w:rsidRDefault="00486409" w:rsidP="00EE73CF">
    <w:pPr>
      <w:pStyle w:val="Header"/>
      <w:tabs>
        <w:tab w:val="clear" w:pos="4680"/>
        <w:tab w:val="clear" w:pos="9360"/>
        <w:tab w:val="right" w:pos="10800"/>
      </w:tabs>
      <w:rPr>
        <w:rFonts w:ascii="Arial" w:hAnsi="Arial" w:cs="Arial"/>
        <w:b/>
        <w:sz w:val="20"/>
        <w:szCs w:val="20"/>
      </w:rPr>
    </w:pPr>
    <w:r>
      <w:rPr>
        <w:rFonts w:ascii="Arial" w:hAnsi="Arial" w:cs="Arial"/>
        <w:b/>
        <w:sz w:val="20"/>
        <w:szCs w:val="20"/>
      </w:rPr>
      <w:tab/>
    </w:r>
  </w:p>
  <w:p w14:paraId="652C86BA" w14:textId="18E74D2E" w:rsidR="008424DA" w:rsidRPr="00293A4F" w:rsidRDefault="008424DA" w:rsidP="00EE73CF">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2820" w14:textId="52F4C091" w:rsidR="00E73BB8" w:rsidRPr="000874D6" w:rsidRDefault="00E73BB8" w:rsidP="006D7A57">
    <w:pPr>
      <w:pStyle w:val="BodyText"/>
      <w:kinsoku w:val="0"/>
      <w:overflowPunct w:val="0"/>
      <w:jc w:val="center"/>
      <w:rPr>
        <w:b w:val="0"/>
        <w:bCs w:val="0"/>
        <w:sz w:val="22"/>
        <w:szCs w:val="22"/>
      </w:rPr>
    </w:pPr>
    <w:r w:rsidRPr="000874D6">
      <w:rPr>
        <w:noProof/>
        <w:sz w:val="22"/>
        <w:szCs w:val="22"/>
      </w:rPr>
      <w:t>INSTRUCTIONS FOR OFFENSES COMMITTED ON OR AFTER</w:t>
    </w:r>
    <w:r w:rsidR="009E413B">
      <w:rPr>
        <w:noProof/>
        <w:sz w:val="22"/>
        <w:szCs w:val="22"/>
      </w:rPr>
      <w:t xml:space="preserve"> </w:t>
    </w:r>
    <w:r w:rsidRPr="000874D6">
      <w:rPr>
        <w:noProof/>
        <w:sz w:val="22"/>
        <w:szCs w:val="22"/>
      </w:rPr>
      <w:t xml:space="preserve">OCTOBER </w:t>
    </w:r>
    <w:r w:rsidR="006D7A57">
      <w:rPr>
        <w:noProof/>
        <w:sz w:val="22"/>
        <w:szCs w:val="22"/>
      </w:rPr>
      <w:t xml:space="preserve">2, </w:t>
    </w:r>
    <w:r w:rsidRPr="000874D6">
      <w:rPr>
        <w:noProof/>
        <w:sz w:val="22"/>
        <w:szCs w:val="22"/>
      </w:rPr>
      <w:t>2024</w:t>
    </w:r>
  </w:p>
  <w:p w14:paraId="4F859EB1" w14:textId="558D8181" w:rsidR="008424DA" w:rsidRPr="00F452B5" w:rsidRDefault="00486409" w:rsidP="00F452B5">
    <w:pPr>
      <w:pStyle w:val="Header"/>
      <w:pBdr>
        <w:bottom w:val="single" w:sz="12" w:space="1" w:color="auto"/>
      </w:pBdr>
      <w:tabs>
        <w:tab w:val="clear" w:pos="4680"/>
        <w:tab w:val="clear" w:pos="9360"/>
        <w:tab w:val="right" w:pos="10800"/>
      </w:tabs>
      <w:rPr>
        <w:rFonts w:ascii="Arial" w:hAnsi="Arial" w:cs="Arial"/>
        <w:noProof/>
        <w:sz w:val="20"/>
        <w:szCs w:val="20"/>
      </w:rPr>
    </w:pPr>
    <w:r>
      <w:rPr>
        <w:rFonts w:ascii="Arial" w:hAnsi="Arial" w:cs="Arial"/>
        <w:sz w:val="20"/>
        <w:szCs w:val="20"/>
      </w:rPr>
      <w:t xml:space="preserve">Page </w:t>
    </w:r>
    <w:r w:rsidR="009E413B" w:rsidRPr="009E413B">
      <w:rPr>
        <w:rFonts w:ascii="Arial" w:hAnsi="Arial" w:cs="Arial"/>
        <w:sz w:val="20"/>
        <w:szCs w:val="20"/>
      </w:rPr>
      <w:fldChar w:fldCharType="begin"/>
    </w:r>
    <w:r w:rsidR="009E413B" w:rsidRPr="009E413B">
      <w:rPr>
        <w:rFonts w:ascii="Arial" w:hAnsi="Arial" w:cs="Arial"/>
        <w:sz w:val="20"/>
        <w:szCs w:val="20"/>
      </w:rPr>
      <w:instrText xml:space="preserve"> PAGE   \* MERGEFORMAT </w:instrText>
    </w:r>
    <w:r w:rsidR="009E413B" w:rsidRPr="009E413B">
      <w:rPr>
        <w:rFonts w:ascii="Arial" w:hAnsi="Arial" w:cs="Arial"/>
        <w:sz w:val="20"/>
        <w:szCs w:val="20"/>
      </w:rPr>
      <w:fldChar w:fldCharType="separate"/>
    </w:r>
    <w:r w:rsidR="009E413B" w:rsidRPr="009E413B">
      <w:rPr>
        <w:rFonts w:ascii="Arial" w:hAnsi="Arial" w:cs="Arial"/>
        <w:noProof/>
        <w:sz w:val="20"/>
        <w:szCs w:val="20"/>
      </w:rPr>
      <w:t>1</w:t>
    </w:r>
    <w:r w:rsidR="009E413B" w:rsidRPr="009E413B">
      <w:rPr>
        <w:rFonts w:ascii="Arial" w:hAnsi="Arial" w:cs="Arial"/>
        <w:noProof/>
        <w:sz w:val="20"/>
        <w:szCs w:val="20"/>
      </w:rPr>
      <w:fldChar w:fldCharType="end"/>
    </w:r>
    <w:r w:rsidRPr="00A44C0A">
      <w:rPr>
        <w:rFonts w:ascii="Arial" w:hAnsi="Arial" w:cs="Arial"/>
        <w:noProof/>
        <w:sz w:val="20"/>
        <w:szCs w:val="20"/>
      </w:rPr>
      <w:tab/>
    </w:r>
    <w:r w:rsidRPr="00F452B5">
      <w:rPr>
        <w:rFonts w:ascii="Arial" w:hAnsi="Arial" w:cs="Arial"/>
        <w:noProof/>
        <w:sz w:val="20"/>
        <w:szCs w:val="20"/>
      </w:rPr>
      <w:t xml:space="preserve">Instruction </w:t>
    </w:r>
    <w:r>
      <w:rPr>
        <w:rFonts w:ascii="Arial" w:hAnsi="Arial" w:cs="Arial"/>
        <w:noProof/>
        <w:sz w:val="20"/>
        <w:szCs w:val="20"/>
      </w:rPr>
      <w:t>7.6</w:t>
    </w:r>
    <w:r w:rsidR="001C471C">
      <w:rPr>
        <w:rFonts w:ascii="Arial" w:hAnsi="Arial" w:cs="Arial"/>
        <w:noProof/>
        <w:sz w:val="20"/>
        <w:szCs w:val="20"/>
      </w:rPr>
      <w:t>1</w:t>
    </w:r>
    <w:r>
      <w:rPr>
        <w:rFonts w:ascii="Arial" w:hAnsi="Arial" w:cs="Arial"/>
        <w:noProof/>
        <w:sz w:val="20"/>
        <w:szCs w:val="20"/>
      </w:rPr>
      <w:t>0</w:t>
    </w:r>
  </w:p>
  <w:p w14:paraId="626AEB0C" w14:textId="3BC451B3" w:rsidR="005C16A0" w:rsidRDefault="00494337" w:rsidP="00293A4F">
    <w:pPr>
      <w:pStyle w:val="Header"/>
      <w:tabs>
        <w:tab w:val="clear" w:pos="4680"/>
        <w:tab w:val="clear" w:pos="9360"/>
        <w:tab w:val="right" w:pos="10800"/>
      </w:tabs>
      <w:rPr>
        <w:rFonts w:ascii="Arial" w:hAnsi="Arial" w:cs="Arial"/>
        <w:b/>
        <w:sz w:val="20"/>
        <w:szCs w:val="20"/>
      </w:rPr>
    </w:pPr>
    <w:r>
      <w:rPr>
        <w:rFonts w:ascii="Arial" w:hAnsi="Arial" w:cs="Arial"/>
        <w:sz w:val="20"/>
        <w:szCs w:val="20"/>
      </w:rPr>
      <w:t>Revised</w:t>
    </w:r>
    <w:r w:rsidR="00486409">
      <w:rPr>
        <w:rFonts w:ascii="Arial" w:hAnsi="Arial" w:cs="Arial"/>
        <w:sz w:val="20"/>
        <w:szCs w:val="20"/>
      </w:rPr>
      <w:t xml:space="preserve"> </w:t>
    </w:r>
    <w:r w:rsidR="00587324" w:rsidRPr="00587324">
      <w:rPr>
        <w:rFonts w:ascii="Arial" w:hAnsi="Arial" w:cs="Arial"/>
        <w:sz w:val="20"/>
        <w:szCs w:val="20"/>
      </w:rPr>
      <w:t>J</w:t>
    </w:r>
    <w:r w:rsidR="0009317C">
      <w:rPr>
        <w:rFonts w:ascii="Arial" w:hAnsi="Arial" w:cs="Arial"/>
        <w:sz w:val="20"/>
        <w:szCs w:val="20"/>
      </w:rPr>
      <w:t>une</w:t>
    </w:r>
    <w:r w:rsidR="00587324" w:rsidRPr="00587324">
      <w:rPr>
        <w:rFonts w:ascii="Arial" w:hAnsi="Arial" w:cs="Arial"/>
        <w:sz w:val="20"/>
        <w:szCs w:val="20"/>
      </w:rPr>
      <w:t xml:space="preserve"> 2026</w:t>
    </w:r>
    <w:r w:rsidR="00486409">
      <w:rPr>
        <w:rFonts w:ascii="Arial" w:hAnsi="Arial" w:cs="Arial"/>
        <w:b/>
        <w:sz w:val="20"/>
        <w:szCs w:val="20"/>
      </w:rPr>
      <w:tab/>
      <w:t xml:space="preserve">POSSESSION </w:t>
    </w:r>
    <w:r w:rsidR="005C16A0">
      <w:rPr>
        <w:rFonts w:ascii="Arial" w:hAnsi="Arial" w:cs="Arial"/>
        <w:b/>
        <w:sz w:val="20"/>
        <w:szCs w:val="20"/>
      </w:rPr>
      <w:t>OF</w:t>
    </w:r>
    <w:r w:rsidR="00486409">
      <w:rPr>
        <w:rFonts w:ascii="Arial" w:hAnsi="Arial" w:cs="Arial"/>
        <w:b/>
        <w:sz w:val="20"/>
        <w:szCs w:val="20"/>
      </w:rPr>
      <w:t xml:space="preserve"> A</w:t>
    </w:r>
    <w:r w:rsidR="001C471C">
      <w:rPr>
        <w:rFonts w:ascii="Arial" w:hAnsi="Arial" w:cs="Arial"/>
        <w:b/>
        <w:sz w:val="20"/>
        <w:szCs w:val="20"/>
      </w:rPr>
      <w:t xml:space="preserve"> LOADED</w:t>
    </w:r>
    <w:r w:rsidR="00486409">
      <w:rPr>
        <w:rFonts w:ascii="Arial" w:hAnsi="Arial" w:cs="Arial"/>
        <w:b/>
        <w:sz w:val="20"/>
        <w:szCs w:val="20"/>
      </w:rPr>
      <w:t xml:space="preserve"> FIREARM</w:t>
    </w:r>
    <w:r w:rsidR="007066AC">
      <w:rPr>
        <w:rFonts w:ascii="Arial" w:hAnsi="Arial" w:cs="Arial"/>
        <w:b/>
        <w:sz w:val="20"/>
        <w:szCs w:val="20"/>
      </w:rPr>
      <w:t xml:space="preserve"> </w:t>
    </w:r>
    <w:r w:rsidR="005C16A0">
      <w:rPr>
        <w:rFonts w:ascii="Arial" w:hAnsi="Arial" w:cs="Arial"/>
        <w:b/>
        <w:sz w:val="20"/>
        <w:szCs w:val="20"/>
      </w:rPr>
      <w:t>WITHOUT</w:t>
    </w:r>
    <w:r w:rsidR="00FC5DAE">
      <w:rPr>
        <w:rFonts w:ascii="Arial" w:hAnsi="Arial" w:cs="Arial"/>
        <w:b/>
        <w:sz w:val="20"/>
        <w:szCs w:val="20"/>
      </w:rPr>
      <w:t xml:space="preserve"> A</w:t>
    </w:r>
    <w:r w:rsidR="005C16A0">
      <w:rPr>
        <w:rFonts w:ascii="Arial" w:hAnsi="Arial" w:cs="Arial"/>
        <w:b/>
        <w:sz w:val="20"/>
        <w:szCs w:val="20"/>
      </w:rPr>
      <w:t xml:space="preserve"> LICENSE </w:t>
    </w:r>
  </w:p>
  <w:p w14:paraId="5425D13A" w14:textId="0DE91A22" w:rsidR="008424DA" w:rsidRDefault="005C16A0" w:rsidP="00293A4F">
    <w:pPr>
      <w:pStyle w:val="Header"/>
      <w:tabs>
        <w:tab w:val="clear" w:pos="4680"/>
        <w:tab w:val="clear" w:pos="9360"/>
        <w:tab w:val="right" w:pos="10800"/>
      </w:tabs>
      <w:rPr>
        <w:rFonts w:ascii="Arial" w:hAnsi="Arial" w:cs="Arial"/>
        <w:b/>
        <w:sz w:val="20"/>
        <w:szCs w:val="20"/>
      </w:rPr>
    </w:pPr>
    <w:r>
      <w:rPr>
        <w:rFonts w:ascii="Arial" w:hAnsi="Arial" w:cs="Arial"/>
        <w:b/>
        <w:sz w:val="20"/>
        <w:szCs w:val="20"/>
      </w:rPr>
      <w:tab/>
    </w:r>
  </w:p>
  <w:p w14:paraId="65809850" w14:textId="77777777" w:rsidR="008424DA" w:rsidRDefault="0084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2024EE8"/>
    <w:lvl w:ilvl="0">
      <w:start w:val="1"/>
      <w:numFmt w:val="decimal"/>
      <w:suff w:val="space"/>
      <w:lvlText w:val="%1."/>
      <w:lvlJc w:val="left"/>
      <w:pPr>
        <w:ind w:left="0" w:firstLine="0"/>
      </w:pPr>
      <w:rPr>
        <w:rFonts w:ascii="Arial" w:hAnsi="Arial" w:hint="default"/>
        <w:b/>
        <w:bCs w:val="0"/>
        <w:spacing w:val="0"/>
        <w:w w:val="100"/>
        <w:kern w:val="0"/>
        <w:sz w:val="20"/>
        <w:szCs w:val="20"/>
      </w:rPr>
    </w:lvl>
    <w:lvl w:ilvl="1">
      <w:numFmt w:val="bullet"/>
      <w:lvlText w:val="•"/>
      <w:lvlJc w:val="left"/>
      <w:pPr>
        <w:ind w:left="1140" w:hanging="720"/>
      </w:pPr>
      <w:rPr>
        <w:rFonts w:hint="default"/>
      </w:rPr>
    </w:lvl>
    <w:lvl w:ilvl="2">
      <w:numFmt w:val="bullet"/>
      <w:lvlText w:val="•"/>
      <w:lvlJc w:val="left"/>
      <w:pPr>
        <w:ind w:left="2160" w:hanging="720"/>
      </w:pPr>
      <w:rPr>
        <w:rFonts w:hint="default"/>
      </w:rPr>
    </w:lvl>
    <w:lvl w:ilvl="3">
      <w:numFmt w:val="bullet"/>
      <w:lvlText w:val="•"/>
      <w:lvlJc w:val="left"/>
      <w:pPr>
        <w:ind w:left="3180" w:hanging="720"/>
      </w:pPr>
      <w:rPr>
        <w:rFonts w:hint="default"/>
      </w:rPr>
    </w:lvl>
    <w:lvl w:ilvl="4">
      <w:numFmt w:val="bullet"/>
      <w:lvlText w:val="•"/>
      <w:lvlJc w:val="left"/>
      <w:pPr>
        <w:ind w:left="4200" w:hanging="720"/>
      </w:pPr>
      <w:rPr>
        <w:rFonts w:hint="default"/>
      </w:rPr>
    </w:lvl>
    <w:lvl w:ilvl="5">
      <w:numFmt w:val="bullet"/>
      <w:lvlText w:val="•"/>
      <w:lvlJc w:val="left"/>
      <w:pPr>
        <w:ind w:left="5220" w:hanging="720"/>
      </w:pPr>
      <w:rPr>
        <w:rFonts w:hint="default"/>
      </w:rPr>
    </w:lvl>
    <w:lvl w:ilvl="6">
      <w:numFmt w:val="bullet"/>
      <w:lvlText w:val="•"/>
      <w:lvlJc w:val="left"/>
      <w:pPr>
        <w:ind w:left="6240" w:hanging="720"/>
      </w:pPr>
      <w:rPr>
        <w:rFonts w:hint="default"/>
      </w:rPr>
    </w:lvl>
    <w:lvl w:ilvl="7">
      <w:numFmt w:val="bullet"/>
      <w:lvlText w:val="•"/>
      <w:lvlJc w:val="left"/>
      <w:pPr>
        <w:ind w:left="7260" w:hanging="720"/>
      </w:pPr>
      <w:rPr>
        <w:rFonts w:hint="default"/>
      </w:rPr>
    </w:lvl>
    <w:lvl w:ilvl="8">
      <w:numFmt w:val="bullet"/>
      <w:lvlText w:val="•"/>
      <w:lvlJc w:val="left"/>
      <w:pPr>
        <w:ind w:left="8280" w:hanging="720"/>
      </w:pPr>
      <w:rPr>
        <w:rFonts w:hint="default"/>
      </w:rPr>
    </w:lvl>
  </w:abstractNum>
  <w:abstractNum w:abstractNumId="1" w15:restartNumberingAfterBreak="0">
    <w:nsid w:val="08B66128"/>
    <w:multiLevelType w:val="hybridMultilevel"/>
    <w:tmpl w:val="252C7E9E"/>
    <w:lvl w:ilvl="0" w:tplc="17DCDC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C3CDE"/>
    <w:multiLevelType w:val="hybridMultilevel"/>
    <w:tmpl w:val="1310B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B1FD3"/>
    <w:multiLevelType w:val="hybridMultilevel"/>
    <w:tmpl w:val="C82839E8"/>
    <w:lvl w:ilvl="0" w:tplc="1AF214BC">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CD6BBA"/>
    <w:multiLevelType w:val="hybridMultilevel"/>
    <w:tmpl w:val="2E4215D6"/>
    <w:lvl w:ilvl="0" w:tplc="2D9AFB90">
      <w:start w:val="1"/>
      <w:numFmt w:val="decimal"/>
      <w:lvlText w:val="%1)"/>
      <w:lvlJc w:val="left"/>
      <w:pPr>
        <w:ind w:left="1020" w:hanging="360"/>
      </w:pPr>
    </w:lvl>
    <w:lvl w:ilvl="1" w:tplc="5A365896">
      <w:start w:val="1"/>
      <w:numFmt w:val="decimal"/>
      <w:lvlText w:val="%2)"/>
      <w:lvlJc w:val="left"/>
      <w:pPr>
        <w:ind w:left="1020" w:hanging="360"/>
      </w:pPr>
    </w:lvl>
    <w:lvl w:ilvl="2" w:tplc="C7CA4A00">
      <w:start w:val="1"/>
      <w:numFmt w:val="decimal"/>
      <w:lvlText w:val="%3)"/>
      <w:lvlJc w:val="left"/>
      <w:pPr>
        <w:ind w:left="1020" w:hanging="360"/>
      </w:pPr>
    </w:lvl>
    <w:lvl w:ilvl="3" w:tplc="3542723A">
      <w:start w:val="1"/>
      <w:numFmt w:val="decimal"/>
      <w:lvlText w:val="%4)"/>
      <w:lvlJc w:val="left"/>
      <w:pPr>
        <w:ind w:left="1020" w:hanging="360"/>
      </w:pPr>
    </w:lvl>
    <w:lvl w:ilvl="4" w:tplc="A1EA1E0C">
      <w:start w:val="1"/>
      <w:numFmt w:val="decimal"/>
      <w:lvlText w:val="%5)"/>
      <w:lvlJc w:val="left"/>
      <w:pPr>
        <w:ind w:left="1020" w:hanging="360"/>
      </w:pPr>
    </w:lvl>
    <w:lvl w:ilvl="5" w:tplc="12E4FE20">
      <w:start w:val="1"/>
      <w:numFmt w:val="decimal"/>
      <w:lvlText w:val="%6)"/>
      <w:lvlJc w:val="left"/>
      <w:pPr>
        <w:ind w:left="1020" w:hanging="360"/>
      </w:pPr>
    </w:lvl>
    <w:lvl w:ilvl="6" w:tplc="A1E66916">
      <w:start w:val="1"/>
      <w:numFmt w:val="decimal"/>
      <w:lvlText w:val="%7)"/>
      <w:lvlJc w:val="left"/>
      <w:pPr>
        <w:ind w:left="1020" w:hanging="360"/>
      </w:pPr>
    </w:lvl>
    <w:lvl w:ilvl="7" w:tplc="1232535C">
      <w:start w:val="1"/>
      <w:numFmt w:val="decimal"/>
      <w:lvlText w:val="%8)"/>
      <w:lvlJc w:val="left"/>
      <w:pPr>
        <w:ind w:left="1020" w:hanging="360"/>
      </w:pPr>
    </w:lvl>
    <w:lvl w:ilvl="8" w:tplc="540E0526">
      <w:start w:val="1"/>
      <w:numFmt w:val="decimal"/>
      <w:lvlText w:val="%9)"/>
      <w:lvlJc w:val="left"/>
      <w:pPr>
        <w:ind w:left="1020" w:hanging="360"/>
      </w:pPr>
    </w:lvl>
  </w:abstractNum>
  <w:abstractNum w:abstractNumId="5" w15:restartNumberingAfterBreak="0">
    <w:nsid w:val="3BD642B9"/>
    <w:multiLevelType w:val="hybridMultilevel"/>
    <w:tmpl w:val="F27C17B2"/>
    <w:lvl w:ilvl="0" w:tplc="67767DA6">
      <w:start w:val="1"/>
      <w:numFmt w:val="decimal"/>
      <w:lvlText w:val="%1)"/>
      <w:lvlJc w:val="left"/>
      <w:pPr>
        <w:ind w:left="1020" w:hanging="360"/>
      </w:pPr>
    </w:lvl>
    <w:lvl w:ilvl="1" w:tplc="EE8041B6">
      <w:start w:val="1"/>
      <w:numFmt w:val="decimal"/>
      <w:lvlText w:val="%2)"/>
      <w:lvlJc w:val="left"/>
      <w:pPr>
        <w:ind w:left="1020" w:hanging="360"/>
      </w:pPr>
    </w:lvl>
    <w:lvl w:ilvl="2" w:tplc="5D7CF542">
      <w:start w:val="1"/>
      <w:numFmt w:val="decimal"/>
      <w:lvlText w:val="%3)"/>
      <w:lvlJc w:val="left"/>
      <w:pPr>
        <w:ind w:left="1020" w:hanging="360"/>
      </w:pPr>
    </w:lvl>
    <w:lvl w:ilvl="3" w:tplc="9C0C0BA8">
      <w:start w:val="1"/>
      <w:numFmt w:val="decimal"/>
      <w:lvlText w:val="%4)"/>
      <w:lvlJc w:val="left"/>
      <w:pPr>
        <w:ind w:left="1020" w:hanging="360"/>
      </w:pPr>
    </w:lvl>
    <w:lvl w:ilvl="4" w:tplc="8B3E75C2">
      <w:start w:val="1"/>
      <w:numFmt w:val="decimal"/>
      <w:lvlText w:val="%5)"/>
      <w:lvlJc w:val="left"/>
      <w:pPr>
        <w:ind w:left="1020" w:hanging="360"/>
      </w:pPr>
    </w:lvl>
    <w:lvl w:ilvl="5" w:tplc="FAE6043C">
      <w:start w:val="1"/>
      <w:numFmt w:val="decimal"/>
      <w:lvlText w:val="%6)"/>
      <w:lvlJc w:val="left"/>
      <w:pPr>
        <w:ind w:left="1020" w:hanging="360"/>
      </w:pPr>
    </w:lvl>
    <w:lvl w:ilvl="6" w:tplc="AB80DB2C">
      <w:start w:val="1"/>
      <w:numFmt w:val="decimal"/>
      <w:lvlText w:val="%7)"/>
      <w:lvlJc w:val="left"/>
      <w:pPr>
        <w:ind w:left="1020" w:hanging="360"/>
      </w:pPr>
    </w:lvl>
    <w:lvl w:ilvl="7" w:tplc="B9D6BAF6">
      <w:start w:val="1"/>
      <w:numFmt w:val="decimal"/>
      <w:lvlText w:val="%8)"/>
      <w:lvlJc w:val="left"/>
      <w:pPr>
        <w:ind w:left="1020" w:hanging="360"/>
      </w:pPr>
    </w:lvl>
    <w:lvl w:ilvl="8" w:tplc="E4BA4D7A">
      <w:start w:val="1"/>
      <w:numFmt w:val="decimal"/>
      <w:lvlText w:val="%9)"/>
      <w:lvlJc w:val="left"/>
      <w:pPr>
        <w:ind w:left="1020" w:hanging="360"/>
      </w:pPr>
    </w:lvl>
  </w:abstractNum>
  <w:abstractNum w:abstractNumId="6" w15:restartNumberingAfterBreak="0">
    <w:nsid w:val="4FB4663F"/>
    <w:multiLevelType w:val="hybridMultilevel"/>
    <w:tmpl w:val="AA1EAAB0"/>
    <w:lvl w:ilvl="0" w:tplc="0409000F">
      <w:start w:val="2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2315D8D"/>
    <w:multiLevelType w:val="hybridMultilevel"/>
    <w:tmpl w:val="475A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475CC"/>
    <w:multiLevelType w:val="hybridMultilevel"/>
    <w:tmpl w:val="F19C8570"/>
    <w:lvl w:ilvl="0" w:tplc="AD4E3000">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41743"/>
    <w:multiLevelType w:val="hybridMultilevel"/>
    <w:tmpl w:val="E92E18FA"/>
    <w:lvl w:ilvl="0" w:tplc="9FC0025A">
      <w:start w:val="1"/>
      <w:numFmt w:val="upperLetter"/>
      <w:lvlText w:val="%1."/>
      <w:lvlJc w:val="left"/>
      <w:pPr>
        <w:ind w:left="795" w:hanging="435"/>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C91F9E"/>
    <w:multiLevelType w:val="hybridMultilevel"/>
    <w:tmpl w:val="580E8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CB0BF5"/>
    <w:multiLevelType w:val="hybridMultilevel"/>
    <w:tmpl w:val="899CA488"/>
    <w:lvl w:ilvl="0" w:tplc="52B095C0">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840774">
    <w:abstractNumId w:val="0"/>
  </w:num>
  <w:num w:numId="2" w16cid:durableId="608046387">
    <w:abstractNumId w:val="8"/>
  </w:num>
  <w:num w:numId="3" w16cid:durableId="265504324">
    <w:abstractNumId w:val="9"/>
  </w:num>
  <w:num w:numId="4" w16cid:durableId="1734498314">
    <w:abstractNumId w:val="2"/>
  </w:num>
  <w:num w:numId="5" w16cid:durableId="1720474195">
    <w:abstractNumId w:val="4"/>
  </w:num>
  <w:num w:numId="6" w16cid:durableId="1715156134">
    <w:abstractNumId w:val="5"/>
  </w:num>
  <w:num w:numId="7" w16cid:durableId="1293369800">
    <w:abstractNumId w:val="7"/>
  </w:num>
  <w:num w:numId="8" w16cid:durableId="433980389">
    <w:abstractNumId w:val="3"/>
  </w:num>
  <w:num w:numId="9" w16cid:durableId="1941140074">
    <w:abstractNumId w:val="11"/>
  </w:num>
  <w:num w:numId="10" w16cid:durableId="2010594479">
    <w:abstractNumId w:val="6"/>
  </w:num>
  <w:num w:numId="11" w16cid:durableId="582682243">
    <w:abstractNumId w:val="10"/>
  </w:num>
  <w:num w:numId="12" w16cid:durableId="51172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C7"/>
    <w:rsid w:val="000005A5"/>
    <w:rsid w:val="00000D48"/>
    <w:rsid w:val="0000161B"/>
    <w:rsid w:val="00001D95"/>
    <w:rsid w:val="00002394"/>
    <w:rsid w:val="00004E43"/>
    <w:rsid w:val="00005457"/>
    <w:rsid w:val="000057FD"/>
    <w:rsid w:val="0001045F"/>
    <w:rsid w:val="00010C73"/>
    <w:rsid w:val="00011F07"/>
    <w:rsid w:val="00013848"/>
    <w:rsid w:val="00015134"/>
    <w:rsid w:val="00015E97"/>
    <w:rsid w:val="00017D82"/>
    <w:rsid w:val="00017E47"/>
    <w:rsid w:val="00020815"/>
    <w:rsid w:val="0002245A"/>
    <w:rsid w:val="00024C25"/>
    <w:rsid w:val="00025190"/>
    <w:rsid w:val="00025337"/>
    <w:rsid w:val="000259E1"/>
    <w:rsid w:val="00030DF4"/>
    <w:rsid w:val="00032D8C"/>
    <w:rsid w:val="00032F09"/>
    <w:rsid w:val="000341F3"/>
    <w:rsid w:val="00035840"/>
    <w:rsid w:val="00043131"/>
    <w:rsid w:val="00045451"/>
    <w:rsid w:val="00047732"/>
    <w:rsid w:val="00050990"/>
    <w:rsid w:val="000514F2"/>
    <w:rsid w:val="000537AD"/>
    <w:rsid w:val="000544D2"/>
    <w:rsid w:val="00055D15"/>
    <w:rsid w:val="00057ECB"/>
    <w:rsid w:val="00060148"/>
    <w:rsid w:val="000609B0"/>
    <w:rsid w:val="0006139A"/>
    <w:rsid w:val="0006267F"/>
    <w:rsid w:val="00063330"/>
    <w:rsid w:val="0006350E"/>
    <w:rsid w:val="00064639"/>
    <w:rsid w:val="000651DB"/>
    <w:rsid w:val="00065C81"/>
    <w:rsid w:val="0006714E"/>
    <w:rsid w:val="00067D53"/>
    <w:rsid w:val="000701D4"/>
    <w:rsid w:val="00070F5A"/>
    <w:rsid w:val="00071400"/>
    <w:rsid w:val="00071419"/>
    <w:rsid w:val="00074FFE"/>
    <w:rsid w:val="00075F87"/>
    <w:rsid w:val="0007636C"/>
    <w:rsid w:val="00077292"/>
    <w:rsid w:val="0007756F"/>
    <w:rsid w:val="000801FA"/>
    <w:rsid w:val="0008073C"/>
    <w:rsid w:val="00081A6E"/>
    <w:rsid w:val="00084C30"/>
    <w:rsid w:val="0008509D"/>
    <w:rsid w:val="00086F23"/>
    <w:rsid w:val="00091660"/>
    <w:rsid w:val="00091F4E"/>
    <w:rsid w:val="000927A0"/>
    <w:rsid w:val="0009317C"/>
    <w:rsid w:val="00095310"/>
    <w:rsid w:val="00095793"/>
    <w:rsid w:val="000976D0"/>
    <w:rsid w:val="000A0A67"/>
    <w:rsid w:val="000A1338"/>
    <w:rsid w:val="000A2958"/>
    <w:rsid w:val="000A5D05"/>
    <w:rsid w:val="000A644B"/>
    <w:rsid w:val="000A6CF1"/>
    <w:rsid w:val="000A6DD7"/>
    <w:rsid w:val="000A761A"/>
    <w:rsid w:val="000B06C3"/>
    <w:rsid w:val="000B1EC9"/>
    <w:rsid w:val="000B3DEC"/>
    <w:rsid w:val="000B44B3"/>
    <w:rsid w:val="000B46C6"/>
    <w:rsid w:val="000B50BB"/>
    <w:rsid w:val="000B7822"/>
    <w:rsid w:val="000C0070"/>
    <w:rsid w:val="000C0C77"/>
    <w:rsid w:val="000C0E98"/>
    <w:rsid w:val="000C1211"/>
    <w:rsid w:val="000C3D4D"/>
    <w:rsid w:val="000C495B"/>
    <w:rsid w:val="000C4F84"/>
    <w:rsid w:val="000C54E6"/>
    <w:rsid w:val="000C7024"/>
    <w:rsid w:val="000C7D78"/>
    <w:rsid w:val="000D050E"/>
    <w:rsid w:val="000D1132"/>
    <w:rsid w:val="000D35A8"/>
    <w:rsid w:val="000D47BD"/>
    <w:rsid w:val="000D4FED"/>
    <w:rsid w:val="000D72A3"/>
    <w:rsid w:val="000D7780"/>
    <w:rsid w:val="000E0B6A"/>
    <w:rsid w:val="000E1090"/>
    <w:rsid w:val="000E245A"/>
    <w:rsid w:val="000E2599"/>
    <w:rsid w:val="000E2928"/>
    <w:rsid w:val="000E2E2A"/>
    <w:rsid w:val="000E37A3"/>
    <w:rsid w:val="000E43E7"/>
    <w:rsid w:val="000E5D5C"/>
    <w:rsid w:val="000E75C7"/>
    <w:rsid w:val="000F1E1F"/>
    <w:rsid w:val="000F2226"/>
    <w:rsid w:val="000F2A2E"/>
    <w:rsid w:val="000F5A56"/>
    <w:rsid w:val="000F61F7"/>
    <w:rsid w:val="000F7BC5"/>
    <w:rsid w:val="00100318"/>
    <w:rsid w:val="00100993"/>
    <w:rsid w:val="001017E6"/>
    <w:rsid w:val="00101E36"/>
    <w:rsid w:val="00102012"/>
    <w:rsid w:val="00103460"/>
    <w:rsid w:val="0010405C"/>
    <w:rsid w:val="0010455D"/>
    <w:rsid w:val="00105BFF"/>
    <w:rsid w:val="001072C0"/>
    <w:rsid w:val="00107951"/>
    <w:rsid w:val="001132DA"/>
    <w:rsid w:val="001160B2"/>
    <w:rsid w:val="00116BE7"/>
    <w:rsid w:val="00116BEA"/>
    <w:rsid w:val="0011737D"/>
    <w:rsid w:val="00117D72"/>
    <w:rsid w:val="00117FC2"/>
    <w:rsid w:val="001200C8"/>
    <w:rsid w:val="00120FF9"/>
    <w:rsid w:val="0012110E"/>
    <w:rsid w:val="00122B99"/>
    <w:rsid w:val="001269F7"/>
    <w:rsid w:val="00127B87"/>
    <w:rsid w:val="00127BE8"/>
    <w:rsid w:val="00131214"/>
    <w:rsid w:val="00132174"/>
    <w:rsid w:val="001331A1"/>
    <w:rsid w:val="001331D6"/>
    <w:rsid w:val="00133514"/>
    <w:rsid w:val="00134CB9"/>
    <w:rsid w:val="00134EEA"/>
    <w:rsid w:val="00140A44"/>
    <w:rsid w:val="0014315B"/>
    <w:rsid w:val="0014415A"/>
    <w:rsid w:val="001449BA"/>
    <w:rsid w:val="001458FF"/>
    <w:rsid w:val="00147101"/>
    <w:rsid w:val="00147AD2"/>
    <w:rsid w:val="00147B69"/>
    <w:rsid w:val="00150329"/>
    <w:rsid w:val="00151C01"/>
    <w:rsid w:val="0015238A"/>
    <w:rsid w:val="00156B2F"/>
    <w:rsid w:val="0015766C"/>
    <w:rsid w:val="00161211"/>
    <w:rsid w:val="00164218"/>
    <w:rsid w:val="0016458C"/>
    <w:rsid w:val="00164965"/>
    <w:rsid w:val="001660B0"/>
    <w:rsid w:val="00173AC4"/>
    <w:rsid w:val="0017702E"/>
    <w:rsid w:val="00177729"/>
    <w:rsid w:val="00180793"/>
    <w:rsid w:val="00180FEA"/>
    <w:rsid w:val="00185F40"/>
    <w:rsid w:val="00187875"/>
    <w:rsid w:val="001907B3"/>
    <w:rsid w:val="00191197"/>
    <w:rsid w:val="00191D6A"/>
    <w:rsid w:val="00191E1F"/>
    <w:rsid w:val="00192161"/>
    <w:rsid w:val="00193F66"/>
    <w:rsid w:val="00196AF3"/>
    <w:rsid w:val="00196B9F"/>
    <w:rsid w:val="00196D6A"/>
    <w:rsid w:val="001A0AFE"/>
    <w:rsid w:val="001A2190"/>
    <w:rsid w:val="001A2C8F"/>
    <w:rsid w:val="001A5A02"/>
    <w:rsid w:val="001B034D"/>
    <w:rsid w:val="001B0FF7"/>
    <w:rsid w:val="001B170D"/>
    <w:rsid w:val="001B4FFE"/>
    <w:rsid w:val="001B6E62"/>
    <w:rsid w:val="001B7661"/>
    <w:rsid w:val="001C37F2"/>
    <w:rsid w:val="001C471C"/>
    <w:rsid w:val="001C5099"/>
    <w:rsid w:val="001C58A9"/>
    <w:rsid w:val="001C5F3D"/>
    <w:rsid w:val="001C61E0"/>
    <w:rsid w:val="001C704A"/>
    <w:rsid w:val="001C710B"/>
    <w:rsid w:val="001C7570"/>
    <w:rsid w:val="001D18DB"/>
    <w:rsid w:val="001D1AF0"/>
    <w:rsid w:val="001D4B2C"/>
    <w:rsid w:val="001D50F7"/>
    <w:rsid w:val="001D5461"/>
    <w:rsid w:val="001D7568"/>
    <w:rsid w:val="001D77D6"/>
    <w:rsid w:val="001E1E02"/>
    <w:rsid w:val="001E47EE"/>
    <w:rsid w:val="001E5E26"/>
    <w:rsid w:val="001E5E64"/>
    <w:rsid w:val="001E6E4C"/>
    <w:rsid w:val="001E7252"/>
    <w:rsid w:val="001F0E62"/>
    <w:rsid w:val="001F22FD"/>
    <w:rsid w:val="001F2531"/>
    <w:rsid w:val="001F31B0"/>
    <w:rsid w:val="001F352E"/>
    <w:rsid w:val="001F451A"/>
    <w:rsid w:val="001F6919"/>
    <w:rsid w:val="00200098"/>
    <w:rsid w:val="0020036B"/>
    <w:rsid w:val="0020303E"/>
    <w:rsid w:val="00203753"/>
    <w:rsid w:val="00203E8B"/>
    <w:rsid w:val="00203E91"/>
    <w:rsid w:val="002044B7"/>
    <w:rsid w:val="002051E1"/>
    <w:rsid w:val="0020548B"/>
    <w:rsid w:val="00205986"/>
    <w:rsid w:val="00207B50"/>
    <w:rsid w:val="00213080"/>
    <w:rsid w:val="00213E89"/>
    <w:rsid w:val="00214775"/>
    <w:rsid w:val="002150CF"/>
    <w:rsid w:val="002158F7"/>
    <w:rsid w:val="0022122A"/>
    <w:rsid w:val="002237C8"/>
    <w:rsid w:val="0022406D"/>
    <w:rsid w:val="00224AA5"/>
    <w:rsid w:val="00225170"/>
    <w:rsid w:val="00225B08"/>
    <w:rsid w:val="00225B17"/>
    <w:rsid w:val="00226C15"/>
    <w:rsid w:val="00230C1A"/>
    <w:rsid w:val="002317AD"/>
    <w:rsid w:val="002324AB"/>
    <w:rsid w:val="00232609"/>
    <w:rsid w:val="0023577B"/>
    <w:rsid w:val="00236D6D"/>
    <w:rsid w:val="002375D0"/>
    <w:rsid w:val="00240A78"/>
    <w:rsid w:val="002426E9"/>
    <w:rsid w:val="0024277E"/>
    <w:rsid w:val="002444E1"/>
    <w:rsid w:val="002449C8"/>
    <w:rsid w:val="0024569A"/>
    <w:rsid w:val="00246362"/>
    <w:rsid w:val="002468A5"/>
    <w:rsid w:val="00250FB4"/>
    <w:rsid w:val="00251A77"/>
    <w:rsid w:val="00252A8C"/>
    <w:rsid w:val="00253C77"/>
    <w:rsid w:val="00254980"/>
    <w:rsid w:val="00254B2D"/>
    <w:rsid w:val="00254B5C"/>
    <w:rsid w:val="00254C6C"/>
    <w:rsid w:val="00255266"/>
    <w:rsid w:val="00255A24"/>
    <w:rsid w:val="00256F06"/>
    <w:rsid w:val="00256F68"/>
    <w:rsid w:val="00257359"/>
    <w:rsid w:val="0025764E"/>
    <w:rsid w:val="00257E9A"/>
    <w:rsid w:val="002624E6"/>
    <w:rsid w:val="00264AAA"/>
    <w:rsid w:val="00266596"/>
    <w:rsid w:val="00271E6B"/>
    <w:rsid w:val="00273E64"/>
    <w:rsid w:val="00274AB1"/>
    <w:rsid w:val="0027733F"/>
    <w:rsid w:val="00277F1A"/>
    <w:rsid w:val="0028127C"/>
    <w:rsid w:val="0028144F"/>
    <w:rsid w:val="00281646"/>
    <w:rsid w:val="002820FA"/>
    <w:rsid w:val="002822C9"/>
    <w:rsid w:val="00282AC5"/>
    <w:rsid w:val="0028770A"/>
    <w:rsid w:val="002878DD"/>
    <w:rsid w:val="00290D68"/>
    <w:rsid w:val="00290F95"/>
    <w:rsid w:val="00293B9A"/>
    <w:rsid w:val="00294B25"/>
    <w:rsid w:val="00295AEC"/>
    <w:rsid w:val="002960DC"/>
    <w:rsid w:val="00297687"/>
    <w:rsid w:val="002A115E"/>
    <w:rsid w:val="002A1D6D"/>
    <w:rsid w:val="002A2D9F"/>
    <w:rsid w:val="002A3D93"/>
    <w:rsid w:val="002A45F7"/>
    <w:rsid w:val="002B0FF7"/>
    <w:rsid w:val="002B1263"/>
    <w:rsid w:val="002B1FAF"/>
    <w:rsid w:val="002B397C"/>
    <w:rsid w:val="002B517A"/>
    <w:rsid w:val="002B62A2"/>
    <w:rsid w:val="002B6CCB"/>
    <w:rsid w:val="002B744A"/>
    <w:rsid w:val="002C0AF0"/>
    <w:rsid w:val="002C234C"/>
    <w:rsid w:val="002C294F"/>
    <w:rsid w:val="002C40DC"/>
    <w:rsid w:val="002C4EA3"/>
    <w:rsid w:val="002C5830"/>
    <w:rsid w:val="002C5BB5"/>
    <w:rsid w:val="002C68CC"/>
    <w:rsid w:val="002C7A5F"/>
    <w:rsid w:val="002C7DC4"/>
    <w:rsid w:val="002D0642"/>
    <w:rsid w:val="002D0BB0"/>
    <w:rsid w:val="002D16AF"/>
    <w:rsid w:val="002D1A24"/>
    <w:rsid w:val="002D2EC4"/>
    <w:rsid w:val="002D3765"/>
    <w:rsid w:val="002D3DBF"/>
    <w:rsid w:val="002D4739"/>
    <w:rsid w:val="002D4D90"/>
    <w:rsid w:val="002D643C"/>
    <w:rsid w:val="002E2496"/>
    <w:rsid w:val="002E3886"/>
    <w:rsid w:val="002E3F6C"/>
    <w:rsid w:val="002E4D13"/>
    <w:rsid w:val="002E54DF"/>
    <w:rsid w:val="002E5564"/>
    <w:rsid w:val="002F35E1"/>
    <w:rsid w:val="002F662B"/>
    <w:rsid w:val="002F6711"/>
    <w:rsid w:val="002F6D85"/>
    <w:rsid w:val="002F73F9"/>
    <w:rsid w:val="002F7A36"/>
    <w:rsid w:val="002F7A82"/>
    <w:rsid w:val="00300037"/>
    <w:rsid w:val="00300FA7"/>
    <w:rsid w:val="0030247A"/>
    <w:rsid w:val="003066B1"/>
    <w:rsid w:val="00307029"/>
    <w:rsid w:val="00310741"/>
    <w:rsid w:val="0031077F"/>
    <w:rsid w:val="00310AC0"/>
    <w:rsid w:val="00311C70"/>
    <w:rsid w:val="00311FBF"/>
    <w:rsid w:val="00312DBD"/>
    <w:rsid w:val="00312E48"/>
    <w:rsid w:val="00313D68"/>
    <w:rsid w:val="003145CB"/>
    <w:rsid w:val="00314A0A"/>
    <w:rsid w:val="00315991"/>
    <w:rsid w:val="00316214"/>
    <w:rsid w:val="0031666E"/>
    <w:rsid w:val="00321BCF"/>
    <w:rsid w:val="0032201B"/>
    <w:rsid w:val="003229CA"/>
    <w:rsid w:val="00325724"/>
    <w:rsid w:val="00326580"/>
    <w:rsid w:val="0032765F"/>
    <w:rsid w:val="003314A9"/>
    <w:rsid w:val="003317A0"/>
    <w:rsid w:val="0033275F"/>
    <w:rsid w:val="003328FD"/>
    <w:rsid w:val="003333A8"/>
    <w:rsid w:val="0033615E"/>
    <w:rsid w:val="00336615"/>
    <w:rsid w:val="00340E13"/>
    <w:rsid w:val="00342A8E"/>
    <w:rsid w:val="00343520"/>
    <w:rsid w:val="00345C7A"/>
    <w:rsid w:val="00351155"/>
    <w:rsid w:val="00351906"/>
    <w:rsid w:val="00351C8A"/>
    <w:rsid w:val="003524B9"/>
    <w:rsid w:val="00352EB3"/>
    <w:rsid w:val="00352EF7"/>
    <w:rsid w:val="0035408E"/>
    <w:rsid w:val="00355273"/>
    <w:rsid w:val="003558E4"/>
    <w:rsid w:val="0035664B"/>
    <w:rsid w:val="003572FC"/>
    <w:rsid w:val="00362570"/>
    <w:rsid w:val="00362804"/>
    <w:rsid w:val="003633AB"/>
    <w:rsid w:val="00364FB6"/>
    <w:rsid w:val="00365684"/>
    <w:rsid w:val="00365FD8"/>
    <w:rsid w:val="003669F8"/>
    <w:rsid w:val="00366AA2"/>
    <w:rsid w:val="0036753D"/>
    <w:rsid w:val="00370EB8"/>
    <w:rsid w:val="003715F5"/>
    <w:rsid w:val="00371A8C"/>
    <w:rsid w:val="00372B37"/>
    <w:rsid w:val="00372DFD"/>
    <w:rsid w:val="00373686"/>
    <w:rsid w:val="00373844"/>
    <w:rsid w:val="00377E31"/>
    <w:rsid w:val="003802A3"/>
    <w:rsid w:val="00380396"/>
    <w:rsid w:val="00380519"/>
    <w:rsid w:val="0038073A"/>
    <w:rsid w:val="00381048"/>
    <w:rsid w:val="00381563"/>
    <w:rsid w:val="003818E6"/>
    <w:rsid w:val="00382907"/>
    <w:rsid w:val="003858C6"/>
    <w:rsid w:val="00391509"/>
    <w:rsid w:val="00393BF8"/>
    <w:rsid w:val="00394886"/>
    <w:rsid w:val="00394928"/>
    <w:rsid w:val="00394FE0"/>
    <w:rsid w:val="00395CD4"/>
    <w:rsid w:val="00395F6B"/>
    <w:rsid w:val="003A1630"/>
    <w:rsid w:val="003A1B81"/>
    <w:rsid w:val="003A23A4"/>
    <w:rsid w:val="003A2FD4"/>
    <w:rsid w:val="003A4231"/>
    <w:rsid w:val="003A750C"/>
    <w:rsid w:val="003A770C"/>
    <w:rsid w:val="003A7F6F"/>
    <w:rsid w:val="003B1B7D"/>
    <w:rsid w:val="003B259C"/>
    <w:rsid w:val="003B345B"/>
    <w:rsid w:val="003B3B82"/>
    <w:rsid w:val="003B70F0"/>
    <w:rsid w:val="003B7BEE"/>
    <w:rsid w:val="003C03B3"/>
    <w:rsid w:val="003C161A"/>
    <w:rsid w:val="003C23AF"/>
    <w:rsid w:val="003C2553"/>
    <w:rsid w:val="003C481E"/>
    <w:rsid w:val="003C64AC"/>
    <w:rsid w:val="003C6EC5"/>
    <w:rsid w:val="003D0802"/>
    <w:rsid w:val="003D2270"/>
    <w:rsid w:val="003D25B7"/>
    <w:rsid w:val="003D5B75"/>
    <w:rsid w:val="003D66BC"/>
    <w:rsid w:val="003D6DC4"/>
    <w:rsid w:val="003D77F2"/>
    <w:rsid w:val="003E039A"/>
    <w:rsid w:val="003E28C0"/>
    <w:rsid w:val="003E472E"/>
    <w:rsid w:val="003E5DB1"/>
    <w:rsid w:val="003E74B1"/>
    <w:rsid w:val="003F2625"/>
    <w:rsid w:val="003F5768"/>
    <w:rsid w:val="003F669F"/>
    <w:rsid w:val="00402D5B"/>
    <w:rsid w:val="004031F4"/>
    <w:rsid w:val="004050FD"/>
    <w:rsid w:val="00405B49"/>
    <w:rsid w:val="00412B64"/>
    <w:rsid w:val="004132EA"/>
    <w:rsid w:val="004135A7"/>
    <w:rsid w:val="00416E93"/>
    <w:rsid w:val="00417E76"/>
    <w:rsid w:val="004212C0"/>
    <w:rsid w:val="00422396"/>
    <w:rsid w:val="004229FE"/>
    <w:rsid w:val="0042359A"/>
    <w:rsid w:val="00424DBD"/>
    <w:rsid w:val="004251AC"/>
    <w:rsid w:val="00425BF5"/>
    <w:rsid w:val="00426623"/>
    <w:rsid w:val="0042762E"/>
    <w:rsid w:val="00431DCA"/>
    <w:rsid w:val="0043662B"/>
    <w:rsid w:val="00437300"/>
    <w:rsid w:val="0044139E"/>
    <w:rsid w:val="004416F1"/>
    <w:rsid w:val="004435D3"/>
    <w:rsid w:val="00443B4C"/>
    <w:rsid w:val="00443C45"/>
    <w:rsid w:val="00443D01"/>
    <w:rsid w:val="00443FEE"/>
    <w:rsid w:val="00444C45"/>
    <w:rsid w:val="00444F20"/>
    <w:rsid w:val="00450217"/>
    <w:rsid w:val="0045342B"/>
    <w:rsid w:val="0045481D"/>
    <w:rsid w:val="004551D7"/>
    <w:rsid w:val="00455D81"/>
    <w:rsid w:val="004561C9"/>
    <w:rsid w:val="004605F7"/>
    <w:rsid w:val="00461A63"/>
    <w:rsid w:val="0046280E"/>
    <w:rsid w:val="004630CB"/>
    <w:rsid w:val="00465737"/>
    <w:rsid w:val="00467F62"/>
    <w:rsid w:val="00470277"/>
    <w:rsid w:val="00470502"/>
    <w:rsid w:val="004712EC"/>
    <w:rsid w:val="00472AC5"/>
    <w:rsid w:val="00473E20"/>
    <w:rsid w:val="004762AE"/>
    <w:rsid w:val="00477FBA"/>
    <w:rsid w:val="00481CC3"/>
    <w:rsid w:val="004851CE"/>
    <w:rsid w:val="0048608D"/>
    <w:rsid w:val="004862DD"/>
    <w:rsid w:val="00486409"/>
    <w:rsid w:val="004865EE"/>
    <w:rsid w:val="00486E1D"/>
    <w:rsid w:val="00486F29"/>
    <w:rsid w:val="00487191"/>
    <w:rsid w:val="00494337"/>
    <w:rsid w:val="00494C2B"/>
    <w:rsid w:val="00494EA6"/>
    <w:rsid w:val="0049542F"/>
    <w:rsid w:val="00495CC9"/>
    <w:rsid w:val="004A1289"/>
    <w:rsid w:val="004A1C82"/>
    <w:rsid w:val="004A27A9"/>
    <w:rsid w:val="004A3A26"/>
    <w:rsid w:val="004A66E0"/>
    <w:rsid w:val="004A69F4"/>
    <w:rsid w:val="004A73F2"/>
    <w:rsid w:val="004B00E3"/>
    <w:rsid w:val="004B25E0"/>
    <w:rsid w:val="004B3251"/>
    <w:rsid w:val="004B37B9"/>
    <w:rsid w:val="004B5060"/>
    <w:rsid w:val="004B767F"/>
    <w:rsid w:val="004C0586"/>
    <w:rsid w:val="004C2B2B"/>
    <w:rsid w:val="004C42A6"/>
    <w:rsid w:val="004C42D2"/>
    <w:rsid w:val="004C59C7"/>
    <w:rsid w:val="004C6AE7"/>
    <w:rsid w:val="004C782D"/>
    <w:rsid w:val="004D0A42"/>
    <w:rsid w:val="004D1136"/>
    <w:rsid w:val="004D21B4"/>
    <w:rsid w:val="004D2618"/>
    <w:rsid w:val="004D70C8"/>
    <w:rsid w:val="004E2DC2"/>
    <w:rsid w:val="004E3F55"/>
    <w:rsid w:val="004E4366"/>
    <w:rsid w:val="004E52F7"/>
    <w:rsid w:val="004E7CCA"/>
    <w:rsid w:val="004F1108"/>
    <w:rsid w:val="004F1D48"/>
    <w:rsid w:val="004F3D5C"/>
    <w:rsid w:val="004F68DB"/>
    <w:rsid w:val="004F7628"/>
    <w:rsid w:val="00501C13"/>
    <w:rsid w:val="00504DFD"/>
    <w:rsid w:val="0050697E"/>
    <w:rsid w:val="00510FF8"/>
    <w:rsid w:val="005112AD"/>
    <w:rsid w:val="00514A64"/>
    <w:rsid w:val="00515BEC"/>
    <w:rsid w:val="005162AD"/>
    <w:rsid w:val="00516950"/>
    <w:rsid w:val="00516AAB"/>
    <w:rsid w:val="0052234A"/>
    <w:rsid w:val="00522401"/>
    <w:rsid w:val="005225C3"/>
    <w:rsid w:val="00522B33"/>
    <w:rsid w:val="005249E1"/>
    <w:rsid w:val="00525719"/>
    <w:rsid w:val="00525A45"/>
    <w:rsid w:val="0052754C"/>
    <w:rsid w:val="00527985"/>
    <w:rsid w:val="00530710"/>
    <w:rsid w:val="00530A24"/>
    <w:rsid w:val="00530A72"/>
    <w:rsid w:val="005322A2"/>
    <w:rsid w:val="005347FC"/>
    <w:rsid w:val="00535283"/>
    <w:rsid w:val="0053676B"/>
    <w:rsid w:val="00540D97"/>
    <w:rsid w:val="005411FF"/>
    <w:rsid w:val="00541972"/>
    <w:rsid w:val="00541A13"/>
    <w:rsid w:val="0054254F"/>
    <w:rsid w:val="00543F30"/>
    <w:rsid w:val="005461BD"/>
    <w:rsid w:val="00547018"/>
    <w:rsid w:val="0054777D"/>
    <w:rsid w:val="00552073"/>
    <w:rsid w:val="0055670A"/>
    <w:rsid w:val="00557025"/>
    <w:rsid w:val="00557863"/>
    <w:rsid w:val="005611E6"/>
    <w:rsid w:val="00561D82"/>
    <w:rsid w:val="0056248F"/>
    <w:rsid w:val="00563323"/>
    <w:rsid w:val="0056377D"/>
    <w:rsid w:val="00563B87"/>
    <w:rsid w:val="0056485D"/>
    <w:rsid w:val="005666B5"/>
    <w:rsid w:val="00566783"/>
    <w:rsid w:val="00575757"/>
    <w:rsid w:val="00575AAF"/>
    <w:rsid w:val="00575B17"/>
    <w:rsid w:val="00577460"/>
    <w:rsid w:val="00582098"/>
    <w:rsid w:val="00582152"/>
    <w:rsid w:val="0058353D"/>
    <w:rsid w:val="00586E99"/>
    <w:rsid w:val="00587324"/>
    <w:rsid w:val="00587683"/>
    <w:rsid w:val="00592957"/>
    <w:rsid w:val="00595CC8"/>
    <w:rsid w:val="00597FD2"/>
    <w:rsid w:val="005A0149"/>
    <w:rsid w:val="005A029C"/>
    <w:rsid w:val="005A209A"/>
    <w:rsid w:val="005B0993"/>
    <w:rsid w:val="005B1328"/>
    <w:rsid w:val="005B187C"/>
    <w:rsid w:val="005B478C"/>
    <w:rsid w:val="005B4F6C"/>
    <w:rsid w:val="005C16A0"/>
    <w:rsid w:val="005C17B7"/>
    <w:rsid w:val="005C2FC6"/>
    <w:rsid w:val="005C4FC1"/>
    <w:rsid w:val="005C52C8"/>
    <w:rsid w:val="005C6D0D"/>
    <w:rsid w:val="005D0962"/>
    <w:rsid w:val="005D3FA4"/>
    <w:rsid w:val="005D44FC"/>
    <w:rsid w:val="005D4F1A"/>
    <w:rsid w:val="005D5D69"/>
    <w:rsid w:val="005E09D3"/>
    <w:rsid w:val="005E12B3"/>
    <w:rsid w:val="005E1B11"/>
    <w:rsid w:val="005E2097"/>
    <w:rsid w:val="005E2271"/>
    <w:rsid w:val="005E3374"/>
    <w:rsid w:val="005E381C"/>
    <w:rsid w:val="005E3E75"/>
    <w:rsid w:val="005F10AA"/>
    <w:rsid w:val="005F11E3"/>
    <w:rsid w:val="005F1E94"/>
    <w:rsid w:val="005F4484"/>
    <w:rsid w:val="005F77D2"/>
    <w:rsid w:val="0060054E"/>
    <w:rsid w:val="00601AD1"/>
    <w:rsid w:val="00604EB9"/>
    <w:rsid w:val="00605E6A"/>
    <w:rsid w:val="0060767C"/>
    <w:rsid w:val="00610779"/>
    <w:rsid w:val="00611283"/>
    <w:rsid w:val="006125A6"/>
    <w:rsid w:val="0061280F"/>
    <w:rsid w:val="0061756B"/>
    <w:rsid w:val="00620B67"/>
    <w:rsid w:val="00621360"/>
    <w:rsid w:val="00621FC9"/>
    <w:rsid w:val="006258CF"/>
    <w:rsid w:val="00625E33"/>
    <w:rsid w:val="006273C5"/>
    <w:rsid w:val="00627CCB"/>
    <w:rsid w:val="00631910"/>
    <w:rsid w:val="006333FE"/>
    <w:rsid w:val="006342B1"/>
    <w:rsid w:val="00634554"/>
    <w:rsid w:val="00636394"/>
    <w:rsid w:val="00636558"/>
    <w:rsid w:val="006365EC"/>
    <w:rsid w:val="006368A4"/>
    <w:rsid w:val="00642087"/>
    <w:rsid w:val="00642252"/>
    <w:rsid w:val="00642A19"/>
    <w:rsid w:val="00643D2C"/>
    <w:rsid w:val="00643EC3"/>
    <w:rsid w:val="0064489E"/>
    <w:rsid w:val="00646458"/>
    <w:rsid w:val="0064708A"/>
    <w:rsid w:val="00651EE7"/>
    <w:rsid w:val="006524F7"/>
    <w:rsid w:val="0065281D"/>
    <w:rsid w:val="00653A3E"/>
    <w:rsid w:val="00654AEA"/>
    <w:rsid w:val="00654C30"/>
    <w:rsid w:val="0065532C"/>
    <w:rsid w:val="0065604E"/>
    <w:rsid w:val="00656158"/>
    <w:rsid w:val="00656F27"/>
    <w:rsid w:val="00657473"/>
    <w:rsid w:val="00657B9A"/>
    <w:rsid w:val="00657BBA"/>
    <w:rsid w:val="006604B9"/>
    <w:rsid w:val="00662D27"/>
    <w:rsid w:val="00662D95"/>
    <w:rsid w:val="00663282"/>
    <w:rsid w:val="006632F0"/>
    <w:rsid w:val="00663B14"/>
    <w:rsid w:val="006658C1"/>
    <w:rsid w:val="00666DA3"/>
    <w:rsid w:val="0066763B"/>
    <w:rsid w:val="00667F41"/>
    <w:rsid w:val="006717F5"/>
    <w:rsid w:val="00672E37"/>
    <w:rsid w:val="006730D6"/>
    <w:rsid w:val="00673692"/>
    <w:rsid w:val="00676006"/>
    <w:rsid w:val="006761D8"/>
    <w:rsid w:val="006761FC"/>
    <w:rsid w:val="0067744F"/>
    <w:rsid w:val="00681EF8"/>
    <w:rsid w:val="00682A8F"/>
    <w:rsid w:val="00682BF5"/>
    <w:rsid w:val="00682D78"/>
    <w:rsid w:val="00683FF1"/>
    <w:rsid w:val="00684B74"/>
    <w:rsid w:val="006865FD"/>
    <w:rsid w:val="0068699C"/>
    <w:rsid w:val="00686C63"/>
    <w:rsid w:val="0068700B"/>
    <w:rsid w:val="00687247"/>
    <w:rsid w:val="00690A5C"/>
    <w:rsid w:val="006926C8"/>
    <w:rsid w:val="00693F0B"/>
    <w:rsid w:val="00693F17"/>
    <w:rsid w:val="00696AA7"/>
    <w:rsid w:val="006A223C"/>
    <w:rsid w:val="006A2BC5"/>
    <w:rsid w:val="006A30CC"/>
    <w:rsid w:val="006A5DD0"/>
    <w:rsid w:val="006A72D1"/>
    <w:rsid w:val="006B25ED"/>
    <w:rsid w:val="006B59B4"/>
    <w:rsid w:val="006B6D7F"/>
    <w:rsid w:val="006B715F"/>
    <w:rsid w:val="006B74C7"/>
    <w:rsid w:val="006B7679"/>
    <w:rsid w:val="006C0CF8"/>
    <w:rsid w:val="006C26F0"/>
    <w:rsid w:val="006C2AD1"/>
    <w:rsid w:val="006C39C9"/>
    <w:rsid w:val="006C505E"/>
    <w:rsid w:val="006C67A7"/>
    <w:rsid w:val="006D01DC"/>
    <w:rsid w:val="006D3D04"/>
    <w:rsid w:val="006D4418"/>
    <w:rsid w:val="006D4A6F"/>
    <w:rsid w:val="006D661A"/>
    <w:rsid w:val="006D6CA7"/>
    <w:rsid w:val="006D750A"/>
    <w:rsid w:val="006D7A57"/>
    <w:rsid w:val="006E10A7"/>
    <w:rsid w:val="006E122D"/>
    <w:rsid w:val="006E2894"/>
    <w:rsid w:val="006E3672"/>
    <w:rsid w:val="006E3BCE"/>
    <w:rsid w:val="006E7C27"/>
    <w:rsid w:val="006F14E4"/>
    <w:rsid w:val="006F2979"/>
    <w:rsid w:val="006F2B81"/>
    <w:rsid w:val="006F2E59"/>
    <w:rsid w:val="006F47A2"/>
    <w:rsid w:val="007005F3"/>
    <w:rsid w:val="00701D6E"/>
    <w:rsid w:val="00702BEB"/>
    <w:rsid w:val="0070366F"/>
    <w:rsid w:val="00704262"/>
    <w:rsid w:val="007066AC"/>
    <w:rsid w:val="007103E6"/>
    <w:rsid w:val="007135DD"/>
    <w:rsid w:val="00713F8D"/>
    <w:rsid w:val="0071407E"/>
    <w:rsid w:val="00714367"/>
    <w:rsid w:val="0071453C"/>
    <w:rsid w:val="00715A35"/>
    <w:rsid w:val="00715C11"/>
    <w:rsid w:val="0071697F"/>
    <w:rsid w:val="007202F8"/>
    <w:rsid w:val="007211FF"/>
    <w:rsid w:val="00721AE6"/>
    <w:rsid w:val="00721B48"/>
    <w:rsid w:val="007235E2"/>
    <w:rsid w:val="00725096"/>
    <w:rsid w:val="00725C3E"/>
    <w:rsid w:val="00725C47"/>
    <w:rsid w:val="00730088"/>
    <w:rsid w:val="007316FE"/>
    <w:rsid w:val="007335D3"/>
    <w:rsid w:val="007342C7"/>
    <w:rsid w:val="00734459"/>
    <w:rsid w:val="0073622C"/>
    <w:rsid w:val="00742199"/>
    <w:rsid w:val="0074278A"/>
    <w:rsid w:val="0074451B"/>
    <w:rsid w:val="00744EC2"/>
    <w:rsid w:val="00745F22"/>
    <w:rsid w:val="007460E9"/>
    <w:rsid w:val="00746E67"/>
    <w:rsid w:val="00747200"/>
    <w:rsid w:val="007477BB"/>
    <w:rsid w:val="007512D1"/>
    <w:rsid w:val="00753162"/>
    <w:rsid w:val="00753894"/>
    <w:rsid w:val="00753B42"/>
    <w:rsid w:val="00753E6B"/>
    <w:rsid w:val="00754414"/>
    <w:rsid w:val="0075471C"/>
    <w:rsid w:val="0075480D"/>
    <w:rsid w:val="00755741"/>
    <w:rsid w:val="00755F00"/>
    <w:rsid w:val="00762487"/>
    <w:rsid w:val="0076284B"/>
    <w:rsid w:val="00763093"/>
    <w:rsid w:val="00764B74"/>
    <w:rsid w:val="007678F3"/>
    <w:rsid w:val="00770C97"/>
    <w:rsid w:val="00771739"/>
    <w:rsid w:val="00771985"/>
    <w:rsid w:val="007722BC"/>
    <w:rsid w:val="00773A51"/>
    <w:rsid w:val="00773CF1"/>
    <w:rsid w:val="00774C25"/>
    <w:rsid w:val="007756C0"/>
    <w:rsid w:val="007766AF"/>
    <w:rsid w:val="00782650"/>
    <w:rsid w:val="00783453"/>
    <w:rsid w:val="00784E2D"/>
    <w:rsid w:val="007851A5"/>
    <w:rsid w:val="00786095"/>
    <w:rsid w:val="00787C57"/>
    <w:rsid w:val="00790458"/>
    <w:rsid w:val="00791FF6"/>
    <w:rsid w:val="00793D0F"/>
    <w:rsid w:val="00793F4B"/>
    <w:rsid w:val="007942BB"/>
    <w:rsid w:val="00795995"/>
    <w:rsid w:val="00796F66"/>
    <w:rsid w:val="00797D56"/>
    <w:rsid w:val="007A0B7E"/>
    <w:rsid w:val="007A0D4C"/>
    <w:rsid w:val="007A0F71"/>
    <w:rsid w:val="007A3A34"/>
    <w:rsid w:val="007A3B9E"/>
    <w:rsid w:val="007A71A3"/>
    <w:rsid w:val="007B09C7"/>
    <w:rsid w:val="007B1D32"/>
    <w:rsid w:val="007B25BB"/>
    <w:rsid w:val="007B44B1"/>
    <w:rsid w:val="007B5AA0"/>
    <w:rsid w:val="007B5CBE"/>
    <w:rsid w:val="007B6877"/>
    <w:rsid w:val="007B7520"/>
    <w:rsid w:val="007B7610"/>
    <w:rsid w:val="007C0D7B"/>
    <w:rsid w:val="007C2DDC"/>
    <w:rsid w:val="007C4BDC"/>
    <w:rsid w:val="007C63F8"/>
    <w:rsid w:val="007C674E"/>
    <w:rsid w:val="007D1073"/>
    <w:rsid w:val="007D2C7D"/>
    <w:rsid w:val="007D4DE9"/>
    <w:rsid w:val="007D5771"/>
    <w:rsid w:val="007D5AA5"/>
    <w:rsid w:val="007D5F38"/>
    <w:rsid w:val="007D608C"/>
    <w:rsid w:val="007D6211"/>
    <w:rsid w:val="007D7000"/>
    <w:rsid w:val="007D77D1"/>
    <w:rsid w:val="007D7D57"/>
    <w:rsid w:val="007E1B52"/>
    <w:rsid w:val="007E5BB7"/>
    <w:rsid w:val="007E6EC1"/>
    <w:rsid w:val="007E7490"/>
    <w:rsid w:val="007E773A"/>
    <w:rsid w:val="007E7C3E"/>
    <w:rsid w:val="007F00F2"/>
    <w:rsid w:val="007F010B"/>
    <w:rsid w:val="007F0836"/>
    <w:rsid w:val="007F09AA"/>
    <w:rsid w:val="007F1C6D"/>
    <w:rsid w:val="007F26C6"/>
    <w:rsid w:val="007F279D"/>
    <w:rsid w:val="007F2AE7"/>
    <w:rsid w:val="007F5EE7"/>
    <w:rsid w:val="007F619C"/>
    <w:rsid w:val="007F6226"/>
    <w:rsid w:val="007F69F9"/>
    <w:rsid w:val="007F6B4C"/>
    <w:rsid w:val="007F73CB"/>
    <w:rsid w:val="00801CCC"/>
    <w:rsid w:val="0080328D"/>
    <w:rsid w:val="0080379F"/>
    <w:rsid w:val="00804C67"/>
    <w:rsid w:val="00805266"/>
    <w:rsid w:val="00805845"/>
    <w:rsid w:val="00805B41"/>
    <w:rsid w:val="00806989"/>
    <w:rsid w:val="00807842"/>
    <w:rsid w:val="00810407"/>
    <w:rsid w:val="00811C63"/>
    <w:rsid w:val="00812461"/>
    <w:rsid w:val="0081357B"/>
    <w:rsid w:val="008221F3"/>
    <w:rsid w:val="0082304C"/>
    <w:rsid w:val="0082454A"/>
    <w:rsid w:val="008255F6"/>
    <w:rsid w:val="00825633"/>
    <w:rsid w:val="00827523"/>
    <w:rsid w:val="00833EA2"/>
    <w:rsid w:val="00833EEC"/>
    <w:rsid w:val="00834692"/>
    <w:rsid w:val="00834AAE"/>
    <w:rsid w:val="0083533F"/>
    <w:rsid w:val="00835A35"/>
    <w:rsid w:val="00836CE3"/>
    <w:rsid w:val="0084034A"/>
    <w:rsid w:val="008405A5"/>
    <w:rsid w:val="00840790"/>
    <w:rsid w:val="00840DA5"/>
    <w:rsid w:val="00841C1E"/>
    <w:rsid w:val="008420C7"/>
    <w:rsid w:val="008424DA"/>
    <w:rsid w:val="00842A24"/>
    <w:rsid w:val="00842ADA"/>
    <w:rsid w:val="00842E4D"/>
    <w:rsid w:val="00844B63"/>
    <w:rsid w:val="008529E0"/>
    <w:rsid w:val="00854BAE"/>
    <w:rsid w:val="00855456"/>
    <w:rsid w:val="00856729"/>
    <w:rsid w:val="0085730B"/>
    <w:rsid w:val="00857D2C"/>
    <w:rsid w:val="00857D9D"/>
    <w:rsid w:val="0086060F"/>
    <w:rsid w:val="008616FE"/>
    <w:rsid w:val="00861DB6"/>
    <w:rsid w:val="00867495"/>
    <w:rsid w:val="00867D18"/>
    <w:rsid w:val="008711D8"/>
    <w:rsid w:val="00871430"/>
    <w:rsid w:val="008725C9"/>
    <w:rsid w:val="008744D5"/>
    <w:rsid w:val="00876D3B"/>
    <w:rsid w:val="00876E3D"/>
    <w:rsid w:val="00877C11"/>
    <w:rsid w:val="00877C86"/>
    <w:rsid w:val="00881206"/>
    <w:rsid w:val="00884B10"/>
    <w:rsid w:val="00885528"/>
    <w:rsid w:val="008874B5"/>
    <w:rsid w:val="00887B9D"/>
    <w:rsid w:val="00887C4E"/>
    <w:rsid w:val="00891FD8"/>
    <w:rsid w:val="00893242"/>
    <w:rsid w:val="00894A7E"/>
    <w:rsid w:val="008A240C"/>
    <w:rsid w:val="008A4E62"/>
    <w:rsid w:val="008B47E8"/>
    <w:rsid w:val="008B5DB7"/>
    <w:rsid w:val="008B65BC"/>
    <w:rsid w:val="008B672E"/>
    <w:rsid w:val="008B6E40"/>
    <w:rsid w:val="008B7576"/>
    <w:rsid w:val="008C2068"/>
    <w:rsid w:val="008C2430"/>
    <w:rsid w:val="008C3758"/>
    <w:rsid w:val="008C69F3"/>
    <w:rsid w:val="008C7A47"/>
    <w:rsid w:val="008D01A5"/>
    <w:rsid w:val="008D2C5C"/>
    <w:rsid w:val="008D35E3"/>
    <w:rsid w:val="008D3637"/>
    <w:rsid w:val="008D367C"/>
    <w:rsid w:val="008D37C4"/>
    <w:rsid w:val="008D3F52"/>
    <w:rsid w:val="008D568F"/>
    <w:rsid w:val="008D7B2C"/>
    <w:rsid w:val="008E2A92"/>
    <w:rsid w:val="008E2B9E"/>
    <w:rsid w:val="008E2BB2"/>
    <w:rsid w:val="008E2F70"/>
    <w:rsid w:val="008E36B9"/>
    <w:rsid w:val="008E3CDF"/>
    <w:rsid w:val="008E46BC"/>
    <w:rsid w:val="008E4F82"/>
    <w:rsid w:val="008E4F83"/>
    <w:rsid w:val="008F16FF"/>
    <w:rsid w:val="008F3DB9"/>
    <w:rsid w:val="008F4162"/>
    <w:rsid w:val="008F4B3F"/>
    <w:rsid w:val="008F5504"/>
    <w:rsid w:val="00901EB2"/>
    <w:rsid w:val="0090786D"/>
    <w:rsid w:val="00910085"/>
    <w:rsid w:val="0091031F"/>
    <w:rsid w:val="0091205C"/>
    <w:rsid w:val="00912210"/>
    <w:rsid w:val="00913A01"/>
    <w:rsid w:val="0091529E"/>
    <w:rsid w:val="009164EF"/>
    <w:rsid w:val="00923A05"/>
    <w:rsid w:val="00926F12"/>
    <w:rsid w:val="0093032D"/>
    <w:rsid w:val="00931B4A"/>
    <w:rsid w:val="00932BB2"/>
    <w:rsid w:val="00932F90"/>
    <w:rsid w:val="00934533"/>
    <w:rsid w:val="00934805"/>
    <w:rsid w:val="00934B15"/>
    <w:rsid w:val="00934F78"/>
    <w:rsid w:val="0094021C"/>
    <w:rsid w:val="009408AC"/>
    <w:rsid w:val="00943CAB"/>
    <w:rsid w:val="00945AA8"/>
    <w:rsid w:val="00946750"/>
    <w:rsid w:val="00946E43"/>
    <w:rsid w:val="009476C2"/>
    <w:rsid w:val="00947EEF"/>
    <w:rsid w:val="00950659"/>
    <w:rsid w:val="009549C1"/>
    <w:rsid w:val="009557B1"/>
    <w:rsid w:val="009562D4"/>
    <w:rsid w:val="00957869"/>
    <w:rsid w:val="00961246"/>
    <w:rsid w:val="00962767"/>
    <w:rsid w:val="00964316"/>
    <w:rsid w:val="00964CAF"/>
    <w:rsid w:val="00965557"/>
    <w:rsid w:val="00970376"/>
    <w:rsid w:val="00971A37"/>
    <w:rsid w:val="00971E02"/>
    <w:rsid w:val="00973EC1"/>
    <w:rsid w:val="0097522B"/>
    <w:rsid w:val="00975B44"/>
    <w:rsid w:val="00977F69"/>
    <w:rsid w:val="00980B63"/>
    <w:rsid w:val="0098136D"/>
    <w:rsid w:val="00983210"/>
    <w:rsid w:val="009834AE"/>
    <w:rsid w:val="00984ADD"/>
    <w:rsid w:val="00986D40"/>
    <w:rsid w:val="009906EB"/>
    <w:rsid w:val="00991F50"/>
    <w:rsid w:val="009921D5"/>
    <w:rsid w:val="00992F6C"/>
    <w:rsid w:val="009937B0"/>
    <w:rsid w:val="00995BC8"/>
    <w:rsid w:val="009969CE"/>
    <w:rsid w:val="0099767F"/>
    <w:rsid w:val="00997812"/>
    <w:rsid w:val="009A1353"/>
    <w:rsid w:val="009A1619"/>
    <w:rsid w:val="009A2314"/>
    <w:rsid w:val="009A3777"/>
    <w:rsid w:val="009A40C5"/>
    <w:rsid w:val="009A54F9"/>
    <w:rsid w:val="009A69A5"/>
    <w:rsid w:val="009B1676"/>
    <w:rsid w:val="009B341C"/>
    <w:rsid w:val="009B531A"/>
    <w:rsid w:val="009B5FB5"/>
    <w:rsid w:val="009B7203"/>
    <w:rsid w:val="009C054C"/>
    <w:rsid w:val="009C0FB1"/>
    <w:rsid w:val="009C2370"/>
    <w:rsid w:val="009C257C"/>
    <w:rsid w:val="009C2EC6"/>
    <w:rsid w:val="009C4143"/>
    <w:rsid w:val="009C4459"/>
    <w:rsid w:val="009C4F94"/>
    <w:rsid w:val="009C60BC"/>
    <w:rsid w:val="009C633B"/>
    <w:rsid w:val="009D05C5"/>
    <w:rsid w:val="009D247E"/>
    <w:rsid w:val="009D3A7F"/>
    <w:rsid w:val="009D5AE0"/>
    <w:rsid w:val="009D6321"/>
    <w:rsid w:val="009D7EAC"/>
    <w:rsid w:val="009E06F9"/>
    <w:rsid w:val="009E0BD2"/>
    <w:rsid w:val="009E0D31"/>
    <w:rsid w:val="009E28A8"/>
    <w:rsid w:val="009E3253"/>
    <w:rsid w:val="009E3660"/>
    <w:rsid w:val="009E372C"/>
    <w:rsid w:val="009E413B"/>
    <w:rsid w:val="009E54AA"/>
    <w:rsid w:val="009E5F7B"/>
    <w:rsid w:val="009E608B"/>
    <w:rsid w:val="009E7D36"/>
    <w:rsid w:val="009F008B"/>
    <w:rsid w:val="009F46E2"/>
    <w:rsid w:val="009F4DE8"/>
    <w:rsid w:val="009F5DCB"/>
    <w:rsid w:val="009F634B"/>
    <w:rsid w:val="009F6F05"/>
    <w:rsid w:val="00A00836"/>
    <w:rsid w:val="00A00E8E"/>
    <w:rsid w:val="00A01680"/>
    <w:rsid w:val="00A01CFF"/>
    <w:rsid w:val="00A05E30"/>
    <w:rsid w:val="00A07126"/>
    <w:rsid w:val="00A07318"/>
    <w:rsid w:val="00A079B7"/>
    <w:rsid w:val="00A10858"/>
    <w:rsid w:val="00A10CDF"/>
    <w:rsid w:val="00A11A12"/>
    <w:rsid w:val="00A127B5"/>
    <w:rsid w:val="00A13AE2"/>
    <w:rsid w:val="00A1404B"/>
    <w:rsid w:val="00A14192"/>
    <w:rsid w:val="00A141C6"/>
    <w:rsid w:val="00A15447"/>
    <w:rsid w:val="00A16CCF"/>
    <w:rsid w:val="00A21504"/>
    <w:rsid w:val="00A23CD8"/>
    <w:rsid w:val="00A24796"/>
    <w:rsid w:val="00A25012"/>
    <w:rsid w:val="00A26F27"/>
    <w:rsid w:val="00A27CFE"/>
    <w:rsid w:val="00A306EB"/>
    <w:rsid w:val="00A3167D"/>
    <w:rsid w:val="00A33AE4"/>
    <w:rsid w:val="00A349DA"/>
    <w:rsid w:val="00A35338"/>
    <w:rsid w:val="00A355D3"/>
    <w:rsid w:val="00A374EE"/>
    <w:rsid w:val="00A41018"/>
    <w:rsid w:val="00A4268E"/>
    <w:rsid w:val="00A42B31"/>
    <w:rsid w:val="00A4570C"/>
    <w:rsid w:val="00A46256"/>
    <w:rsid w:val="00A46EBB"/>
    <w:rsid w:val="00A470BD"/>
    <w:rsid w:val="00A47A63"/>
    <w:rsid w:val="00A51E30"/>
    <w:rsid w:val="00A53C88"/>
    <w:rsid w:val="00A6107D"/>
    <w:rsid w:val="00A62829"/>
    <w:rsid w:val="00A62A63"/>
    <w:rsid w:val="00A643D1"/>
    <w:rsid w:val="00A64AFD"/>
    <w:rsid w:val="00A65F3A"/>
    <w:rsid w:val="00A66FC5"/>
    <w:rsid w:val="00A67B00"/>
    <w:rsid w:val="00A74B22"/>
    <w:rsid w:val="00A751BC"/>
    <w:rsid w:val="00A76AB1"/>
    <w:rsid w:val="00A77126"/>
    <w:rsid w:val="00A7731A"/>
    <w:rsid w:val="00A77DFB"/>
    <w:rsid w:val="00A82B6C"/>
    <w:rsid w:val="00A83FA3"/>
    <w:rsid w:val="00A840CA"/>
    <w:rsid w:val="00A846DF"/>
    <w:rsid w:val="00A852DE"/>
    <w:rsid w:val="00A865F2"/>
    <w:rsid w:val="00A866E6"/>
    <w:rsid w:val="00A878CA"/>
    <w:rsid w:val="00A91576"/>
    <w:rsid w:val="00AA25B2"/>
    <w:rsid w:val="00AA4804"/>
    <w:rsid w:val="00AA5AC9"/>
    <w:rsid w:val="00AA6075"/>
    <w:rsid w:val="00AA6A50"/>
    <w:rsid w:val="00AA7AC1"/>
    <w:rsid w:val="00AB15ED"/>
    <w:rsid w:val="00AB1BEC"/>
    <w:rsid w:val="00AB2F40"/>
    <w:rsid w:val="00AB464F"/>
    <w:rsid w:val="00AB5824"/>
    <w:rsid w:val="00AB7FDD"/>
    <w:rsid w:val="00AC4546"/>
    <w:rsid w:val="00AC71BB"/>
    <w:rsid w:val="00AD29D4"/>
    <w:rsid w:val="00AD2A06"/>
    <w:rsid w:val="00AD3B9E"/>
    <w:rsid w:val="00AD426F"/>
    <w:rsid w:val="00AD4E83"/>
    <w:rsid w:val="00AD614F"/>
    <w:rsid w:val="00AD6CF5"/>
    <w:rsid w:val="00AD7C4F"/>
    <w:rsid w:val="00AE00CD"/>
    <w:rsid w:val="00AE04DB"/>
    <w:rsid w:val="00AE1148"/>
    <w:rsid w:val="00AE3C9F"/>
    <w:rsid w:val="00AE4740"/>
    <w:rsid w:val="00AE6167"/>
    <w:rsid w:val="00AE6D8F"/>
    <w:rsid w:val="00AE797B"/>
    <w:rsid w:val="00AF001D"/>
    <w:rsid w:val="00AF1300"/>
    <w:rsid w:val="00AF4D4F"/>
    <w:rsid w:val="00AF59A6"/>
    <w:rsid w:val="00AF674C"/>
    <w:rsid w:val="00AF6FBB"/>
    <w:rsid w:val="00B01617"/>
    <w:rsid w:val="00B0332B"/>
    <w:rsid w:val="00B04D34"/>
    <w:rsid w:val="00B0582D"/>
    <w:rsid w:val="00B06895"/>
    <w:rsid w:val="00B07535"/>
    <w:rsid w:val="00B07546"/>
    <w:rsid w:val="00B117D8"/>
    <w:rsid w:val="00B13EC7"/>
    <w:rsid w:val="00B14360"/>
    <w:rsid w:val="00B14DF8"/>
    <w:rsid w:val="00B1504B"/>
    <w:rsid w:val="00B15DC9"/>
    <w:rsid w:val="00B1648C"/>
    <w:rsid w:val="00B16D91"/>
    <w:rsid w:val="00B16F8A"/>
    <w:rsid w:val="00B20150"/>
    <w:rsid w:val="00B22DAF"/>
    <w:rsid w:val="00B2337C"/>
    <w:rsid w:val="00B23FE8"/>
    <w:rsid w:val="00B258B0"/>
    <w:rsid w:val="00B25CB7"/>
    <w:rsid w:val="00B27B06"/>
    <w:rsid w:val="00B27CA8"/>
    <w:rsid w:val="00B27F57"/>
    <w:rsid w:val="00B320C2"/>
    <w:rsid w:val="00B32517"/>
    <w:rsid w:val="00B33DB5"/>
    <w:rsid w:val="00B34116"/>
    <w:rsid w:val="00B34722"/>
    <w:rsid w:val="00B3491E"/>
    <w:rsid w:val="00B364E3"/>
    <w:rsid w:val="00B370F5"/>
    <w:rsid w:val="00B3785B"/>
    <w:rsid w:val="00B41508"/>
    <w:rsid w:val="00B419C6"/>
    <w:rsid w:val="00B425E3"/>
    <w:rsid w:val="00B43681"/>
    <w:rsid w:val="00B446C3"/>
    <w:rsid w:val="00B47230"/>
    <w:rsid w:val="00B5056D"/>
    <w:rsid w:val="00B5075E"/>
    <w:rsid w:val="00B525B1"/>
    <w:rsid w:val="00B52664"/>
    <w:rsid w:val="00B557D4"/>
    <w:rsid w:val="00B60BF9"/>
    <w:rsid w:val="00B66A73"/>
    <w:rsid w:val="00B712EA"/>
    <w:rsid w:val="00B73046"/>
    <w:rsid w:val="00B738C6"/>
    <w:rsid w:val="00B749B4"/>
    <w:rsid w:val="00B75706"/>
    <w:rsid w:val="00B759C0"/>
    <w:rsid w:val="00B77638"/>
    <w:rsid w:val="00B8077E"/>
    <w:rsid w:val="00B80EC7"/>
    <w:rsid w:val="00B81042"/>
    <w:rsid w:val="00B812AB"/>
    <w:rsid w:val="00B82277"/>
    <w:rsid w:val="00B82707"/>
    <w:rsid w:val="00B82A81"/>
    <w:rsid w:val="00B84C41"/>
    <w:rsid w:val="00B8535E"/>
    <w:rsid w:val="00B857AC"/>
    <w:rsid w:val="00B87EDB"/>
    <w:rsid w:val="00B91B04"/>
    <w:rsid w:val="00B94899"/>
    <w:rsid w:val="00B95FAB"/>
    <w:rsid w:val="00B96150"/>
    <w:rsid w:val="00B96EC1"/>
    <w:rsid w:val="00BA0804"/>
    <w:rsid w:val="00BA1677"/>
    <w:rsid w:val="00BA23E5"/>
    <w:rsid w:val="00BA2569"/>
    <w:rsid w:val="00BA35F2"/>
    <w:rsid w:val="00BA39F0"/>
    <w:rsid w:val="00BA5F51"/>
    <w:rsid w:val="00BA794B"/>
    <w:rsid w:val="00BB08C8"/>
    <w:rsid w:val="00BB3936"/>
    <w:rsid w:val="00BB64EE"/>
    <w:rsid w:val="00BB6BC7"/>
    <w:rsid w:val="00BB6DC9"/>
    <w:rsid w:val="00BC0C20"/>
    <w:rsid w:val="00BC351A"/>
    <w:rsid w:val="00BC3FC2"/>
    <w:rsid w:val="00BC59E5"/>
    <w:rsid w:val="00BC6FF0"/>
    <w:rsid w:val="00BD0080"/>
    <w:rsid w:val="00BD2897"/>
    <w:rsid w:val="00BD49C7"/>
    <w:rsid w:val="00BE0FAF"/>
    <w:rsid w:val="00BE190E"/>
    <w:rsid w:val="00BE2261"/>
    <w:rsid w:val="00BE2290"/>
    <w:rsid w:val="00BE35AE"/>
    <w:rsid w:val="00BE51A8"/>
    <w:rsid w:val="00BE5574"/>
    <w:rsid w:val="00BE670F"/>
    <w:rsid w:val="00BF0A65"/>
    <w:rsid w:val="00BF19F5"/>
    <w:rsid w:val="00BF38B0"/>
    <w:rsid w:val="00BF3A98"/>
    <w:rsid w:val="00BF59EB"/>
    <w:rsid w:val="00BF6643"/>
    <w:rsid w:val="00BF7903"/>
    <w:rsid w:val="00C01F83"/>
    <w:rsid w:val="00C02B96"/>
    <w:rsid w:val="00C0464A"/>
    <w:rsid w:val="00C04739"/>
    <w:rsid w:val="00C049F4"/>
    <w:rsid w:val="00C04FEB"/>
    <w:rsid w:val="00C056FF"/>
    <w:rsid w:val="00C07E47"/>
    <w:rsid w:val="00C1047E"/>
    <w:rsid w:val="00C10E55"/>
    <w:rsid w:val="00C11838"/>
    <w:rsid w:val="00C11B97"/>
    <w:rsid w:val="00C1585F"/>
    <w:rsid w:val="00C15C8A"/>
    <w:rsid w:val="00C207DF"/>
    <w:rsid w:val="00C20BF8"/>
    <w:rsid w:val="00C2101B"/>
    <w:rsid w:val="00C22100"/>
    <w:rsid w:val="00C24DB7"/>
    <w:rsid w:val="00C2518A"/>
    <w:rsid w:val="00C25D4F"/>
    <w:rsid w:val="00C260A1"/>
    <w:rsid w:val="00C30523"/>
    <w:rsid w:val="00C310FF"/>
    <w:rsid w:val="00C3179F"/>
    <w:rsid w:val="00C338D2"/>
    <w:rsid w:val="00C33B1F"/>
    <w:rsid w:val="00C33CCD"/>
    <w:rsid w:val="00C33E18"/>
    <w:rsid w:val="00C34239"/>
    <w:rsid w:val="00C373D0"/>
    <w:rsid w:val="00C37434"/>
    <w:rsid w:val="00C4196A"/>
    <w:rsid w:val="00C42366"/>
    <w:rsid w:val="00C44F6D"/>
    <w:rsid w:val="00C4541D"/>
    <w:rsid w:val="00C46C10"/>
    <w:rsid w:val="00C47095"/>
    <w:rsid w:val="00C51B0F"/>
    <w:rsid w:val="00C522BD"/>
    <w:rsid w:val="00C537A8"/>
    <w:rsid w:val="00C54653"/>
    <w:rsid w:val="00C54E8F"/>
    <w:rsid w:val="00C556A8"/>
    <w:rsid w:val="00C60A22"/>
    <w:rsid w:val="00C64E38"/>
    <w:rsid w:val="00C64FA3"/>
    <w:rsid w:val="00C710A0"/>
    <w:rsid w:val="00C747F4"/>
    <w:rsid w:val="00C74B67"/>
    <w:rsid w:val="00C76092"/>
    <w:rsid w:val="00C76746"/>
    <w:rsid w:val="00C77286"/>
    <w:rsid w:val="00C8008D"/>
    <w:rsid w:val="00C81815"/>
    <w:rsid w:val="00C8181F"/>
    <w:rsid w:val="00C85571"/>
    <w:rsid w:val="00C85769"/>
    <w:rsid w:val="00C900A9"/>
    <w:rsid w:val="00C909E2"/>
    <w:rsid w:val="00C92527"/>
    <w:rsid w:val="00C93374"/>
    <w:rsid w:val="00C97155"/>
    <w:rsid w:val="00CA05BD"/>
    <w:rsid w:val="00CA0AFE"/>
    <w:rsid w:val="00CA15E1"/>
    <w:rsid w:val="00CA21B1"/>
    <w:rsid w:val="00CA2761"/>
    <w:rsid w:val="00CA2970"/>
    <w:rsid w:val="00CA3093"/>
    <w:rsid w:val="00CA65F6"/>
    <w:rsid w:val="00CB0C72"/>
    <w:rsid w:val="00CB0D03"/>
    <w:rsid w:val="00CB1448"/>
    <w:rsid w:val="00CB163B"/>
    <w:rsid w:val="00CB16A1"/>
    <w:rsid w:val="00CB35CA"/>
    <w:rsid w:val="00CB3707"/>
    <w:rsid w:val="00CB3EE0"/>
    <w:rsid w:val="00CB4775"/>
    <w:rsid w:val="00CB5166"/>
    <w:rsid w:val="00CB527F"/>
    <w:rsid w:val="00CB67E5"/>
    <w:rsid w:val="00CC0083"/>
    <w:rsid w:val="00CC07F0"/>
    <w:rsid w:val="00CC2158"/>
    <w:rsid w:val="00CC2DD8"/>
    <w:rsid w:val="00CC639A"/>
    <w:rsid w:val="00CC66A7"/>
    <w:rsid w:val="00CD0093"/>
    <w:rsid w:val="00CD1576"/>
    <w:rsid w:val="00CD1995"/>
    <w:rsid w:val="00CD1DB7"/>
    <w:rsid w:val="00CD2804"/>
    <w:rsid w:val="00CD5BC7"/>
    <w:rsid w:val="00CD6416"/>
    <w:rsid w:val="00CD6A5B"/>
    <w:rsid w:val="00CD6D42"/>
    <w:rsid w:val="00CE0073"/>
    <w:rsid w:val="00CE0285"/>
    <w:rsid w:val="00CE2191"/>
    <w:rsid w:val="00CE3713"/>
    <w:rsid w:val="00CE3BA1"/>
    <w:rsid w:val="00CE474C"/>
    <w:rsid w:val="00CE5A89"/>
    <w:rsid w:val="00CE6183"/>
    <w:rsid w:val="00CE7846"/>
    <w:rsid w:val="00CF2E07"/>
    <w:rsid w:val="00CF4EF1"/>
    <w:rsid w:val="00CF5D68"/>
    <w:rsid w:val="00D00A09"/>
    <w:rsid w:val="00D016B7"/>
    <w:rsid w:val="00D01C7E"/>
    <w:rsid w:val="00D02008"/>
    <w:rsid w:val="00D02B44"/>
    <w:rsid w:val="00D047B6"/>
    <w:rsid w:val="00D058EE"/>
    <w:rsid w:val="00D07D4B"/>
    <w:rsid w:val="00D10040"/>
    <w:rsid w:val="00D10B17"/>
    <w:rsid w:val="00D11C67"/>
    <w:rsid w:val="00D11D08"/>
    <w:rsid w:val="00D1234E"/>
    <w:rsid w:val="00D123F8"/>
    <w:rsid w:val="00D12F8D"/>
    <w:rsid w:val="00D13E35"/>
    <w:rsid w:val="00D14793"/>
    <w:rsid w:val="00D15254"/>
    <w:rsid w:val="00D16219"/>
    <w:rsid w:val="00D16994"/>
    <w:rsid w:val="00D16B95"/>
    <w:rsid w:val="00D213F6"/>
    <w:rsid w:val="00D2143F"/>
    <w:rsid w:val="00D22A74"/>
    <w:rsid w:val="00D22DE3"/>
    <w:rsid w:val="00D23CD7"/>
    <w:rsid w:val="00D243FE"/>
    <w:rsid w:val="00D25977"/>
    <w:rsid w:val="00D25F9E"/>
    <w:rsid w:val="00D26E69"/>
    <w:rsid w:val="00D30AC9"/>
    <w:rsid w:val="00D30EB7"/>
    <w:rsid w:val="00D31184"/>
    <w:rsid w:val="00D313CC"/>
    <w:rsid w:val="00D3299F"/>
    <w:rsid w:val="00D34DF2"/>
    <w:rsid w:val="00D3529C"/>
    <w:rsid w:val="00D36317"/>
    <w:rsid w:val="00D36A9C"/>
    <w:rsid w:val="00D36E1A"/>
    <w:rsid w:val="00D4033D"/>
    <w:rsid w:val="00D44FD1"/>
    <w:rsid w:val="00D45DD7"/>
    <w:rsid w:val="00D4679D"/>
    <w:rsid w:val="00D46832"/>
    <w:rsid w:val="00D471BF"/>
    <w:rsid w:val="00D51FBF"/>
    <w:rsid w:val="00D52D12"/>
    <w:rsid w:val="00D548D4"/>
    <w:rsid w:val="00D55CD8"/>
    <w:rsid w:val="00D571B3"/>
    <w:rsid w:val="00D60CF9"/>
    <w:rsid w:val="00D6600F"/>
    <w:rsid w:val="00D67A60"/>
    <w:rsid w:val="00D71D4C"/>
    <w:rsid w:val="00D73018"/>
    <w:rsid w:val="00D7393D"/>
    <w:rsid w:val="00D73BA0"/>
    <w:rsid w:val="00D73BAE"/>
    <w:rsid w:val="00D745F5"/>
    <w:rsid w:val="00D75914"/>
    <w:rsid w:val="00D77062"/>
    <w:rsid w:val="00D770D8"/>
    <w:rsid w:val="00D774A1"/>
    <w:rsid w:val="00D83B44"/>
    <w:rsid w:val="00D85D32"/>
    <w:rsid w:val="00D86105"/>
    <w:rsid w:val="00D86620"/>
    <w:rsid w:val="00D87936"/>
    <w:rsid w:val="00D9152D"/>
    <w:rsid w:val="00D91C90"/>
    <w:rsid w:val="00D91CF9"/>
    <w:rsid w:val="00D966C2"/>
    <w:rsid w:val="00D96BAB"/>
    <w:rsid w:val="00D97926"/>
    <w:rsid w:val="00D97B5F"/>
    <w:rsid w:val="00DA223E"/>
    <w:rsid w:val="00DA6743"/>
    <w:rsid w:val="00DB0285"/>
    <w:rsid w:val="00DB1C6F"/>
    <w:rsid w:val="00DB273B"/>
    <w:rsid w:val="00DB2F76"/>
    <w:rsid w:val="00DB39E4"/>
    <w:rsid w:val="00DB5E70"/>
    <w:rsid w:val="00DB66B3"/>
    <w:rsid w:val="00DB6C0A"/>
    <w:rsid w:val="00DB71D2"/>
    <w:rsid w:val="00DC1544"/>
    <w:rsid w:val="00DC40F0"/>
    <w:rsid w:val="00DC5F43"/>
    <w:rsid w:val="00DC6AF6"/>
    <w:rsid w:val="00DD15F9"/>
    <w:rsid w:val="00DD1E5C"/>
    <w:rsid w:val="00DD22F9"/>
    <w:rsid w:val="00DD4AC5"/>
    <w:rsid w:val="00DD5D62"/>
    <w:rsid w:val="00DD6A32"/>
    <w:rsid w:val="00DD708B"/>
    <w:rsid w:val="00DD724F"/>
    <w:rsid w:val="00DE3F23"/>
    <w:rsid w:val="00DE457F"/>
    <w:rsid w:val="00DE52AA"/>
    <w:rsid w:val="00DE7B53"/>
    <w:rsid w:val="00DF17EC"/>
    <w:rsid w:val="00DF287A"/>
    <w:rsid w:val="00DF3098"/>
    <w:rsid w:val="00DF3555"/>
    <w:rsid w:val="00DF3F07"/>
    <w:rsid w:val="00DF52F5"/>
    <w:rsid w:val="00DF545E"/>
    <w:rsid w:val="00DF720D"/>
    <w:rsid w:val="00E0299F"/>
    <w:rsid w:val="00E10586"/>
    <w:rsid w:val="00E108A6"/>
    <w:rsid w:val="00E10FCD"/>
    <w:rsid w:val="00E11CBB"/>
    <w:rsid w:val="00E13C4E"/>
    <w:rsid w:val="00E145F0"/>
    <w:rsid w:val="00E16438"/>
    <w:rsid w:val="00E16486"/>
    <w:rsid w:val="00E164F2"/>
    <w:rsid w:val="00E1660C"/>
    <w:rsid w:val="00E21E1A"/>
    <w:rsid w:val="00E223B1"/>
    <w:rsid w:val="00E255B8"/>
    <w:rsid w:val="00E27B74"/>
    <w:rsid w:val="00E335E5"/>
    <w:rsid w:val="00E33ACA"/>
    <w:rsid w:val="00E344F9"/>
    <w:rsid w:val="00E346A0"/>
    <w:rsid w:val="00E355AC"/>
    <w:rsid w:val="00E3643C"/>
    <w:rsid w:val="00E36ADA"/>
    <w:rsid w:val="00E37AAF"/>
    <w:rsid w:val="00E37E33"/>
    <w:rsid w:val="00E41D64"/>
    <w:rsid w:val="00E43535"/>
    <w:rsid w:val="00E43A04"/>
    <w:rsid w:val="00E43BAA"/>
    <w:rsid w:val="00E44568"/>
    <w:rsid w:val="00E46BA1"/>
    <w:rsid w:val="00E46FFE"/>
    <w:rsid w:val="00E512A2"/>
    <w:rsid w:val="00E513B6"/>
    <w:rsid w:val="00E51ACE"/>
    <w:rsid w:val="00E537C0"/>
    <w:rsid w:val="00E53BE4"/>
    <w:rsid w:val="00E552CF"/>
    <w:rsid w:val="00E55EF2"/>
    <w:rsid w:val="00E57C75"/>
    <w:rsid w:val="00E60ECB"/>
    <w:rsid w:val="00E61513"/>
    <w:rsid w:val="00E647C6"/>
    <w:rsid w:val="00E71592"/>
    <w:rsid w:val="00E71E4F"/>
    <w:rsid w:val="00E73BB8"/>
    <w:rsid w:val="00E75EF3"/>
    <w:rsid w:val="00E8119E"/>
    <w:rsid w:val="00E81FCC"/>
    <w:rsid w:val="00E83887"/>
    <w:rsid w:val="00E862A3"/>
    <w:rsid w:val="00E86A32"/>
    <w:rsid w:val="00E87166"/>
    <w:rsid w:val="00E87884"/>
    <w:rsid w:val="00E914CB"/>
    <w:rsid w:val="00E91CCC"/>
    <w:rsid w:val="00E91F03"/>
    <w:rsid w:val="00E92637"/>
    <w:rsid w:val="00E92999"/>
    <w:rsid w:val="00E956FF"/>
    <w:rsid w:val="00E960F3"/>
    <w:rsid w:val="00E96DFA"/>
    <w:rsid w:val="00E97176"/>
    <w:rsid w:val="00EA1908"/>
    <w:rsid w:val="00EA1CC2"/>
    <w:rsid w:val="00EA37C1"/>
    <w:rsid w:val="00EA430A"/>
    <w:rsid w:val="00EA6E99"/>
    <w:rsid w:val="00EA6F85"/>
    <w:rsid w:val="00EA735B"/>
    <w:rsid w:val="00EB0AFA"/>
    <w:rsid w:val="00EB2454"/>
    <w:rsid w:val="00EB2626"/>
    <w:rsid w:val="00EB2D9F"/>
    <w:rsid w:val="00EB40B4"/>
    <w:rsid w:val="00EB62EF"/>
    <w:rsid w:val="00EB699A"/>
    <w:rsid w:val="00EB7136"/>
    <w:rsid w:val="00EC3040"/>
    <w:rsid w:val="00EC3C83"/>
    <w:rsid w:val="00EC50EA"/>
    <w:rsid w:val="00EC5785"/>
    <w:rsid w:val="00ED0B3B"/>
    <w:rsid w:val="00ED0EFA"/>
    <w:rsid w:val="00ED10E7"/>
    <w:rsid w:val="00ED1E39"/>
    <w:rsid w:val="00ED2FF3"/>
    <w:rsid w:val="00ED3BB9"/>
    <w:rsid w:val="00ED5F39"/>
    <w:rsid w:val="00EE1129"/>
    <w:rsid w:val="00EE1285"/>
    <w:rsid w:val="00EE23E3"/>
    <w:rsid w:val="00EE3C28"/>
    <w:rsid w:val="00EE5B95"/>
    <w:rsid w:val="00EE5CE5"/>
    <w:rsid w:val="00EF027D"/>
    <w:rsid w:val="00EF0528"/>
    <w:rsid w:val="00EF1707"/>
    <w:rsid w:val="00EF4491"/>
    <w:rsid w:val="00EF64C6"/>
    <w:rsid w:val="00F0063F"/>
    <w:rsid w:val="00F007C8"/>
    <w:rsid w:val="00F01407"/>
    <w:rsid w:val="00F01438"/>
    <w:rsid w:val="00F030A2"/>
    <w:rsid w:val="00F057B2"/>
    <w:rsid w:val="00F06C85"/>
    <w:rsid w:val="00F07AE7"/>
    <w:rsid w:val="00F11059"/>
    <w:rsid w:val="00F12286"/>
    <w:rsid w:val="00F13F32"/>
    <w:rsid w:val="00F14AF5"/>
    <w:rsid w:val="00F15425"/>
    <w:rsid w:val="00F15488"/>
    <w:rsid w:val="00F15951"/>
    <w:rsid w:val="00F16756"/>
    <w:rsid w:val="00F1757A"/>
    <w:rsid w:val="00F17EA2"/>
    <w:rsid w:val="00F21C5E"/>
    <w:rsid w:val="00F259D5"/>
    <w:rsid w:val="00F25A4F"/>
    <w:rsid w:val="00F27AAD"/>
    <w:rsid w:val="00F305E8"/>
    <w:rsid w:val="00F30AD1"/>
    <w:rsid w:val="00F30AF4"/>
    <w:rsid w:val="00F30C2C"/>
    <w:rsid w:val="00F30FB1"/>
    <w:rsid w:val="00F322F5"/>
    <w:rsid w:val="00F364AF"/>
    <w:rsid w:val="00F40245"/>
    <w:rsid w:val="00F40404"/>
    <w:rsid w:val="00F418BB"/>
    <w:rsid w:val="00F41A67"/>
    <w:rsid w:val="00F429D9"/>
    <w:rsid w:val="00F431EB"/>
    <w:rsid w:val="00F4381A"/>
    <w:rsid w:val="00F446A5"/>
    <w:rsid w:val="00F44C71"/>
    <w:rsid w:val="00F451C5"/>
    <w:rsid w:val="00F45A0B"/>
    <w:rsid w:val="00F510EF"/>
    <w:rsid w:val="00F5134E"/>
    <w:rsid w:val="00F54648"/>
    <w:rsid w:val="00F558DC"/>
    <w:rsid w:val="00F55E25"/>
    <w:rsid w:val="00F56A6F"/>
    <w:rsid w:val="00F61C10"/>
    <w:rsid w:val="00F64CB7"/>
    <w:rsid w:val="00F64DB4"/>
    <w:rsid w:val="00F65835"/>
    <w:rsid w:val="00F65EBE"/>
    <w:rsid w:val="00F70E88"/>
    <w:rsid w:val="00F7172F"/>
    <w:rsid w:val="00F71E0F"/>
    <w:rsid w:val="00F73324"/>
    <w:rsid w:val="00F742BE"/>
    <w:rsid w:val="00F74AB3"/>
    <w:rsid w:val="00F7531C"/>
    <w:rsid w:val="00F75B85"/>
    <w:rsid w:val="00F81F77"/>
    <w:rsid w:val="00F838EC"/>
    <w:rsid w:val="00F848C1"/>
    <w:rsid w:val="00F8526D"/>
    <w:rsid w:val="00F856CD"/>
    <w:rsid w:val="00F85835"/>
    <w:rsid w:val="00F85C46"/>
    <w:rsid w:val="00F865CB"/>
    <w:rsid w:val="00F86EB3"/>
    <w:rsid w:val="00F906E2"/>
    <w:rsid w:val="00F91328"/>
    <w:rsid w:val="00F927F3"/>
    <w:rsid w:val="00F92F7D"/>
    <w:rsid w:val="00F937DE"/>
    <w:rsid w:val="00F93D29"/>
    <w:rsid w:val="00F966A0"/>
    <w:rsid w:val="00F96778"/>
    <w:rsid w:val="00F97C6E"/>
    <w:rsid w:val="00FA0067"/>
    <w:rsid w:val="00FA072A"/>
    <w:rsid w:val="00FA1E19"/>
    <w:rsid w:val="00FA3D53"/>
    <w:rsid w:val="00FA406E"/>
    <w:rsid w:val="00FA4C4C"/>
    <w:rsid w:val="00FB0911"/>
    <w:rsid w:val="00FB0D6C"/>
    <w:rsid w:val="00FB2189"/>
    <w:rsid w:val="00FB2332"/>
    <w:rsid w:val="00FB2D24"/>
    <w:rsid w:val="00FB3375"/>
    <w:rsid w:val="00FB4E1D"/>
    <w:rsid w:val="00FB71D1"/>
    <w:rsid w:val="00FC3A12"/>
    <w:rsid w:val="00FC419C"/>
    <w:rsid w:val="00FC4EA6"/>
    <w:rsid w:val="00FC5DAE"/>
    <w:rsid w:val="00FD1016"/>
    <w:rsid w:val="00FD1B47"/>
    <w:rsid w:val="00FD27D0"/>
    <w:rsid w:val="00FD3236"/>
    <w:rsid w:val="00FE065E"/>
    <w:rsid w:val="00FE0AAC"/>
    <w:rsid w:val="00FE3CFF"/>
    <w:rsid w:val="00FE51DF"/>
    <w:rsid w:val="00FE65C6"/>
    <w:rsid w:val="00FE6C67"/>
    <w:rsid w:val="00FF037B"/>
    <w:rsid w:val="00FF1CFB"/>
    <w:rsid w:val="00FF36EA"/>
    <w:rsid w:val="00FF4705"/>
    <w:rsid w:val="00FF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AD4B3"/>
  <w15:chartTrackingRefBased/>
  <w15:docId w15:val="{9AE276B5-FB91-4928-A663-3B2BA106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74C7"/>
    <w:pPr>
      <w:ind w:left="720"/>
      <w:contextualSpacing/>
    </w:pPr>
  </w:style>
  <w:style w:type="paragraph" w:styleId="NormalWeb">
    <w:name w:val="Normal (Web)"/>
    <w:basedOn w:val="Normal"/>
    <w:uiPriority w:val="99"/>
    <w:unhideWhenUsed/>
    <w:rsid w:val="006B74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B74C7"/>
    <w:pPr>
      <w:widowControl w:val="0"/>
      <w:autoSpaceDE w:val="0"/>
      <w:autoSpaceDN w:val="0"/>
      <w:adjustRightInd w:val="0"/>
      <w:spacing w:after="0" w:line="240" w:lineRule="auto"/>
    </w:pPr>
    <w:rPr>
      <w:rFonts w:ascii="Arial" w:eastAsiaTheme="minorEastAsia" w:hAnsi="Arial" w:cs="Arial"/>
      <w:b/>
      <w:bCs/>
      <w:sz w:val="28"/>
      <w:szCs w:val="28"/>
    </w:rPr>
  </w:style>
  <w:style w:type="character" w:customStyle="1" w:styleId="BodyTextChar">
    <w:name w:val="Body Text Char"/>
    <w:basedOn w:val="DefaultParagraphFont"/>
    <w:link w:val="BodyText"/>
    <w:uiPriority w:val="1"/>
    <w:rsid w:val="006B74C7"/>
    <w:rPr>
      <w:rFonts w:ascii="Arial" w:eastAsiaTheme="minorEastAsia" w:hAnsi="Arial" w:cs="Arial"/>
      <w:b/>
      <w:bCs/>
      <w:sz w:val="28"/>
      <w:szCs w:val="28"/>
    </w:rPr>
  </w:style>
  <w:style w:type="paragraph" w:styleId="Header">
    <w:name w:val="header"/>
    <w:basedOn w:val="Normal"/>
    <w:link w:val="HeaderChar"/>
    <w:uiPriority w:val="99"/>
    <w:unhideWhenUsed/>
    <w:rsid w:val="006B7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4C7"/>
  </w:style>
  <w:style w:type="character" w:customStyle="1" w:styleId="ac">
    <w:name w:val="ac"/>
    <w:basedOn w:val="DefaultParagraphFont"/>
    <w:rsid w:val="006B74C7"/>
  </w:style>
  <w:style w:type="character" w:customStyle="1" w:styleId="sssh">
    <w:name w:val="ss_sh"/>
    <w:basedOn w:val="DefaultParagraphFont"/>
    <w:rsid w:val="006B74C7"/>
  </w:style>
  <w:style w:type="paragraph" w:styleId="Footer">
    <w:name w:val="footer"/>
    <w:basedOn w:val="Normal"/>
    <w:link w:val="FooterChar"/>
    <w:uiPriority w:val="99"/>
    <w:unhideWhenUsed/>
    <w:rsid w:val="006B7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4C7"/>
  </w:style>
  <w:style w:type="paragraph" w:styleId="Revision">
    <w:name w:val="Revision"/>
    <w:hidden/>
    <w:uiPriority w:val="99"/>
    <w:semiHidden/>
    <w:rsid w:val="003E28C0"/>
    <w:pPr>
      <w:spacing w:after="0" w:line="240" w:lineRule="auto"/>
    </w:pPr>
  </w:style>
  <w:style w:type="character" w:styleId="CommentReference">
    <w:name w:val="annotation reference"/>
    <w:basedOn w:val="DefaultParagraphFont"/>
    <w:uiPriority w:val="99"/>
    <w:semiHidden/>
    <w:unhideWhenUsed/>
    <w:rsid w:val="003E28C0"/>
    <w:rPr>
      <w:sz w:val="16"/>
      <w:szCs w:val="16"/>
    </w:rPr>
  </w:style>
  <w:style w:type="paragraph" w:styleId="CommentText">
    <w:name w:val="annotation text"/>
    <w:basedOn w:val="Normal"/>
    <w:link w:val="CommentTextChar"/>
    <w:uiPriority w:val="99"/>
    <w:unhideWhenUsed/>
    <w:rsid w:val="003E28C0"/>
    <w:pPr>
      <w:spacing w:line="240" w:lineRule="auto"/>
    </w:pPr>
    <w:rPr>
      <w:sz w:val="20"/>
      <w:szCs w:val="20"/>
    </w:rPr>
  </w:style>
  <w:style w:type="character" w:customStyle="1" w:styleId="CommentTextChar">
    <w:name w:val="Comment Text Char"/>
    <w:basedOn w:val="DefaultParagraphFont"/>
    <w:link w:val="CommentText"/>
    <w:uiPriority w:val="99"/>
    <w:rsid w:val="003E28C0"/>
    <w:rPr>
      <w:sz w:val="20"/>
      <w:szCs w:val="20"/>
    </w:rPr>
  </w:style>
  <w:style w:type="paragraph" w:styleId="CommentSubject">
    <w:name w:val="annotation subject"/>
    <w:basedOn w:val="CommentText"/>
    <w:next w:val="CommentText"/>
    <w:link w:val="CommentSubjectChar"/>
    <w:uiPriority w:val="99"/>
    <w:semiHidden/>
    <w:unhideWhenUsed/>
    <w:rsid w:val="003E28C0"/>
    <w:rPr>
      <w:b/>
      <w:bCs/>
    </w:rPr>
  </w:style>
  <w:style w:type="character" w:customStyle="1" w:styleId="CommentSubjectChar">
    <w:name w:val="Comment Subject Char"/>
    <w:basedOn w:val="CommentTextChar"/>
    <w:link w:val="CommentSubject"/>
    <w:uiPriority w:val="99"/>
    <w:semiHidden/>
    <w:rsid w:val="003E28C0"/>
    <w:rPr>
      <w:b/>
      <w:bCs/>
      <w:sz w:val="20"/>
      <w:szCs w:val="20"/>
    </w:rPr>
  </w:style>
  <w:style w:type="character" w:styleId="Hyperlink">
    <w:name w:val="Hyperlink"/>
    <w:basedOn w:val="DefaultParagraphFont"/>
    <w:uiPriority w:val="99"/>
    <w:unhideWhenUsed/>
    <w:rsid w:val="00FD1016"/>
    <w:rPr>
      <w:color w:val="0563C1" w:themeColor="hyperlink"/>
      <w:u w:val="single"/>
    </w:rPr>
  </w:style>
  <w:style w:type="character" w:styleId="UnresolvedMention">
    <w:name w:val="Unresolved Mention"/>
    <w:basedOn w:val="DefaultParagraphFont"/>
    <w:uiPriority w:val="99"/>
    <w:semiHidden/>
    <w:unhideWhenUsed/>
    <w:rsid w:val="00FD1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9410">
      <w:bodyDiv w:val="1"/>
      <w:marLeft w:val="0"/>
      <w:marRight w:val="0"/>
      <w:marTop w:val="0"/>
      <w:marBottom w:val="0"/>
      <w:divBdr>
        <w:top w:val="none" w:sz="0" w:space="0" w:color="auto"/>
        <w:left w:val="none" w:sz="0" w:space="0" w:color="auto"/>
        <w:bottom w:val="none" w:sz="0" w:space="0" w:color="auto"/>
        <w:right w:val="none" w:sz="0" w:space="0" w:color="auto"/>
      </w:divBdr>
      <w:divsChild>
        <w:div w:id="2127460405">
          <w:marLeft w:val="0"/>
          <w:marRight w:val="0"/>
          <w:marTop w:val="0"/>
          <w:marBottom w:val="0"/>
          <w:divBdr>
            <w:top w:val="none" w:sz="0" w:space="0" w:color="auto"/>
            <w:left w:val="none" w:sz="0" w:space="0" w:color="auto"/>
            <w:bottom w:val="none" w:sz="0" w:space="0" w:color="auto"/>
            <w:right w:val="none" w:sz="0" w:space="0" w:color="auto"/>
          </w:divBdr>
        </w:div>
        <w:div w:id="763721572">
          <w:marLeft w:val="0"/>
          <w:marRight w:val="0"/>
          <w:marTop w:val="0"/>
          <w:marBottom w:val="0"/>
          <w:divBdr>
            <w:top w:val="none" w:sz="0" w:space="0" w:color="auto"/>
            <w:left w:val="none" w:sz="0" w:space="0" w:color="auto"/>
            <w:bottom w:val="none" w:sz="0" w:space="0" w:color="auto"/>
            <w:right w:val="none" w:sz="0" w:space="0" w:color="auto"/>
          </w:divBdr>
        </w:div>
        <w:div w:id="1089157634">
          <w:marLeft w:val="0"/>
          <w:marRight w:val="0"/>
          <w:marTop w:val="0"/>
          <w:marBottom w:val="0"/>
          <w:divBdr>
            <w:top w:val="none" w:sz="0" w:space="0" w:color="auto"/>
            <w:left w:val="none" w:sz="0" w:space="0" w:color="auto"/>
            <w:bottom w:val="none" w:sz="0" w:space="0" w:color="auto"/>
            <w:right w:val="none" w:sz="0" w:space="0" w:color="auto"/>
          </w:divBdr>
          <w:divsChild>
            <w:div w:id="1571428659">
              <w:marLeft w:val="480"/>
              <w:marRight w:val="0"/>
              <w:marTop w:val="0"/>
              <w:marBottom w:val="0"/>
              <w:divBdr>
                <w:top w:val="none" w:sz="0" w:space="0" w:color="auto"/>
                <w:left w:val="none" w:sz="0" w:space="0" w:color="auto"/>
                <w:bottom w:val="none" w:sz="0" w:space="0" w:color="auto"/>
                <w:right w:val="none" w:sz="0" w:space="0" w:color="auto"/>
              </w:divBdr>
            </w:div>
            <w:div w:id="1364479387">
              <w:marLeft w:val="480"/>
              <w:marRight w:val="0"/>
              <w:marTop w:val="0"/>
              <w:marBottom w:val="0"/>
              <w:divBdr>
                <w:top w:val="none" w:sz="0" w:space="0" w:color="auto"/>
                <w:left w:val="none" w:sz="0" w:space="0" w:color="auto"/>
                <w:bottom w:val="none" w:sz="0" w:space="0" w:color="auto"/>
                <w:right w:val="none" w:sz="0" w:space="0" w:color="auto"/>
              </w:divBdr>
            </w:div>
          </w:divsChild>
        </w:div>
        <w:div w:id="1950818593">
          <w:marLeft w:val="0"/>
          <w:marRight w:val="0"/>
          <w:marTop w:val="0"/>
          <w:marBottom w:val="0"/>
          <w:divBdr>
            <w:top w:val="none" w:sz="0" w:space="0" w:color="auto"/>
            <w:left w:val="none" w:sz="0" w:space="0" w:color="auto"/>
            <w:bottom w:val="none" w:sz="0" w:space="0" w:color="auto"/>
            <w:right w:val="none" w:sz="0" w:space="0" w:color="auto"/>
          </w:divBdr>
        </w:div>
        <w:div w:id="2082284987">
          <w:marLeft w:val="0"/>
          <w:marRight w:val="0"/>
          <w:marTop w:val="0"/>
          <w:marBottom w:val="0"/>
          <w:divBdr>
            <w:top w:val="none" w:sz="0" w:space="0" w:color="auto"/>
            <w:left w:val="none" w:sz="0" w:space="0" w:color="auto"/>
            <w:bottom w:val="none" w:sz="0" w:space="0" w:color="auto"/>
            <w:right w:val="none" w:sz="0" w:space="0" w:color="auto"/>
          </w:divBdr>
        </w:div>
        <w:div w:id="2011562018">
          <w:marLeft w:val="0"/>
          <w:marRight w:val="0"/>
          <w:marTop w:val="0"/>
          <w:marBottom w:val="0"/>
          <w:divBdr>
            <w:top w:val="none" w:sz="0" w:space="0" w:color="auto"/>
            <w:left w:val="none" w:sz="0" w:space="0" w:color="auto"/>
            <w:bottom w:val="none" w:sz="0" w:space="0" w:color="auto"/>
            <w:right w:val="none" w:sz="0" w:space="0" w:color="auto"/>
          </w:divBdr>
        </w:div>
        <w:div w:id="564023435">
          <w:marLeft w:val="0"/>
          <w:marRight w:val="0"/>
          <w:marTop w:val="0"/>
          <w:marBottom w:val="0"/>
          <w:divBdr>
            <w:top w:val="none" w:sz="0" w:space="0" w:color="auto"/>
            <w:left w:val="none" w:sz="0" w:space="0" w:color="auto"/>
            <w:bottom w:val="none" w:sz="0" w:space="0" w:color="auto"/>
            <w:right w:val="none" w:sz="0" w:space="0" w:color="auto"/>
          </w:divBdr>
        </w:div>
      </w:divsChild>
    </w:div>
    <w:div w:id="71126908">
      <w:bodyDiv w:val="1"/>
      <w:marLeft w:val="0"/>
      <w:marRight w:val="0"/>
      <w:marTop w:val="0"/>
      <w:marBottom w:val="0"/>
      <w:divBdr>
        <w:top w:val="none" w:sz="0" w:space="0" w:color="auto"/>
        <w:left w:val="none" w:sz="0" w:space="0" w:color="auto"/>
        <w:bottom w:val="none" w:sz="0" w:space="0" w:color="auto"/>
        <w:right w:val="none" w:sz="0" w:space="0" w:color="auto"/>
      </w:divBdr>
    </w:div>
    <w:div w:id="162598231">
      <w:bodyDiv w:val="1"/>
      <w:marLeft w:val="0"/>
      <w:marRight w:val="0"/>
      <w:marTop w:val="0"/>
      <w:marBottom w:val="0"/>
      <w:divBdr>
        <w:top w:val="none" w:sz="0" w:space="0" w:color="auto"/>
        <w:left w:val="none" w:sz="0" w:space="0" w:color="auto"/>
        <w:bottom w:val="none" w:sz="0" w:space="0" w:color="auto"/>
        <w:right w:val="none" w:sz="0" w:space="0" w:color="auto"/>
      </w:divBdr>
    </w:div>
    <w:div w:id="165751506">
      <w:bodyDiv w:val="1"/>
      <w:marLeft w:val="0"/>
      <w:marRight w:val="0"/>
      <w:marTop w:val="0"/>
      <w:marBottom w:val="0"/>
      <w:divBdr>
        <w:top w:val="none" w:sz="0" w:space="0" w:color="auto"/>
        <w:left w:val="none" w:sz="0" w:space="0" w:color="auto"/>
        <w:bottom w:val="none" w:sz="0" w:space="0" w:color="auto"/>
        <w:right w:val="none" w:sz="0" w:space="0" w:color="auto"/>
      </w:divBdr>
      <w:divsChild>
        <w:div w:id="487986424">
          <w:marLeft w:val="0"/>
          <w:marRight w:val="0"/>
          <w:marTop w:val="0"/>
          <w:marBottom w:val="0"/>
          <w:divBdr>
            <w:top w:val="none" w:sz="0" w:space="0" w:color="auto"/>
            <w:left w:val="none" w:sz="0" w:space="0" w:color="auto"/>
            <w:bottom w:val="none" w:sz="0" w:space="0" w:color="auto"/>
            <w:right w:val="none" w:sz="0" w:space="0" w:color="auto"/>
          </w:divBdr>
        </w:div>
      </w:divsChild>
    </w:div>
    <w:div w:id="411196377">
      <w:bodyDiv w:val="1"/>
      <w:marLeft w:val="0"/>
      <w:marRight w:val="0"/>
      <w:marTop w:val="0"/>
      <w:marBottom w:val="0"/>
      <w:divBdr>
        <w:top w:val="none" w:sz="0" w:space="0" w:color="auto"/>
        <w:left w:val="none" w:sz="0" w:space="0" w:color="auto"/>
        <w:bottom w:val="none" w:sz="0" w:space="0" w:color="auto"/>
        <w:right w:val="none" w:sz="0" w:space="0" w:color="auto"/>
      </w:divBdr>
    </w:div>
    <w:div w:id="761726457">
      <w:bodyDiv w:val="1"/>
      <w:marLeft w:val="0"/>
      <w:marRight w:val="0"/>
      <w:marTop w:val="0"/>
      <w:marBottom w:val="0"/>
      <w:divBdr>
        <w:top w:val="none" w:sz="0" w:space="0" w:color="auto"/>
        <w:left w:val="none" w:sz="0" w:space="0" w:color="auto"/>
        <w:bottom w:val="none" w:sz="0" w:space="0" w:color="auto"/>
        <w:right w:val="none" w:sz="0" w:space="0" w:color="auto"/>
      </w:divBdr>
    </w:div>
    <w:div w:id="1084840633">
      <w:bodyDiv w:val="1"/>
      <w:marLeft w:val="0"/>
      <w:marRight w:val="0"/>
      <w:marTop w:val="0"/>
      <w:marBottom w:val="0"/>
      <w:divBdr>
        <w:top w:val="none" w:sz="0" w:space="0" w:color="auto"/>
        <w:left w:val="none" w:sz="0" w:space="0" w:color="auto"/>
        <w:bottom w:val="none" w:sz="0" w:space="0" w:color="auto"/>
        <w:right w:val="none" w:sz="0" w:space="0" w:color="auto"/>
      </w:divBdr>
    </w:div>
    <w:div w:id="1211989491">
      <w:bodyDiv w:val="1"/>
      <w:marLeft w:val="0"/>
      <w:marRight w:val="0"/>
      <w:marTop w:val="0"/>
      <w:marBottom w:val="0"/>
      <w:divBdr>
        <w:top w:val="none" w:sz="0" w:space="0" w:color="auto"/>
        <w:left w:val="none" w:sz="0" w:space="0" w:color="auto"/>
        <w:bottom w:val="none" w:sz="0" w:space="0" w:color="auto"/>
        <w:right w:val="none" w:sz="0" w:space="0" w:color="auto"/>
      </w:divBdr>
    </w:div>
    <w:div w:id="1379628867">
      <w:bodyDiv w:val="1"/>
      <w:marLeft w:val="0"/>
      <w:marRight w:val="0"/>
      <w:marTop w:val="0"/>
      <w:marBottom w:val="0"/>
      <w:divBdr>
        <w:top w:val="none" w:sz="0" w:space="0" w:color="auto"/>
        <w:left w:val="none" w:sz="0" w:space="0" w:color="auto"/>
        <w:bottom w:val="none" w:sz="0" w:space="0" w:color="auto"/>
        <w:right w:val="none" w:sz="0" w:space="0" w:color="auto"/>
      </w:divBdr>
    </w:div>
    <w:div w:id="1669626414">
      <w:bodyDiv w:val="1"/>
      <w:marLeft w:val="0"/>
      <w:marRight w:val="0"/>
      <w:marTop w:val="0"/>
      <w:marBottom w:val="0"/>
      <w:divBdr>
        <w:top w:val="none" w:sz="0" w:space="0" w:color="auto"/>
        <w:left w:val="none" w:sz="0" w:space="0" w:color="auto"/>
        <w:bottom w:val="none" w:sz="0" w:space="0" w:color="auto"/>
        <w:right w:val="none" w:sz="0" w:space="0" w:color="auto"/>
      </w:divBdr>
      <w:divsChild>
        <w:div w:id="986058315">
          <w:marLeft w:val="0"/>
          <w:marRight w:val="0"/>
          <w:marTop w:val="0"/>
          <w:marBottom w:val="0"/>
          <w:divBdr>
            <w:top w:val="none" w:sz="0" w:space="0" w:color="auto"/>
            <w:left w:val="none" w:sz="0" w:space="0" w:color="auto"/>
            <w:bottom w:val="none" w:sz="0" w:space="0" w:color="auto"/>
            <w:right w:val="none" w:sz="0" w:space="0" w:color="auto"/>
          </w:divBdr>
        </w:div>
      </w:divsChild>
    </w:div>
    <w:div w:id="1727099524">
      <w:bodyDiv w:val="1"/>
      <w:marLeft w:val="0"/>
      <w:marRight w:val="0"/>
      <w:marTop w:val="0"/>
      <w:marBottom w:val="0"/>
      <w:divBdr>
        <w:top w:val="none" w:sz="0" w:space="0" w:color="auto"/>
        <w:left w:val="none" w:sz="0" w:space="0" w:color="auto"/>
        <w:bottom w:val="none" w:sz="0" w:space="0" w:color="auto"/>
        <w:right w:val="none" w:sz="0" w:space="0" w:color="auto"/>
      </w:divBdr>
    </w:div>
    <w:div w:id="1758940949">
      <w:bodyDiv w:val="1"/>
      <w:marLeft w:val="0"/>
      <w:marRight w:val="0"/>
      <w:marTop w:val="0"/>
      <w:marBottom w:val="0"/>
      <w:divBdr>
        <w:top w:val="none" w:sz="0" w:space="0" w:color="auto"/>
        <w:left w:val="none" w:sz="0" w:space="0" w:color="auto"/>
        <w:bottom w:val="none" w:sz="0" w:space="0" w:color="auto"/>
        <w:right w:val="none" w:sz="0" w:space="0" w:color="auto"/>
      </w:divBdr>
    </w:div>
    <w:div w:id="1898937027">
      <w:bodyDiv w:val="1"/>
      <w:marLeft w:val="0"/>
      <w:marRight w:val="0"/>
      <w:marTop w:val="0"/>
      <w:marBottom w:val="0"/>
      <w:divBdr>
        <w:top w:val="none" w:sz="0" w:space="0" w:color="auto"/>
        <w:left w:val="none" w:sz="0" w:space="0" w:color="auto"/>
        <w:bottom w:val="none" w:sz="0" w:space="0" w:color="auto"/>
        <w:right w:val="none" w:sz="0" w:space="0" w:color="auto"/>
      </w:divBdr>
      <w:divsChild>
        <w:div w:id="882837610">
          <w:marLeft w:val="0"/>
          <w:marRight w:val="0"/>
          <w:marTop w:val="0"/>
          <w:marBottom w:val="0"/>
          <w:divBdr>
            <w:top w:val="none" w:sz="0" w:space="0" w:color="auto"/>
            <w:left w:val="none" w:sz="0" w:space="0" w:color="auto"/>
            <w:bottom w:val="none" w:sz="0" w:space="0" w:color="auto"/>
            <w:right w:val="none" w:sz="0" w:space="0" w:color="auto"/>
          </w:divBdr>
        </w:div>
        <w:div w:id="1251113390">
          <w:marLeft w:val="0"/>
          <w:marRight w:val="0"/>
          <w:marTop w:val="0"/>
          <w:marBottom w:val="0"/>
          <w:divBdr>
            <w:top w:val="none" w:sz="0" w:space="0" w:color="auto"/>
            <w:left w:val="none" w:sz="0" w:space="0" w:color="auto"/>
            <w:bottom w:val="none" w:sz="0" w:space="0" w:color="auto"/>
            <w:right w:val="none" w:sz="0" w:space="0" w:color="auto"/>
          </w:divBdr>
        </w:div>
        <w:div w:id="1656950179">
          <w:marLeft w:val="0"/>
          <w:marRight w:val="0"/>
          <w:marTop w:val="0"/>
          <w:marBottom w:val="0"/>
          <w:divBdr>
            <w:top w:val="none" w:sz="0" w:space="0" w:color="auto"/>
            <w:left w:val="none" w:sz="0" w:space="0" w:color="auto"/>
            <w:bottom w:val="none" w:sz="0" w:space="0" w:color="auto"/>
            <w:right w:val="none" w:sz="0" w:space="0" w:color="auto"/>
          </w:divBdr>
          <w:divsChild>
            <w:div w:id="1169562796">
              <w:marLeft w:val="480"/>
              <w:marRight w:val="0"/>
              <w:marTop w:val="0"/>
              <w:marBottom w:val="0"/>
              <w:divBdr>
                <w:top w:val="none" w:sz="0" w:space="0" w:color="auto"/>
                <w:left w:val="none" w:sz="0" w:space="0" w:color="auto"/>
                <w:bottom w:val="none" w:sz="0" w:space="0" w:color="auto"/>
                <w:right w:val="none" w:sz="0" w:space="0" w:color="auto"/>
              </w:divBdr>
            </w:div>
            <w:div w:id="2067486328">
              <w:marLeft w:val="480"/>
              <w:marRight w:val="0"/>
              <w:marTop w:val="0"/>
              <w:marBottom w:val="0"/>
              <w:divBdr>
                <w:top w:val="none" w:sz="0" w:space="0" w:color="auto"/>
                <w:left w:val="none" w:sz="0" w:space="0" w:color="auto"/>
                <w:bottom w:val="none" w:sz="0" w:space="0" w:color="auto"/>
                <w:right w:val="none" w:sz="0" w:space="0" w:color="auto"/>
              </w:divBdr>
            </w:div>
          </w:divsChild>
        </w:div>
        <w:div w:id="572089130">
          <w:marLeft w:val="0"/>
          <w:marRight w:val="0"/>
          <w:marTop w:val="0"/>
          <w:marBottom w:val="0"/>
          <w:divBdr>
            <w:top w:val="none" w:sz="0" w:space="0" w:color="auto"/>
            <w:left w:val="none" w:sz="0" w:space="0" w:color="auto"/>
            <w:bottom w:val="none" w:sz="0" w:space="0" w:color="auto"/>
            <w:right w:val="none" w:sz="0" w:space="0" w:color="auto"/>
          </w:divBdr>
        </w:div>
        <w:div w:id="2024551414">
          <w:marLeft w:val="0"/>
          <w:marRight w:val="0"/>
          <w:marTop w:val="0"/>
          <w:marBottom w:val="0"/>
          <w:divBdr>
            <w:top w:val="none" w:sz="0" w:space="0" w:color="auto"/>
            <w:left w:val="none" w:sz="0" w:space="0" w:color="auto"/>
            <w:bottom w:val="none" w:sz="0" w:space="0" w:color="auto"/>
            <w:right w:val="none" w:sz="0" w:space="0" w:color="auto"/>
          </w:divBdr>
        </w:div>
        <w:div w:id="1904099230">
          <w:marLeft w:val="0"/>
          <w:marRight w:val="0"/>
          <w:marTop w:val="0"/>
          <w:marBottom w:val="0"/>
          <w:divBdr>
            <w:top w:val="none" w:sz="0" w:space="0" w:color="auto"/>
            <w:left w:val="none" w:sz="0" w:space="0" w:color="auto"/>
            <w:bottom w:val="none" w:sz="0" w:space="0" w:color="auto"/>
            <w:right w:val="none" w:sz="0" w:space="0" w:color="auto"/>
          </w:divBdr>
        </w:div>
        <w:div w:id="964429977">
          <w:marLeft w:val="0"/>
          <w:marRight w:val="0"/>
          <w:marTop w:val="0"/>
          <w:marBottom w:val="0"/>
          <w:divBdr>
            <w:top w:val="none" w:sz="0" w:space="0" w:color="auto"/>
            <w:left w:val="none" w:sz="0" w:space="0" w:color="auto"/>
            <w:bottom w:val="none" w:sz="0" w:space="0" w:color="auto"/>
            <w:right w:val="none" w:sz="0" w:space="0" w:color="auto"/>
          </w:divBdr>
        </w:div>
      </w:divsChild>
    </w:div>
    <w:div w:id="190397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24F9-CEFD-445D-AE1A-72E36824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3858</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 McDonough</dc:creator>
  <cp:keywords/>
  <dc:description/>
  <cp:lastModifiedBy>Sarah M Adamson</cp:lastModifiedBy>
  <cp:revision>4</cp:revision>
  <cp:lastPrinted>2025-01-07T21:21:00Z</cp:lastPrinted>
  <dcterms:created xsi:type="dcterms:W3CDTF">2026-06-05T18:15:00Z</dcterms:created>
  <dcterms:modified xsi:type="dcterms:W3CDTF">2026-06-16T17:34:00Z</dcterms:modified>
</cp:coreProperties>
</file>