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1F210" w14:textId="77777777" w:rsidR="005447C5" w:rsidRDefault="005447C5" w:rsidP="005447C5">
      <w:pPr>
        <w:jc w:val="center"/>
        <w:rPr>
          <w:b/>
          <w:bCs/>
          <w:sz w:val="28"/>
          <w:szCs w:val="28"/>
        </w:rPr>
      </w:pPr>
    </w:p>
    <w:p w14:paraId="73100DB3" w14:textId="139D2826" w:rsidR="005447C5" w:rsidRPr="00657663" w:rsidRDefault="005447C5" w:rsidP="005447C5">
      <w:pPr>
        <w:jc w:val="center"/>
        <w:rPr>
          <w:b/>
          <w:bCs/>
          <w:sz w:val="28"/>
          <w:szCs w:val="28"/>
        </w:rPr>
      </w:pPr>
      <w:r w:rsidRPr="00657663">
        <w:rPr>
          <w:b/>
          <w:bCs/>
          <w:sz w:val="28"/>
          <w:szCs w:val="28"/>
        </w:rPr>
        <w:t>POSSESSION OF</w:t>
      </w:r>
      <w:r w:rsidR="00020E08">
        <w:rPr>
          <w:b/>
          <w:bCs/>
          <w:sz w:val="28"/>
          <w:szCs w:val="28"/>
        </w:rPr>
        <w:t xml:space="preserve"> FIREARM IN A PROHIBITED AREA</w:t>
      </w:r>
    </w:p>
    <w:p w14:paraId="49EA8D94" w14:textId="77777777" w:rsidR="005447C5" w:rsidRPr="00657663" w:rsidRDefault="005447C5" w:rsidP="005447C5">
      <w:pPr>
        <w:jc w:val="center"/>
        <w:rPr>
          <w:b/>
          <w:bCs/>
        </w:rPr>
      </w:pPr>
    </w:p>
    <w:p w14:paraId="464642DA" w14:textId="209A9F96" w:rsidR="005447C5" w:rsidRPr="00657663" w:rsidRDefault="005447C5" w:rsidP="005447C5">
      <w:pPr>
        <w:jc w:val="center"/>
      </w:pPr>
      <w:r w:rsidRPr="00657663">
        <w:t>G.L. c. 269, § 10(</w:t>
      </w:r>
      <w:r w:rsidR="00E26713">
        <w:t>k</w:t>
      </w:r>
      <w:r w:rsidRPr="00657663">
        <w:t>)</w:t>
      </w:r>
    </w:p>
    <w:p w14:paraId="107F881B" w14:textId="77777777" w:rsidR="005447C5" w:rsidRDefault="005447C5" w:rsidP="005447C5"/>
    <w:p w14:paraId="07951E4C" w14:textId="106E2364" w:rsidR="005447C5" w:rsidRDefault="005447C5" w:rsidP="00D44B74">
      <w:pPr>
        <w:pStyle w:val="BodyText"/>
        <w:kinsoku w:val="0"/>
        <w:overflowPunct w:val="0"/>
        <w:spacing w:line="480" w:lineRule="auto"/>
        <w:ind w:firstLine="720"/>
      </w:pPr>
      <w:r>
        <w:t xml:space="preserve">The defendant is charged with unlawfully possessing </w:t>
      </w:r>
      <w:r w:rsidR="00020E08">
        <w:t>a firearm in a prohibited area</w:t>
      </w:r>
      <w:r>
        <w:t xml:space="preserve">.  To prove the defendant guilty of this offense, the Commonwealth must prove </w:t>
      </w:r>
      <w:r w:rsidR="0029488C">
        <w:t xml:space="preserve">five </w:t>
      </w:r>
      <w:r>
        <w:t>things beyond a reasonable doubt:</w:t>
      </w:r>
    </w:p>
    <w:p w14:paraId="7EB7FCB5" w14:textId="77777777" w:rsidR="005447C5" w:rsidRDefault="005447C5" w:rsidP="00D44B74">
      <w:pPr>
        <w:pStyle w:val="BodyText"/>
        <w:kinsoku w:val="0"/>
        <w:overflowPunct w:val="0"/>
        <w:spacing w:before="8" w:line="480" w:lineRule="auto"/>
        <w:ind w:firstLine="720"/>
      </w:pPr>
      <w:r>
        <w:rPr>
          <w:i/>
          <w:iCs/>
        </w:rPr>
        <w:t xml:space="preserve">First:  </w:t>
      </w:r>
      <w:r>
        <w:t>That the defendant possessed an item;</w:t>
      </w:r>
    </w:p>
    <w:p w14:paraId="7366A74F" w14:textId="42C49F4F" w:rsidR="005447C5" w:rsidRDefault="005447C5" w:rsidP="00D44B74">
      <w:pPr>
        <w:pStyle w:val="BodyText"/>
        <w:kinsoku w:val="0"/>
        <w:overflowPunct w:val="0"/>
        <w:spacing w:before="1" w:line="480" w:lineRule="auto"/>
        <w:ind w:firstLine="720"/>
      </w:pPr>
      <w:r>
        <w:rPr>
          <w:i/>
          <w:iCs/>
        </w:rPr>
        <w:t xml:space="preserve">Second:  </w:t>
      </w:r>
      <w:r>
        <w:t xml:space="preserve">That the item </w:t>
      </w:r>
      <w:r w:rsidR="00433DE3">
        <w:t>met the legal definition of a firearm</w:t>
      </w:r>
      <w:r>
        <w:t xml:space="preserve">; </w:t>
      </w:r>
    </w:p>
    <w:p w14:paraId="04A1AF8D" w14:textId="20CA52D0" w:rsidR="00C4135F" w:rsidRDefault="005447C5" w:rsidP="00D44B74">
      <w:pPr>
        <w:spacing w:line="480" w:lineRule="auto"/>
        <w:ind w:firstLine="720"/>
        <w:rPr>
          <w:b/>
          <w:bCs/>
          <w:sz w:val="28"/>
          <w:szCs w:val="28"/>
        </w:rPr>
      </w:pPr>
      <w:r w:rsidRPr="00657663">
        <w:rPr>
          <w:b/>
          <w:bCs/>
          <w:i/>
          <w:iCs/>
          <w:sz w:val="28"/>
          <w:szCs w:val="28"/>
        </w:rPr>
        <w:t xml:space="preserve">Third: </w:t>
      </w:r>
      <w:r w:rsidRPr="00657663">
        <w:rPr>
          <w:b/>
          <w:bCs/>
          <w:sz w:val="28"/>
          <w:szCs w:val="28"/>
        </w:rPr>
        <w:t xml:space="preserve">That the defendant knew that they possessed that </w:t>
      </w:r>
      <w:r w:rsidR="00020E08">
        <w:rPr>
          <w:b/>
          <w:bCs/>
          <w:sz w:val="28"/>
          <w:szCs w:val="28"/>
        </w:rPr>
        <w:t>firearm</w:t>
      </w:r>
      <w:r w:rsidR="00C4135F">
        <w:rPr>
          <w:b/>
          <w:bCs/>
          <w:sz w:val="28"/>
          <w:szCs w:val="28"/>
        </w:rPr>
        <w:t xml:space="preserve">; </w:t>
      </w:r>
    </w:p>
    <w:p w14:paraId="221A335E" w14:textId="73D7B42B" w:rsidR="00020E08" w:rsidRDefault="00C4135F" w:rsidP="00020E08">
      <w:pPr>
        <w:spacing w:line="480" w:lineRule="auto"/>
        <w:ind w:firstLine="720"/>
        <w:rPr>
          <w:b/>
          <w:bCs/>
          <w:sz w:val="28"/>
          <w:szCs w:val="28"/>
        </w:rPr>
      </w:pPr>
      <w:r w:rsidRPr="00C4135F">
        <w:rPr>
          <w:b/>
          <w:bCs/>
          <w:i/>
          <w:iCs/>
          <w:sz w:val="28"/>
          <w:szCs w:val="28"/>
        </w:rPr>
        <w:t>Fourth</w:t>
      </w:r>
      <w:r w:rsidRPr="00657663">
        <w:rPr>
          <w:b/>
          <w:bCs/>
          <w:sz w:val="28"/>
          <w:szCs w:val="28"/>
        </w:rPr>
        <w:t xml:space="preserve">: That the defendant </w:t>
      </w:r>
      <w:r w:rsidR="00020E08">
        <w:rPr>
          <w:b/>
          <w:bCs/>
          <w:sz w:val="28"/>
          <w:szCs w:val="28"/>
        </w:rPr>
        <w:t>possessed that firearm in a prohibited area; and</w:t>
      </w:r>
    </w:p>
    <w:p w14:paraId="4511AC39" w14:textId="566F5031" w:rsidR="007142FD" w:rsidRPr="00020E08" w:rsidRDefault="00020E08" w:rsidP="00020E08">
      <w:pPr>
        <w:spacing w:line="480" w:lineRule="auto"/>
        <w:ind w:firstLine="720"/>
        <w:rPr>
          <w:b/>
          <w:bCs/>
          <w:sz w:val="28"/>
          <w:szCs w:val="28"/>
        </w:rPr>
      </w:pPr>
      <w:r w:rsidRPr="00020E08">
        <w:rPr>
          <w:b/>
          <w:bCs/>
          <w:i/>
          <w:iCs/>
          <w:sz w:val="28"/>
          <w:szCs w:val="28"/>
        </w:rPr>
        <w:t>Fifth</w:t>
      </w:r>
      <w:r>
        <w:rPr>
          <w:b/>
          <w:bCs/>
          <w:sz w:val="28"/>
          <w:szCs w:val="28"/>
        </w:rPr>
        <w:t>:</w:t>
      </w:r>
      <w:r>
        <w:rPr>
          <w:b/>
          <w:bCs/>
          <w:sz w:val="28"/>
          <w:szCs w:val="28"/>
        </w:rPr>
        <w:tab/>
        <w:t xml:space="preserve"> That </w:t>
      </w:r>
      <w:r w:rsidR="0029488C">
        <w:rPr>
          <w:b/>
          <w:bCs/>
          <w:sz w:val="28"/>
          <w:szCs w:val="28"/>
        </w:rPr>
        <w:t xml:space="preserve">the defendant knew or reasonably should </w:t>
      </w:r>
      <w:r>
        <w:rPr>
          <w:b/>
          <w:bCs/>
          <w:sz w:val="28"/>
          <w:szCs w:val="28"/>
        </w:rPr>
        <w:t xml:space="preserve">have known that </w:t>
      </w:r>
      <w:r w:rsidR="0029488C">
        <w:rPr>
          <w:b/>
          <w:bCs/>
          <w:sz w:val="28"/>
          <w:szCs w:val="28"/>
        </w:rPr>
        <w:t xml:space="preserve">the place </w:t>
      </w:r>
      <w:r>
        <w:rPr>
          <w:b/>
          <w:bCs/>
          <w:sz w:val="28"/>
          <w:szCs w:val="28"/>
        </w:rPr>
        <w:t>was a prohibited area</w:t>
      </w:r>
      <w:r w:rsidR="00C4135F" w:rsidRPr="00657663">
        <w:rPr>
          <w:b/>
          <w:bCs/>
          <w:sz w:val="28"/>
          <w:szCs w:val="28"/>
        </w:rPr>
        <w:t>.</w:t>
      </w:r>
    </w:p>
    <w:p w14:paraId="2642DC94" w14:textId="77777777" w:rsidR="005447C5" w:rsidRDefault="005447C5" w:rsidP="005447C5">
      <w:pPr>
        <w:rPr>
          <w:b/>
          <w:bCs/>
          <w:sz w:val="28"/>
          <w:szCs w:val="28"/>
        </w:rPr>
      </w:pPr>
    </w:p>
    <w:p w14:paraId="5AF7D3C1" w14:textId="570905C2" w:rsidR="005447C5" w:rsidRDefault="005447C5" w:rsidP="006D270B">
      <w:pPr>
        <w:spacing w:line="480" w:lineRule="auto"/>
        <w:ind w:firstLine="720"/>
        <w:rPr>
          <w:b/>
          <w:bCs/>
          <w:sz w:val="28"/>
          <w:szCs w:val="28"/>
        </w:rPr>
      </w:pPr>
      <w:r>
        <w:rPr>
          <w:b/>
          <w:bCs/>
          <w:sz w:val="28"/>
          <w:szCs w:val="28"/>
        </w:rPr>
        <w:t>To prove the first element, the Commonwealth must prove beyond a reasonable doubt that the defendant possessed an item.  What does it mean to posses</w:t>
      </w:r>
      <w:r w:rsidR="0017684A">
        <w:rPr>
          <w:b/>
          <w:bCs/>
          <w:sz w:val="28"/>
          <w:szCs w:val="28"/>
        </w:rPr>
        <w:t>s</w:t>
      </w:r>
      <w:r>
        <w:rPr>
          <w:b/>
          <w:bCs/>
          <w:sz w:val="28"/>
          <w:szCs w:val="28"/>
        </w:rPr>
        <w:t xml:space="preserve"> something?  A person obviously possesses something if they have direct physical control of it at a given time. </w:t>
      </w:r>
    </w:p>
    <w:p w14:paraId="1D8DE63D" w14:textId="77777777" w:rsidR="00657451" w:rsidRDefault="00657451" w:rsidP="006D270B">
      <w:pPr>
        <w:spacing w:line="480" w:lineRule="auto"/>
        <w:ind w:firstLine="720"/>
        <w:rPr>
          <w:b/>
          <w:bCs/>
          <w:sz w:val="28"/>
          <w:szCs w:val="28"/>
        </w:rPr>
      </w:pPr>
    </w:p>
    <w:p w14:paraId="432FD920" w14:textId="77777777" w:rsidR="00657451" w:rsidRPr="006D270B" w:rsidRDefault="00657451" w:rsidP="006D270B">
      <w:pPr>
        <w:spacing w:line="480" w:lineRule="auto"/>
        <w:ind w:firstLine="720"/>
        <w:rPr>
          <w:b/>
          <w:bCs/>
          <w:sz w:val="28"/>
          <w:szCs w:val="28"/>
        </w:rPr>
      </w:pPr>
    </w:p>
    <w:p w14:paraId="70836CCD" w14:textId="77777777" w:rsidR="005447C5" w:rsidRPr="008C5248" w:rsidRDefault="005447C5" w:rsidP="005447C5">
      <w:pPr>
        <w:ind w:firstLine="720"/>
        <w:rPr>
          <w:sz w:val="20"/>
          <w:szCs w:val="20"/>
        </w:rPr>
      </w:pPr>
    </w:p>
    <w:p w14:paraId="7CF1DE91" w14:textId="77777777" w:rsidR="005447C5" w:rsidRDefault="005447C5" w:rsidP="00B12FBA">
      <w:pPr>
        <w:pBdr>
          <w:left w:val="single" w:sz="4" w:space="4" w:color="auto"/>
          <w:right w:val="single" w:sz="4" w:space="4" w:color="auto"/>
        </w:pBdr>
        <w:ind w:left="720" w:right="720"/>
        <w:rPr>
          <w:i/>
          <w:iCs/>
          <w:sz w:val="28"/>
          <w:szCs w:val="28"/>
        </w:rPr>
      </w:pPr>
      <w:r w:rsidRPr="008C5248">
        <w:rPr>
          <w:i/>
          <w:iCs/>
          <w:bdr w:val="single" w:sz="4" w:space="0" w:color="auto"/>
        </w:rPr>
        <w:t>If defendant does not have physical control and/or the Commonwealth alleges constructive possession:</w:t>
      </w:r>
      <w:r w:rsidRPr="003D6573">
        <w:rPr>
          <w:i/>
          <w:iCs/>
          <w:sz w:val="28"/>
          <w:szCs w:val="28"/>
        </w:rPr>
        <w:t xml:space="preserve"> </w:t>
      </w:r>
    </w:p>
    <w:p w14:paraId="65F468AB" w14:textId="77777777" w:rsidR="005447C5" w:rsidRDefault="005447C5" w:rsidP="00B12FBA">
      <w:pPr>
        <w:pBdr>
          <w:left w:val="single" w:sz="4" w:space="4" w:color="auto"/>
          <w:right w:val="single" w:sz="4" w:space="4" w:color="auto"/>
        </w:pBdr>
        <w:ind w:left="720" w:right="720"/>
        <w:rPr>
          <w:i/>
          <w:iCs/>
          <w:sz w:val="28"/>
          <w:szCs w:val="28"/>
        </w:rPr>
      </w:pPr>
    </w:p>
    <w:p w14:paraId="47B79F09" w14:textId="62756EF5" w:rsidR="005447C5" w:rsidRDefault="00312534" w:rsidP="00B12FBA">
      <w:pPr>
        <w:pStyle w:val="ListParagraph"/>
        <w:numPr>
          <w:ilvl w:val="0"/>
          <w:numId w:val="1"/>
        </w:numPr>
        <w:pBdr>
          <w:left w:val="single" w:sz="4" w:space="31" w:color="auto"/>
          <w:right w:val="single" w:sz="4" w:space="4" w:color="auto"/>
        </w:pBdr>
        <w:spacing w:line="480" w:lineRule="auto"/>
        <w:ind w:left="1620" w:right="720"/>
        <w:rPr>
          <w:b/>
          <w:bCs/>
          <w:sz w:val="28"/>
          <w:szCs w:val="28"/>
        </w:rPr>
      </w:pPr>
      <w:r w:rsidRPr="00312534">
        <w:rPr>
          <w:b/>
          <w:bCs/>
          <w:sz w:val="28"/>
          <w:szCs w:val="28"/>
        </w:rPr>
        <w:t>A person also possesses an object without actual physical custody of it if they have</w:t>
      </w:r>
      <w:r w:rsidR="00433DE3">
        <w:rPr>
          <w:b/>
          <w:bCs/>
          <w:sz w:val="28"/>
          <w:szCs w:val="28"/>
        </w:rPr>
        <w:t xml:space="preserve"> </w:t>
      </w:r>
      <w:r w:rsidR="005447C5">
        <w:rPr>
          <w:b/>
          <w:bCs/>
          <w:sz w:val="28"/>
          <w:szCs w:val="28"/>
        </w:rPr>
        <w:t>knowledge of the object;</w:t>
      </w:r>
    </w:p>
    <w:p w14:paraId="6A5CE71F" w14:textId="77777777" w:rsidR="005447C5" w:rsidRDefault="005447C5" w:rsidP="00B12FBA">
      <w:pPr>
        <w:pStyle w:val="ListParagraph"/>
        <w:numPr>
          <w:ilvl w:val="0"/>
          <w:numId w:val="1"/>
        </w:numPr>
        <w:pBdr>
          <w:left w:val="single" w:sz="4" w:space="31" w:color="auto"/>
          <w:right w:val="single" w:sz="4" w:space="4" w:color="auto"/>
        </w:pBdr>
        <w:spacing w:line="480" w:lineRule="auto"/>
        <w:ind w:left="1620" w:right="720"/>
        <w:rPr>
          <w:b/>
          <w:bCs/>
          <w:sz w:val="28"/>
          <w:szCs w:val="28"/>
        </w:rPr>
      </w:pPr>
      <w:r>
        <w:rPr>
          <w:b/>
          <w:bCs/>
          <w:sz w:val="28"/>
          <w:szCs w:val="28"/>
        </w:rPr>
        <w:t>the ability to exercise control over that object, either directly or through another person; and</w:t>
      </w:r>
    </w:p>
    <w:p w14:paraId="091B7BB6" w14:textId="77777777" w:rsidR="005447C5" w:rsidRDefault="005447C5" w:rsidP="00B12FBA">
      <w:pPr>
        <w:pStyle w:val="ListParagraph"/>
        <w:numPr>
          <w:ilvl w:val="0"/>
          <w:numId w:val="1"/>
        </w:numPr>
        <w:pBdr>
          <w:left w:val="single" w:sz="4" w:space="31" w:color="auto"/>
          <w:right w:val="single" w:sz="4" w:space="4" w:color="auto"/>
        </w:pBdr>
        <w:spacing w:line="480" w:lineRule="auto"/>
        <w:ind w:left="1620" w:right="720"/>
        <w:rPr>
          <w:b/>
          <w:bCs/>
          <w:sz w:val="28"/>
          <w:szCs w:val="28"/>
        </w:rPr>
      </w:pPr>
      <w:r>
        <w:rPr>
          <w:b/>
          <w:bCs/>
          <w:sz w:val="28"/>
          <w:szCs w:val="28"/>
        </w:rPr>
        <w:t>the intent to exercise control over the object.</w:t>
      </w:r>
    </w:p>
    <w:p w14:paraId="7B704D21" w14:textId="5C566F70" w:rsidR="0017684A" w:rsidRDefault="005447C5" w:rsidP="00B12FBA">
      <w:pPr>
        <w:pBdr>
          <w:left w:val="single" w:sz="4" w:space="4" w:color="auto"/>
          <w:right w:val="single" w:sz="4" w:space="4" w:color="auto"/>
        </w:pBdr>
        <w:spacing w:line="480" w:lineRule="auto"/>
        <w:ind w:left="720" w:right="720" w:firstLine="720"/>
        <w:rPr>
          <w:b/>
          <w:bCs/>
          <w:sz w:val="28"/>
          <w:szCs w:val="28"/>
        </w:rPr>
      </w:pPr>
      <w:r>
        <w:rPr>
          <w:b/>
          <w:bCs/>
          <w:sz w:val="28"/>
          <w:szCs w:val="28"/>
        </w:rPr>
        <w:t>For example, the law considers you to be in possession of things which you keep (in your bureau drawer at home) (in a safe deposit box at your bank).</w:t>
      </w:r>
      <w:r w:rsidR="001D7330" w:rsidDel="001D7330">
        <w:rPr>
          <w:b/>
          <w:bCs/>
          <w:sz w:val="28"/>
          <w:szCs w:val="28"/>
        </w:rPr>
        <w:t xml:space="preserve"> </w:t>
      </w:r>
    </w:p>
    <w:p w14:paraId="1FB94199" w14:textId="725BA471" w:rsidR="005447C5" w:rsidRDefault="005447C5" w:rsidP="00B12FBA">
      <w:pPr>
        <w:pBdr>
          <w:left w:val="single" w:sz="4" w:space="4" w:color="auto"/>
          <w:right w:val="single" w:sz="4" w:space="4" w:color="auto"/>
        </w:pBdr>
        <w:spacing w:line="480" w:lineRule="auto"/>
        <w:ind w:left="720" w:right="720" w:firstLine="720"/>
        <w:rPr>
          <w:b/>
          <w:bCs/>
          <w:sz w:val="28"/>
          <w:szCs w:val="28"/>
        </w:rPr>
      </w:pPr>
      <w:r>
        <w:rPr>
          <w:b/>
          <w:bCs/>
          <w:sz w:val="28"/>
          <w:szCs w:val="28"/>
        </w:rPr>
        <w:t xml:space="preserve">Whether the defendant possessed an item is something that you must determine from all the </w:t>
      </w:r>
      <w:r w:rsidR="00561DB9">
        <w:rPr>
          <w:b/>
          <w:bCs/>
          <w:sz w:val="28"/>
          <w:szCs w:val="28"/>
        </w:rPr>
        <w:t xml:space="preserve">evidence </w:t>
      </w:r>
      <w:r>
        <w:rPr>
          <w:b/>
          <w:bCs/>
          <w:sz w:val="28"/>
          <w:szCs w:val="28"/>
        </w:rPr>
        <w:t xml:space="preserve">and any reasonable inferences that you may draw from the </w:t>
      </w:r>
      <w:r w:rsidR="00561DB9">
        <w:rPr>
          <w:b/>
          <w:bCs/>
          <w:sz w:val="28"/>
          <w:szCs w:val="28"/>
        </w:rPr>
        <w:t>evidence</w:t>
      </w:r>
      <w:r>
        <w:rPr>
          <w:b/>
          <w:bCs/>
          <w:sz w:val="28"/>
          <w:szCs w:val="28"/>
        </w:rPr>
        <w:t>.  I caution you to remember that merely being present in the vicinity of an item, even if one knows that it is there, does not amount to possession.</w:t>
      </w:r>
    </w:p>
    <w:p w14:paraId="21163DC3" w14:textId="06327253" w:rsidR="005447C5" w:rsidRDefault="006D0875" w:rsidP="00B12FBA">
      <w:pPr>
        <w:pBdr>
          <w:left w:val="single" w:sz="4" w:space="4" w:color="auto"/>
          <w:right w:val="single" w:sz="4" w:space="4" w:color="auto"/>
        </w:pBdr>
        <w:ind w:left="720" w:right="720"/>
        <w:rPr>
          <w:sz w:val="20"/>
          <w:szCs w:val="20"/>
        </w:rPr>
      </w:pPr>
      <w:r w:rsidRPr="0006620E">
        <w:rPr>
          <w:sz w:val="20"/>
          <w:szCs w:val="20"/>
        </w:rPr>
        <w:t xml:space="preserve">Where the issue is constructive possession rather than actual physical possession, the Commonwealth must prove that “in addition to knowledge and the ability to exercise control over the firearm, the defendant must have the intention to do so.” </w:t>
      </w:r>
      <w:r w:rsidRPr="00E43B56">
        <w:rPr>
          <w:i/>
          <w:iCs/>
          <w:sz w:val="20"/>
          <w:szCs w:val="20"/>
        </w:rPr>
        <w:t>Commonwealth</w:t>
      </w:r>
      <w:r w:rsidRPr="0006620E">
        <w:rPr>
          <w:sz w:val="20"/>
          <w:szCs w:val="20"/>
        </w:rPr>
        <w:t xml:space="preserve"> v. </w:t>
      </w:r>
      <w:r w:rsidRPr="00E43B56">
        <w:rPr>
          <w:i/>
          <w:iCs/>
          <w:sz w:val="20"/>
          <w:szCs w:val="20"/>
        </w:rPr>
        <w:t>Costa</w:t>
      </w:r>
      <w:r w:rsidRPr="0006620E">
        <w:rPr>
          <w:sz w:val="20"/>
          <w:szCs w:val="20"/>
        </w:rPr>
        <w:t>, 65 Mass. App. Ct. 227</w:t>
      </w:r>
      <w:r>
        <w:rPr>
          <w:sz w:val="20"/>
          <w:szCs w:val="20"/>
        </w:rPr>
        <w:t xml:space="preserve">, 234 </w:t>
      </w:r>
      <w:r w:rsidRPr="0006620E">
        <w:rPr>
          <w:sz w:val="20"/>
          <w:szCs w:val="20"/>
        </w:rPr>
        <w:t>(2005)</w:t>
      </w:r>
      <w:r>
        <w:rPr>
          <w:sz w:val="20"/>
          <w:szCs w:val="20"/>
        </w:rPr>
        <w:t xml:space="preserve">, citing </w:t>
      </w:r>
      <w:r w:rsidRPr="00E43B56">
        <w:rPr>
          <w:i/>
          <w:iCs/>
          <w:sz w:val="20"/>
          <w:szCs w:val="20"/>
        </w:rPr>
        <w:t>Commonwealth</w:t>
      </w:r>
      <w:r w:rsidRPr="0006620E">
        <w:rPr>
          <w:sz w:val="20"/>
          <w:szCs w:val="20"/>
        </w:rPr>
        <w:t xml:space="preserve"> v. </w:t>
      </w:r>
      <w:r w:rsidRPr="00E43B56">
        <w:rPr>
          <w:i/>
          <w:iCs/>
          <w:sz w:val="20"/>
          <w:szCs w:val="20"/>
        </w:rPr>
        <w:t>Sann</w:t>
      </w:r>
      <w:r w:rsidRPr="0006620E">
        <w:rPr>
          <w:sz w:val="20"/>
          <w:szCs w:val="20"/>
        </w:rPr>
        <w:t xml:space="preserve"> </w:t>
      </w:r>
      <w:r w:rsidRPr="005D7A8A">
        <w:rPr>
          <w:i/>
          <w:iCs/>
          <w:sz w:val="20"/>
          <w:szCs w:val="20"/>
        </w:rPr>
        <w:t>Than</w:t>
      </w:r>
      <w:r w:rsidRPr="0006620E">
        <w:rPr>
          <w:sz w:val="20"/>
          <w:szCs w:val="20"/>
        </w:rPr>
        <w:t>, 442 Mass. 748</w:t>
      </w:r>
      <w:r>
        <w:rPr>
          <w:sz w:val="20"/>
          <w:szCs w:val="20"/>
        </w:rPr>
        <w:t>, 755</w:t>
      </w:r>
      <w:r w:rsidRPr="0006620E">
        <w:rPr>
          <w:sz w:val="20"/>
          <w:szCs w:val="20"/>
        </w:rPr>
        <w:t xml:space="preserve"> (2004).</w:t>
      </w:r>
      <w:r w:rsidR="00401C95">
        <w:rPr>
          <w:sz w:val="20"/>
          <w:szCs w:val="20"/>
        </w:rPr>
        <w:t xml:space="preserve">  See also note 5.</w:t>
      </w:r>
    </w:p>
    <w:p w14:paraId="43C386CC" w14:textId="77777777" w:rsidR="006D0875" w:rsidRDefault="006D0875" w:rsidP="00B12FBA">
      <w:pPr>
        <w:pBdr>
          <w:left w:val="single" w:sz="4" w:space="4" w:color="auto"/>
          <w:right w:val="single" w:sz="4" w:space="4" w:color="auto"/>
        </w:pBdr>
        <w:ind w:left="720" w:right="720"/>
        <w:rPr>
          <w:b/>
          <w:bCs/>
          <w:sz w:val="28"/>
          <w:szCs w:val="28"/>
        </w:rPr>
      </w:pPr>
    </w:p>
    <w:p w14:paraId="0A44B379" w14:textId="77777777" w:rsidR="00657451" w:rsidRDefault="00657451" w:rsidP="00B12FBA">
      <w:pPr>
        <w:pBdr>
          <w:left w:val="single" w:sz="4" w:space="4" w:color="auto"/>
          <w:right w:val="single" w:sz="4" w:space="4" w:color="auto"/>
        </w:pBdr>
        <w:ind w:left="720" w:right="720"/>
        <w:rPr>
          <w:b/>
          <w:bCs/>
          <w:sz w:val="28"/>
          <w:szCs w:val="28"/>
        </w:rPr>
      </w:pPr>
    </w:p>
    <w:p w14:paraId="6D4C17A3" w14:textId="555EC6BD" w:rsidR="005447C5" w:rsidRPr="008C5248" w:rsidRDefault="005447C5" w:rsidP="00B12FBA">
      <w:pPr>
        <w:pBdr>
          <w:left w:val="single" w:sz="4" w:space="4" w:color="auto"/>
          <w:right w:val="single" w:sz="4" w:space="4" w:color="auto"/>
        </w:pBdr>
        <w:spacing w:line="480" w:lineRule="auto"/>
        <w:ind w:left="720" w:right="720"/>
        <w:rPr>
          <w:b/>
          <w:bCs/>
        </w:rPr>
      </w:pPr>
      <w:r w:rsidRPr="008C5248">
        <w:rPr>
          <w:i/>
          <w:iCs/>
          <w:bdr w:val="single" w:sz="4" w:space="0" w:color="auto"/>
        </w:rPr>
        <w:lastRenderedPageBreak/>
        <w:t xml:space="preserve">Instruction on guilt by </w:t>
      </w:r>
      <w:r>
        <w:rPr>
          <w:i/>
          <w:iCs/>
          <w:bdr w:val="single" w:sz="4" w:space="0" w:color="auto"/>
        </w:rPr>
        <w:t>association</w:t>
      </w:r>
      <w:r w:rsidR="00CE4618">
        <w:rPr>
          <w:i/>
          <w:iCs/>
          <w:bdr w:val="single" w:sz="4" w:space="0" w:color="auto"/>
        </w:rPr>
        <w:t>.</w:t>
      </w:r>
      <w:r w:rsidRPr="008C5248">
        <w:rPr>
          <w:b/>
          <w:bCs/>
        </w:rPr>
        <w:tab/>
      </w:r>
    </w:p>
    <w:p w14:paraId="646837B4" w14:textId="6EB64524" w:rsidR="006D270B" w:rsidRPr="006D270B" w:rsidRDefault="00F807AC" w:rsidP="00B12FBA">
      <w:pPr>
        <w:pBdr>
          <w:left w:val="single" w:sz="4" w:space="4" w:color="auto"/>
          <w:right w:val="single" w:sz="4" w:space="4" w:color="auto"/>
        </w:pBdr>
        <w:spacing w:line="480" w:lineRule="auto"/>
        <w:ind w:left="720" w:right="720" w:firstLine="720"/>
        <w:rPr>
          <w:b/>
          <w:bCs/>
          <w:sz w:val="28"/>
          <w:szCs w:val="28"/>
        </w:rPr>
      </w:pPr>
      <w:r>
        <w:rPr>
          <w:b/>
          <w:bCs/>
          <w:sz w:val="28"/>
          <w:szCs w:val="28"/>
        </w:rPr>
        <w:t>P</w:t>
      </w:r>
      <w:r w:rsidR="005447C5">
        <w:rPr>
          <w:b/>
          <w:bCs/>
          <w:sz w:val="28"/>
          <w:szCs w:val="28"/>
        </w:rPr>
        <w:t xml:space="preserve">ossession </w:t>
      </w:r>
      <w:r>
        <w:rPr>
          <w:b/>
          <w:bCs/>
          <w:sz w:val="28"/>
          <w:szCs w:val="28"/>
        </w:rPr>
        <w:t xml:space="preserve">is not </w:t>
      </w:r>
      <w:r w:rsidR="005447C5">
        <w:rPr>
          <w:b/>
          <w:bCs/>
          <w:sz w:val="28"/>
          <w:szCs w:val="28"/>
        </w:rPr>
        <w:t>proved simply because the defendant was associat</w:t>
      </w:r>
      <w:r>
        <w:rPr>
          <w:b/>
          <w:bCs/>
          <w:sz w:val="28"/>
          <w:szCs w:val="28"/>
        </w:rPr>
        <w:t>ed</w:t>
      </w:r>
      <w:r w:rsidR="005447C5">
        <w:rPr>
          <w:b/>
          <w:bCs/>
          <w:sz w:val="28"/>
          <w:szCs w:val="28"/>
        </w:rPr>
        <w:t xml:space="preserve"> with a person who controlled the item or the property where it was found.  </w:t>
      </w:r>
    </w:p>
    <w:p w14:paraId="6B58EE41" w14:textId="77777777" w:rsidR="00CE4618" w:rsidRDefault="006D270B" w:rsidP="00B12FBA">
      <w:pPr>
        <w:pBdr>
          <w:left w:val="single" w:sz="4" w:space="4" w:color="auto"/>
          <w:right w:val="single" w:sz="4" w:space="4" w:color="auto"/>
        </w:pBdr>
        <w:spacing w:line="480" w:lineRule="auto"/>
        <w:ind w:left="720" w:right="720"/>
        <w:rPr>
          <w:b/>
          <w:bCs/>
          <w:sz w:val="28"/>
          <w:szCs w:val="28"/>
        </w:rPr>
      </w:pPr>
      <w:r w:rsidRPr="008301C6">
        <w:rPr>
          <w:i/>
          <w:iCs/>
          <w:bdr w:val="single" w:sz="4" w:space="0" w:color="auto"/>
        </w:rPr>
        <w:t>Mere presence is not enough.</w:t>
      </w:r>
      <w:r>
        <w:rPr>
          <w:b/>
          <w:bCs/>
          <w:sz w:val="28"/>
          <w:szCs w:val="28"/>
        </w:rPr>
        <w:t xml:space="preserve">  </w:t>
      </w:r>
    </w:p>
    <w:p w14:paraId="0D2DE264" w14:textId="40D48F40" w:rsidR="006D270B" w:rsidRPr="008301C6" w:rsidRDefault="006D270B" w:rsidP="00B12FBA">
      <w:pPr>
        <w:pBdr>
          <w:left w:val="single" w:sz="4" w:space="4" w:color="auto"/>
          <w:right w:val="single" w:sz="4" w:space="4" w:color="auto"/>
        </w:pBdr>
        <w:tabs>
          <w:tab w:val="left" w:pos="9180"/>
        </w:tabs>
        <w:spacing w:line="480" w:lineRule="auto"/>
        <w:ind w:left="720" w:right="720" w:firstLine="720"/>
        <w:rPr>
          <w:sz w:val="20"/>
          <w:szCs w:val="20"/>
        </w:rPr>
      </w:pPr>
      <w:r w:rsidRPr="008301C6">
        <w:rPr>
          <w:b/>
          <w:bCs/>
          <w:sz w:val="28"/>
          <w:szCs w:val="28"/>
        </w:rPr>
        <w:t xml:space="preserve">Merely being present </w:t>
      </w:r>
      <w:r>
        <w:rPr>
          <w:b/>
          <w:bCs/>
          <w:sz w:val="28"/>
          <w:szCs w:val="28"/>
        </w:rPr>
        <w:t>where</w:t>
      </w:r>
      <w:r w:rsidRPr="008301C6">
        <w:rPr>
          <w:b/>
          <w:bCs/>
          <w:sz w:val="28"/>
          <w:szCs w:val="28"/>
        </w:rPr>
        <w:t xml:space="preserve"> </w:t>
      </w:r>
      <w:r w:rsidR="004D7D1D">
        <w:rPr>
          <w:b/>
          <w:bCs/>
          <w:sz w:val="28"/>
          <w:szCs w:val="28"/>
        </w:rPr>
        <w:t xml:space="preserve">firearm </w:t>
      </w:r>
      <w:r w:rsidRPr="008301C6">
        <w:rPr>
          <w:b/>
          <w:bCs/>
          <w:sz w:val="28"/>
          <w:szCs w:val="28"/>
        </w:rPr>
        <w:t xml:space="preserve">is found is not sufficient by itself to permit an inference that the person knew about the presence of the </w:t>
      </w:r>
      <w:r w:rsidR="004D7D1D">
        <w:rPr>
          <w:b/>
          <w:bCs/>
          <w:sz w:val="28"/>
          <w:szCs w:val="28"/>
        </w:rPr>
        <w:t>firearm</w:t>
      </w:r>
      <w:r w:rsidR="00561DB9">
        <w:rPr>
          <w:b/>
          <w:bCs/>
          <w:sz w:val="28"/>
          <w:szCs w:val="28"/>
        </w:rPr>
        <w:t xml:space="preserve"> </w:t>
      </w:r>
      <w:r w:rsidRPr="008301C6">
        <w:rPr>
          <w:b/>
          <w:bCs/>
          <w:sz w:val="28"/>
          <w:szCs w:val="28"/>
        </w:rPr>
        <w:t xml:space="preserve">without other indications of knowledge.  Further, being present where </w:t>
      </w:r>
      <w:r w:rsidR="004D7D1D">
        <w:rPr>
          <w:b/>
          <w:bCs/>
          <w:sz w:val="28"/>
          <w:szCs w:val="28"/>
        </w:rPr>
        <w:t>a firearm</w:t>
      </w:r>
      <w:r w:rsidR="00561DB9">
        <w:rPr>
          <w:b/>
          <w:bCs/>
          <w:sz w:val="28"/>
          <w:szCs w:val="28"/>
        </w:rPr>
        <w:t xml:space="preserve"> </w:t>
      </w:r>
      <w:r w:rsidRPr="008301C6">
        <w:rPr>
          <w:b/>
          <w:bCs/>
          <w:sz w:val="28"/>
          <w:szCs w:val="28"/>
        </w:rPr>
        <w:t xml:space="preserve">is found, even with evidence that the defendant knew about the </w:t>
      </w:r>
      <w:r w:rsidR="004D7D1D">
        <w:rPr>
          <w:b/>
          <w:bCs/>
          <w:sz w:val="28"/>
          <w:szCs w:val="28"/>
        </w:rPr>
        <w:t>firearm</w:t>
      </w:r>
      <w:r w:rsidRPr="008301C6">
        <w:rPr>
          <w:b/>
          <w:bCs/>
          <w:sz w:val="28"/>
          <w:szCs w:val="28"/>
        </w:rPr>
        <w:t xml:space="preserve">, is not sufficient to prove possession, without evidence of </w:t>
      </w:r>
      <w:r w:rsidR="0035782D">
        <w:rPr>
          <w:b/>
          <w:bCs/>
          <w:sz w:val="28"/>
          <w:szCs w:val="28"/>
        </w:rPr>
        <w:t xml:space="preserve">an </w:t>
      </w:r>
      <w:r w:rsidRPr="008301C6">
        <w:rPr>
          <w:b/>
          <w:bCs/>
          <w:sz w:val="28"/>
          <w:szCs w:val="28"/>
        </w:rPr>
        <w:t xml:space="preserve">intent to control that </w:t>
      </w:r>
      <w:r w:rsidR="004D7D1D">
        <w:rPr>
          <w:b/>
          <w:bCs/>
          <w:sz w:val="28"/>
          <w:szCs w:val="28"/>
        </w:rPr>
        <w:t>firearm</w:t>
      </w:r>
      <w:r w:rsidRPr="008301C6">
        <w:rPr>
          <w:b/>
          <w:bCs/>
          <w:sz w:val="28"/>
          <w:szCs w:val="28"/>
        </w:rPr>
        <w:t xml:space="preserve">. </w:t>
      </w:r>
    </w:p>
    <w:p w14:paraId="11F3D013" w14:textId="0C5D96C9" w:rsidR="00457939" w:rsidRDefault="00457939" w:rsidP="00B12FBA">
      <w:pPr>
        <w:pBdr>
          <w:left w:val="single" w:sz="4" w:space="4" w:color="auto"/>
          <w:right w:val="single" w:sz="4" w:space="4" w:color="auto"/>
        </w:pBdr>
        <w:ind w:left="720" w:right="720"/>
        <w:rPr>
          <w:sz w:val="20"/>
          <w:szCs w:val="20"/>
        </w:rPr>
      </w:pPr>
      <w:r>
        <w:rPr>
          <w:sz w:val="20"/>
          <w:szCs w:val="20"/>
        </w:rPr>
        <w:t xml:space="preserve">See also </w:t>
      </w:r>
      <w:r w:rsidRPr="00B12FBA">
        <w:rPr>
          <w:i/>
          <w:iCs/>
          <w:sz w:val="20"/>
          <w:szCs w:val="20"/>
        </w:rPr>
        <w:t>Commonwealth v. Romero</w:t>
      </w:r>
      <w:r>
        <w:rPr>
          <w:sz w:val="20"/>
          <w:szCs w:val="20"/>
        </w:rPr>
        <w:t xml:space="preserve">, 464 Mass. 648, 654 (2013) (presence alone is not sufficient to establish knowledge, ability and intent to control; instead, presence must be augmented by additional inculpatory evidence); </w:t>
      </w:r>
      <w:r w:rsidRPr="00B12FBA">
        <w:rPr>
          <w:i/>
          <w:iCs/>
          <w:sz w:val="20"/>
          <w:szCs w:val="20"/>
        </w:rPr>
        <w:t>Commonwealth v. Brown</w:t>
      </w:r>
      <w:r>
        <w:rPr>
          <w:sz w:val="20"/>
          <w:szCs w:val="20"/>
        </w:rPr>
        <w:t xml:space="preserve">, 401 Mass. 745, 747 (1988) (insufficient evidence to prove personal knowledge </w:t>
      </w:r>
      <w:r w:rsidR="008663E4">
        <w:rPr>
          <w:sz w:val="20"/>
          <w:szCs w:val="20"/>
        </w:rPr>
        <w:t xml:space="preserve">of defendant who was driving car </w:t>
      </w:r>
      <w:r>
        <w:rPr>
          <w:sz w:val="20"/>
          <w:szCs w:val="20"/>
        </w:rPr>
        <w:t xml:space="preserve">where car </w:t>
      </w:r>
      <w:r w:rsidR="008663E4">
        <w:rPr>
          <w:sz w:val="20"/>
          <w:szCs w:val="20"/>
        </w:rPr>
        <w:t xml:space="preserve">was </w:t>
      </w:r>
      <w:r>
        <w:rPr>
          <w:sz w:val="20"/>
          <w:szCs w:val="20"/>
        </w:rPr>
        <w:t xml:space="preserve">reported stolen and two firearms </w:t>
      </w:r>
      <w:r w:rsidR="008663E4">
        <w:rPr>
          <w:sz w:val="20"/>
          <w:szCs w:val="20"/>
        </w:rPr>
        <w:t xml:space="preserve">were </w:t>
      </w:r>
      <w:r>
        <w:rPr>
          <w:sz w:val="20"/>
          <w:szCs w:val="20"/>
        </w:rPr>
        <w:t xml:space="preserve">found under passenger seat). </w:t>
      </w:r>
    </w:p>
    <w:p w14:paraId="4E703048" w14:textId="77777777" w:rsidR="00457939" w:rsidRDefault="00457939" w:rsidP="005447C5">
      <w:pPr>
        <w:spacing w:line="480" w:lineRule="auto"/>
        <w:ind w:firstLine="720"/>
        <w:rPr>
          <w:b/>
          <w:bCs/>
          <w:sz w:val="28"/>
          <w:szCs w:val="28"/>
        </w:rPr>
      </w:pPr>
    </w:p>
    <w:p w14:paraId="54298FC5" w14:textId="4570C891" w:rsidR="004D7D1D" w:rsidRDefault="005447C5" w:rsidP="004D7D1D">
      <w:pPr>
        <w:spacing w:line="480" w:lineRule="auto"/>
        <w:ind w:firstLine="720"/>
        <w:rPr>
          <w:b/>
          <w:bCs/>
          <w:sz w:val="28"/>
          <w:szCs w:val="28"/>
        </w:rPr>
      </w:pPr>
      <w:r>
        <w:rPr>
          <w:b/>
          <w:bCs/>
          <w:sz w:val="28"/>
          <w:szCs w:val="28"/>
        </w:rPr>
        <w:t xml:space="preserve">To prove the second element, the Commonwealth must prove beyond a reasonable doubt that </w:t>
      </w:r>
      <w:r w:rsidRPr="00220C18">
        <w:rPr>
          <w:b/>
          <w:bCs/>
          <w:sz w:val="28"/>
          <w:szCs w:val="28"/>
        </w:rPr>
        <w:t xml:space="preserve">the item </w:t>
      </w:r>
      <w:r w:rsidR="00312534">
        <w:rPr>
          <w:b/>
          <w:bCs/>
          <w:sz w:val="28"/>
          <w:szCs w:val="28"/>
        </w:rPr>
        <w:t>was</w:t>
      </w:r>
      <w:r w:rsidRPr="00220C18">
        <w:rPr>
          <w:b/>
          <w:bCs/>
          <w:sz w:val="28"/>
          <w:szCs w:val="28"/>
        </w:rPr>
        <w:t xml:space="preserve"> </w:t>
      </w:r>
      <w:r w:rsidR="00020E08">
        <w:rPr>
          <w:b/>
          <w:bCs/>
          <w:sz w:val="28"/>
          <w:szCs w:val="28"/>
        </w:rPr>
        <w:t xml:space="preserve">a firearm.  </w:t>
      </w:r>
    </w:p>
    <w:p w14:paraId="0B18D9A5" w14:textId="77777777" w:rsidR="00AB4ADB" w:rsidRPr="009B341C" w:rsidRDefault="00AB4ADB" w:rsidP="00AB4ADB">
      <w:pPr>
        <w:spacing w:line="480" w:lineRule="auto"/>
        <w:ind w:firstLine="720"/>
        <w:rPr>
          <w:b/>
          <w:bCs/>
          <w:sz w:val="28"/>
          <w:szCs w:val="28"/>
        </w:rPr>
      </w:pPr>
      <w:r w:rsidRPr="009A1619">
        <w:rPr>
          <w:b/>
          <w:bCs/>
          <w:sz w:val="28"/>
          <w:szCs w:val="28"/>
        </w:rPr>
        <w:t xml:space="preserve">There are two requirements for an item to be a “firearm” under our law. </w:t>
      </w:r>
    </w:p>
    <w:p w14:paraId="536239F3" w14:textId="77777777" w:rsidR="00AB4ADB" w:rsidRPr="009A1619" w:rsidRDefault="00AB4ADB" w:rsidP="00AB4ADB">
      <w:pPr>
        <w:spacing w:line="480" w:lineRule="auto"/>
        <w:ind w:firstLine="720"/>
        <w:rPr>
          <w:b/>
          <w:bCs/>
          <w:sz w:val="28"/>
          <w:szCs w:val="28"/>
        </w:rPr>
      </w:pPr>
      <w:r w:rsidRPr="009A1619">
        <w:rPr>
          <w:b/>
          <w:bCs/>
          <w:sz w:val="28"/>
          <w:szCs w:val="28"/>
        </w:rPr>
        <w:lastRenderedPageBreak/>
        <w:t xml:space="preserve">First, the item must be a pistol, revolver, rifle, or shotgun. </w:t>
      </w:r>
    </w:p>
    <w:p w14:paraId="6B09A2AA" w14:textId="2CC917F6" w:rsidR="00F66A52" w:rsidRDefault="00AB4ADB" w:rsidP="007068F9">
      <w:pPr>
        <w:spacing w:line="480" w:lineRule="auto"/>
        <w:ind w:firstLine="720"/>
        <w:rPr>
          <w:b/>
          <w:bCs/>
          <w:sz w:val="28"/>
          <w:szCs w:val="28"/>
        </w:rPr>
      </w:pPr>
      <w:r w:rsidRPr="009A1619">
        <w:rPr>
          <w:b/>
          <w:bCs/>
          <w:sz w:val="28"/>
          <w:szCs w:val="28"/>
        </w:rPr>
        <w:t xml:space="preserve">Second, the item must be designed to expel a shot or bullet, or the item must be able to readily be converted to expel a shot or bullet.  </w:t>
      </w:r>
    </w:p>
    <w:p w14:paraId="7F6B94A9" w14:textId="77777777" w:rsidR="00CF6888" w:rsidRDefault="00CF6888" w:rsidP="00CF6888">
      <w:pPr>
        <w:ind w:left="720" w:right="720"/>
        <w:jc w:val="both"/>
        <w:rPr>
          <w:sz w:val="20"/>
          <w:szCs w:val="20"/>
        </w:rPr>
      </w:pPr>
      <w:r w:rsidRPr="009A1619">
        <w:rPr>
          <w:color w:val="000000"/>
          <w:sz w:val="20"/>
          <w:szCs w:val="20"/>
        </w:rPr>
        <w:t>G.L. c. 140, § 121</w:t>
      </w:r>
      <w:r>
        <w:rPr>
          <w:color w:val="000000"/>
          <w:sz w:val="20"/>
          <w:szCs w:val="20"/>
        </w:rPr>
        <w:t>, as amended effective October 2, 2024,</w:t>
      </w:r>
      <w:r w:rsidRPr="009A1619">
        <w:rPr>
          <w:color w:val="000000"/>
          <w:sz w:val="20"/>
          <w:szCs w:val="20"/>
        </w:rPr>
        <w:t xml:space="preserve"> </w:t>
      </w:r>
      <w:r>
        <w:rPr>
          <w:sz w:val="20"/>
          <w:szCs w:val="20"/>
        </w:rPr>
        <w:t xml:space="preserve">defines “firearm” as: </w:t>
      </w:r>
    </w:p>
    <w:p w14:paraId="5D3317AC" w14:textId="77777777" w:rsidR="00CF6888" w:rsidRDefault="00CF6888" w:rsidP="00CF6888">
      <w:pPr>
        <w:ind w:left="720" w:right="720"/>
        <w:jc w:val="both"/>
        <w:rPr>
          <w:sz w:val="20"/>
          <w:szCs w:val="20"/>
        </w:rPr>
      </w:pPr>
    </w:p>
    <w:p w14:paraId="0C1FFA21" w14:textId="77777777" w:rsidR="00CF6888" w:rsidRDefault="00CF6888" w:rsidP="00CF6888">
      <w:pPr>
        <w:ind w:left="1440" w:right="1440"/>
        <w:jc w:val="both"/>
        <w:rPr>
          <w:sz w:val="20"/>
          <w:szCs w:val="20"/>
        </w:rPr>
      </w:pPr>
      <w:r w:rsidRPr="00F30C2C">
        <w:rPr>
          <w:sz w:val="20"/>
          <w:szCs w:val="20"/>
        </w:rPr>
        <w:t>a stun gun, pistol, revolver, rifle, shotgun, sawed-off shotgun, large capacity firearm, assault-style firearm and machine gun, loaded or unloaded, which is designed to or may readily be converted to expel a shot or bullet; the frame or receiver of any such firearm or the unfinished frame or receiver of any such firearm; provided, however, that “firearm” shall not include any antique firearm or permanently inoperable firearm.</w:t>
      </w:r>
      <w:r>
        <w:rPr>
          <w:sz w:val="20"/>
          <w:szCs w:val="20"/>
        </w:rPr>
        <w:t xml:space="preserve">  </w:t>
      </w:r>
    </w:p>
    <w:p w14:paraId="1137A1BD" w14:textId="77777777" w:rsidR="00491E02" w:rsidRDefault="00491E02" w:rsidP="00491E02">
      <w:pPr>
        <w:ind w:left="720" w:right="720"/>
        <w:jc w:val="both"/>
        <w:rPr>
          <w:sz w:val="20"/>
          <w:szCs w:val="20"/>
        </w:rPr>
      </w:pPr>
    </w:p>
    <w:p w14:paraId="294AA410" w14:textId="0806E134" w:rsidR="007D24D2" w:rsidRDefault="00491E02" w:rsidP="007D24D2">
      <w:pPr>
        <w:ind w:left="720" w:right="720"/>
        <w:jc w:val="both"/>
        <w:rPr>
          <w:sz w:val="20"/>
          <w:szCs w:val="20"/>
        </w:rPr>
      </w:pPr>
      <w:r>
        <w:rPr>
          <w:sz w:val="20"/>
          <w:szCs w:val="20"/>
        </w:rPr>
        <w:t xml:space="preserve">For cases involving stun guns, see note </w:t>
      </w:r>
      <w:r w:rsidR="00787732">
        <w:rPr>
          <w:sz w:val="20"/>
          <w:szCs w:val="20"/>
        </w:rPr>
        <w:t>5</w:t>
      </w:r>
      <w:r>
        <w:rPr>
          <w:sz w:val="20"/>
          <w:szCs w:val="20"/>
        </w:rPr>
        <w:t xml:space="preserve">.  For cases involving an alleged frame or receiver, or an unfinished frame or receiver, see note </w:t>
      </w:r>
      <w:r w:rsidR="00787732">
        <w:rPr>
          <w:sz w:val="20"/>
          <w:szCs w:val="20"/>
        </w:rPr>
        <w:t>6</w:t>
      </w:r>
      <w:r>
        <w:rPr>
          <w:sz w:val="20"/>
          <w:szCs w:val="20"/>
        </w:rPr>
        <w:t xml:space="preserve">.  For antique firearms, see note </w:t>
      </w:r>
      <w:r w:rsidR="00787732">
        <w:rPr>
          <w:sz w:val="20"/>
          <w:szCs w:val="20"/>
        </w:rPr>
        <w:t>9</w:t>
      </w:r>
      <w:r w:rsidR="00FF26F7">
        <w:rPr>
          <w:sz w:val="20"/>
          <w:szCs w:val="20"/>
        </w:rPr>
        <w:t>.</w:t>
      </w:r>
    </w:p>
    <w:p w14:paraId="1F0092CB" w14:textId="77777777" w:rsidR="007D24D2" w:rsidRDefault="007D24D2" w:rsidP="007D24D2">
      <w:pPr>
        <w:ind w:left="720" w:right="720"/>
        <w:jc w:val="both"/>
        <w:rPr>
          <w:sz w:val="20"/>
          <w:szCs w:val="20"/>
        </w:rPr>
      </w:pPr>
    </w:p>
    <w:p w14:paraId="65DF550A" w14:textId="77777777" w:rsidR="007D24D2" w:rsidRPr="007D24D2" w:rsidRDefault="007D24D2" w:rsidP="007D24D2">
      <w:pPr>
        <w:widowControl/>
        <w:autoSpaceDE/>
        <w:autoSpaceDN/>
        <w:adjustRightInd/>
        <w:ind w:left="720" w:right="720"/>
        <w:jc w:val="both"/>
        <w:rPr>
          <w:rFonts w:eastAsiaTheme="minorHAnsi"/>
          <w:sz w:val="20"/>
          <w:szCs w:val="20"/>
        </w:rPr>
      </w:pPr>
      <w:r w:rsidRPr="007D24D2">
        <w:rPr>
          <w:rFonts w:eastAsiaTheme="minorHAnsi"/>
          <w:sz w:val="20"/>
          <w:szCs w:val="20"/>
        </w:rPr>
        <w:t xml:space="preserve">The 2024 revision—requiring proof that the item was designed to expel a shot or bullet—is a significant departure from the prior language, which required proof of operability.  Permanently inoperable firearms, however, even if designed to expel a shot or bullet, are excluded from the definition of firearm.  </w:t>
      </w:r>
      <w:r w:rsidRPr="007D24D2">
        <w:rPr>
          <w:rFonts w:eastAsiaTheme="minorHAnsi"/>
          <w:color w:val="000000"/>
          <w:sz w:val="20"/>
          <w:szCs w:val="20"/>
        </w:rPr>
        <w:t xml:space="preserve">G.L. c. 140, § 121, </w:t>
      </w:r>
      <w:r w:rsidRPr="007D24D2">
        <w:rPr>
          <w:rFonts w:eastAsiaTheme="minorHAnsi"/>
          <w:i/>
          <w:iCs/>
          <w:color w:val="000000"/>
          <w:sz w:val="20"/>
          <w:szCs w:val="20"/>
        </w:rPr>
        <w:t>supra</w:t>
      </w:r>
      <w:r w:rsidRPr="007D24D2">
        <w:rPr>
          <w:rFonts w:eastAsiaTheme="minorHAnsi"/>
          <w:color w:val="000000"/>
          <w:sz w:val="20"/>
          <w:szCs w:val="20"/>
        </w:rPr>
        <w:t xml:space="preserve">.  Therefore, operability will still be relevant. </w:t>
      </w:r>
      <w:r w:rsidRPr="007D24D2">
        <w:rPr>
          <w:rFonts w:eastAsiaTheme="minorHAnsi"/>
          <w:sz w:val="20"/>
          <w:szCs w:val="20"/>
        </w:rPr>
        <w:t xml:space="preserve"> See Note 4, for further discussion.  </w:t>
      </w:r>
    </w:p>
    <w:p w14:paraId="16368C19" w14:textId="77777777" w:rsidR="007D24D2" w:rsidRDefault="007D24D2" w:rsidP="007D24D2">
      <w:pPr>
        <w:ind w:left="720" w:right="720"/>
        <w:jc w:val="both"/>
        <w:rPr>
          <w:sz w:val="20"/>
          <w:szCs w:val="20"/>
        </w:rPr>
      </w:pPr>
    </w:p>
    <w:p w14:paraId="3C6EF28E" w14:textId="77777777" w:rsidR="00E03168" w:rsidRPr="00E03168" w:rsidRDefault="00E03168" w:rsidP="00E03168">
      <w:pPr>
        <w:widowControl/>
        <w:autoSpaceDE/>
        <w:autoSpaceDN/>
        <w:adjustRightInd/>
        <w:ind w:left="720" w:right="720"/>
        <w:jc w:val="both"/>
        <w:rPr>
          <w:rFonts w:eastAsiaTheme="minorHAnsi"/>
          <w:sz w:val="20"/>
          <w:szCs w:val="20"/>
        </w:rPr>
      </w:pPr>
    </w:p>
    <w:p w14:paraId="075C1206" w14:textId="77777777" w:rsidR="00E03168" w:rsidRPr="00E03168" w:rsidRDefault="00E03168" w:rsidP="00E03168">
      <w:pPr>
        <w:widowControl/>
        <w:pBdr>
          <w:left w:val="single" w:sz="4" w:space="4" w:color="auto"/>
          <w:right w:val="single" w:sz="4" w:space="4" w:color="auto"/>
        </w:pBdr>
        <w:shd w:val="clear" w:color="auto" w:fill="FFFFFF"/>
        <w:autoSpaceDE/>
        <w:autoSpaceDN/>
        <w:adjustRightInd/>
        <w:spacing w:line="480" w:lineRule="auto"/>
        <w:ind w:left="720" w:right="720"/>
        <w:textAlignment w:val="baseline"/>
        <w:rPr>
          <w:rFonts w:eastAsia="Times New Roman"/>
          <w:i/>
          <w:iCs/>
          <w:bdr w:val="single" w:sz="4" w:space="0" w:color="auto"/>
        </w:rPr>
      </w:pPr>
      <w:r w:rsidRPr="00E03168">
        <w:rPr>
          <w:rFonts w:eastAsia="Times New Roman"/>
          <w:i/>
          <w:iCs/>
          <w:bdr w:val="single" w:sz="4" w:space="0" w:color="auto"/>
        </w:rPr>
        <w:t xml:space="preserve">Definition of “stun gun” </w:t>
      </w:r>
    </w:p>
    <w:p w14:paraId="722C1AE3" w14:textId="08FEBF3D" w:rsidR="00E03168" w:rsidRPr="00E03168" w:rsidRDefault="00E03168" w:rsidP="00E03168">
      <w:pPr>
        <w:widowControl/>
        <w:pBdr>
          <w:left w:val="single" w:sz="4" w:space="4" w:color="auto"/>
          <w:right w:val="single" w:sz="4" w:space="4" w:color="auto"/>
        </w:pBdr>
        <w:autoSpaceDE/>
        <w:autoSpaceDN/>
        <w:adjustRightInd/>
        <w:spacing w:line="480" w:lineRule="auto"/>
        <w:ind w:left="720" w:right="720" w:firstLine="720"/>
        <w:rPr>
          <w:rFonts w:eastAsiaTheme="minorHAnsi"/>
          <w:b/>
          <w:bCs/>
          <w:sz w:val="28"/>
          <w:szCs w:val="28"/>
        </w:rPr>
      </w:pPr>
      <w:r w:rsidRPr="00E03168">
        <w:rPr>
          <w:rFonts w:eastAsiaTheme="minorHAnsi"/>
          <w:b/>
          <w:bCs/>
          <w:sz w:val="28"/>
          <w:szCs w:val="28"/>
        </w:rPr>
        <w:t xml:space="preserve">A “stun gun” is a portable device or weapon designed to incapacitate temporarily, injure, or kill by electrical shock, whether the shock passes by means of a dart or projectile with a wire lead or from an electrical current, impulse, wave, or beam.  </w:t>
      </w:r>
    </w:p>
    <w:p w14:paraId="211064D6" w14:textId="2B255B06" w:rsidR="00E03168" w:rsidRPr="00E03168" w:rsidRDefault="00E03168" w:rsidP="00E03168">
      <w:pPr>
        <w:widowControl/>
        <w:pBdr>
          <w:left w:val="single" w:sz="4" w:space="4" w:color="auto"/>
          <w:right w:val="single" w:sz="4" w:space="4" w:color="auto"/>
        </w:pBdr>
        <w:autoSpaceDE/>
        <w:autoSpaceDN/>
        <w:adjustRightInd/>
        <w:ind w:left="720" w:right="720" w:firstLine="720"/>
        <w:jc w:val="both"/>
        <w:rPr>
          <w:rFonts w:eastAsiaTheme="minorHAnsi"/>
          <w:color w:val="000000"/>
          <w:sz w:val="20"/>
          <w:szCs w:val="20"/>
        </w:rPr>
      </w:pPr>
      <w:r w:rsidRPr="00E03168">
        <w:rPr>
          <w:rFonts w:eastAsiaTheme="minorHAnsi"/>
          <w:color w:val="000000"/>
          <w:sz w:val="20"/>
          <w:szCs w:val="20"/>
        </w:rPr>
        <w:t>G.L. c. 140, § 121 (defining “stun gun”).</w:t>
      </w:r>
      <w:r w:rsidRPr="00E03168">
        <w:rPr>
          <w:rFonts w:eastAsiaTheme="minorHAnsi"/>
          <w:sz w:val="20"/>
          <w:szCs w:val="20"/>
        </w:rPr>
        <w:t xml:space="preserve"> </w:t>
      </w:r>
      <w:r w:rsidRPr="00E03168">
        <w:rPr>
          <w:rFonts w:eastAsiaTheme="minorHAnsi"/>
          <w:color w:val="000000"/>
          <w:sz w:val="20"/>
          <w:szCs w:val="20"/>
        </w:rPr>
        <w:t xml:space="preserve">See also Note </w:t>
      </w:r>
      <w:r>
        <w:rPr>
          <w:rFonts w:eastAsiaTheme="minorHAnsi"/>
          <w:color w:val="000000"/>
          <w:sz w:val="20"/>
          <w:szCs w:val="20"/>
        </w:rPr>
        <w:t>5</w:t>
      </w:r>
      <w:r w:rsidRPr="00E03168">
        <w:rPr>
          <w:rFonts w:eastAsiaTheme="minorHAnsi"/>
          <w:color w:val="000000"/>
          <w:sz w:val="20"/>
          <w:szCs w:val="20"/>
        </w:rPr>
        <w:t xml:space="preserve">, </w:t>
      </w:r>
      <w:r w:rsidRPr="00E03168">
        <w:rPr>
          <w:rFonts w:eastAsiaTheme="minorHAnsi"/>
          <w:i/>
          <w:iCs/>
          <w:color w:val="000000"/>
          <w:sz w:val="20"/>
          <w:szCs w:val="20"/>
        </w:rPr>
        <w:t>infra</w:t>
      </w:r>
      <w:r w:rsidRPr="00E03168">
        <w:rPr>
          <w:rFonts w:eastAsiaTheme="minorHAnsi"/>
          <w:color w:val="000000"/>
          <w:sz w:val="20"/>
          <w:szCs w:val="20"/>
        </w:rPr>
        <w:t>.</w:t>
      </w:r>
    </w:p>
    <w:p w14:paraId="42067C11" w14:textId="77777777" w:rsidR="00BF621A" w:rsidRPr="009A1619" w:rsidRDefault="00BF621A" w:rsidP="00BF621A">
      <w:pPr>
        <w:pStyle w:val="NormalWeb"/>
        <w:pBdr>
          <w:left w:val="single" w:sz="4" w:space="4" w:color="auto"/>
          <w:right w:val="single" w:sz="4" w:space="4" w:color="auto"/>
        </w:pBdr>
        <w:shd w:val="clear" w:color="auto" w:fill="FFFFFF"/>
        <w:spacing w:after="0" w:line="480" w:lineRule="auto"/>
        <w:ind w:left="720" w:right="720"/>
        <w:textAlignment w:val="baseline"/>
        <w:rPr>
          <w:rFonts w:ascii="Arial" w:hAnsi="Arial" w:cs="Arial"/>
          <w:i/>
          <w:iCs/>
          <w:bdr w:val="single" w:sz="4" w:space="0" w:color="auto"/>
        </w:rPr>
      </w:pPr>
      <w:r w:rsidRPr="009A1619">
        <w:rPr>
          <w:rFonts w:ascii="Arial" w:hAnsi="Arial" w:cs="Arial"/>
          <w:i/>
          <w:iCs/>
          <w:bdr w:val="single" w:sz="4" w:space="0" w:color="auto"/>
        </w:rPr>
        <w:t>Definition of “</w:t>
      </w:r>
      <w:r>
        <w:rPr>
          <w:rFonts w:ascii="Arial" w:hAnsi="Arial" w:cs="Arial"/>
          <w:i/>
          <w:iCs/>
          <w:bdr w:val="single" w:sz="4" w:space="0" w:color="auto"/>
        </w:rPr>
        <w:t>pistol</w:t>
      </w:r>
      <w:r w:rsidRPr="009A1619">
        <w:rPr>
          <w:rFonts w:ascii="Arial" w:hAnsi="Arial" w:cs="Arial"/>
          <w:i/>
          <w:iCs/>
          <w:bdr w:val="single" w:sz="4" w:space="0" w:color="auto"/>
        </w:rPr>
        <w:t xml:space="preserve">” </w:t>
      </w:r>
    </w:p>
    <w:p w14:paraId="0DD26E0C" w14:textId="77777777" w:rsidR="00BF621A" w:rsidRPr="009A1619" w:rsidRDefault="00BF621A" w:rsidP="00BF621A">
      <w:pPr>
        <w:pBdr>
          <w:left w:val="single" w:sz="4" w:space="4" w:color="auto"/>
          <w:right w:val="single" w:sz="4" w:space="4" w:color="auto"/>
        </w:pBdr>
        <w:spacing w:line="480" w:lineRule="auto"/>
        <w:ind w:left="720" w:right="720" w:firstLine="720"/>
        <w:rPr>
          <w:b/>
          <w:bCs/>
          <w:sz w:val="28"/>
          <w:szCs w:val="28"/>
        </w:rPr>
      </w:pPr>
      <w:r w:rsidRPr="009A1619">
        <w:rPr>
          <w:b/>
          <w:bCs/>
          <w:sz w:val="28"/>
          <w:szCs w:val="28"/>
        </w:rPr>
        <w:t>A “</w:t>
      </w:r>
      <w:r>
        <w:rPr>
          <w:b/>
          <w:bCs/>
          <w:sz w:val="28"/>
          <w:szCs w:val="28"/>
        </w:rPr>
        <w:t>pistol</w:t>
      </w:r>
      <w:r w:rsidRPr="009A1619">
        <w:rPr>
          <w:b/>
          <w:bCs/>
          <w:sz w:val="28"/>
          <w:szCs w:val="28"/>
        </w:rPr>
        <w:t>” is</w:t>
      </w:r>
      <w:r>
        <w:rPr>
          <w:b/>
          <w:bCs/>
          <w:sz w:val="28"/>
          <w:szCs w:val="28"/>
        </w:rPr>
        <w:t xml:space="preserve"> a handgun with a chamber that is part of the barrel</w:t>
      </w:r>
      <w:r w:rsidRPr="009A1619">
        <w:rPr>
          <w:b/>
          <w:bCs/>
          <w:sz w:val="28"/>
          <w:szCs w:val="28"/>
        </w:rPr>
        <w:t>.</w:t>
      </w:r>
    </w:p>
    <w:p w14:paraId="5CD47BFA" w14:textId="77777777" w:rsidR="00BF621A" w:rsidRPr="009A1619" w:rsidRDefault="00BF621A" w:rsidP="00BF621A">
      <w:pPr>
        <w:pBdr>
          <w:left w:val="single" w:sz="4" w:space="4" w:color="auto"/>
          <w:right w:val="single" w:sz="4" w:space="4" w:color="auto"/>
        </w:pBdr>
        <w:ind w:left="720" w:right="720" w:firstLine="720"/>
        <w:jc w:val="both"/>
        <w:rPr>
          <w:color w:val="000000"/>
          <w:sz w:val="20"/>
          <w:szCs w:val="20"/>
        </w:rPr>
      </w:pPr>
      <w:r>
        <w:rPr>
          <w:color w:val="000000"/>
          <w:sz w:val="20"/>
          <w:szCs w:val="20"/>
        </w:rPr>
        <w:lastRenderedPageBreak/>
        <w:t>Merriam-Webster.com Dictionary (2024).</w:t>
      </w:r>
    </w:p>
    <w:p w14:paraId="5EA519CF" w14:textId="77777777" w:rsidR="00BF621A" w:rsidRPr="009A1619" w:rsidRDefault="00BF621A" w:rsidP="00BF621A">
      <w:pPr>
        <w:pBdr>
          <w:left w:val="single" w:sz="4" w:space="4" w:color="auto"/>
          <w:right w:val="single" w:sz="4" w:space="4" w:color="auto"/>
        </w:pBdr>
        <w:ind w:left="720" w:right="720" w:firstLine="720"/>
        <w:rPr>
          <w:b/>
          <w:bCs/>
          <w:sz w:val="28"/>
          <w:szCs w:val="28"/>
        </w:rPr>
      </w:pPr>
    </w:p>
    <w:p w14:paraId="7EDBFAEE" w14:textId="77777777" w:rsidR="00BF621A" w:rsidRPr="009A1619" w:rsidRDefault="00BF621A" w:rsidP="00BF621A">
      <w:pPr>
        <w:keepNext/>
        <w:pBdr>
          <w:left w:val="single" w:sz="4" w:space="4" w:color="auto"/>
          <w:right w:val="single" w:sz="4" w:space="4" w:color="auto"/>
        </w:pBdr>
        <w:spacing w:line="480" w:lineRule="auto"/>
        <w:ind w:left="720" w:right="720"/>
        <w:rPr>
          <w:i/>
          <w:iCs/>
          <w:bdr w:val="single" w:sz="4" w:space="0" w:color="auto"/>
        </w:rPr>
      </w:pPr>
      <w:r w:rsidRPr="009A1619">
        <w:rPr>
          <w:i/>
          <w:iCs/>
          <w:bdr w:val="single" w:sz="4" w:space="0" w:color="auto"/>
        </w:rPr>
        <w:t>Definition of “</w:t>
      </w:r>
      <w:r>
        <w:rPr>
          <w:i/>
          <w:iCs/>
          <w:bdr w:val="single" w:sz="4" w:space="0" w:color="auto"/>
        </w:rPr>
        <w:t>revolver</w:t>
      </w:r>
      <w:r w:rsidRPr="009A1619">
        <w:rPr>
          <w:i/>
          <w:iCs/>
          <w:bdr w:val="single" w:sz="4" w:space="0" w:color="auto"/>
        </w:rPr>
        <w:t xml:space="preserve">” </w:t>
      </w:r>
    </w:p>
    <w:p w14:paraId="58366968" w14:textId="77777777" w:rsidR="00BF621A" w:rsidRPr="009A1619" w:rsidRDefault="00BF621A" w:rsidP="00BF621A">
      <w:pPr>
        <w:pBdr>
          <w:left w:val="single" w:sz="4" w:space="4" w:color="auto"/>
          <w:right w:val="single" w:sz="4" w:space="4" w:color="auto"/>
        </w:pBdr>
        <w:spacing w:line="480" w:lineRule="auto"/>
        <w:ind w:left="720" w:right="720" w:firstLine="720"/>
        <w:contextualSpacing/>
        <w:rPr>
          <w:b/>
          <w:bCs/>
          <w:sz w:val="28"/>
          <w:szCs w:val="28"/>
        </w:rPr>
      </w:pPr>
      <w:r w:rsidRPr="009A1619">
        <w:rPr>
          <w:b/>
          <w:bCs/>
          <w:sz w:val="28"/>
          <w:szCs w:val="28"/>
        </w:rPr>
        <w:t>A “</w:t>
      </w:r>
      <w:r>
        <w:rPr>
          <w:b/>
          <w:bCs/>
          <w:sz w:val="28"/>
          <w:szCs w:val="28"/>
        </w:rPr>
        <w:t>revolver</w:t>
      </w:r>
      <w:r w:rsidRPr="009A1619">
        <w:rPr>
          <w:b/>
          <w:bCs/>
          <w:sz w:val="28"/>
          <w:szCs w:val="28"/>
        </w:rPr>
        <w:t xml:space="preserve">” is </w:t>
      </w:r>
      <w:r>
        <w:rPr>
          <w:b/>
          <w:bCs/>
          <w:sz w:val="28"/>
          <w:szCs w:val="28"/>
        </w:rPr>
        <w:t>a handgun with a cylinder of several chambers brought successively into line with the barrel and discharged with that barrel’s hammer</w:t>
      </w:r>
      <w:r w:rsidRPr="009A1619">
        <w:rPr>
          <w:b/>
          <w:bCs/>
          <w:sz w:val="28"/>
          <w:szCs w:val="28"/>
        </w:rPr>
        <w:t>.</w:t>
      </w:r>
    </w:p>
    <w:p w14:paraId="3A7698D1" w14:textId="77777777" w:rsidR="00BF621A" w:rsidRDefault="00BF621A" w:rsidP="00BF621A">
      <w:pPr>
        <w:pBdr>
          <w:left w:val="single" w:sz="4" w:space="4" w:color="auto"/>
          <w:right w:val="single" w:sz="4" w:space="4" w:color="auto"/>
        </w:pBdr>
        <w:ind w:left="720" w:right="720" w:firstLine="720"/>
        <w:contextualSpacing/>
        <w:jc w:val="both"/>
        <w:rPr>
          <w:color w:val="000000"/>
          <w:sz w:val="20"/>
          <w:szCs w:val="20"/>
        </w:rPr>
      </w:pPr>
      <w:r>
        <w:rPr>
          <w:color w:val="000000"/>
          <w:sz w:val="20"/>
          <w:szCs w:val="20"/>
        </w:rPr>
        <w:t>Merriam-Webster.com Dictionary (2024)</w:t>
      </w:r>
      <w:r w:rsidRPr="009A1619">
        <w:rPr>
          <w:color w:val="000000"/>
          <w:sz w:val="20"/>
          <w:szCs w:val="20"/>
        </w:rPr>
        <w:t>.</w:t>
      </w:r>
    </w:p>
    <w:p w14:paraId="72D16230" w14:textId="77777777" w:rsidR="00BF621A" w:rsidRPr="00C34239" w:rsidRDefault="00BF621A" w:rsidP="00BF621A">
      <w:pPr>
        <w:pBdr>
          <w:left w:val="single" w:sz="4" w:space="4" w:color="auto"/>
          <w:right w:val="single" w:sz="4" w:space="4" w:color="auto"/>
        </w:pBdr>
        <w:ind w:left="720" w:right="720" w:firstLine="720"/>
        <w:contextualSpacing/>
        <w:jc w:val="both"/>
        <w:rPr>
          <w:color w:val="000000"/>
          <w:sz w:val="28"/>
          <w:szCs w:val="28"/>
        </w:rPr>
      </w:pPr>
    </w:p>
    <w:p w14:paraId="65B0CA97" w14:textId="77777777" w:rsidR="00BF621A" w:rsidRPr="009A1619" w:rsidRDefault="00BF621A" w:rsidP="00BF621A">
      <w:pPr>
        <w:pStyle w:val="NormalWeb"/>
        <w:pBdr>
          <w:left w:val="single" w:sz="4" w:space="4" w:color="auto"/>
          <w:right w:val="single" w:sz="4" w:space="4" w:color="auto"/>
        </w:pBdr>
        <w:shd w:val="clear" w:color="auto" w:fill="FFFFFF"/>
        <w:spacing w:after="0" w:line="480" w:lineRule="auto"/>
        <w:ind w:left="720" w:right="720"/>
        <w:textAlignment w:val="baseline"/>
        <w:rPr>
          <w:rFonts w:ascii="Arial" w:hAnsi="Arial" w:cs="Arial"/>
          <w:i/>
          <w:iCs/>
          <w:bdr w:val="single" w:sz="4" w:space="0" w:color="auto"/>
        </w:rPr>
      </w:pPr>
      <w:r w:rsidRPr="009A1619">
        <w:rPr>
          <w:rFonts w:ascii="Arial" w:hAnsi="Arial" w:cs="Arial"/>
          <w:i/>
          <w:iCs/>
          <w:bdr w:val="single" w:sz="4" w:space="0" w:color="auto"/>
        </w:rPr>
        <w:t xml:space="preserve">Definition of “rifle” </w:t>
      </w:r>
    </w:p>
    <w:p w14:paraId="4A58E623" w14:textId="77777777" w:rsidR="00BF621A" w:rsidRPr="009A1619" w:rsidRDefault="00BF621A" w:rsidP="00BF621A">
      <w:pPr>
        <w:pBdr>
          <w:left w:val="single" w:sz="4" w:space="4" w:color="auto"/>
          <w:right w:val="single" w:sz="4" w:space="4" w:color="auto"/>
        </w:pBdr>
        <w:spacing w:line="480" w:lineRule="auto"/>
        <w:ind w:left="720" w:right="720" w:firstLine="720"/>
        <w:rPr>
          <w:b/>
          <w:bCs/>
          <w:sz w:val="28"/>
          <w:szCs w:val="28"/>
        </w:rPr>
      </w:pPr>
      <w:r w:rsidRPr="009A1619">
        <w:rPr>
          <w:b/>
          <w:bCs/>
          <w:sz w:val="28"/>
          <w:szCs w:val="28"/>
        </w:rPr>
        <w:t>A “rifle” is a firearm having a rifled bore with a barrel length equal to or greater than 16 inches and capable of discharging a shot or bullet for each pull of the trigger.  The term “barrel length” refers to the portion of a firearm through which a shot or bullet is driven, guided, or stabilized, and includes the chamber.</w:t>
      </w:r>
    </w:p>
    <w:p w14:paraId="4F819A0A" w14:textId="77777777" w:rsidR="00BF621A" w:rsidRPr="009A1619" w:rsidRDefault="00BF621A" w:rsidP="00BF621A">
      <w:pPr>
        <w:pBdr>
          <w:left w:val="single" w:sz="4" w:space="4" w:color="auto"/>
          <w:right w:val="single" w:sz="4" w:space="4" w:color="auto"/>
        </w:pBdr>
        <w:ind w:left="720" w:right="720" w:firstLine="720"/>
        <w:jc w:val="both"/>
        <w:rPr>
          <w:color w:val="000000"/>
          <w:sz w:val="20"/>
          <w:szCs w:val="20"/>
        </w:rPr>
      </w:pPr>
      <w:r w:rsidRPr="009A1619">
        <w:rPr>
          <w:color w:val="000000"/>
          <w:sz w:val="20"/>
          <w:szCs w:val="20"/>
        </w:rPr>
        <w:t>G.L. c. 140, § 121 (defining “’length of barrel’ or ‘barrel length’” and “rifle”).</w:t>
      </w:r>
    </w:p>
    <w:p w14:paraId="39FF5CDB" w14:textId="77777777" w:rsidR="00BF621A" w:rsidRPr="009A1619" w:rsidRDefault="00BF621A" w:rsidP="00BF621A">
      <w:pPr>
        <w:pBdr>
          <w:left w:val="single" w:sz="4" w:space="4" w:color="auto"/>
          <w:right w:val="single" w:sz="4" w:space="4" w:color="auto"/>
        </w:pBdr>
        <w:ind w:left="720" w:right="720" w:firstLine="720"/>
        <w:rPr>
          <w:b/>
          <w:bCs/>
          <w:sz w:val="28"/>
          <w:szCs w:val="28"/>
        </w:rPr>
      </w:pPr>
    </w:p>
    <w:p w14:paraId="149A14A1" w14:textId="77777777" w:rsidR="00BF621A" w:rsidRPr="009A1619" w:rsidRDefault="00BF621A" w:rsidP="00BF621A">
      <w:pPr>
        <w:keepNext/>
        <w:pBdr>
          <w:left w:val="single" w:sz="4" w:space="4" w:color="auto"/>
          <w:right w:val="single" w:sz="4" w:space="4" w:color="auto"/>
        </w:pBdr>
        <w:spacing w:line="480" w:lineRule="auto"/>
        <w:ind w:left="720" w:right="720"/>
        <w:rPr>
          <w:i/>
          <w:iCs/>
          <w:bdr w:val="single" w:sz="4" w:space="0" w:color="auto"/>
        </w:rPr>
      </w:pPr>
      <w:r w:rsidRPr="009A1619">
        <w:rPr>
          <w:i/>
          <w:iCs/>
          <w:bdr w:val="single" w:sz="4" w:space="0" w:color="auto"/>
        </w:rPr>
        <w:t xml:space="preserve">Definition of “shotgun” </w:t>
      </w:r>
    </w:p>
    <w:p w14:paraId="76161A82" w14:textId="77777777" w:rsidR="00BF621A" w:rsidRPr="009A1619" w:rsidRDefault="00BF621A" w:rsidP="00BF621A">
      <w:pPr>
        <w:pBdr>
          <w:left w:val="single" w:sz="4" w:space="4" w:color="auto"/>
          <w:right w:val="single" w:sz="4" w:space="4" w:color="auto"/>
        </w:pBdr>
        <w:spacing w:line="480" w:lineRule="auto"/>
        <w:ind w:left="720" w:right="720" w:firstLine="720"/>
        <w:contextualSpacing/>
        <w:rPr>
          <w:b/>
          <w:bCs/>
          <w:sz w:val="28"/>
          <w:szCs w:val="28"/>
        </w:rPr>
      </w:pPr>
      <w:r w:rsidRPr="009A1619">
        <w:rPr>
          <w:b/>
          <w:bCs/>
          <w:sz w:val="28"/>
          <w:szCs w:val="28"/>
        </w:rPr>
        <w:t xml:space="preserve">A “shotgun” is a firearm having a smooth bore with a barrel length equal to or greater than 18 inches with an overall length equal to or greater than 26 inches and capable of discharging a shot or bullet for each pull of the trigger.  The term “barrel length” refers to the portion of a </w:t>
      </w:r>
      <w:r w:rsidRPr="009A1619">
        <w:rPr>
          <w:b/>
          <w:bCs/>
          <w:sz w:val="28"/>
          <w:szCs w:val="28"/>
        </w:rPr>
        <w:lastRenderedPageBreak/>
        <w:t>firearm through which a shot or bullet is driven, guided, or stabilized, and includes the chamber.</w:t>
      </w:r>
    </w:p>
    <w:p w14:paraId="4903EC01" w14:textId="77777777" w:rsidR="00BF621A" w:rsidRDefault="00BF621A" w:rsidP="00BF621A">
      <w:pPr>
        <w:pBdr>
          <w:left w:val="single" w:sz="4" w:space="4" w:color="auto"/>
          <w:right w:val="single" w:sz="4" w:space="4" w:color="auto"/>
        </w:pBdr>
        <w:spacing w:line="480" w:lineRule="auto"/>
        <w:ind w:left="720" w:right="720" w:firstLine="720"/>
        <w:rPr>
          <w:color w:val="000000"/>
          <w:sz w:val="20"/>
          <w:szCs w:val="20"/>
        </w:rPr>
      </w:pPr>
      <w:r w:rsidRPr="009A1619">
        <w:rPr>
          <w:color w:val="000000"/>
          <w:sz w:val="20"/>
          <w:szCs w:val="20"/>
        </w:rPr>
        <w:t>G.L. c. 140, § 121 (defining “’length of barrel’ or ‘barrel length’” and “shotgun”).</w:t>
      </w:r>
    </w:p>
    <w:p w14:paraId="3681C917" w14:textId="77777777" w:rsidR="00BF621A" w:rsidRDefault="00BF621A" w:rsidP="00BF621A">
      <w:pPr>
        <w:spacing w:line="480" w:lineRule="auto"/>
        <w:ind w:left="720"/>
        <w:rPr>
          <w:bCs/>
          <w:sz w:val="28"/>
          <w:szCs w:val="28"/>
          <w:u w:val="single"/>
        </w:rPr>
      </w:pPr>
    </w:p>
    <w:p w14:paraId="5D262148" w14:textId="588F23AD" w:rsidR="002A1B5C" w:rsidRPr="001D7330" w:rsidRDefault="002A1B5C" w:rsidP="00AB4ADB">
      <w:pPr>
        <w:ind w:right="720"/>
        <w:rPr>
          <w:b/>
          <w:bCs/>
          <w:sz w:val="16"/>
          <w:szCs w:val="16"/>
        </w:rPr>
      </w:pPr>
    </w:p>
    <w:p w14:paraId="715F6148" w14:textId="7734A88E" w:rsidR="005447C5" w:rsidRDefault="005447C5" w:rsidP="00C773EE">
      <w:pPr>
        <w:spacing w:line="480" w:lineRule="auto"/>
        <w:ind w:firstLine="720"/>
        <w:rPr>
          <w:sz w:val="29"/>
          <w:szCs w:val="29"/>
        </w:rPr>
      </w:pPr>
      <w:r>
        <w:rPr>
          <w:b/>
          <w:bCs/>
          <w:sz w:val="28"/>
          <w:szCs w:val="28"/>
        </w:rPr>
        <w:t>To prove the third element, the Commonwealth must prove beyond a reasonable doubt that the defendant knew</w:t>
      </w:r>
      <w:r w:rsidR="00CF7DDC">
        <w:rPr>
          <w:b/>
          <w:bCs/>
          <w:sz w:val="28"/>
          <w:szCs w:val="28"/>
        </w:rPr>
        <w:t xml:space="preserve"> that</w:t>
      </w:r>
      <w:r>
        <w:rPr>
          <w:b/>
          <w:bCs/>
          <w:sz w:val="28"/>
          <w:szCs w:val="28"/>
        </w:rPr>
        <w:t xml:space="preserve"> </w:t>
      </w:r>
      <w:bookmarkStart w:id="0" w:name="_Hlk124868816"/>
      <w:r w:rsidR="00CF7DDC" w:rsidRPr="009A1619">
        <w:rPr>
          <w:b/>
          <w:bCs/>
          <w:sz w:val="28"/>
          <w:szCs w:val="28"/>
        </w:rPr>
        <w:t>the</w:t>
      </w:r>
      <w:r w:rsidR="00CF7DDC">
        <w:rPr>
          <w:b/>
          <w:bCs/>
          <w:sz w:val="28"/>
          <w:szCs w:val="28"/>
        </w:rPr>
        <w:t xml:space="preserve"> item they possessed was </w:t>
      </w:r>
      <w:r w:rsidR="00CF7DDC" w:rsidRPr="009A1619">
        <w:rPr>
          <w:b/>
          <w:bCs/>
          <w:sz w:val="28"/>
          <w:szCs w:val="28"/>
        </w:rPr>
        <w:t xml:space="preserve">a firearm </w:t>
      </w:r>
      <w:r w:rsidR="00CF7DDC">
        <w:rPr>
          <w:b/>
          <w:bCs/>
          <w:sz w:val="28"/>
          <w:szCs w:val="28"/>
        </w:rPr>
        <w:t xml:space="preserve">as that term is commonly understood; the Commonwealth is not required to prove that the defendant have knowledge of the legal definition of a firearm.  </w:t>
      </w:r>
      <w:r w:rsidR="00C773EE">
        <w:rPr>
          <w:b/>
          <w:bCs/>
          <w:sz w:val="28"/>
          <w:szCs w:val="28"/>
        </w:rPr>
        <w:t xml:space="preserve">This requires you to make a decision about the defendant’s state of mind at that time.  </w:t>
      </w:r>
      <w:bookmarkEnd w:id="0"/>
      <w:r w:rsidRPr="00BD4B54">
        <w:rPr>
          <w:b/>
          <w:bCs/>
          <w:sz w:val="28"/>
          <w:szCs w:val="28"/>
        </w:rPr>
        <w:t>You may examine the defendant’s actions and words, and all of the surrounding circumstances, to help you determine the extent of the defendant’s knowledge at the time.</w:t>
      </w:r>
      <w:r>
        <w:t xml:space="preserve"> </w:t>
      </w:r>
      <w:r>
        <w:rPr>
          <w:b/>
          <w:bCs/>
          <w:sz w:val="28"/>
          <w:szCs w:val="28"/>
        </w:rPr>
        <w:t xml:space="preserve"> </w:t>
      </w:r>
    </w:p>
    <w:p w14:paraId="13E4A853" w14:textId="2B703C44" w:rsidR="000137BF" w:rsidRPr="000137BF" w:rsidRDefault="000137BF" w:rsidP="00B12FBA">
      <w:pPr>
        <w:pStyle w:val="BodyText"/>
        <w:kinsoku w:val="0"/>
        <w:overflowPunct w:val="0"/>
        <w:spacing w:before="1"/>
        <w:ind w:left="720" w:right="720"/>
        <w:rPr>
          <w:b w:val="0"/>
          <w:bCs w:val="0"/>
          <w:i/>
          <w:iCs/>
          <w:sz w:val="20"/>
          <w:szCs w:val="20"/>
        </w:rPr>
      </w:pPr>
      <w:r w:rsidRPr="000137BF">
        <w:rPr>
          <w:b w:val="0"/>
          <w:bCs w:val="0"/>
          <w:sz w:val="20"/>
          <w:szCs w:val="20"/>
        </w:rPr>
        <w:t xml:space="preserve">See Instruction 3.140 (Knowledge). </w:t>
      </w:r>
      <w:r w:rsidRPr="000137BF">
        <w:rPr>
          <w:b w:val="0"/>
          <w:bCs w:val="0"/>
          <w:i/>
          <w:iCs/>
          <w:sz w:val="20"/>
          <w:szCs w:val="20"/>
        </w:rPr>
        <w:t>Commonwealth v. Marrero</w:t>
      </w:r>
      <w:r w:rsidRPr="000137BF">
        <w:rPr>
          <w:b w:val="0"/>
          <w:bCs w:val="0"/>
          <w:sz w:val="20"/>
          <w:szCs w:val="20"/>
        </w:rPr>
        <w:t xml:space="preserve">, 484 Mass. 341, 346-347 (2020), quoting </w:t>
      </w:r>
      <w:r w:rsidRPr="000137BF">
        <w:rPr>
          <w:b w:val="0"/>
          <w:bCs w:val="0"/>
          <w:i/>
          <w:iCs/>
          <w:sz w:val="20"/>
          <w:szCs w:val="20"/>
        </w:rPr>
        <w:t>Commonwealth v. Sampson</w:t>
      </w:r>
      <w:r w:rsidRPr="000137BF">
        <w:rPr>
          <w:b w:val="0"/>
          <w:bCs w:val="0"/>
          <w:sz w:val="20"/>
          <w:szCs w:val="20"/>
        </w:rPr>
        <w:t xml:space="preserve">, 383 Mass. 750, 762 (1981) (Commonwealth only required to prove that defendant had knowledge that the “instrument is a firearm within the generally accepted meaning of that term”); </w:t>
      </w:r>
      <w:r w:rsidRPr="000137BF">
        <w:rPr>
          <w:b w:val="0"/>
          <w:bCs w:val="0"/>
          <w:i/>
          <w:iCs/>
          <w:sz w:val="20"/>
          <w:szCs w:val="20"/>
        </w:rPr>
        <w:t>Commonwealth v. Bacon</w:t>
      </w:r>
      <w:r w:rsidRPr="000137BF">
        <w:rPr>
          <w:b w:val="0"/>
          <w:bCs w:val="0"/>
          <w:sz w:val="20"/>
          <w:szCs w:val="20"/>
        </w:rPr>
        <w:t xml:space="preserve">, 374 Mass. 358, 359 (1978) (knowledge need not be alleged in complaint); </w:t>
      </w:r>
      <w:r w:rsidRPr="000137BF">
        <w:rPr>
          <w:b w:val="0"/>
          <w:bCs w:val="0"/>
          <w:i/>
          <w:iCs/>
          <w:sz w:val="20"/>
          <w:szCs w:val="20"/>
        </w:rPr>
        <w:t>Commonwealth v. Jackson</w:t>
      </w:r>
      <w:r w:rsidRPr="000137BF">
        <w:rPr>
          <w:b w:val="0"/>
          <w:bCs w:val="0"/>
          <w:sz w:val="20"/>
          <w:szCs w:val="20"/>
        </w:rPr>
        <w:t xml:space="preserve">, 369 Mass. 904, 916-917 (1976) (knowledge must be proved); </w:t>
      </w:r>
      <w:r w:rsidRPr="000137BF">
        <w:rPr>
          <w:b w:val="0"/>
          <w:bCs w:val="0"/>
          <w:i/>
          <w:iCs/>
          <w:sz w:val="20"/>
          <w:szCs w:val="20"/>
        </w:rPr>
        <w:t>Commonwealth v. Boone</w:t>
      </w:r>
      <w:r w:rsidRPr="000137BF">
        <w:rPr>
          <w:b w:val="0"/>
          <w:bCs w:val="0"/>
          <w:sz w:val="20"/>
          <w:szCs w:val="20"/>
        </w:rPr>
        <w:t xml:space="preserve">, 356 Mass. 85, 87 (1969) (“control” in vehicle requires knowledge); </w:t>
      </w:r>
      <w:r w:rsidRPr="000137BF">
        <w:rPr>
          <w:b w:val="0"/>
          <w:bCs w:val="0"/>
          <w:i/>
          <w:iCs/>
          <w:sz w:val="20"/>
          <w:szCs w:val="20"/>
        </w:rPr>
        <w:t>Commonwealth v. Papa</w:t>
      </w:r>
      <w:r w:rsidRPr="000137BF">
        <w:rPr>
          <w:b w:val="0"/>
          <w:bCs w:val="0"/>
          <w:sz w:val="20"/>
          <w:szCs w:val="20"/>
        </w:rPr>
        <w:t>, 17 Mass. App. Ct. 987, 987-988 (1984) (defendant need not know that the firearm met the legal definition).</w:t>
      </w:r>
      <w:r w:rsidRPr="000137BF">
        <w:rPr>
          <w:b w:val="0"/>
          <w:bCs w:val="0"/>
        </w:rPr>
        <w:t xml:space="preserve"> </w:t>
      </w:r>
    </w:p>
    <w:p w14:paraId="0B45E812" w14:textId="77777777" w:rsidR="000137BF" w:rsidRPr="00C6047A" w:rsidRDefault="000137BF" w:rsidP="00AF56CB">
      <w:pPr>
        <w:pStyle w:val="BodyText"/>
        <w:kinsoku w:val="0"/>
        <w:overflowPunct w:val="0"/>
        <w:spacing w:line="266" w:lineRule="auto"/>
        <w:ind w:left="360" w:right="831"/>
        <w:rPr>
          <w:b w:val="0"/>
          <w:bCs w:val="0"/>
          <w:sz w:val="20"/>
          <w:szCs w:val="20"/>
        </w:rPr>
      </w:pPr>
    </w:p>
    <w:p w14:paraId="2942EB33" w14:textId="6EADFB61" w:rsidR="0029488C" w:rsidRPr="0029488C" w:rsidRDefault="00C4135F" w:rsidP="00F22242">
      <w:pPr>
        <w:spacing w:before="240" w:line="480" w:lineRule="auto"/>
        <w:ind w:firstLine="720"/>
        <w:rPr>
          <w:b/>
          <w:bCs/>
          <w:sz w:val="28"/>
          <w:szCs w:val="28"/>
        </w:rPr>
      </w:pPr>
      <w:r w:rsidRPr="00E831A6">
        <w:rPr>
          <w:b/>
          <w:bCs/>
          <w:sz w:val="28"/>
          <w:szCs w:val="28"/>
        </w:rPr>
        <w:t>To prove the fourth element</w:t>
      </w:r>
      <w:r>
        <w:rPr>
          <w:b/>
          <w:bCs/>
          <w:sz w:val="28"/>
          <w:szCs w:val="28"/>
        </w:rPr>
        <w:t>,</w:t>
      </w:r>
      <w:r w:rsidRPr="00E831A6">
        <w:rPr>
          <w:b/>
          <w:bCs/>
          <w:sz w:val="28"/>
          <w:szCs w:val="28"/>
        </w:rPr>
        <w:t xml:space="preserve"> the Commonwealth must prove beyond a reasonable doubt that </w:t>
      </w:r>
      <w:r w:rsidRPr="00DF64F3">
        <w:rPr>
          <w:b/>
          <w:bCs/>
          <w:sz w:val="28"/>
          <w:szCs w:val="28"/>
        </w:rPr>
        <w:t xml:space="preserve">the defendant </w:t>
      </w:r>
      <w:r w:rsidR="0029488C">
        <w:rPr>
          <w:b/>
          <w:bCs/>
          <w:sz w:val="28"/>
          <w:szCs w:val="28"/>
        </w:rPr>
        <w:t xml:space="preserve">possessed that firearm in a prohibited area.  </w:t>
      </w:r>
      <w:r w:rsidR="00F22242">
        <w:rPr>
          <w:b/>
          <w:bCs/>
          <w:sz w:val="28"/>
          <w:szCs w:val="28"/>
        </w:rPr>
        <w:t>(</w:t>
      </w:r>
      <w:r w:rsidR="0029488C">
        <w:rPr>
          <w:b/>
          <w:bCs/>
          <w:sz w:val="28"/>
          <w:szCs w:val="28"/>
        </w:rPr>
        <w:t xml:space="preserve">A prohibited area is a </w:t>
      </w:r>
      <w:r w:rsidR="0029488C" w:rsidRPr="0029488C">
        <w:rPr>
          <w:b/>
          <w:bCs/>
          <w:sz w:val="28"/>
          <w:szCs w:val="28"/>
        </w:rPr>
        <w:t xml:space="preserve">place owned, leased, or </w:t>
      </w:r>
      <w:r w:rsidR="0029488C" w:rsidRPr="0029488C">
        <w:rPr>
          <w:b/>
          <w:bCs/>
          <w:sz w:val="28"/>
          <w:szCs w:val="28"/>
        </w:rPr>
        <w:lastRenderedPageBreak/>
        <w:t>under the control of state, county or municipal government</w:t>
      </w:r>
      <w:r w:rsidR="009304F7">
        <w:rPr>
          <w:b/>
          <w:bCs/>
          <w:sz w:val="28"/>
          <w:szCs w:val="28"/>
        </w:rPr>
        <w:t>, whether open or closed,</w:t>
      </w:r>
      <w:r w:rsidR="0029488C" w:rsidRPr="0029488C">
        <w:rPr>
          <w:b/>
          <w:bCs/>
          <w:sz w:val="28"/>
          <w:szCs w:val="28"/>
        </w:rPr>
        <w:t xml:space="preserve"> and used for the purpose of government administration, judicial or court administrative proceedings, or correctional services</w:t>
      </w:r>
      <w:r w:rsidR="0029488C">
        <w:rPr>
          <w:b/>
          <w:bCs/>
          <w:sz w:val="28"/>
          <w:szCs w:val="28"/>
        </w:rPr>
        <w:t>,</w:t>
      </w:r>
      <w:r w:rsidR="0029488C" w:rsidRPr="0029488C">
        <w:rPr>
          <w:b/>
          <w:bCs/>
          <w:sz w:val="28"/>
          <w:szCs w:val="28"/>
        </w:rPr>
        <w:t xml:space="preserve"> including in or upon any part of the buildings, grounds, or parking areas </w:t>
      </w:r>
      <w:r w:rsidR="0029488C">
        <w:rPr>
          <w:b/>
          <w:bCs/>
          <w:sz w:val="28"/>
          <w:szCs w:val="28"/>
        </w:rPr>
        <w:t>of those places.</w:t>
      </w:r>
      <w:r w:rsidR="00F22242">
        <w:rPr>
          <w:b/>
          <w:bCs/>
          <w:sz w:val="28"/>
          <w:szCs w:val="28"/>
        </w:rPr>
        <w:t>)</w:t>
      </w:r>
      <w:r w:rsidR="0029488C">
        <w:rPr>
          <w:b/>
          <w:bCs/>
          <w:sz w:val="28"/>
          <w:szCs w:val="28"/>
        </w:rPr>
        <w:t xml:space="preserve">  </w:t>
      </w:r>
      <w:r w:rsidR="00F22242">
        <w:rPr>
          <w:b/>
          <w:bCs/>
          <w:sz w:val="28"/>
          <w:szCs w:val="28"/>
        </w:rPr>
        <w:t>(</w:t>
      </w:r>
      <w:r w:rsidR="0029488C">
        <w:rPr>
          <w:b/>
          <w:bCs/>
          <w:sz w:val="28"/>
          <w:szCs w:val="28"/>
        </w:rPr>
        <w:t xml:space="preserve">A prohibited area </w:t>
      </w:r>
      <w:r w:rsidR="009304F7">
        <w:rPr>
          <w:b/>
          <w:bCs/>
          <w:sz w:val="28"/>
          <w:szCs w:val="28"/>
        </w:rPr>
        <w:t xml:space="preserve">is a place that is being used </w:t>
      </w:r>
      <w:r w:rsidR="0029488C" w:rsidRPr="0029488C">
        <w:rPr>
          <w:b/>
          <w:bCs/>
          <w:sz w:val="28"/>
          <w:szCs w:val="28"/>
        </w:rPr>
        <w:t>at the time of possession for the storage or tabulation of ballots during the hours in which voting or tabulation is occurring or a polling place or early voting site while open for voting or within 150 feet of the building entrance door to such polling place or early voting site.</w:t>
      </w:r>
      <w:r w:rsidR="00AD28BA">
        <w:rPr>
          <w:b/>
          <w:bCs/>
          <w:sz w:val="28"/>
          <w:szCs w:val="28"/>
        </w:rPr>
        <w:t>)</w:t>
      </w:r>
    </w:p>
    <w:p w14:paraId="3D1BA079" w14:textId="638A39F2" w:rsidR="00C839B6" w:rsidRDefault="0029488C" w:rsidP="0029488C">
      <w:pPr>
        <w:ind w:left="720"/>
        <w:rPr>
          <w:sz w:val="20"/>
          <w:szCs w:val="20"/>
        </w:rPr>
      </w:pPr>
      <w:r w:rsidRPr="0029488C">
        <w:rPr>
          <w:sz w:val="20"/>
          <w:szCs w:val="20"/>
        </w:rPr>
        <w:t>A</w:t>
      </w:r>
      <w:r>
        <w:rPr>
          <w:sz w:val="20"/>
          <w:szCs w:val="20"/>
        </w:rPr>
        <w:t xml:space="preserve"> “</w:t>
      </w:r>
      <w:r w:rsidRPr="0029488C">
        <w:rPr>
          <w:sz w:val="20"/>
          <w:szCs w:val="20"/>
        </w:rPr>
        <w:t>prohibited area” shall not include any state-owned public land available to the public for hunting</w:t>
      </w:r>
      <w:r>
        <w:rPr>
          <w:sz w:val="20"/>
          <w:szCs w:val="20"/>
        </w:rPr>
        <w:t>.  See G.L. c. 269, § 10(h) (2) (i).  The statute provides that</w:t>
      </w:r>
      <w:r w:rsidRPr="0029488C">
        <w:rPr>
          <w:sz w:val="20"/>
          <w:szCs w:val="20"/>
        </w:rPr>
        <w:t xml:space="preserve"> </w:t>
      </w:r>
      <w:r>
        <w:rPr>
          <w:sz w:val="20"/>
          <w:szCs w:val="20"/>
        </w:rPr>
        <w:t>“</w:t>
      </w:r>
      <w:r w:rsidRPr="0029488C">
        <w:rPr>
          <w:sz w:val="20"/>
          <w:szCs w:val="20"/>
        </w:rPr>
        <w:t xml:space="preserve">a municipality may vote pursuant to </w:t>
      </w:r>
      <w:r>
        <w:rPr>
          <w:sz w:val="20"/>
          <w:szCs w:val="20"/>
        </w:rPr>
        <w:t xml:space="preserve">[G.L. c. </w:t>
      </w:r>
      <w:r w:rsidRPr="0029488C">
        <w:rPr>
          <w:sz w:val="20"/>
          <w:szCs w:val="20"/>
        </w:rPr>
        <w:t>4</w:t>
      </w:r>
      <w:r>
        <w:rPr>
          <w:sz w:val="20"/>
          <w:szCs w:val="20"/>
        </w:rPr>
        <w:t xml:space="preserve">, § 4] </w:t>
      </w:r>
      <w:r w:rsidRPr="0029488C">
        <w:rPr>
          <w:sz w:val="20"/>
          <w:szCs w:val="20"/>
        </w:rPr>
        <w:t>to exclude its administrative buildings from being a “prohibited area”</w:t>
      </w:r>
      <w:r>
        <w:rPr>
          <w:sz w:val="20"/>
          <w:szCs w:val="20"/>
        </w:rPr>
        <w:t>.</w:t>
      </w:r>
    </w:p>
    <w:p w14:paraId="06320B01" w14:textId="77777777" w:rsidR="0029488C" w:rsidRPr="0029488C" w:rsidRDefault="0029488C" w:rsidP="0029488C">
      <w:pPr>
        <w:ind w:firstLine="720"/>
        <w:rPr>
          <w:sz w:val="20"/>
          <w:szCs w:val="20"/>
        </w:rPr>
      </w:pPr>
    </w:p>
    <w:p w14:paraId="50F81BC6" w14:textId="77777777" w:rsidR="005A3D45" w:rsidRDefault="005A3D45" w:rsidP="00C839B6">
      <w:pPr>
        <w:ind w:left="720"/>
      </w:pPr>
    </w:p>
    <w:p w14:paraId="5A93E36E" w14:textId="32821104" w:rsidR="00EA2591" w:rsidRPr="00EA2591" w:rsidRDefault="0029488C" w:rsidP="00EA2591">
      <w:pPr>
        <w:spacing w:line="480" w:lineRule="auto"/>
        <w:ind w:firstLine="720"/>
        <w:rPr>
          <w:b/>
          <w:bCs/>
          <w:sz w:val="28"/>
          <w:szCs w:val="28"/>
        </w:rPr>
      </w:pPr>
      <w:r w:rsidRPr="00E831A6">
        <w:rPr>
          <w:b/>
          <w:bCs/>
          <w:sz w:val="28"/>
          <w:szCs w:val="28"/>
        </w:rPr>
        <w:t xml:space="preserve">To prove the </w:t>
      </w:r>
      <w:r>
        <w:rPr>
          <w:b/>
          <w:bCs/>
          <w:sz w:val="28"/>
          <w:szCs w:val="28"/>
        </w:rPr>
        <w:t>fifth</w:t>
      </w:r>
      <w:r w:rsidRPr="00E831A6">
        <w:rPr>
          <w:b/>
          <w:bCs/>
          <w:sz w:val="28"/>
          <w:szCs w:val="28"/>
        </w:rPr>
        <w:t xml:space="preserve"> element</w:t>
      </w:r>
      <w:r>
        <w:rPr>
          <w:b/>
          <w:bCs/>
          <w:sz w:val="28"/>
          <w:szCs w:val="28"/>
        </w:rPr>
        <w:t>,</w:t>
      </w:r>
      <w:r w:rsidRPr="00E831A6">
        <w:rPr>
          <w:b/>
          <w:bCs/>
          <w:sz w:val="28"/>
          <w:szCs w:val="28"/>
        </w:rPr>
        <w:t xml:space="preserve"> the Commonwealth must prove beyond a reasonable doubt that</w:t>
      </w:r>
      <w:r>
        <w:rPr>
          <w:b/>
          <w:bCs/>
          <w:sz w:val="28"/>
          <w:szCs w:val="28"/>
        </w:rPr>
        <w:t xml:space="preserve"> the defendant knew or reasonably should have known that the place was a prohibited area</w:t>
      </w:r>
      <w:r w:rsidRPr="00657663">
        <w:rPr>
          <w:b/>
          <w:bCs/>
          <w:sz w:val="28"/>
          <w:szCs w:val="28"/>
        </w:rPr>
        <w:t>.</w:t>
      </w:r>
      <w:r>
        <w:rPr>
          <w:b/>
          <w:bCs/>
          <w:sz w:val="28"/>
          <w:szCs w:val="28"/>
        </w:rPr>
        <w:t xml:space="preserve">  </w:t>
      </w:r>
      <w:r w:rsidR="00EA2591">
        <w:rPr>
          <w:b/>
          <w:bCs/>
          <w:sz w:val="28"/>
          <w:szCs w:val="28"/>
        </w:rPr>
        <w:t>Y</w:t>
      </w:r>
      <w:r w:rsidR="00EA2591" w:rsidRPr="00EA2591">
        <w:rPr>
          <w:b/>
          <w:bCs/>
          <w:sz w:val="28"/>
          <w:szCs w:val="28"/>
        </w:rPr>
        <w:t xml:space="preserve">ou may consider any evidence the defendant actually knew </w:t>
      </w:r>
      <w:r w:rsidR="00D110B5">
        <w:rPr>
          <w:b/>
          <w:bCs/>
          <w:sz w:val="28"/>
          <w:szCs w:val="28"/>
        </w:rPr>
        <w:t>or</w:t>
      </w:r>
      <w:r w:rsidR="00EA2591" w:rsidRPr="00EA2591">
        <w:rPr>
          <w:b/>
          <w:bCs/>
          <w:sz w:val="28"/>
          <w:szCs w:val="28"/>
        </w:rPr>
        <w:t xml:space="preserve"> that a reasonable person in the defendant’s position should have </w:t>
      </w:r>
      <w:r w:rsidR="00556E0D">
        <w:rPr>
          <w:b/>
          <w:bCs/>
          <w:sz w:val="28"/>
          <w:szCs w:val="28"/>
        </w:rPr>
        <w:t>known</w:t>
      </w:r>
      <w:r w:rsidR="00D110B5">
        <w:rPr>
          <w:b/>
          <w:bCs/>
          <w:sz w:val="28"/>
          <w:szCs w:val="28"/>
        </w:rPr>
        <w:t xml:space="preserve"> that the place was a prohibited area</w:t>
      </w:r>
      <w:r w:rsidR="00556E0D">
        <w:rPr>
          <w:b/>
          <w:bCs/>
          <w:sz w:val="28"/>
          <w:szCs w:val="28"/>
        </w:rPr>
        <w:t>.</w:t>
      </w:r>
    </w:p>
    <w:p w14:paraId="67A4F702" w14:textId="38B6E592" w:rsidR="005447C5" w:rsidRDefault="005447C5" w:rsidP="005447C5">
      <w:pPr>
        <w:spacing w:line="480" w:lineRule="auto"/>
        <w:ind w:left="86" w:firstLine="634"/>
        <w:rPr>
          <w:b/>
          <w:bCs/>
          <w:sz w:val="28"/>
          <w:szCs w:val="28"/>
        </w:rPr>
      </w:pPr>
      <w:r w:rsidRPr="005F450E">
        <w:rPr>
          <w:b/>
          <w:bCs/>
          <w:sz w:val="28"/>
          <w:szCs w:val="28"/>
        </w:rPr>
        <w:t xml:space="preserve">If the Commonwealth has proven all </w:t>
      </w:r>
      <w:r w:rsidR="0029488C">
        <w:rPr>
          <w:b/>
          <w:bCs/>
          <w:sz w:val="28"/>
          <w:szCs w:val="28"/>
        </w:rPr>
        <w:t>five</w:t>
      </w:r>
      <w:r w:rsidR="00C839B6">
        <w:rPr>
          <w:b/>
          <w:bCs/>
          <w:sz w:val="28"/>
          <w:szCs w:val="28"/>
        </w:rPr>
        <w:t xml:space="preserve"> </w:t>
      </w:r>
      <w:r w:rsidRPr="005F450E">
        <w:rPr>
          <w:b/>
          <w:bCs/>
          <w:sz w:val="28"/>
          <w:szCs w:val="28"/>
        </w:rPr>
        <w:t xml:space="preserve">of </w:t>
      </w:r>
      <w:r>
        <w:rPr>
          <w:b/>
          <w:bCs/>
          <w:sz w:val="28"/>
          <w:szCs w:val="28"/>
        </w:rPr>
        <w:t xml:space="preserve">the </w:t>
      </w:r>
      <w:r w:rsidRPr="005F450E">
        <w:rPr>
          <w:b/>
          <w:bCs/>
          <w:sz w:val="28"/>
          <w:szCs w:val="28"/>
        </w:rPr>
        <w:t>elements of th</w:t>
      </w:r>
      <w:r>
        <w:rPr>
          <w:b/>
          <w:bCs/>
          <w:sz w:val="28"/>
          <w:szCs w:val="28"/>
        </w:rPr>
        <w:t>is</w:t>
      </w:r>
      <w:r w:rsidRPr="005F450E">
        <w:rPr>
          <w:b/>
          <w:bCs/>
          <w:sz w:val="28"/>
          <w:szCs w:val="28"/>
        </w:rPr>
        <w:t xml:space="preserve"> offense beyond a reasonable doubt, you should return a verdict of </w:t>
      </w:r>
      <w:r w:rsidRPr="005F450E">
        <w:rPr>
          <w:b/>
          <w:bCs/>
          <w:sz w:val="28"/>
          <w:szCs w:val="28"/>
        </w:rPr>
        <w:lastRenderedPageBreak/>
        <w:t xml:space="preserve">guilty.  If the Commonwealth has failed to prove </w:t>
      </w:r>
      <w:r>
        <w:rPr>
          <w:b/>
          <w:bCs/>
          <w:sz w:val="28"/>
          <w:szCs w:val="28"/>
        </w:rPr>
        <w:t xml:space="preserve">any </w:t>
      </w:r>
      <w:r w:rsidRPr="003C4258">
        <w:rPr>
          <w:b/>
          <w:bCs/>
          <w:iCs/>
          <w:sz w:val="28"/>
          <w:szCs w:val="28"/>
        </w:rPr>
        <w:t>one</w:t>
      </w:r>
      <w:r w:rsidRPr="005F450E">
        <w:rPr>
          <w:b/>
          <w:bCs/>
          <w:i/>
          <w:sz w:val="28"/>
          <w:szCs w:val="28"/>
        </w:rPr>
        <w:t xml:space="preserve"> </w:t>
      </w:r>
      <w:r w:rsidRPr="005F450E">
        <w:rPr>
          <w:b/>
          <w:bCs/>
          <w:sz w:val="28"/>
          <w:szCs w:val="28"/>
        </w:rPr>
        <w:t>of the elements</w:t>
      </w:r>
      <w:r w:rsidR="00D06036">
        <w:rPr>
          <w:b/>
          <w:bCs/>
          <w:sz w:val="28"/>
          <w:szCs w:val="28"/>
        </w:rPr>
        <w:t xml:space="preserve"> beyond a reasonable doubt</w:t>
      </w:r>
      <w:r w:rsidRPr="005F450E">
        <w:rPr>
          <w:b/>
          <w:bCs/>
          <w:sz w:val="28"/>
          <w:szCs w:val="28"/>
        </w:rPr>
        <w:t xml:space="preserve">, you must </w:t>
      </w:r>
      <w:r w:rsidR="00D06036">
        <w:rPr>
          <w:b/>
          <w:bCs/>
          <w:sz w:val="28"/>
          <w:szCs w:val="28"/>
        </w:rPr>
        <w:t>find the defendant</w:t>
      </w:r>
      <w:r>
        <w:rPr>
          <w:b/>
          <w:bCs/>
          <w:sz w:val="28"/>
          <w:szCs w:val="28"/>
        </w:rPr>
        <w:t xml:space="preserve"> not guilty.</w:t>
      </w:r>
    </w:p>
    <w:p w14:paraId="0F5646D7" w14:textId="77777777" w:rsidR="00F17F1D" w:rsidRDefault="00F17F1D" w:rsidP="005447C5">
      <w:pPr>
        <w:spacing w:line="480" w:lineRule="auto"/>
        <w:ind w:left="86" w:firstLine="634"/>
        <w:rPr>
          <w:b/>
          <w:bCs/>
          <w:sz w:val="28"/>
          <w:szCs w:val="28"/>
        </w:rPr>
      </w:pPr>
    </w:p>
    <w:p w14:paraId="57685E18" w14:textId="77777777" w:rsidR="005447C5" w:rsidRPr="0095314B" w:rsidRDefault="005447C5" w:rsidP="00B12FBA">
      <w:pPr>
        <w:pBdr>
          <w:left w:val="single" w:sz="4" w:space="4" w:color="auto"/>
          <w:right w:val="single" w:sz="4" w:space="4" w:color="auto"/>
        </w:pBdr>
        <w:spacing w:line="480" w:lineRule="auto"/>
        <w:ind w:left="720" w:right="720"/>
        <w:jc w:val="center"/>
        <w:rPr>
          <w:b/>
          <w:bCs/>
        </w:rPr>
      </w:pPr>
      <w:r w:rsidRPr="0095314B">
        <w:rPr>
          <w:b/>
          <w:bCs/>
        </w:rPr>
        <w:t>SUPPLEMENTAL INSTRUCTIONS</w:t>
      </w:r>
    </w:p>
    <w:p w14:paraId="6EFAFE2D" w14:textId="77777777" w:rsidR="005447C5" w:rsidRDefault="005447C5" w:rsidP="00B12FBA">
      <w:pPr>
        <w:pStyle w:val="ListParagraph"/>
        <w:pBdr>
          <w:left w:val="single" w:sz="4" w:space="4" w:color="auto"/>
          <w:right w:val="single" w:sz="4" w:space="4" w:color="auto"/>
        </w:pBdr>
        <w:ind w:right="720"/>
        <w:rPr>
          <w:sz w:val="20"/>
          <w:szCs w:val="20"/>
        </w:rPr>
      </w:pPr>
    </w:p>
    <w:p w14:paraId="036848E6" w14:textId="219F9A7D" w:rsidR="00B12FBA" w:rsidRDefault="005C31FA" w:rsidP="00B12FBA">
      <w:pPr>
        <w:pStyle w:val="ListParagraph"/>
        <w:numPr>
          <w:ilvl w:val="0"/>
          <w:numId w:val="5"/>
        </w:numPr>
        <w:pBdr>
          <w:left w:val="single" w:sz="4" w:space="4" w:color="auto"/>
          <w:right w:val="single" w:sz="4" w:space="4" w:color="auto"/>
        </w:pBdr>
        <w:ind w:right="720"/>
        <w:rPr>
          <w:sz w:val="20"/>
          <w:szCs w:val="20"/>
        </w:rPr>
      </w:pPr>
      <w:r>
        <w:rPr>
          <w:i/>
          <w:iCs/>
          <w:bdr w:val="single" w:sz="4" w:space="0" w:color="auto"/>
        </w:rPr>
        <w:t xml:space="preserve">Defense of license and properly </w:t>
      </w:r>
      <w:r w:rsidR="000155D1">
        <w:rPr>
          <w:i/>
          <w:iCs/>
          <w:bdr w:val="single" w:sz="4" w:space="0" w:color="auto"/>
        </w:rPr>
        <w:t>stored in a vehicle</w:t>
      </w:r>
      <w:r w:rsidR="009F15DA">
        <w:rPr>
          <w:i/>
          <w:iCs/>
          <w:bdr w:val="single" w:sz="4" w:space="0" w:color="auto"/>
        </w:rPr>
        <w:t xml:space="preserve"> while in the protected area</w:t>
      </w:r>
      <w:r w:rsidR="005447C5" w:rsidRPr="005C52BF">
        <w:rPr>
          <w:i/>
          <w:iCs/>
          <w:bdr w:val="single" w:sz="4" w:space="0" w:color="auto"/>
        </w:rPr>
        <w:t>.</w:t>
      </w:r>
      <w:r w:rsidR="005447C5">
        <w:rPr>
          <w:sz w:val="20"/>
          <w:szCs w:val="20"/>
        </w:rPr>
        <w:t xml:space="preserve">  </w:t>
      </w:r>
    </w:p>
    <w:p w14:paraId="1CC77B1B" w14:textId="77777777" w:rsidR="00FC6F25" w:rsidRDefault="00FC6F25" w:rsidP="00FC6F25">
      <w:pPr>
        <w:pStyle w:val="ListParagraph"/>
        <w:pBdr>
          <w:left w:val="single" w:sz="4" w:space="4" w:color="auto"/>
          <w:right w:val="single" w:sz="4" w:space="4" w:color="auto"/>
        </w:pBdr>
        <w:ind w:right="720"/>
        <w:rPr>
          <w:sz w:val="20"/>
          <w:szCs w:val="20"/>
        </w:rPr>
      </w:pPr>
    </w:p>
    <w:p w14:paraId="781FD230" w14:textId="49241728" w:rsidR="005C31FA" w:rsidRPr="005C31FA" w:rsidRDefault="005C31FA" w:rsidP="005C31FA">
      <w:pPr>
        <w:pBdr>
          <w:left w:val="single" w:sz="4" w:space="4" w:color="auto"/>
          <w:right w:val="single" w:sz="4" w:space="4" w:color="auto"/>
        </w:pBdr>
        <w:ind w:left="720" w:right="720"/>
        <w:rPr>
          <w:sz w:val="20"/>
          <w:szCs w:val="20"/>
        </w:rPr>
      </w:pPr>
      <w:r>
        <w:rPr>
          <w:sz w:val="20"/>
          <w:szCs w:val="20"/>
        </w:rPr>
        <w:t>“</w:t>
      </w:r>
      <w:r w:rsidRPr="005C31FA">
        <w:rPr>
          <w:sz w:val="20"/>
          <w:szCs w:val="20"/>
        </w:rPr>
        <w:t xml:space="preserve">It shall be a defense to a violation of this subsection that a person with the necessary license or card issued under </w:t>
      </w:r>
      <w:r w:rsidR="00251135">
        <w:rPr>
          <w:sz w:val="20"/>
          <w:szCs w:val="20"/>
        </w:rPr>
        <w:t>[</w:t>
      </w:r>
      <w:r>
        <w:rPr>
          <w:sz w:val="20"/>
          <w:szCs w:val="20"/>
        </w:rPr>
        <w:t>G.L. c. 140, §</w:t>
      </w:r>
      <w:r w:rsidR="00CC1B9E">
        <w:rPr>
          <w:sz w:val="20"/>
          <w:szCs w:val="20"/>
        </w:rPr>
        <w:t xml:space="preserve">§ </w:t>
      </w:r>
      <w:r w:rsidRPr="005C31FA">
        <w:rPr>
          <w:sz w:val="20"/>
          <w:szCs w:val="20"/>
        </w:rPr>
        <w:t>129B</w:t>
      </w:r>
      <w:r w:rsidR="00CC1B9E">
        <w:rPr>
          <w:sz w:val="20"/>
          <w:szCs w:val="20"/>
        </w:rPr>
        <w:t xml:space="preserve"> (firearms identification card)</w:t>
      </w:r>
      <w:r w:rsidRPr="005C31FA">
        <w:rPr>
          <w:sz w:val="20"/>
          <w:szCs w:val="20"/>
        </w:rPr>
        <w:t xml:space="preserve">, 131 </w:t>
      </w:r>
      <w:r w:rsidR="00CC1B9E">
        <w:rPr>
          <w:sz w:val="20"/>
          <w:szCs w:val="20"/>
        </w:rPr>
        <w:t>(licens</w:t>
      </w:r>
      <w:r w:rsidR="00251135">
        <w:rPr>
          <w:sz w:val="20"/>
          <w:szCs w:val="20"/>
        </w:rPr>
        <w:t>e to carry)</w:t>
      </w:r>
      <w:r w:rsidR="00CC1B9E">
        <w:rPr>
          <w:sz w:val="20"/>
          <w:szCs w:val="20"/>
        </w:rPr>
        <w:t xml:space="preserve"> </w:t>
      </w:r>
      <w:r w:rsidRPr="005C31FA">
        <w:rPr>
          <w:sz w:val="20"/>
          <w:szCs w:val="20"/>
        </w:rPr>
        <w:t xml:space="preserve">or 131F </w:t>
      </w:r>
      <w:r w:rsidR="00251135">
        <w:rPr>
          <w:sz w:val="20"/>
          <w:szCs w:val="20"/>
        </w:rPr>
        <w:t>(temporary license to carry)]</w:t>
      </w:r>
      <w:r w:rsidRPr="005C31FA">
        <w:rPr>
          <w:sz w:val="20"/>
          <w:szCs w:val="20"/>
        </w:rPr>
        <w:t xml:space="preserve"> to possess the firearm securely stored said firearm in a vehicle while within the prohibited area in accordance with </w:t>
      </w:r>
      <w:r w:rsidR="00200A3E">
        <w:rPr>
          <w:sz w:val="20"/>
          <w:szCs w:val="20"/>
        </w:rPr>
        <w:t>[G.L. c. 140, § 131C</w:t>
      </w:r>
      <w:r w:rsidR="00E92577">
        <w:rPr>
          <w:sz w:val="20"/>
          <w:szCs w:val="20"/>
        </w:rPr>
        <w:t xml:space="preserve"> </w:t>
      </w:r>
      <w:r w:rsidR="002F1272">
        <w:rPr>
          <w:sz w:val="20"/>
          <w:szCs w:val="20"/>
        </w:rPr>
        <w:t>(</w:t>
      </w:r>
      <w:r w:rsidR="00054772">
        <w:rPr>
          <w:sz w:val="20"/>
          <w:szCs w:val="20"/>
        </w:rPr>
        <w:t xml:space="preserve">storage </w:t>
      </w:r>
      <w:r w:rsidR="002F1272">
        <w:rPr>
          <w:sz w:val="20"/>
          <w:szCs w:val="20"/>
        </w:rPr>
        <w:t>loaded firearm or large capacity weapon in vehicle)</w:t>
      </w:r>
      <w:r w:rsidR="00200A3E">
        <w:rPr>
          <w:sz w:val="20"/>
          <w:szCs w:val="20"/>
        </w:rPr>
        <w:t xml:space="preserve"> &amp; 131</w:t>
      </w:r>
      <w:r w:rsidR="00E92577">
        <w:rPr>
          <w:sz w:val="20"/>
          <w:szCs w:val="20"/>
        </w:rPr>
        <w:t>L</w:t>
      </w:r>
      <w:r w:rsidR="00054772">
        <w:rPr>
          <w:sz w:val="20"/>
          <w:szCs w:val="20"/>
        </w:rPr>
        <w:t xml:space="preserve"> (storage of firearm)</w:t>
      </w:r>
      <w:r w:rsidRPr="005C31FA">
        <w:rPr>
          <w:sz w:val="20"/>
          <w:szCs w:val="20"/>
        </w:rPr>
        <w:t>.</w:t>
      </w:r>
      <w:r w:rsidR="00E92577">
        <w:rPr>
          <w:sz w:val="20"/>
          <w:szCs w:val="20"/>
        </w:rPr>
        <w:t>]</w:t>
      </w:r>
    </w:p>
    <w:p w14:paraId="155E6320" w14:textId="77777777" w:rsidR="00B12FBA" w:rsidRPr="00B12FBA" w:rsidRDefault="00B12FBA" w:rsidP="00B12FBA">
      <w:pPr>
        <w:pBdr>
          <w:left w:val="single" w:sz="4" w:space="4" w:color="auto"/>
          <w:right w:val="single" w:sz="4" w:space="4" w:color="auto"/>
        </w:pBdr>
        <w:ind w:left="720" w:right="720"/>
        <w:rPr>
          <w:sz w:val="20"/>
          <w:szCs w:val="20"/>
        </w:rPr>
      </w:pPr>
    </w:p>
    <w:p w14:paraId="3F17B86F" w14:textId="77777777" w:rsidR="00E61150" w:rsidRDefault="00B83F2B" w:rsidP="00B12FBA">
      <w:pPr>
        <w:pStyle w:val="ListParagraph"/>
        <w:pBdr>
          <w:left w:val="single" w:sz="4" w:space="4" w:color="auto"/>
          <w:right w:val="single" w:sz="4" w:space="4" w:color="auto"/>
        </w:pBdr>
        <w:spacing w:line="480" w:lineRule="auto"/>
        <w:ind w:right="720" w:firstLine="720"/>
        <w:rPr>
          <w:b/>
          <w:bCs/>
          <w:sz w:val="28"/>
          <w:szCs w:val="28"/>
        </w:rPr>
      </w:pPr>
      <w:r w:rsidRPr="000155D1">
        <w:rPr>
          <w:b/>
          <w:bCs/>
          <w:sz w:val="28"/>
          <w:szCs w:val="28"/>
        </w:rPr>
        <w:t xml:space="preserve">You have heard </w:t>
      </w:r>
      <w:r w:rsidR="00F540D3" w:rsidRPr="000155D1">
        <w:rPr>
          <w:b/>
          <w:bCs/>
          <w:sz w:val="28"/>
          <w:szCs w:val="28"/>
        </w:rPr>
        <w:t>some</w:t>
      </w:r>
      <w:r w:rsidR="005447C5" w:rsidRPr="000155D1">
        <w:rPr>
          <w:b/>
          <w:bCs/>
          <w:sz w:val="28"/>
          <w:szCs w:val="28"/>
        </w:rPr>
        <w:t xml:space="preserve"> </w:t>
      </w:r>
      <w:r w:rsidR="00422D80" w:rsidRPr="000155D1">
        <w:rPr>
          <w:b/>
          <w:bCs/>
          <w:sz w:val="28"/>
          <w:szCs w:val="28"/>
        </w:rPr>
        <w:t>evidence</w:t>
      </w:r>
      <w:r w:rsidR="005447C5" w:rsidRPr="000155D1">
        <w:rPr>
          <w:b/>
          <w:bCs/>
          <w:sz w:val="28"/>
          <w:szCs w:val="28"/>
        </w:rPr>
        <w:t xml:space="preserve"> that the </w:t>
      </w:r>
      <w:r w:rsidR="001934A9">
        <w:rPr>
          <w:b/>
          <w:bCs/>
          <w:sz w:val="28"/>
          <w:szCs w:val="28"/>
        </w:rPr>
        <w:t xml:space="preserve">firearm was in a vehicle in the prohibited area.  If you find that the firearm was in a vehicle, then the Commonwealth must prove beyond a reasonable doubt either that the defendant did not have a valid </w:t>
      </w:r>
      <w:r w:rsidR="00E56E41">
        <w:rPr>
          <w:b/>
          <w:bCs/>
          <w:sz w:val="28"/>
          <w:szCs w:val="28"/>
        </w:rPr>
        <w:t xml:space="preserve">firearms </w:t>
      </w:r>
      <w:r w:rsidR="001934A9">
        <w:rPr>
          <w:b/>
          <w:bCs/>
          <w:sz w:val="28"/>
          <w:szCs w:val="28"/>
        </w:rPr>
        <w:t xml:space="preserve">license or that the firearm was not properly stored.  </w:t>
      </w:r>
      <w:r w:rsidR="00C30279" w:rsidRPr="000155D1">
        <w:rPr>
          <w:b/>
          <w:bCs/>
          <w:sz w:val="28"/>
          <w:szCs w:val="28"/>
        </w:rPr>
        <w:t>(</w:t>
      </w:r>
      <w:r w:rsidR="00F873B8" w:rsidRPr="000155D1">
        <w:rPr>
          <w:b/>
          <w:bCs/>
          <w:sz w:val="28"/>
          <w:szCs w:val="28"/>
        </w:rPr>
        <w:t xml:space="preserve">A </w:t>
      </w:r>
      <w:r w:rsidR="002C1E65" w:rsidRPr="000155D1">
        <w:rPr>
          <w:b/>
          <w:bCs/>
          <w:sz w:val="28"/>
          <w:szCs w:val="28"/>
        </w:rPr>
        <w:t xml:space="preserve">person is not permitted to carry a </w:t>
      </w:r>
      <w:r w:rsidR="00DD6A86" w:rsidRPr="000155D1">
        <w:rPr>
          <w:b/>
          <w:bCs/>
          <w:sz w:val="28"/>
          <w:szCs w:val="28"/>
        </w:rPr>
        <w:t xml:space="preserve">loaded </w:t>
      </w:r>
      <w:r w:rsidR="002C1E65" w:rsidRPr="000155D1">
        <w:rPr>
          <w:b/>
          <w:bCs/>
          <w:sz w:val="28"/>
          <w:szCs w:val="28"/>
        </w:rPr>
        <w:t xml:space="preserve">firearm in their vehicle unless the </w:t>
      </w:r>
      <w:r w:rsidR="00F873B8" w:rsidRPr="000155D1">
        <w:rPr>
          <w:b/>
          <w:bCs/>
          <w:sz w:val="28"/>
          <w:szCs w:val="28"/>
        </w:rPr>
        <w:t xml:space="preserve">firearm is </w:t>
      </w:r>
      <w:r w:rsidR="00DD6A86" w:rsidRPr="000155D1">
        <w:rPr>
          <w:b/>
          <w:bCs/>
          <w:sz w:val="28"/>
          <w:szCs w:val="28"/>
        </w:rPr>
        <w:t>under their direct control.</w:t>
      </w:r>
      <w:r w:rsidR="00737919" w:rsidRPr="000155D1">
        <w:rPr>
          <w:b/>
          <w:bCs/>
          <w:sz w:val="28"/>
          <w:szCs w:val="28"/>
        </w:rPr>
        <w:t>)</w:t>
      </w:r>
      <w:r w:rsidR="00DD6A86" w:rsidRPr="000155D1">
        <w:rPr>
          <w:b/>
          <w:bCs/>
          <w:sz w:val="28"/>
          <w:szCs w:val="28"/>
        </w:rPr>
        <w:t xml:space="preserve">  </w:t>
      </w:r>
      <w:r w:rsidR="004A18A4">
        <w:rPr>
          <w:b/>
          <w:bCs/>
          <w:sz w:val="28"/>
          <w:szCs w:val="28"/>
        </w:rPr>
        <w:t>(</w:t>
      </w:r>
      <w:r w:rsidR="00DD6A86" w:rsidRPr="000155D1">
        <w:rPr>
          <w:b/>
          <w:bCs/>
          <w:sz w:val="28"/>
          <w:szCs w:val="28"/>
        </w:rPr>
        <w:t>A person is not permitted to poss</w:t>
      </w:r>
      <w:r w:rsidR="00130267" w:rsidRPr="000155D1">
        <w:rPr>
          <w:b/>
          <w:bCs/>
          <w:sz w:val="28"/>
          <w:szCs w:val="28"/>
        </w:rPr>
        <w:t>ess a large capacity firearm unless that rifle or shotgun is unloaded and secured in a locked container</w:t>
      </w:r>
      <w:r w:rsidR="00C30279" w:rsidRPr="000155D1">
        <w:rPr>
          <w:b/>
          <w:bCs/>
          <w:sz w:val="28"/>
          <w:szCs w:val="28"/>
        </w:rPr>
        <w:t>.</w:t>
      </w:r>
      <w:r w:rsidR="00B80CBC" w:rsidRPr="000155D1">
        <w:rPr>
          <w:b/>
          <w:bCs/>
          <w:sz w:val="28"/>
          <w:szCs w:val="28"/>
        </w:rPr>
        <w:t>)</w:t>
      </w:r>
      <w:r w:rsidR="00C30279" w:rsidRPr="000155D1">
        <w:rPr>
          <w:b/>
          <w:bCs/>
          <w:sz w:val="28"/>
          <w:szCs w:val="28"/>
        </w:rPr>
        <w:t xml:space="preserve">  </w:t>
      </w:r>
    </w:p>
    <w:p w14:paraId="2DF6011B" w14:textId="6F698B73" w:rsidR="005447C5" w:rsidRPr="000155D1" w:rsidRDefault="00C30279" w:rsidP="00B12FBA">
      <w:pPr>
        <w:pStyle w:val="ListParagraph"/>
        <w:pBdr>
          <w:left w:val="single" w:sz="4" w:space="4" w:color="auto"/>
          <w:right w:val="single" w:sz="4" w:space="4" w:color="auto"/>
        </w:pBdr>
        <w:spacing w:line="480" w:lineRule="auto"/>
        <w:ind w:right="720" w:firstLine="720"/>
        <w:rPr>
          <w:b/>
          <w:bCs/>
          <w:sz w:val="28"/>
          <w:szCs w:val="28"/>
        </w:rPr>
      </w:pPr>
      <w:r w:rsidRPr="000155D1">
        <w:rPr>
          <w:b/>
          <w:bCs/>
          <w:sz w:val="28"/>
          <w:szCs w:val="28"/>
        </w:rPr>
        <w:t xml:space="preserve">If the Commonwealth proves </w:t>
      </w:r>
      <w:r w:rsidR="00FC0804" w:rsidRPr="000155D1">
        <w:rPr>
          <w:b/>
          <w:bCs/>
          <w:sz w:val="28"/>
          <w:szCs w:val="28"/>
        </w:rPr>
        <w:t xml:space="preserve">all of the elements of </w:t>
      </w:r>
      <w:r w:rsidR="00FC0804" w:rsidRPr="000155D1">
        <w:rPr>
          <w:b/>
          <w:bCs/>
          <w:sz w:val="28"/>
          <w:szCs w:val="28"/>
        </w:rPr>
        <w:lastRenderedPageBreak/>
        <w:t xml:space="preserve">this offense and also proves </w:t>
      </w:r>
      <w:r w:rsidR="00B80CBC" w:rsidRPr="000155D1">
        <w:rPr>
          <w:b/>
          <w:bCs/>
          <w:sz w:val="28"/>
          <w:szCs w:val="28"/>
        </w:rPr>
        <w:t xml:space="preserve">beyond a reasonable doubt </w:t>
      </w:r>
      <w:r w:rsidRPr="000155D1">
        <w:rPr>
          <w:b/>
          <w:bCs/>
          <w:sz w:val="28"/>
          <w:szCs w:val="28"/>
        </w:rPr>
        <w:t xml:space="preserve">that the defendant </w:t>
      </w:r>
      <w:r w:rsidR="00B80CBC" w:rsidRPr="000155D1">
        <w:rPr>
          <w:b/>
          <w:bCs/>
          <w:sz w:val="28"/>
          <w:szCs w:val="28"/>
        </w:rPr>
        <w:t xml:space="preserve">did not properly </w:t>
      </w:r>
      <w:r w:rsidR="00FC0804" w:rsidRPr="000155D1">
        <w:rPr>
          <w:b/>
          <w:bCs/>
          <w:sz w:val="28"/>
          <w:szCs w:val="28"/>
        </w:rPr>
        <w:t xml:space="preserve">store the firearm in a vehicle, then you </w:t>
      </w:r>
      <w:r w:rsidR="001934A9">
        <w:rPr>
          <w:b/>
          <w:bCs/>
          <w:sz w:val="28"/>
          <w:szCs w:val="28"/>
        </w:rPr>
        <w:t xml:space="preserve">may </w:t>
      </w:r>
      <w:r w:rsidR="00FC0804" w:rsidRPr="000155D1">
        <w:rPr>
          <w:b/>
          <w:bCs/>
          <w:sz w:val="28"/>
          <w:szCs w:val="28"/>
        </w:rPr>
        <w:t xml:space="preserve">find the defendant guilty. </w:t>
      </w:r>
      <w:r w:rsidR="001934A9">
        <w:rPr>
          <w:b/>
          <w:bCs/>
          <w:sz w:val="28"/>
          <w:szCs w:val="28"/>
        </w:rPr>
        <w:t xml:space="preserve"> </w:t>
      </w:r>
      <w:r w:rsidR="00D0481D">
        <w:rPr>
          <w:b/>
          <w:bCs/>
          <w:sz w:val="28"/>
          <w:szCs w:val="28"/>
        </w:rPr>
        <w:t>If the</w:t>
      </w:r>
      <w:r w:rsidR="001934A9">
        <w:rPr>
          <w:b/>
          <w:bCs/>
          <w:sz w:val="28"/>
          <w:szCs w:val="28"/>
        </w:rPr>
        <w:t xml:space="preserve"> Commonwealth </w:t>
      </w:r>
      <w:r w:rsidR="00D0481D">
        <w:rPr>
          <w:b/>
          <w:bCs/>
          <w:sz w:val="28"/>
          <w:szCs w:val="28"/>
        </w:rPr>
        <w:t xml:space="preserve">fails to </w:t>
      </w:r>
      <w:r w:rsidR="001934A9">
        <w:rPr>
          <w:b/>
          <w:bCs/>
          <w:sz w:val="28"/>
          <w:szCs w:val="28"/>
        </w:rPr>
        <w:t>prove</w:t>
      </w:r>
      <w:r w:rsidR="00D0481D">
        <w:rPr>
          <w:b/>
          <w:bCs/>
          <w:sz w:val="28"/>
          <w:szCs w:val="28"/>
        </w:rPr>
        <w:t xml:space="preserve"> </w:t>
      </w:r>
      <w:r w:rsidR="001934A9">
        <w:rPr>
          <w:b/>
          <w:bCs/>
          <w:sz w:val="28"/>
          <w:szCs w:val="28"/>
        </w:rPr>
        <w:t xml:space="preserve">beyond a reasonable doubt that the defendant </w:t>
      </w:r>
      <w:r w:rsidR="00AC3458">
        <w:rPr>
          <w:b/>
          <w:bCs/>
          <w:sz w:val="28"/>
          <w:szCs w:val="28"/>
        </w:rPr>
        <w:t>did not have</w:t>
      </w:r>
      <w:r w:rsidR="00912CE9">
        <w:rPr>
          <w:b/>
          <w:bCs/>
          <w:sz w:val="28"/>
          <w:szCs w:val="28"/>
        </w:rPr>
        <w:t xml:space="preserve"> a</w:t>
      </w:r>
      <w:r w:rsidR="001934A9">
        <w:rPr>
          <w:b/>
          <w:bCs/>
          <w:sz w:val="28"/>
          <w:szCs w:val="28"/>
        </w:rPr>
        <w:t xml:space="preserve"> valid license or that the firearm was improperly stored, you must find the defendant not guilty.</w:t>
      </w:r>
    </w:p>
    <w:p w14:paraId="5401C3C2" w14:textId="77777777" w:rsidR="00A818EC" w:rsidRDefault="00A818EC" w:rsidP="005447C5">
      <w:pPr>
        <w:spacing w:line="480" w:lineRule="auto"/>
        <w:rPr>
          <w:sz w:val="20"/>
          <w:szCs w:val="20"/>
        </w:rPr>
      </w:pPr>
    </w:p>
    <w:p w14:paraId="505446A0" w14:textId="5D34F758" w:rsidR="005447C5" w:rsidRDefault="005447C5" w:rsidP="00657451">
      <w:pPr>
        <w:rPr>
          <w:b/>
          <w:bCs/>
          <w:sz w:val="20"/>
          <w:szCs w:val="20"/>
        </w:rPr>
      </w:pPr>
      <w:r w:rsidRPr="00657451">
        <w:rPr>
          <w:b/>
          <w:bCs/>
          <w:sz w:val="20"/>
          <w:szCs w:val="20"/>
        </w:rPr>
        <w:t>NOTES:</w:t>
      </w:r>
    </w:p>
    <w:p w14:paraId="6C8F3C8D" w14:textId="77777777" w:rsidR="00657451" w:rsidRPr="00657451" w:rsidRDefault="00657451" w:rsidP="00657451">
      <w:pPr>
        <w:rPr>
          <w:b/>
          <w:bCs/>
          <w:sz w:val="20"/>
          <w:szCs w:val="20"/>
        </w:rPr>
      </w:pPr>
    </w:p>
    <w:p w14:paraId="6B7C4229" w14:textId="77777777" w:rsidR="00657451" w:rsidRPr="00657451" w:rsidRDefault="008F5657"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rFonts w:eastAsia="Times New Roman"/>
          <w:b/>
          <w:bCs/>
          <w:sz w:val="20"/>
          <w:szCs w:val="20"/>
          <w:bdr w:val="none" w:sz="0" w:space="0" w:color="auto" w:frame="1"/>
        </w:rPr>
        <w:t>Application.</w:t>
      </w:r>
      <w:r w:rsidRPr="00657451">
        <w:rPr>
          <w:rFonts w:eastAsia="Times New Roman"/>
          <w:sz w:val="20"/>
          <w:szCs w:val="20"/>
          <w:bdr w:val="none" w:sz="0" w:space="0" w:color="auto" w:frame="1"/>
        </w:rPr>
        <w:t xml:space="preserve">  </w:t>
      </w:r>
      <w:r w:rsidR="00EC6AA5" w:rsidRPr="00657451">
        <w:rPr>
          <w:rFonts w:eastAsia="Times New Roman"/>
          <w:sz w:val="20"/>
          <w:szCs w:val="20"/>
          <w:bdr w:val="none" w:sz="0" w:space="0" w:color="auto" w:frame="1"/>
        </w:rPr>
        <w:t xml:space="preserve">This </w:t>
      </w:r>
      <w:r w:rsidRPr="00657451">
        <w:rPr>
          <w:rFonts w:eastAsia="Times New Roman"/>
          <w:sz w:val="20"/>
          <w:szCs w:val="20"/>
          <w:bdr w:val="none" w:sz="0" w:space="0" w:color="auto" w:frame="1"/>
        </w:rPr>
        <w:t>statute</w:t>
      </w:r>
      <w:r w:rsidR="00EC6AA5" w:rsidRPr="00657451">
        <w:rPr>
          <w:rFonts w:eastAsia="Times New Roman"/>
          <w:sz w:val="20"/>
          <w:szCs w:val="20"/>
          <w:bdr w:val="none" w:sz="0" w:space="0" w:color="auto" w:frame="1"/>
        </w:rPr>
        <w:t xml:space="preserve"> </w:t>
      </w:r>
      <w:r w:rsidRPr="00657451">
        <w:rPr>
          <w:rFonts w:eastAsia="Times New Roman"/>
          <w:sz w:val="20"/>
          <w:szCs w:val="20"/>
          <w:bdr w:val="none" w:sz="0" w:space="0" w:color="auto" w:frame="1"/>
        </w:rPr>
        <w:t>does not apply to</w:t>
      </w:r>
      <w:r w:rsidR="00EC6AA5" w:rsidRPr="00657451">
        <w:rPr>
          <w:rFonts w:eastAsia="Times New Roman"/>
          <w:sz w:val="20"/>
          <w:szCs w:val="20"/>
          <w:bdr w:val="none" w:sz="0" w:space="0" w:color="auto" w:frame="1"/>
        </w:rPr>
        <w:t xml:space="preserve"> </w:t>
      </w:r>
      <w:r w:rsidRPr="00657451">
        <w:rPr>
          <w:rFonts w:eastAsia="Times New Roman"/>
          <w:sz w:val="20"/>
          <w:szCs w:val="20"/>
          <w:bdr w:val="none" w:sz="0" w:space="0" w:color="auto" w:frame="1"/>
        </w:rPr>
        <w:t>“</w:t>
      </w:r>
      <w:r w:rsidR="00EC6AA5" w:rsidRPr="00657451">
        <w:rPr>
          <w:rFonts w:eastAsia="Times New Roman"/>
          <w:sz w:val="20"/>
          <w:szCs w:val="20"/>
          <w:bdr w:val="none" w:sz="0" w:space="0" w:color="auto" w:frame="1"/>
        </w:rPr>
        <w:t xml:space="preserve">a qualified law enforcement officer or a qualified retired law enforcement officer, as defined in the Law Enforcement Officers Safety Act of 2004, 18 U.S.C. </w:t>
      </w:r>
      <w:r w:rsidR="0027758D" w:rsidRPr="00657451">
        <w:rPr>
          <w:rFonts w:eastAsia="Times New Roman"/>
          <w:sz w:val="20"/>
          <w:szCs w:val="20"/>
          <w:bdr w:val="none" w:sz="0" w:space="0" w:color="auto" w:frame="1"/>
        </w:rPr>
        <w:t>§§</w:t>
      </w:r>
      <w:r w:rsidR="00EC6AA5" w:rsidRPr="00657451">
        <w:rPr>
          <w:rFonts w:eastAsia="Times New Roman"/>
          <w:sz w:val="20"/>
          <w:szCs w:val="20"/>
          <w:bdr w:val="none" w:sz="0" w:space="0" w:color="auto" w:frame="1"/>
        </w:rPr>
        <w:t xml:space="preserve"> 926B and 926C, respectively, as amended or to a security guard employed at the prohibited area while at the location of their employment and during the course of their employment.</w:t>
      </w:r>
      <w:r w:rsidR="00E11ED6" w:rsidRPr="00657451">
        <w:rPr>
          <w:rFonts w:eastAsia="Times New Roman"/>
          <w:sz w:val="20"/>
          <w:szCs w:val="20"/>
          <w:bdr w:val="none" w:sz="0" w:space="0" w:color="auto" w:frame="1"/>
        </w:rPr>
        <w:t>”</w:t>
      </w:r>
      <w:r w:rsidR="00D43FB4" w:rsidRPr="00657451">
        <w:rPr>
          <w:rFonts w:eastAsia="Times New Roman"/>
          <w:sz w:val="20"/>
          <w:szCs w:val="20"/>
          <w:bdr w:val="none" w:sz="0" w:space="0" w:color="auto" w:frame="1"/>
        </w:rPr>
        <w:t xml:space="preserve">  G.L. c. 269, § 10(k)(5).</w:t>
      </w:r>
      <w:r w:rsidR="00EC6AA5" w:rsidRPr="00657451">
        <w:rPr>
          <w:rFonts w:eastAsia="Times New Roman"/>
          <w:sz w:val="20"/>
          <w:szCs w:val="20"/>
          <w:bdr w:val="none" w:sz="0" w:space="0" w:color="auto" w:frame="1"/>
        </w:rPr>
        <w:t xml:space="preserve"> </w:t>
      </w:r>
    </w:p>
    <w:p w14:paraId="283CEEDD" w14:textId="77777777" w:rsidR="00657451" w:rsidRPr="00657451" w:rsidRDefault="00657451" w:rsidP="00657451">
      <w:pPr>
        <w:pStyle w:val="ListParagraph"/>
        <w:widowControl/>
        <w:autoSpaceDE/>
        <w:autoSpaceDN/>
        <w:adjustRightInd/>
        <w:ind w:left="360"/>
        <w:contextualSpacing w:val="0"/>
        <w:textAlignment w:val="baseline"/>
        <w:rPr>
          <w:rFonts w:eastAsia="Times New Roman"/>
          <w:sz w:val="20"/>
          <w:szCs w:val="20"/>
        </w:rPr>
      </w:pPr>
    </w:p>
    <w:p w14:paraId="69FB295C" w14:textId="77777777" w:rsidR="00657451" w:rsidRPr="00657451" w:rsidRDefault="00C93FC9"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rFonts w:eastAsia="Times New Roman"/>
          <w:b/>
          <w:bCs/>
          <w:sz w:val="20"/>
          <w:szCs w:val="20"/>
          <w:bdr w:val="none" w:sz="0" w:space="0" w:color="auto" w:frame="1"/>
        </w:rPr>
        <w:t>Designating</w:t>
      </w:r>
      <w:r w:rsidR="00B32115" w:rsidRPr="00657451">
        <w:rPr>
          <w:rFonts w:eastAsia="Times New Roman"/>
          <w:b/>
          <w:bCs/>
          <w:sz w:val="20"/>
          <w:szCs w:val="20"/>
          <w:bdr w:val="none" w:sz="0" w:space="0" w:color="auto" w:frame="1"/>
        </w:rPr>
        <w:t xml:space="preserve"> p</w:t>
      </w:r>
      <w:r w:rsidR="0027758D" w:rsidRPr="00657451">
        <w:rPr>
          <w:rFonts w:eastAsia="Times New Roman"/>
          <w:b/>
          <w:bCs/>
          <w:sz w:val="20"/>
          <w:szCs w:val="20"/>
          <w:bdr w:val="none" w:sz="0" w:space="0" w:color="auto" w:frame="1"/>
        </w:rPr>
        <w:t>rohibited area</w:t>
      </w:r>
      <w:r w:rsidR="00B32115" w:rsidRPr="00657451">
        <w:rPr>
          <w:rFonts w:eastAsia="Times New Roman"/>
          <w:b/>
          <w:bCs/>
          <w:sz w:val="20"/>
          <w:szCs w:val="20"/>
          <w:bdr w:val="none" w:sz="0" w:space="0" w:color="auto" w:frame="1"/>
        </w:rPr>
        <w:t>s</w:t>
      </w:r>
      <w:r w:rsidR="0027758D" w:rsidRPr="00657451">
        <w:rPr>
          <w:rFonts w:eastAsia="Times New Roman"/>
          <w:sz w:val="20"/>
          <w:szCs w:val="20"/>
          <w:bdr w:val="none" w:sz="0" w:space="0" w:color="auto" w:frame="1"/>
        </w:rPr>
        <w:t xml:space="preserve">.  </w:t>
      </w:r>
      <w:r w:rsidR="006522DF" w:rsidRPr="00657451">
        <w:rPr>
          <w:rFonts w:eastAsia="Times New Roman"/>
          <w:sz w:val="20"/>
          <w:szCs w:val="20"/>
          <w:bdr w:val="none" w:sz="0" w:space="0" w:color="auto" w:frame="1"/>
        </w:rPr>
        <w:t xml:space="preserve">A municipality may vote to exclude administrative buildings from being a prohibited area. G.L. c. 269, § 10(k)(2)(i). </w:t>
      </w:r>
      <w:r w:rsidR="0027758D" w:rsidRPr="00657451">
        <w:rPr>
          <w:rFonts w:eastAsia="Times New Roman"/>
          <w:sz w:val="20"/>
          <w:szCs w:val="20"/>
          <w:bdr w:val="none" w:sz="0" w:space="0" w:color="auto" w:frame="1"/>
        </w:rPr>
        <w:t xml:space="preserve">The statute </w:t>
      </w:r>
      <w:r w:rsidR="00631E1F" w:rsidRPr="00657451">
        <w:rPr>
          <w:rFonts w:eastAsia="Times New Roman"/>
          <w:sz w:val="20"/>
          <w:szCs w:val="20"/>
          <w:bdr w:val="none" w:sz="0" w:space="0" w:color="auto" w:frame="1"/>
        </w:rPr>
        <w:t>is clear that a</w:t>
      </w:r>
      <w:r w:rsidR="00EC6AA5" w:rsidRPr="00657451">
        <w:rPr>
          <w:rFonts w:eastAsia="Times New Roman"/>
          <w:sz w:val="20"/>
          <w:szCs w:val="20"/>
          <w:bdr w:val="none" w:sz="0" w:space="0" w:color="auto" w:frame="1"/>
        </w:rPr>
        <w:t xml:space="preserve"> </w:t>
      </w:r>
      <w:r w:rsidR="00631E1F" w:rsidRPr="00657451">
        <w:rPr>
          <w:rFonts w:eastAsia="Times New Roman"/>
          <w:sz w:val="20"/>
          <w:szCs w:val="20"/>
          <w:bdr w:val="none" w:sz="0" w:space="0" w:color="auto" w:frame="1"/>
        </w:rPr>
        <w:t>“</w:t>
      </w:r>
      <w:r w:rsidR="00EC6AA5" w:rsidRPr="00657451">
        <w:rPr>
          <w:rFonts w:eastAsia="Times New Roman"/>
          <w:sz w:val="20"/>
          <w:szCs w:val="20"/>
          <w:bdr w:val="none" w:sz="0" w:space="0" w:color="auto" w:frame="1"/>
        </w:rPr>
        <w:t xml:space="preserve">municipality, county or department, division, commission, board, agency or court of the commonwealth </w:t>
      </w:r>
      <w:r w:rsidR="00B32115" w:rsidRPr="00657451">
        <w:rPr>
          <w:rFonts w:eastAsia="Times New Roman"/>
          <w:sz w:val="20"/>
          <w:szCs w:val="20"/>
          <w:bdr w:val="none" w:sz="0" w:space="0" w:color="auto" w:frame="1"/>
        </w:rPr>
        <w:t xml:space="preserve">[may] </w:t>
      </w:r>
      <w:r w:rsidR="00EC6AA5" w:rsidRPr="00657451">
        <w:rPr>
          <w:rFonts w:eastAsia="Times New Roman"/>
          <w:sz w:val="20"/>
          <w:szCs w:val="20"/>
          <w:bdr w:val="none" w:sz="0" w:space="0" w:color="auto" w:frame="1"/>
        </w:rPr>
        <w:t>adopt policies further restricting the possession of firearms in areas under their control.</w:t>
      </w:r>
      <w:r w:rsidR="00631E1F" w:rsidRPr="00657451">
        <w:rPr>
          <w:rFonts w:eastAsia="Times New Roman"/>
          <w:sz w:val="20"/>
          <w:szCs w:val="20"/>
          <w:bdr w:val="none" w:sz="0" w:space="0" w:color="auto" w:frame="1"/>
        </w:rPr>
        <w:t xml:space="preserve">”  </w:t>
      </w:r>
      <w:r w:rsidR="00B32115" w:rsidRPr="00657451">
        <w:rPr>
          <w:rFonts w:eastAsia="Times New Roman"/>
          <w:sz w:val="20"/>
          <w:szCs w:val="20"/>
          <w:bdr w:val="none" w:sz="0" w:space="0" w:color="auto" w:frame="1"/>
        </w:rPr>
        <w:t>See G.L. 269, § 10</w:t>
      </w:r>
      <w:r w:rsidR="004676FE" w:rsidRPr="00657451">
        <w:rPr>
          <w:rFonts w:eastAsia="Times New Roman"/>
          <w:sz w:val="20"/>
          <w:szCs w:val="20"/>
          <w:bdr w:val="none" w:sz="0" w:space="0" w:color="auto" w:frame="1"/>
        </w:rPr>
        <w:t>(k)</w:t>
      </w:r>
      <w:r w:rsidR="00FC75BF" w:rsidRPr="00657451">
        <w:rPr>
          <w:rFonts w:eastAsia="Times New Roman"/>
          <w:sz w:val="20"/>
          <w:szCs w:val="20"/>
          <w:bdr w:val="none" w:sz="0" w:space="0" w:color="auto" w:frame="1"/>
        </w:rPr>
        <w:t>(5)</w:t>
      </w:r>
      <w:r w:rsidR="004676FE" w:rsidRPr="00657451">
        <w:rPr>
          <w:rFonts w:eastAsia="Times New Roman"/>
          <w:sz w:val="20"/>
          <w:szCs w:val="20"/>
          <w:bdr w:val="none" w:sz="0" w:space="0" w:color="auto" w:frame="1"/>
        </w:rPr>
        <w:t>.</w:t>
      </w:r>
    </w:p>
    <w:p w14:paraId="636EAA6D" w14:textId="77777777" w:rsidR="00657451" w:rsidRPr="00657451" w:rsidRDefault="00657451" w:rsidP="00657451">
      <w:pPr>
        <w:pStyle w:val="ListParagraph"/>
        <w:contextualSpacing w:val="0"/>
        <w:rPr>
          <w:b/>
          <w:bCs/>
          <w:sz w:val="20"/>
          <w:szCs w:val="20"/>
        </w:rPr>
      </w:pPr>
    </w:p>
    <w:p w14:paraId="61F664CA" w14:textId="77777777" w:rsidR="00657451" w:rsidRPr="00657451" w:rsidRDefault="002431F7"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b/>
          <w:bCs/>
          <w:sz w:val="20"/>
          <w:szCs w:val="20"/>
        </w:rPr>
        <w:t>Ballistics certificate.</w:t>
      </w:r>
      <w:r w:rsidRPr="00657451">
        <w:rPr>
          <w:sz w:val="20"/>
          <w:szCs w:val="20"/>
        </w:rPr>
        <w:t xml:space="preserve">  Despite the provision in G.L. c. 140, § 121A that a sworn certificate shall constitute prima facie evidence of the findings of a ballistics expert, the admission of a ballistics certificate without the opportunity to cross-examine the certifying ballistician is constitutional error.  See </w:t>
      </w:r>
      <w:r w:rsidRPr="00657451">
        <w:rPr>
          <w:rStyle w:val="ac"/>
          <w:i/>
          <w:iCs/>
          <w:sz w:val="20"/>
          <w:szCs w:val="20"/>
          <w:bdr w:val="none" w:sz="0" w:space="0" w:color="auto" w:frame="1"/>
          <w:shd w:val="clear" w:color="auto" w:fill="FFFFFF"/>
        </w:rPr>
        <w:t>Commonwealth v. Brown</w:t>
      </w:r>
      <w:r w:rsidRPr="00657451">
        <w:rPr>
          <w:rStyle w:val="ac"/>
          <w:sz w:val="20"/>
          <w:szCs w:val="20"/>
          <w:bdr w:val="none" w:sz="0" w:space="0" w:color="auto" w:frame="1"/>
          <w:shd w:val="clear" w:color="auto" w:fill="FFFFFF"/>
        </w:rPr>
        <w:t>, 75 Mass. App. Ct. 361, 363</w:t>
      </w:r>
      <w:r w:rsidRPr="00657451">
        <w:rPr>
          <w:sz w:val="20"/>
          <w:szCs w:val="20"/>
        </w:rPr>
        <w:t xml:space="preserve"> (2009), citing </w:t>
      </w:r>
      <w:r w:rsidRPr="00657451">
        <w:rPr>
          <w:i/>
          <w:iCs/>
          <w:sz w:val="20"/>
          <w:szCs w:val="20"/>
        </w:rPr>
        <w:t>Melendez-Diaz v. Massachusetts</w:t>
      </w:r>
      <w:r w:rsidRPr="00657451">
        <w:rPr>
          <w:sz w:val="20"/>
          <w:szCs w:val="20"/>
        </w:rPr>
        <w:t xml:space="preserve">, 557 U.S. 305 (2009).  See also </w:t>
      </w:r>
      <w:r w:rsidRPr="00657451">
        <w:rPr>
          <w:i/>
          <w:iCs/>
          <w:sz w:val="20"/>
          <w:szCs w:val="20"/>
        </w:rPr>
        <w:t>Commonwealth v. Muniz,</w:t>
      </w:r>
      <w:r w:rsidRPr="00657451">
        <w:rPr>
          <w:sz w:val="20"/>
          <w:szCs w:val="20"/>
        </w:rPr>
        <w:t xml:space="preserve"> 456 Mass. 166, 168 (2010). </w:t>
      </w:r>
    </w:p>
    <w:p w14:paraId="4485965D" w14:textId="77777777" w:rsidR="00657451" w:rsidRPr="00657451" w:rsidRDefault="00657451" w:rsidP="00657451">
      <w:pPr>
        <w:pStyle w:val="ListParagraph"/>
        <w:contextualSpacing w:val="0"/>
        <w:rPr>
          <w:b/>
          <w:bCs/>
          <w:sz w:val="20"/>
          <w:szCs w:val="20"/>
        </w:rPr>
      </w:pPr>
    </w:p>
    <w:p w14:paraId="4F53AFB9" w14:textId="77777777" w:rsidR="00657451" w:rsidRPr="00657451" w:rsidRDefault="002431F7"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b/>
          <w:bCs/>
          <w:sz w:val="20"/>
          <w:szCs w:val="20"/>
        </w:rPr>
        <w:t>Intended design v. operability.</w:t>
      </w:r>
      <w:r w:rsidRPr="00657451">
        <w:rPr>
          <w:sz w:val="20"/>
          <w:szCs w:val="20"/>
        </w:rPr>
        <w:t xml:space="preserve">  The 2024 revision—requiring proof that the item was designed to expel a shot or bullet—is a significant departure from the prior language, which required proof of operability.  Under the prior definition of “firearm,” expert testimony was not required to establish operability.  </w:t>
      </w:r>
      <w:r w:rsidRPr="00657451">
        <w:rPr>
          <w:i/>
          <w:iCs/>
          <w:sz w:val="20"/>
          <w:szCs w:val="20"/>
        </w:rPr>
        <w:t>Commonwealth v. Marrero</w:t>
      </w:r>
      <w:r w:rsidRPr="00657451">
        <w:rPr>
          <w:sz w:val="20"/>
          <w:szCs w:val="20"/>
        </w:rPr>
        <w:t xml:space="preserve">, 484 Mass. 341, 347-48 (2020), citing </w:t>
      </w:r>
      <w:r w:rsidRPr="00657451">
        <w:rPr>
          <w:i/>
          <w:iCs/>
          <w:sz w:val="20"/>
          <w:szCs w:val="20"/>
        </w:rPr>
        <w:t>Commonwealth v. Tuitt</w:t>
      </w:r>
      <w:r w:rsidRPr="00657451">
        <w:rPr>
          <w:sz w:val="20"/>
          <w:szCs w:val="20"/>
        </w:rPr>
        <w:t xml:space="preserve">, 393 Mass. 801, 810 (1985), and </w:t>
      </w:r>
      <w:r w:rsidRPr="00657451">
        <w:rPr>
          <w:i/>
          <w:iCs/>
          <w:sz w:val="20"/>
          <w:szCs w:val="20"/>
        </w:rPr>
        <w:t>Commonwealth v. Fancy</w:t>
      </w:r>
      <w:r w:rsidRPr="00657451">
        <w:rPr>
          <w:sz w:val="20"/>
          <w:szCs w:val="20"/>
        </w:rPr>
        <w:t xml:space="preserve">, 349 Mass. 196, 204 (1965); </w:t>
      </w:r>
      <w:r w:rsidRPr="00657451">
        <w:rPr>
          <w:i/>
          <w:iCs/>
          <w:sz w:val="20"/>
          <w:szCs w:val="20"/>
        </w:rPr>
        <w:t>see id.</w:t>
      </w:r>
      <w:r w:rsidRPr="00657451">
        <w:rPr>
          <w:sz w:val="20"/>
          <w:szCs w:val="20"/>
        </w:rPr>
        <w:t xml:space="preserve"> at 347-48 (expert testimony not required where no weapon was recovered but witness testified about seeing and hearing weapon fire); </w:t>
      </w:r>
      <w:r w:rsidRPr="00657451">
        <w:rPr>
          <w:i/>
          <w:iCs/>
          <w:sz w:val="20"/>
          <w:szCs w:val="20"/>
        </w:rPr>
        <w:t>Fancy</w:t>
      </w:r>
      <w:r w:rsidRPr="00657451">
        <w:rPr>
          <w:sz w:val="20"/>
          <w:szCs w:val="20"/>
        </w:rPr>
        <w:t>, 349 Mass. at 205 (expert testimony not required where jury could inspect the item in evidence to determine whether it met the statutory definition). However, operability will still be relevant where the statute’s definition of firearms excludes firearms that are “permanently inoperable”.  G.L. 140, § 121.  While not defined by case law or statutorily, the Massachusetts State Police, in their Firearms Identification Section policies and procedures, define permanently inoperable as “a firearm . . . that is incapable of expelling a shot or bullet and incapable of being readily restored to a firing condition.”  See also 27 CFR § 478.11.</w:t>
      </w:r>
    </w:p>
    <w:p w14:paraId="20C1C951" w14:textId="77777777" w:rsidR="00657451" w:rsidRPr="00657451" w:rsidRDefault="00657451" w:rsidP="00657451">
      <w:pPr>
        <w:widowControl/>
        <w:autoSpaceDE/>
        <w:autoSpaceDN/>
        <w:adjustRightInd/>
        <w:textAlignment w:val="baseline"/>
        <w:rPr>
          <w:rFonts w:eastAsia="Times New Roman"/>
          <w:sz w:val="20"/>
          <w:szCs w:val="20"/>
        </w:rPr>
      </w:pPr>
    </w:p>
    <w:p w14:paraId="5F2A1613" w14:textId="77777777" w:rsidR="00657451" w:rsidRPr="00657451" w:rsidRDefault="008814F9"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b/>
          <w:bCs/>
          <w:sz w:val="20"/>
          <w:szCs w:val="20"/>
        </w:rPr>
        <w:lastRenderedPageBreak/>
        <w:t>Stun guns.</w:t>
      </w:r>
      <w:r w:rsidRPr="00657451">
        <w:rPr>
          <w:sz w:val="20"/>
          <w:szCs w:val="20"/>
        </w:rPr>
        <w:t xml:space="preserve">  </w:t>
      </w:r>
      <w:r w:rsidRPr="00657451">
        <w:rPr>
          <w:color w:val="000000"/>
          <w:sz w:val="20"/>
          <w:szCs w:val="20"/>
        </w:rPr>
        <w:t xml:space="preserve">In 2018, the Legislature amended G.L. c. 140, § 121 to include a stun gun in the definition of a firearm.  </w:t>
      </w:r>
      <w:r w:rsidRPr="00657451">
        <w:rPr>
          <w:i/>
          <w:iCs/>
          <w:color w:val="000000"/>
          <w:sz w:val="20"/>
          <w:szCs w:val="20"/>
        </w:rPr>
        <w:t>See</w:t>
      </w:r>
      <w:r w:rsidRPr="00657451">
        <w:rPr>
          <w:color w:val="000000"/>
          <w:sz w:val="20"/>
          <w:szCs w:val="20"/>
        </w:rPr>
        <w:t xml:space="preserve"> St. 2018, c. 123, § 4.  As amended by St. 2024, c. 135, §§15-31, </w:t>
      </w:r>
      <w:r w:rsidRPr="00657451">
        <w:rPr>
          <w:sz w:val="20"/>
          <w:szCs w:val="20"/>
        </w:rPr>
        <w:t xml:space="preserve">c. 140, § 121 now states that, “A stun gun is a firearm under our law. A stun gun is a portable device or weapon designed to incapacitate temporarily, injure, or kill by electrical shock, whether the shock passes by means of a dart or projectile with a wire lead or from an electrical current, impulse, wave, or beam.”  Although the legislature has included a stun gun in the definition of a firearm, as laid out above, a firearm is an item that is “designed to or may readily be converted to expel a shot or bullet.”  As they are manufactured, stun guns are not designed or converted to do so. Should the case involve illegal possession of a stun gun, the judge should instruct the jury accordingly, using these definitions. </w:t>
      </w:r>
    </w:p>
    <w:p w14:paraId="6C9DB95B" w14:textId="77777777" w:rsidR="00657451" w:rsidRPr="00657451" w:rsidRDefault="00657451" w:rsidP="00657451">
      <w:pPr>
        <w:pStyle w:val="ListParagraph"/>
        <w:contextualSpacing w:val="0"/>
        <w:rPr>
          <w:rFonts w:eastAsia="Times New Roman"/>
          <w:b/>
          <w:bCs/>
          <w:sz w:val="20"/>
          <w:szCs w:val="20"/>
        </w:rPr>
      </w:pPr>
    </w:p>
    <w:p w14:paraId="381E6B3A" w14:textId="16694288" w:rsidR="008814F9" w:rsidRPr="00657451" w:rsidRDefault="008814F9" w:rsidP="00657451">
      <w:pPr>
        <w:pStyle w:val="ListParagraph"/>
        <w:widowControl/>
        <w:numPr>
          <w:ilvl w:val="0"/>
          <w:numId w:val="9"/>
        </w:numPr>
        <w:autoSpaceDE/>
        <w:autoSpaceDN/>
        <w:adjustRightInd/>
        <w:ind w:left="0" w:firstLine="360"/>
        <w:contextualSpacing w:val="0"/>
        <w:textAlignment w:val="baseline"/>
        <w:rPr>
          <w:rFonts w:eastAsia="Times New Roman"/>
          <w:sz w:val="20"/>
          <w:szCs w:val="20"/>
        </w:rPr>
      </w:pPr>
      <w:r w:rsidRPr="00657451">
        <w:rPr>
          <w:rFonts w:eastAsia="Times New Roman"/>
          <w:b/>
          <w:bCs/>
          <w:sz w:val="20"/>
          <w:szCs w:val="20"/>
        </w:rPr>
        <w:t xml:space="preserve">“Frame or receiver” and </w:t>
      </w:r>
      <w:r w:rsidRPr="00657451">
        <w:rPr>
          <w:b/>
          <w:bCs/>
          <w:sz w:val="20"/>
          <w:szCs w:val="20"/>
        </w:rPr>
        <w:t>“unfinished frame or receiver.”</w:t>
      </w:r>
      <w:r w:rsidRPr="00657451">
        <w:rPr>
          <w:rFonts w:eastAsia="Times New Roman"/>
          <w:b/>
          <w:bCs/>
          <w:sz w:val="20"/>
          <w:szCs w:val="20"/>
        </w:rPr>
        <w:t xml:space="preserve"> </w:t>
      </w:r>
      <w:r w:rsidRPr="00657451">
        <w:rPr>
          <w:rFonts w:eastAsia="Times New Roman"/>
          <w:sz w:val="20"/>
          <w:szCs w:val="20"/>
        </w:rPr>
        <w:t xml:space="preserve">Chapter 269, § 10(a) also references in its definition of “firearm” both a “frame or receiver of such firearm,” or an “unfinished frame or receiver.”  </w:t>
      </w:r>
    </w:p>
    <w:p w14:paraId="3D905C58" w14:textId="77777777" w:rsidR="00657451" w:rsidRDefault="008814F9" w:rsidP="00657451">
      <w:pPr>
        <w:pStyle w:val="ListParagraph"/>
        <w:kinsoku w:val="0"/>
        <w:overflowPunct w:val="0"/>
        <w:ind w:left="0"/>
        <w:contextualSpacing w:val="0"/>
        <w:rPr>
          <w:rFonts w:eastAsia="Times New Roman"/>
          <w:sz w:val="20"/>
          <w:szCs w:val="20"/>
        </w:rPr>
      </w:pPr>
      <w:r>
        <w:rPr>
          <w:rFonts w:eastAsia="Times New Roman"/>
          <w:sz w:val="20"/>
          <w:szCs w:val="20"/>
        </w:rPr>
        <w:tab/>
      </w:r>
    </w:p>
    <w:p w14:paraId="02046E69" w14:textId="31EBC925" w:rsidR="008814F9" w:rsidRDefault="008814F9" w:rsidP="00657451">
      <w:pPr>
        <w:pStyle w:val="ListParagraph"/>
        <w:kinsoku w:val="0"/>
        <w:overflowPunct w:val="0"/>
        <w:ind w:left="0" w:firstLine="720"/>
        <w:contextualSpacing w:val="0"/>
        <w:rPr>
          <w:sz w:val="20"/>
          <w:szCs w:val="20"/>
        </w:rPr>
      </w:pPr>
      <w:r>
        <w:rPr>
          <w:rFonts w:eastAsia="Times New Roman"/>
          <w:sz w:val="20"/>
          <w:szCs w:val="20"/>
        </w:rPr>
        <w:t xml:space="preserve">A </w:t>
      </w:r>
      <w:r w:rsidRPr="00BD0080">
        <w:rPr>
          <w:sz w:val="20"/>
          <w:szCs w:val="20"/>
        </w:rPr>
        <w:t>“</w:t>
      </w:r>
      <w:r>
        <w:rPr>
          <w:sz w:val="20"/>
          <w:szCs w:val="20"/>
        </w:rPr>
        <w:t>f</w:t>
      </w:r>
      <w:r w:rsidRPr="00BD0080">
        <w:rPr>
          <w:sz w:val="20"/>
          <w:szCs w:val="20"/>
        </w:rPr>
        <w:t>rame”</w:t>
      </w:r>
      <w:r>
        <w:rPr>
          <w:sz w:val="20"/>
          <w:szCs w:val="20"/>
        </w:rPr>
        <w:t xml:space="preserve"> is defined as</w:t>
      </w:r>
      <w:r w:rsidRPr="00BD0080">
        <w:rPr>
          <w:sz w:val="20"/>
          <w:szCs w:val="20"/>
        </w:rPr>
        <w:t xml:space="preserve"> </w:t>
      </w:r>
      <w:r>
        <w:rPr>
          <w:sz w:val="20"/>
          <w:szCs w:val="20"/>
        </w:rPr>
        <w:t>“</w:t>
      </w:r>
      <w:r w:rsidRPr="00BD0080">
        <w:rPr>
          <w:sz w:val="20"/>
          <w:szCs w:val="20"/>
        </w:rPr>
        <w:t>the part of a pistol or revolver that provides housing or a structure for the component designed to hold back the hammer, striker, bolt or similar primary energized component prior to initiation of the firing sequence, even if pins or other attachments are required to connect such component to the housing or structure</w:t>
      </w:r>
      <w:r>
        <w:rPr>
          <w:sz w:val="20"/>
          <w:szCs w:val="20"/>
        </w:rPr>
        <w:t xml:space="preserve">.”  </w:t>
      </w:r>
    </w:p>
    <w:p w14:paraId="5F3E37BD" w14:textId="77777777" w:rsidR="00657451" w:rsidRDefault="00657451" w:rsidP="00657451">
      <w:pPr>
        <w:pStyle w:val="ListParagraph"/>
        <w:kinsoku w:val="0"/>
        <w:overflowPunct w:val="0"/>
        <w:ind w:left="0" w:firstLine="720"/>
        <w:contextualSpacing w:val="0"/>
        <w:rPr>
          <w:sz w:val="20"/>
          <w:szCs w:val="20"/>
        </w:rPr>
      </w:pPr>
    </w:p>
    <w:p w14:paraId="7F0C598E" w14:textId="663375E1" w:rsidR="008814F9" w:rsidRPr="000C0E98" w:rsidRDefault="008814F9" w:rsidP="00657451">
      <w:pPr>
        <w:pStyle w:val="ListParagraph"/>
        <w:kinsoku w:val="0"/>
        <w:overflowPunct w:val="0"/>
        <w:ind w:left="0" w:firstLine="720"/>
        <w:contextualSpacing w:val="0"/>
        <w:rPr>
          <w:sz w:val="20"/>
          <w:szCs w:val="20"/>
        </w:rPr>
      </w:pPr>
      <w:r>
        <w:rPr>
          <w:sz w:val="20"/>
          <w:szCs w:val="20"/>
        </w:rPr>
        <w:t>A</w:t>
      </w:r>
      <w:r>
        <w:rPr>
          <w:rFonts w:eastAsia="Times New Roman"/>
          <w:b/>
          <w:bCs/>
          <w:sz w:val="20"/>
          <w:szCs w:val="20"/>
        </w:rPr>
        <w:t xml:space="preserve"> </w:t>
      </w:r>
      <w:r w:rsidRPr="00CB3EE0">
        <w:rPr>
          <w:rFonts w:eastAsia="Times New Roman"/>
          <w:sz w:val="20"/>
          <w:szCs w:val="20"/>
        </w:rPr>
        <w:t>“receiver” is defined as “</w:t>
      </w:r>
      <w:r w:rsidRPr="00CB3EE0">
        <w:rPr>
          <w:sz w:val="20"/>
          <w:szCs w:val="20"/>
        </w:rPr>
        <w:t>the part of a rifle or shotgun that provides housing or a structure for the primary component designed to block or seal the breech prior to initiation of the firing sequence, even if pins or other attachments are required to connect such component to the housing or structure.</w:t>
      </w:r>
      <w:r>
        <w:rPr>
          <w:sz w:val="20"/>
          <w:szCs w:val="20"/>
        </w:rPr>
        <w:t>”</w:t>
      </w:r>
      <w:r w:rsidRPr="0012110E">
        <w:rPr>
          <w:sz w:val="20"/>
          <w:szCs w:val="20"/>
        </w:rPr>
        <w:t xml:space="preserve"> </w:t>
      </w:r>
      <w:r>
        <w:rPr>
          <w:sz w:val="20"/>
          <w:szCs w:val="20"/>
        </w:rPr>
        <w:t xml:space="preserve">As to a frame or receiver, </w:t>
      </w:r>
      <w:r w:rsidRPr="009A1619">
        <w:rPr>
          <w:color w:val="000000"/>
          <w:sz w:val="20"/>
          <w:szCs w:val="20"/>
        </w:rPr>
        <w:t xml:space="preserve">“Any such part that is identified with an importer or manufacturer serial number shall be presumed, absent an official determination by the Bureau of Alcohol, Tobacco, Firearms and Explosives in the United States Department of Justice or other reliable evidence to the contrary, to be the frame of the firearm.”  </w:t>
      </w:r>
    </w:p>
    <w:p w14:paraId="5A2190D8" w14:textId="77777777" w:rsidR="00657451" w:rsidRDefault="00657451" w:rsidP="00657451">
      <w:pPr>
        <w:pStyle w:val="ListParagraph"/>
        <w:ind w:left="0" w:firstLine="720"/>
        <w:contextualSpacing w:val="0"/>
        <w:rPr>
          <w:sz w:val="20"/>
          <w:szCs w:val="20"/>
        </w:rPr>
      </w:pPr>
    </w:p>
    <w:p w14:paraId="17D48B43" w14:textId="70ED494A" w:rsidR="008814F9" w:rsidRPr="00CB3EE0" w:rsidRDefault="008814F9" w:rsidP="00657451">
      <w:pPr>
        <w:pStyle w:val="ListParagraph"/>
        <w:ind w:left="0" w:firstLine="720"/>
        <w:contextualSpacing w:val="0"/>
        <w:rPr>
          <w:sz w:val="20"/>
          <w:szCs w:val="20"/>
        </w:rPr>
      </w:pPr>
      <w:r>
        <w:rPr>
          <w:sz w:val="20"/>
          <w:szCs w:val="20"/>
        </w:rPr>
        <w:t xml:space="preserve">An </w:t>
      </w:r>
      <w:r w:rsidRPr="00CB3EE0">
        <w:rPr>
          <w:sz w:val="20"/>
          <w:szCs w:val="20"/>
        </w:rPr>
        <w:t>“unfinished frame or receiver” is defined as a forging, casting, printing, extrusion, machined body, or similar item that:</w:t>
      </w:r>
    </w:p>
    <w:p w14:paraId="4FEF3852" w14:textId="77777777" w:rsidR="008814F9" w:rsidRPr="009A1619" w:rsidRDefault="008814F9" w:rsidP="00657451">
      <w:pPr>
        <w:pStyle w:val="ListParagraph"/>
        <w:contextualSpacing w:val="0"/>
        <w:rPr>
          <w:sz w:val="20"/>
          <w:szCs w:val="20"/>
        </w:rPr>
      </w:pPr>
      <w:r w:rsidRPr="009A1619">
        <w:rPr>
          <w:sz w:val="20"/>
          <w:szCs w:val="20"/>
        </w:rPr>
        <w:t xml:space="preserve">(i) has reached a stage in manufacture when it may readily be completed or assembled to function as a frame or receiver; or </w:t>
      </w:r>
    </w:p>
    <w:p w14:paraId="2750775C" w14:textId="77777777" w:rsidR="008814F9" w:rsidRPr="009A1619" w:rsidRDefault="008814F9" w:rsidP="00657451">
      <w:pPr>
        <w:pStyle w:val="ListParagraph"/>
        <w:contextualSpacing w:val="0"/>
        <w:rPr>
          <w:sz w:val="20"/>
          <w:szCs w:val="20"/>
        </w:rPr>
      </w:pPr>
      <w:r w:rsidRPr="009A1619">
        <w:rPr>
          <w:sz w:val="20"/>
          <w:szCs w:val="20"/>
        </w:rPr>
        <w:t xml:space="preserve">(ii) is marketed or sold to the public to become or be used as the frame or receiver of a functional firearm once completed or assembled.   </w:t>
      </w:r>
    </w:p>
    <w:p w14:paraId="54FFC888" w14:textId="77777777" w:rsidR="008814F9" w:rsidRDefault="008814F9" w:rsidP="00657451">
      <w:pPr>
        <w:ind w:firstLine="720"/>
        <w:rPr>
          <w:rFonts w:eastAsia="Times New Roman"/>
          <w:sz w:val="20"/>
          <w:szCs w:val="20"/>
        </w:rPr>
      </w:pPr>
      <w:r w:rsidRPr="009A1619">
        <w:rPr>
          <w:sz w:val="20"/>
          <w:szCs w:val="20"/>
        </w:rPr>
        <w:t xml:space="preserve">An “unfinished frame or receiver” does not include a component designed and intended for use in an “antique firearm.”  </w:t>
      </w:r>
      <w:r w:rsidRPr="009A1619">
        <w:rPr>
          <w:rFonts w:eastAsia="Times New Roman"/>
          <w:sz w:val="20"/>
          <w:szCs w:val="20"/>
        </w:rPr>
        <w:t xml:space="preserve">G.L. c. 140, § 121 (defining “unfinished frame or receiver”). </w:t>
      </w:r>
    </w:p>
    <w:p w14:paraId="2F9F2C6B" w14:textId="77777777" w:rsidR="00657451" w:rsidRDefault="00657451" w:rsidP="00657451">
      <w:pPr>
        <w:ind w:firstLine="720"/>
        <w:rPr>
          <w:rFonts w:eastAsia="Times New Roman"/>
          <w:sz w:val="20"/>
          <w:szCs w:val="20"/>
        </w:rPr>
      </w:pPr>
    </w:p>
    <w:p w14:paraId="73BCE783" w14:textId="77777777" w:rsidR="008814F9" w:rsidRDefault="008814F9" w:rsidP="00657451">
      <w:pPr>
        <w:pStyle w:val="ListParagraph"/>
        <w:kinsoku w:val="0"/>
        <w:overflowPunct w:val="0"/>
        <w:ind w:left="0" w:right="720"/>
        <w:contextualSpacing w:val="0"/>
        <w:jc w:val="both"/>
        <w:rPr>
          <w:rStyle w:val="CommentReference"/>
        </w:rPr>
      </w:pPr>
      <w:r>
        <w:rPr>
          <w:sz w:val="20"/>
          <w:szCs w:val="20"/>
        </w:rPr>
        <w:tab/>
      </w:r>
      <w:r w:rsidRPr="00F17EA2">
        <w:rPr>
          <w:sz w:val="20"/>
          <w:szCs w:val="20"/>
        </w:rPr>
        <w:t xml:space="preserve">Although the legislature has included </w:t>
      </w:r>
      <w:r>
        <w:rPr>
          <w:sz w:val="20"/>
          <w:szCs w:val="20"/>
        </w:rPr>
        <w:t xml:space="preserve">finished and unfinished frames and receivers </w:t>
      </w:r>
      <w:r w:rsidRPr="00F17EA2">
        <w:rPr>
          <w:sz w:val="20"/>
          <w:szCs w:val="20"/>
        </w:rPr>
        <w:t xml:space="preserve">in the definition of a firearm, as </w:t>
      </w:r>
      <w:r>
        <w:rPr>
          <w:sz w:val="20"/>
          <w:szCs w:val="20"/>
        </w:rPr>
        <w:t xml:space="preserve">stated above, </w:t>
      </w:r>
      <w:r w:rsidRPr="00F17EA2">
        <w:rPr>
          <w:sz w:val="20"/>
          <w:szCs w:val="20"/>
        </w:rPr>
        <w:t xml:space="preserve">a firearm is an item that is “designed to or may readily be converted to expel a shot or bullet.” </w:t>
      </w:r>
      <w:r>
        <w:rPr>
          <w:sz w:val="20"/>
          <w:szCs w:val="20"/>
        </w:rPr>
        <w:t>Frames and receivers, finished or unfinished,</w:t>
      </w:r>
      <w:r w:rsidRPr="00F17EA2">
        <w:rPr>
          <w:sz w:val="20"/>
          <w:szCs w:val="20"/>
        </w:rPr>
        <w:t xml:space="preserve"> are not designed or converted to do so. Should the case involve illegal possession of a </w:t>
      </w:r>
      <w:r>
        <w:rPr>
          <w:sz w:val="20"/>
          <w:szCs w:val="20"/>
        </w:rPr>
        <w:t>finished or unfinished frame or receiver</w:t>
      </w:r>
      <w:r w:rsidRPr="00F17EA2">
        <w:rPr>
          <w:sz w:val="20"/>
          <w:szCs w:val="20"/>
        </w:rPr>
        <w:t>, the judge should instruct the jury accordingly, using the</w:t>
      </w:r>
      <w:r>
        <w:rPr>
          <w:sz w:val="20"/>
          <w:szCs w:val="20"/>
        </w:rPr>
        <w:t xml:space="preserve"> above</w:t>
      </w:r>
      <w:r w:rsidRPr="00F17EA2">
        <w:rPr>
          <w:sz w:val="20"/>
          <w:szCs w:val="20"/>
        </w:rPr>
        <w:t xml:space="preserve"> definitions. </w:t>
      </w:r>
    </w:p>
    <w:p w14:paraId="310A9230" w14:textId="77777777" w:rsidR="008814F9" w:rsidRDefault="008814F9" w:rsidP="00657451">
      <w:pPr>
        <w:pStyle w:val="ListParagraph"/>
        <w:kinsoku w:val="0"/>
        <w:overflowPunct w:val="0"/>
        <w:ind w:left="0" w:right="720"/>
        <w:contextualSpacing w:val="0"/>
        <w:jc w:val="both"/>
        <w:rPr>
          <w:sz w:val="20"/>
          <w:szCs w:val="20"/>
        </w:rPr>
      </w:pPr>
    </w:p>
    <w:p w14:paraId="72C70D8E" w14:textId="77777777" w:rsidR="00657451" w:rsidRDefault="008814F9" w:rsidP="00657451">
      <w:pPr>
        <w:pStyle w:val="ListParagraph"/>
        <w:numPr>
          <w:ilvl w:val="0"/>
          <w:numId w:val="9"/>
        </w:numPr>
        <w:kinsoku w:val="0"/>
        <w:overflowPunct w:val="0"/>
        <w:ind w:left="0" w:firstLine="360"/>
        <w:contextualSpacing w:val="0"/>
        <w:rPr>
          <w:sz w:val="20"/>
          <w:szCs w:val="20"/>
        </w:rPr>
      </w:pPr>
      <w:r w:rsidRPr="00657451">
        <w:rPr>
          <w:b/>
          <w:bCs/>
          <w:sz w:val="20"/>
          <w:szCs w:val="20"/>
        </w:rPr>
        <w:t xml:space="preserve">BB or pellet guns.  </w:t>
      </w:r>
      <w:r w:rsidRPr="00657451">
        <w:rPr>
          <w:sz w:val="20"/>
          <w:szCs w:val="20"/>
        </w:rPr>
        <w:t xml:space="preserve">BB or pellet guns are only considered a firearm under G.L. c. 269, § 10(j), where, specifically for the purposes of the offense of carrying a firearm at a school, college, or university or in transport for such an institution, the definition includes “any pistol, revolver, rifle or smoothbore arm from which a shot, bullet or </w:t>
      </w:r>
      <w:r w:rsidRPr="00657451">
        <w:rPr>
          <w:sz w:val="20"/>
          <w:szCs w:val="20"/>
          <w:u w:val="single"/>
        </w:rPr>
        <w:t>pellet</w:t>
      </w:r>
      <w:r w:rsidRPr="00657451">
        <w:rPr>
          <w:sz w:val="20"/>
          <w:szCs w:val="20"/>
        </w:rPr>
        <w:t xml:space="preserve"> can be discharged.”  </w:t>
      </w:r>
    </w:p>
    <w:p w14:paraId="50001A1A" w14:textId="77777777" w:rsidR="00657451" w:rsidRDefault="00657451" w:rsidP="00657451">
      <w:pPr>
        <w:pStyle w:val="ListParagraph"/>
        <w:kinsoku w:val="0"/>
        <w:overflowPunct w:val="0"/>
        <w:ind w:left="360"/>
        <w:contextualSpacing w:val="0"/>
        <w:rPr>
          <w:sz w:val="20"/>
          <w:szCs w:val="20"/>
        </w:rPr>
      </w:pPr>
    </w:p>
    <w:p w14:paraId="4AF46DA6" w14:textId="77777777" w:rsidR="00657451" w:rsidRDefault="00B92F0C" w:rsidP="00657451">
      <w:pPr>
        <w:pStyle w:val="ListParagraph"/>
        <w:numPr>
          <w:ilvl w:val="0"/>
          <w:numId w:val="9"/>
        </w:numPr>
        <w:kinsoku w:val="0"/>
        <w:overflowPunct w:val="0"/>
        <w:ind w:left="0" w:firstLine="360"/>
        <w:contextualSpacing w:val="0"/>
        <w:rPr>
          <w:sz w:val="20"/>
          <w:szCs w:val="20"/>
        </w:rPr>
      </w:pPr>
      <w:r w:rsidRPr="00657451">
        <w:rPr>
          <w:b/>
          <w:bCs/>
          <w:sz w:val="20"/>
          <w:szCs w:val="20"/>
        </w:rPr>
        <w:t>Other firearms</w:t>
      </w:r>
      <w:r w:rsidRPr="00657451">
        <w:rPr>
          <w:sz w:val="20"/>
          <w:szCs w:val="20"/>
        </w:rPr>
        <w:t>.  The definition of “firearm” specifically enumerates additional weapons as firearms: sawed off shotguns, large capacity firearms, assault style firearms, and machine guns.  G.L. c. 140, § 121.  The District Court lacks jurisdiction over the possession of these specific firearms.  G.L. c. 140, § 131M (assault-style firearm); G.L. c. 269, § 10(c) (machine gun and sawed-off shotgun), 10(m) (large capacity firearm).</w:t>
      </w:r>
    </w:p>
    <w:p w14:paraId="1E1F60EF" w14:textId="77777777" w:rsidR="00657451" w:rsidRDefault="00657451" w:rsidP="00657451">
      <w:pPr>
        <w:pStyle w:val="ListParagraph"/>
        <w:contextualSpacing w:val="0"/>
        <w:rPr>
          <w:b/>
          <w:bCs/>
          <w:sz w:val="20"/>
          <w:szCs w:val="20"/>
        </w:rPr>
      </w:pPr>
    </w:p>
    <w:p w14:paraId="332FAB9A" w14:textId="77777777" w:rsidR="008E177F" w:rsidRDefault="008E177F" w:rsidP="00657451">
      <w:pPr>
        <w:pStyle w:val="ListParagraph"/>
        <w:contextualSpacing w:val="0"/>
        <w:rPr>
          <w:b/>
          <w:bCs/>
          <w:sz w:val="20"/>
          <w:szCs w:val="20"/>
        </w:rPr>
      </w:pPr>
    </w:p>
    <w:p w14:paraId="436E488E" w14:textId="77777777" w:rsidR="008E177F" w:rsidRDefault="008E177F" w:rsidP="00657451">
      <w:pPr>
        <w:pStyle w:val="ListParagraph"/>
        <w:contextualSpacing w:val="0"/>
        <w:rPr>
          <w:b/>
          <w:bCs/>
          <w:sz w:val="20"/>
          <w:szCs w:val="20"/>
        </w:rPr>
      </w:pPr>
    </w:p>
    <w:p w14:paraId="19928A04" w14:textId="77777777" w:rsidR="008E177F" w:rsidRPr="00657451" w:rsidRDefault="008E177F" w:rsidP="00657451">
      <w:pPr>
        <w:pStyle w:val="ListParagraph"/>
        <w:contextualSpacing w:val="0"/>
        <w:rPr>
          <w:b/>
          <w:bCs/>
          <w:sz w:val="20"/>
          <w:szCs w:val="20"/>
        </w:rPr>
      </w:pPr>
    </w:p>
    <w:p w14:paraId="1DADA63E" w14:textId="0829E9A1" w:rsidR="00B92F0C" w:rsidRDefault="00B92F0C" w:rsidP="00657451">
      <w:pPr>
        <w:pStyle w:val="ListParagraph"/>
        <w:numPr>
          <w:ilvl w:val="0"/>
          <w:numId w:val="9"/>
        </w:numPr>
        <w:kinsoku w:val="0"/>
        <w:overflowPunct w:val="0"/>
        <w:ind w:left="0" w:firstLine="360"/>
        <w:contextualSpacing w:val="0"/>
        <w:rPr>
          <w:sz w:val="20"/>
          <w:szCs w:val="20"/>
        </w:rPr>
      </w:pPr>
      <w:r w:rsidRPr="00657451">
        <w:rPr>
          <w:b/>
          <w:bCs/>
          <w:sz w:val="20"/>
          <w:szCs w:val="20"/>
        </w:rPr>
        <w:lastRenderedPageBreak/>
        <w:t>Antique firearms.</w:t>
      </w:r>
      <w:r w:rsidRPr="00657451">
        <w:rPr>
          <w:sz w:val="20"/>
          <w:szCs w:val="20"/>
        </w:rPr>
        <w:t xml:space="preserve"> Antique firearms are exempted from G.L. c. 269, § 10, and are defined by G.L. c. 140, § 121” as any firearm or replica manufactured in or before 1899 if the firearm:</w:t>
      </w:r>
    </w:p>
    <w:p w14:paraId="4FB090FC" w14:textId="77777777" w:rsidR="008E177F" w:rsidRPr="00657451" w:rsidRDefault="008E177F" w:rsidP="008E177F">
      <w:pPr>
        <w:pStyle w:val="ListParagraph"/>
        <w:kinsoku w:val="0"/>
        <w:overflowPunct w:val="0"/>
        <w:ind w:left="360"/>
        <w:contextualSpacing w:val="0"/>
        <w:rPr>
          <w:sz w:val="20"/>
          <w:szCs w:val="20"/>
        </w:rPr>
      </w:pPr>
    </w:p>
    <w:p w14:paraId="29CF501F" w14:textId="77777777" w:rsidR="00B92F0C" w:rsidRPr="00B92F0C" w:rsidRDefault="00B92F0C" w:rsidP="00657451">
      <w:pPr>
        <w:pStyle w:val="ListParagraph"/>
        <w:contextualSpacing w:val="0"/>
        <w:rPr>
          <w:sz w:val="20"/>
          <w:szCs w:val="20"/>
        </w:rPr>
      </w:pPr>
      <w:r w:rsidRPr="00B92F0C">
        <w:rPr>
          <w:sz w:val="20"/>
          <w:szCs w:val="20"/>
        </w:rPr>
        <w:t>(i) is not designed or redesigned for using rimfire or conventional centerfire fixed ammunition; or</w:t>
      </w:r>
    </w:p>
    <w:p w14:paraId="11418690" w14:textId="77777777" w:rsidR="00B92F0C" w:rsidRPr="00B92F0C" w:rsidRDefault="00B92F0C" w:rsidP="00657451">
      <w:pPr>
        <w:pStyle w:val="ListParagraph"/>
        <w:contextualSpacing w:val="0"/>
        <w:rPr>
          <w:sz w:val="20"/>
          <w:szCs w:val="20"/>
        </w:rPr>
      </w:pPr>
      <w:r w:rsidRPr="00B92F0C">
        <w:rPr>
          <w:sz w:val="20"/>
          <w:szCs w:val="20"/>
        </w:rPr>
        <w:t>(ii) uses rimfire or conventional centerfire fixed ammunition that is no longer manufactured in the United States and which is not readily available in the ordinary channels of commercial trade.</w:t>
      </w:r>
    </w:p>
    <w:p w14:paraId="19D3F8DD" w14:textId="77777777" w:rsidR="00B92F0C" w:rsidRPr="00B92F0C" w:rsidRDefault="00B92F0C" w:rsidP="00657451">
      <w:pPr>
        <w:pStyle w:val="ListParagraph"/>
        <w:contextualSpacing w:val="0"/>
        <w:rPr>
          <w:sz w:val="20"/>
          <w:szCs w:val="20"/>
        </w:rPr>
      </w:pPr>
    </w:p>
    <w:p w14:paraId="73FEF2C0" w14:textId="77777777" w:rsidR="00B92F0C" w:rsidRDefault="00B92F0C" w:rsidP="00657451">
      <w:pPr>
        <w:pStyle w:val="ListParagraph"/>
        <w:ind w:left="0" w:firstLine="720"/>
        <w:contextualSpacing w:val="0"/>
        <w:rPr>
          <w:sz w:val="20"/>
          <w:szCs w:val="20"/>
        </w:rPr>
      </w:pPr>
      <w:r w:rsidRPr="00B92F0C">
        <w:rPr>
          <w:sz w:val="20"/>
          <w:szCs w:val="20"/>
        </w:rPr>
        <w:t>That definition includes any muzzle loading rifle, shotgun, or pistol that is designed to use black powder, or a black powder substitute, and that cannot use fixed ammunition, unless the firearm:</w:t>
      </w:r>
    </w:p>
    <w:p w14:paraId="714B5D03" w14:textId="77777777" w:rsidR="00657451" w:rsidRPr="00B92F0C" w:rsidRDefault="00657451" w:rsidP="00657451">
      <w:pPr>
        <w:pStyle w:val="ListParagraph"/>
        <w:ind w:left="0" w:firstLine="720"/>
        <w:contextualSpacing w:val="0"/>
        <w:rPr>
          <w:sz w:val="20"/>
          <w:szCs w:val="20"/>
        </w:rPr>
      </w:pPr>
    </w:p>
    <w:p w14:paraId="16B39FFF" w14:textId="77777777" w:rsidR="00B92F0C" w:rsidRPr="00B92F0C" w:rsidRDefault="00B92F0C" w:rsidP="00657451">
      <w:pPr>
        <w:pStyle w:val="ListParagraph"/>
        <w:contextualSpacing w:val="0"/>
        <w:rPr>
          <w:sz w:val="20"/>
          <w:szCs w:val="20"/>
        </w:rPr>
      </w:pPr>
      <w:r w:rsidRPr="00B92F0C">
        <w:rPr>
          <w:sz w:val="20"/>
          <w:szCs w:val="20"/>
        </w:rPr>
        <w:t>(a) incorporates a firearm frame or receiver;</w:t>
      </w:r>
    </w:p>
    <w:p w14:paraId="040DB103" w14:textId="77777777" w:rsidR="00B92F0C" w:rsidRPr="00B92F0C" w:rsidRDefault="00B92F0C" w:rsidP="00657451">
      <w:pPr>
        <w:pStyle w:val="ListParagraph"/>
        <w:contextualSpacing w:val="0"/>
        <w:rPr>
          <w:sz w:val="20"/>
          <w:szCs w:val="20"/>
        </w:rPr>
      </w:pPr>
      <w:r w:rsidRPr="00B92F0C">
        <w:rPr>
          <w:sz w:val="20"/>
          <w:szCs w:val="20"/>
        </w:rPr>
        <w:t>(b) is converted into a muzzle-loading firearm; or</w:t>
      </w:r>
    </w:p>
    <w:p w14:paraId="1C4C7C7C" w14:textId="77777777" w:rsidR="00B92F0C" w:rsidRPr="00B92F0C" w:rsidRDefault="00B92F0C" w:rsidP="00657451">
      <w:pPr>
        <w:pStyle w:val="ListParagraph"/>
        <w:contextualSpacing w:val="0"/>
        <w:rPr>
          <w:sz w:val="20"/>
          <w:szCs w:val="20"/>
        </w:rPr>
      </w:pPr>
      <w:r w:rsidRPr="00B92F0C">
        <w:rPr>
          <w:sz w:val="20"/>
          <w:szCs w:val="20"/>
        </w:rPr>
        <w:t>(c) is a muzzle loading firearm that can be readily converted to fire fixed ammunition by replacing the barrel, bolt, breechblock, or any combination of those parts.</w:t>
      </w:r>
    </w:p>
    <w:p w14:paraId="3D5063F5" w14:textId="77777777" w:rsidR="00B92F0C" w:rsidRPr="00B92F0C" w:rsidRDefault="00B92F0C" w:rsidP="00657451">
      <w:pPr>
        <w:pStyle w:val="ListParagraph"/>
        <w:contextualSpacing w:val="0"/>
        <w:rPr>
          <w:sz w:val="20"/>
          <w:szCs w:val="20"/>
        </w:rPr>
      </w:pPr>
    </w:p>
    <w:p w14:paraId="535E00ED" w14:textId="50178FB6" w:rsidR="00B92F0C" w:rsidRPr="00B92F0C" w:rsidRDefault="00B92F0C" w:rsidP="00657451">
      <w:pPr>
        <w:pStyle w:val="ListParagraph"/>
        <w:ind w:left="0" w:firstLine="720"/>
        <w:contextualSpacing w:val="0"/>
        <w:rPr>
          <w:sz w:val="20"/>
          <w:szCs w:val="20"/>
        </w:rPr>
      </w:pPr>
      <w:r w:rsidRPr="00B92F0C">
        <w:rPr>
          <w:sz w:val="20"/>
          <w:szCs w:val="20"/>
        </w:rPr>
        <w:t>To the extent that this issue is a jury question, the jury should be instructed in accordance with this definition.</w:t>
      </w:r>
    </w:p>
    <w:p w14:paraId="077410D2" w14:textId="77777777" w:rsidR="00B92F0C" w:rsidRDefault="00B92F0C" w:rsidP="00657451">
      <w:pPr>
        <w:pStyle w:val="ListParagraph"/>
        <w:kinsoku w:val="0"/>
        <w:overflowPunct w:val="0"/>
        <w:contextualSpacing w:val="0"/>
        <w:rPr>
          <w:sz w:val="20"/>
          <w:szCs w:val="20"/>
        </w:rPr>
      </w:pPr>
    </w:p>
    <w:p w14:paraId="022D1B9E" w14:textId="77777777" w:rsidR="00120A70" w:rsidRPr="00120A70" w:rsidRDefault="00120A70" w:rsidP="00657451">
      <w:pPr>
        <w:pStyle w:val="ListParagraph"/>
        <w:contextualSpacing w:val="0"/>
        <w:rPr>
          <w:rFonts w:eastAsia="Times New Roman"/>
          <w:sz w:val="20"/>
          <w:szCs w:val="20"/>
        </w:rPr>
      </w:pPr>
    </w:p>
    <w:p w14:paraId="155893DC" w14:textId="77777777" w:rsidR="00120A70" w:rsidRPr="00405E9E" w:rsidRDefault="00120A70" w:rsidP="00657451">
      <w:pPr>
        <w:pStyle w:val="ListParagraph"/>
        <w:widowControl/>
        <w:autoSpaceDE/>
        <w:autoSpaceDN/>
        <w:adjustRightInd/>
        <w:contextualSpacing w:val="0"/>
        <w:textAlignment w:val="baseline"/>
        <w:rPr>
          <w:rFonts w:eastAsia="Times New Roman"/>
          <w:sz w:val="20"/>
          <w:szCs w:val="20"/>
        </w:rPr>
      </w:pPr>
    </w:p>
    <w:p w14:paraId="72DF710E" w14:textId="65C7606B" w:rsidR="006D270B" w:rsidRDefault="006D270B" w:rsidP="00EC6AA5">
      <w:pPr>
        <w:spacing w:before="240" w:after="160" w:line="259" w:lineRule="auto"/>
        <w:ind w:firstLine="720"/>
        <w:rPr>
          <w:sz w:val="20"/>
          <w:szCs w:val="20"/>
        </w:rPr>
      </w:pPr>
    </w:p>
    <w:sectPr w:rsidR="006D270B" w:rsidSect="00C6047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0547" w14:textId="77777777" w:rsidR="00FA4252" w:rsidRDefault="00FA4252" w:rsidP="005447C5">
      <w:r>
        <w:separator/>
      </w:r>
    </w:p>
  </w:endnote>
  <w:endnote w:type="continuationSeparator" w:id="0">
    <w:p w14:paraId="2BBB09F1" w14:textId="77777777" w:rsidR="00FA4252" w:rsidRDefault="00FA4252" w:rsidP="0054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88C5" w14:textId="77777777" w:rsidR="00FA4252" w:rsidRDefault="00FA4252" w:rsidP="005447C5">
      <w:r>
        <w:separator/>
      </w:r>
    </w:p>
  </w:footnote>
  <w:footnote w:type="continuationSeparator" w:id="0">
    <w:p w14:paraId="227B426F" w14:textId="77777777" w:rsidR="00FA4252" w:rsidRDefault="00FA4252" w:rsidP="00544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EDFA" w14:textId="5E676D44" w:rsidR="008C5300" w:rsidRPr="00A44C0A" w:rsidRDefault="009105C7" w:rsidP="008C5300">
    <w:pPr>
      <w:pStyle w:val="Header"/>
      <w:pBdr>
        <w:bottom w:val="single" w:sz="12" w:space="1" w:color="auto"/>
      </w:pBdr>
      <w:tabs>
        <w:tab w:val="clear" w:pos="4680"/>
        <w:tab w:val="clear" w:pos="9360"/>
        <w:tab w:val="left" w:pos="7830"/>
        <w:tab w:val="right" w:pos="10800"/>
      </w:tabs>
      <w:rPr>
        <w:noProof/>
        <w:sz w:val="20"/>
        <w:szCs w:val="20"/>
      </w:rPr>
    </w:pPr>
    <w:r>
      <w:rPr>
        <w:noProof/>
        <w:sz w:val="20"/>
        <w:szCs w:val="20"/>
      </w:rPr>
      <w:t>Instruction 7</w:t>
    </w:r>
    <w:r w:rsidR="006674BE">
      <w:rPr>
        <w:noProof/>
        <w:sz w:val="20"/>
        <w:szCs w:val="20"/>
      </w:rPr>
      <w:t>.650</w:t>
    </w:r>
    <w:r w:rsidR="0029488C">
      <w:rPr>
        <w:noProof/>
        <w:sz w:val="20"/>
        <w:szCs w:val="20"/>
      </w:rPr>
      <w:tab/>
    </w:r>
    <w:r w:rsidR="00C6047A">
      <w:rPr>
        <w:noProof/>
        <w:sz w:val="20"/>
        <w:szCs w:val="20"/>
      </w:rPr>
      <w:tab/>
      <w:t xml:space="preserve">Page </w:t>
    </w:r>
    <w:r w:rsidR="00C6047A" w:rsidRPr="00C6047A">
      <w:rPr>
        <w:noProof/>
        <w:sz w:val="20"/>
        <w:szCs w:val="20"/>
      </w:rPr>
      <w:fldChar w:fldCharType="begin"/>
    </w:r>
    <w:r w:rsidR="00C6047A" w:rsidRPr="00C6047A">
      <w:rPr>
        <w:noProof/>
        <w:sz w:val="20"/>
        <w:szCs w:val="20"/>
      </w:rPr>
      <w:instrText xml:space="preserve"> PAGE   \* MERGEFORMAT </w:instrText>
    </w:r>
    <w:r w:rsidR="00C6047A" w:rsidRPr="00C6047A">
      <w:rPr>
        <w:noProof/>
        <w:sz w:val="20"/>
        <w:szCs w:val="20"/>
      </w:rPr>
      <w:fldChar w:fldCharType="separate"/>
    </w:r>
    <w:r w:rsidR="00C6047A" w:rsidRPr="00C6047A">
      <w:rPr>
        <w:noProof/>
        <w:sz w:val="20"/>
        <w:szCs w:val="20"/>
      </w:rPr>
      <w:t>1</w:t>
    </w:r>
    <w:r w:rsidR="00C6047A" w:rsidRPr="00C6047A">
      <w:rPr>
        <w:noProof/>
        <w:sz w:val="20"/>
        <w:szCs w:val="20"/>
      </w:rPr>
      <w:fldChar w:fldCharType="end"/>
    </w:r>
    <w:r w:rsidR="00C6047A">
      <w:rPr>
        <w:noProof/>
        <w:sz w:val="20"/>
        <w:szCs w:val="20"/>
      </w:rPr>
      <w:t xml:space="preserve">  </w:t>
    </w:r>
  </w:p>
  <w:p w14:paraId="4673447F" w14:textId="372BCADE" w:rsidR="008C5300" w:rsidRPr="00A44C0A" w:rsidRDefault="009105C7" w:rsidP="008C5300">
    <w:pPr>
      <w:pStyle w:val="Header"/>
      <w:tabs>
        <w:tab w:val="clear" w:pos="4680"/>
        <w:tab w:val="clear" w:pos="9360"/>
        <w:tab w:val="left" w:pos="2790"/>
        <w:tab w:val="right" w:pos="10800"/>
      </w:tabs>
      <w:rPr>
        <w:b/>
        <w:sz w:val="20"/>
        <w:szCs w:val="20"/>
      </w:rPr>
    </w:pPr>
    <w:r>
      <w:rPr>
        <w:sz w:val="20"/>
        <w:szCs w:val="20"/>
      </w:rPr>
      <w:t xml:space="preserve">POSSESSION OF </w:t>
    </w:r>
    <w:r w:rsidR="00020E08">
      <w:rPr>
        <w:sz w:val="20"/>
        <w:szCs w:val="20"/>
      </w:rPr>
      <w:t>FIREARM IN A PROHIBITED AREA</w:t>
    </w:r>
    <w:r>
      <w:rPr>
        <w:sz w:val="20"/>
        <w:szCs w:val="20"/>
      </w:rPr>
      <w:tab/>
    </w:r>
    <w:r w:rsidR="00AD5B9B" w:rsidRPr="00AD5B9B">
      <w:rPr>
        <w:sz w:val="20"/>
        <w:szCs w:val="20"/>
      </w:rPr>
      <w:t>J</w:t>
    </w:r>
    <w:r w:rsidR="00B23D35">
      <w:rPr>
        <w:sz w:val="20"/>
        <w:szCs w:val="20"/>
      </w:rPr>
      <w:t>une</w:t>
    </w:r>
    <w:r w:rsidR="00AD5B9B" w:rsidRPr="00AD5B9B">
      <w:rPr>
        <w:sz w:val="20"/>
        <w:szCs w:val="20"/>
      </w:rPr>
      <w:t xml:space="preserve"> 2026</w:t>
    </w:r>
  </w:p>
  <w:p w14:paraId="4F178A36" w14:textId="65BDDCD7" w:rsidR="008C5300" w:rsidRPr="00A818EC" w:rsidRDefault="008C5300">
    <w:pPr>
      <w:pStyle w:val="Header"/>
      <w:rPr>
        <w:sz w:val="20"/>
        <w:szCs w:val="20"/>
      </w:rPr>
    </w:pPr>
  </w:p>
  <w:p w14:paraId="3FCE0224" w14:textId="77777777" w:rsidR="00A818EC" w:rsidRPr="00A818EC" w:rsidRDefault="00A818EC">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EF53" w14:textId="64484957" w:rsidR="008C5300" w:rsidRPr="00A44C0A" w:rsidRDefault="006C6760" w:rsidP="006C6760">
    <w:pPr>
      <w:pStyle w:val="Header"/>
      <w:pBdr>
        <w:bottom w:val="single" w:sz="12" w:space="1" w:color="auto"/>
      </w:pBdr>
      <w:tabs>
        <w:tab w:val="clear" w:pos="4680"/>
        <w:tab w:val="clear" w:pos="9360"/>
        <w:tab w:val="left" w:pos="7830"/>
        <w:tab w:val="left" w:pos="8460"/>
        <w:tab w:val="right" w:pos="10800"/>
      </w:tabs>
      <w:rPr>
        <w:noProof/>
        <w:sz w:val="20"/>
        <w:szCs w:val="20"/>
      </w:rPr>
    </w:pPr>
    <w:r>
      <w:rPr>
        <w:sz w:val="20"/>
        <w:szCs w:val="20"/>
      </w:rPr>
      <w:t xml:space="preserve">Page </w:t>
    </w:r>
    <w:r w:rsidRPr="006C6760">
      <w:rPr>
        <w:sz w:val="20"/>
        <w:szCs w:val="20"/>
      </w:rPr>
      <w:fldChar w:fldCharType="begin"/>
    </w:r>
    <w:r w:rsidRPr="006C6760">
      <w:rPr>
        <w:sz w:val="20"/>
        <w:szCs w:val="20"/>
      </w:rPr>
      <w:instrText xml:space="preserve"> PAGE   \* MERGEFORMAT </w:instrText>
    </w:r>
    <w:r w:rsidRPr="006C6760">
      <w:rPr>
        <w:sz w:val="20"/>
        <w:szCs w:val="20"/>
      </w:rPr>
      <w:fldChar w:fldCharType="separate"/>
    </w:r>
    <w:r w:rsidRPr="006C6760">
      <w:rPr>
        <w:noProof/>
        <w:sz w:val="20"/>
        <w:szCs w:val="20"/>
      </w:rPr>
      <w:t>1</w:t>
    </w:r>
    <w:r w:rsidRPr="006C6760">
      <w:rPr>
        <w:noProof/>
        <w:sz w:val="20"/>
        <w:szCs w:val="20"/>
      </w:rPr>
      <w:fldChar w:fldCharType="end"/>
    </w:r>
    <w:r>
      <w:rPr>
        <w:sz w:val="20"/>
        <w:szCs w:val="20"/>
      </w:rPr>
      <w:tab/>
    </w:r>
    <w:r w:rsidR="009105C7">
      <w:rPr>
        <w:sz w:val="20"/>
        <w:szCs w:val="20"/>
      </w:rPr>
      <w:t>Instruction 7.</w:t>
    </w:r>
    <w:r w:rsidR="006674BE">
      <w:rPr>
        <w:sz w:val="20"/>
        <w:szCs w:val="20"/>
      </w:rPr>
      <w:t>650</w:t>
    </w:r>
  </w:p>
  <w:p w14:paraId="1E0F49A7" w14:textId="249EBFCB" w:rsidR="008C5300" w:rsidRPr="00A44C0A" w:rsidRDefault="00AD5B9B" w:rsidP="008C5300">
    <w:pPr>
      <w:pStyle w:val="Header"/>
      <w:tabs>
        <w:tab w:val="clear" w:pos="4680"/>
        <w:tab w:val="clear" w:pos="9360"/>
        <w:tab w:val="left" w:pos="2790"/>
        <w:tab w:val="right" w:pos="10800"/>
      </w:tabs>
      <w:rPr>
        <w:b/>
        <w:sz w:val="20"/>
        <w:szCs w:val="20"/>
      </w:rPr>
    </w:pPr>
    <w:r w:rsidRPr="00AD5B9B">
      <w:rPr>
        <w:sz w:val="20"/>
        <w:szCs w:val="20"/>
      </w:rPr>
      <w:t>J</w:t>
    </w:r>
    <w:r w:rsidR="00B23D35">
      <w:rPr>
        <w:sz w:val="20"/>
        <w:szCs w:val="20"/>
      </w:rPr>
      <w:t>une</w:t>
    </w:r>
    <w:r w:rsidRPr="00AD5B9B">
      <w:rPr>
        <w:sz w:val="20"/>
        <w:szCs w:val="20"/>
      </w:rPr>
      <w:t xml:space="preserve"> 2026</w:t>
    </w:r>
    <w:r w:rsidR="005447C5">
      <w:rPr>
        <w:sz w:val="20"/>
        <w:szCs w:val="20"/>
      </w:rPr>
      <w:tab/>
    </w:r>
    <w:r w:rsidR="009105C7">
      <w:rPr>
        <w:sz w:val="20"/>
        <w:szCs w:val="20"/>
      </w:rPr>
      <w:t xml:space="preserve">         </w:t>
    </w:r>
    <w:r w:rsidR="009105C7">
      <w:rPr>
        <w:sz w:val="20"/>
        <w:szCs w:val="20"/>
      </w:rPr>
      <w:tab/>
      <w:t xml:space="preserve">POSSESSION OF </w:t>
    </w:r>
    <w:r w:rsidR="00020E08">
      <w:rPr>
        <w:sz w:val="20"/>
        <w:szCs w:val="20"/>
      </w:rPr>
      <w:t>FIREARM IN A PROHIBITED AREA</w:t>
    </w:r>
  </w:p>
  <w:p w14:paraId="4B8940F1" w14:textId="77777777" w:rsidR="008C5300" w:rsidRDefault="008C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7A0A4BBE"/>
    <w:lvl w:ilvl="0">
      <w:start w:val="3"/>
      <w:numFmt w:val="decimal"/>
      <w:lvlText w:val="%1."/>
      <w:lvlJc w:val="left"/>
      <w:pPr>
        <w:ind w:left="1440" w:hanging="720"/>
      </w:pPr>
      <w:rPr>
        <w:rFonts w:ascii="Arial" w:hAnsi="Arial" w:cs="Arial" w:hint="default"/>
        <w:b/>
        <w:bCs/>
        <w:spacing w:val="-25"/>
        <w:w w:val="99"/>
        <w:sz w:val="20"/>
        <w:szCs w:val="20"/>
      </w:rPr>
    </w:lvl>
    <w:lvl w:ilvl="1">
      <w:numFmt w:val="bullet"/>
      <w:lvlText w:val="•"/>
      <w:lvlJc w:val="left"/>
      <w:pPr>
        <w:ind w:left="2460" w:hanging="720"/>
      </w:pPr>
      <w:rPr>
        <w:rFonts w:hint="default"/>
      </w:rPr>
    </w:lvl>
    <w:lvl w:ilvl="2">
      <w:numFmt w:val="bullet"/>
      <w:lvlText w:val="•"/>
      <w:lvlJc w:val="left"/>
      <w:pPr>
        <w:ind w:left="3480" w:hanging="720"/>
      </w:pPr>
      <w:rPr>
        <w:rFonts w:hint="default"/>
      </w:rPr>
    </w:lvl>
    <w:lvl w:ilvl="3">
      <w:numFmt w:val="bullet"/>
      <w:lvlText w:val="•"/>
      <w:lvlJc w:val="left"/>
      <w:pPr>
        <w:ind w:left="4500" w:hanging="720"/>
      </w:pPr>
      <w:rPr>
        <w:rFonts w:hint="default"/>
      </w:rPr>
    </w:lvl>
    <w:lvl w:ilvl="4">
      <w:numFmt w:val="bullet"/>
      <w:lvlText w:val="•"/>
      <w:lvlJc w:val="left"/>
      <w:pPr>
        <w:ind w:left="5520" w:hanging="720"/>
      </w:pPr>
      <w:rPr>
        <w:rFonts w:hint="default"/>
      </w:rPr>
    </w:lvl>
    <w:lvl w:ilvl="5">
      <w:numFmt w:val="bullet"/>
      <w:lvlText w:val="•"/>
      <w:lvlJc w:val="left"/>
      <w:pPr>
        <w:ind w:left="6540" w:hanging="720"/>
      </w:pPr>
      <w:rPr>
        <w:rFonts w:hint="default"/>
      </w:rPr>
    </w:lvl>
    <w:lvl w:ilvl="6">
      <w:numFmt w:val="bullet"/>
      <w:lvlText w:val="•"/>
      <w:lvlJc w:val="left"/>
      <w:pPr>
        <w:ind w:left="7560" w:hanging="720"/>
      </w:pPr>
      <w:rPr>
        <w:rFonts w:hint="default"/>
      </w:rPr>
    </w:lvl>
    <w:lvl w:ilvl="7">
      <w:numFmt w:val="bullet"/>
      <w:lvlText w:val="•"/>
      <w:lvlJc w:val="left"/>
      <w:pPr>
        <w:ind w:left="8580" w:hanging="720"/>
      </w:pPr>
      <w:rPr>
        <w:rFonts w:hint="default"/>
      </w:rPr>
    </w:lvl>
    <w:lvl w:ilvl="8">
      <w:numFmt w:val="bullet"/>
      <w:lvlText w:val="•"/>
      <w:lvlJc w:val="left"/>
      <w:pPr>
        <w:ind w:left="9600" w:hanging="720"/>
      </w:pPr>
      <w:rPr>
        <w:rFonts w:hint="default"/>
      </w:rPr>
    </w:lvl>
  </w:abstractNum>
  <w:abstractNum w:abstractNumId="1" w15:restartNumberingAfterBreak="0">
    <w:nsid w:val="0D4C3CDE"/>
    <w:multiLevelType w:val="hybridMultilevel"/>
    <w:tmpl w:val="1310B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86967"/>
    <w:multiLevelType w:val="hybridMultilevel"/>
    <w:tmpl w:val="E708D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F63BE"/>
    <w:multiLevelType w:val="hybridMultilevel"/>
    <w:tmpl w:val="E9F84E5A"/>
    <w:lvl w:ilvl="0" w:tplc="6700C948">
      <w:start w:val="1"/>
      <w:numFmt w:val="decimal"/>
      <w:lvlText w:val="%1."/>
      <w:lvlJc w:val="left"/>
      <w:pPr>
        <w:ind w:left="720" w:hanging="360"/>
      </w:pPr>
      <w:rPr>
        <w:rFonts w:ascii="Arial" w:hAnsi="Arial" w:cs="Arial" w:hint="default"/>
        <w:b/>
        <w:color w:val="3737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70EEC"/>
    <w:multiLevelType w:val="hybridMultilevel"/>
    <w:tmpl w:val="8A2090DA"/>
    <w:lvl w:ilvl="0" w:tplc="9922191C">
      <w:start w:val="1"/>
      <w:numFmt w:val="decimal"/>
      <w:lvlText w:val="%1."/>
      <w:lvlJc w:val="left"/>
      <w:pPr>
        <w:ind w:left="324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AC1E25"/>
    <w:multiLevelType w:val="hybridMultilevel"/>
    <w:tmpl w:val="65E8F858"/>
    <w:lvl w:ilvl="0" w:tplc="49DA998E">
      <w:start w:val="5"/>
      <w:numFmt w:val="decimal"/>
      <w:lvlText w:val="%1."/>
      <w:lvlJc w:val="left"/>
      <w:pPr>
        <w:ind w:left="720" w:hanging="360"/>
      </w:pPr>
      <w:rPr>
        <w:rFonts w:ascii="Arial" w:hAnsi="Arial" w:cs="Arial" w:hint="default"/>
        <w:b/>
        <w:color w:val="37373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3745A"/>
    <w:multiLevelType w:val="hybridMultilevel"/>
    <w:tmpl w:val="7D3E2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D1536"/>
    <w:multiLevelType w:val="multilevel"/>
    <w:tmpl w:val="65781E7A"/>
    <w:lvl w:ilvl="0">
      <w:start w:val="1"/>
      <w:numFmt w:val="decimal"/>
      <w:lvlText w:val="%1."/>
      <w:lvlJc w:val="left"/>
      <w:pPr>
        <w:ind w:left="120" w:hanging="720"/>
      </w:pPr>
      <w:rPr>
        <w:rFonts w:ascii="Arial" w:hAnsi="Arial" w:cs="Arial"/>
        <w:b/>
        <w:bCs/>
        <w:spacing w:val="-25"/>
        <w:w w:val="99"/>
        <w:sz w:val="20"/>
        <w:szCs w:val="20"/>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8" w15:restartNumberingAfterBreak="0">
    <w:nsid w:val="72CF3912"/>
    <w:multiLevelType w:val="multilevel"/>
    <w:tmpl w:val="65781E7A"/>
    <w:lvl w:ilvl="0">
      <w:start w:val="1"/>
      <w:numFmt w:val="decimal"/>
      <w:lvlText w:val="%1."/>
      <w:lvlJc w:val="left"/>
      <w:pPr>
        <w:ind w:left="120" w:hanging="720"/>
      </w:pPr>
      <w:rPr>
        <w:rFonts w:ascii="Arial" w:hAnsi="Arial" w:cs="Arial"/>
        <w:b/>
        <w:bCs/>
        <w:spacing w:val="-25"/>
        <w:w w:val="99"/>
        <w:sz w:val="20"/>
        <w:szCs w:val="20"/>
      </w:rPr>
    </w:lvl>
    <w:lvl w:ilvl="1">
      <w:numFmt w:val="bullet"/>
      <w:lvlText w:val="•"/>
      <w:lvlJc w:val="left"/>
      <w:pPr>
        <w:ind w:left="1140" w:hanging="720"/>
      </w:pPr>
    </w:lvl>
    <w:lvl w:ilvl="2">
      <w:numFmt w:val="bullet"/>
      <w:lvlText w:val="•"/>
      <w:lvlJc w:val="left"/>
      <w:pPr>
        <w:ind w:left="2160" w:hanging="720"/>
      </w:pPr>
    </w:lvl>
    <w:lvl w:ilvl="3">
      <w:numFmt w:val="bullet"/>
      <w:lvlText w:val="•"/>
      <w:lvlJc w:val="left"/>
      <w:pPr>
        <w:ind w:left="3180" w:hanging="720"/>
      </w:pPr>
    </w:lvl>
    <w:lvl w:ilvl="4">
      <w:numFmt w:val="bullet"/>
      <w:lvlText w:val="•"/>
      <w:lvlJc w:val="left"/>
      <w:pPr>
        <w:ind w:left="4200" w:hanging="720"/>
      </w:pPr>
    </w:lvl>
    <w:lvl w:ilvl="5">
      <w:numFmt w:val="bullet"/>
      <w:lvlText w:val="•"/>
      <w:lvlJc w:val="left"/>
      <w:pPr>
        <w:ind w:left="5220" w:hanging="720"/>
      </w:pPr>
    </w:lvl>
    <w:lvl w:ilvl="6">
      <w:numFmt w:val="bullet"/>
      <w:lvlText w:val="•"/>
      <w:lvlJc w:val="left"/>
      <w:pPr>
        <w:ind w:left="6240" w:hanging="720"/>
      </w:pPr>
    </w:lvl>
    <w:lvl w:ilvl="7">
      <w:numFmt w:val="bullet"/>
      <w:lvlText w:val="•"/>
      <w:lvlJc w:val="left"/>
      <w:pPr>
        <w:ind w:left="7260" w:hanging="720"/>
      </w:pPr>
    </w:lvl>
    <w:lvl w:ilvl="8">
      <w:numFmt w:val="bullet"/>
      <w:lvlText w:val="•"/>
      <w:lvlJc w:val="left"/>
      <w:pPr>
        <w:ind w:left="8280" w:hanging="720"/>
      </w:pPr>
    </w:lvl>
  </w:abstractNum>
  <w:abstractNum w:abstractNumId="9" w15:restartNumberingAfterBreak="0">
    <w:nsid w:val="78F05251"/>
    <w:multiLevelType w:val="hybridMultilevel"/>
    <w:tmpl w:val="F5602B5C"/>
    <w:lvl w:ilvl="0" w:tplc="7D1051D0">
      <w:start w:val="1"/>
      <w:numFmt w:val="decimal"/>
      <w:lvlText w:val="%1."/>
      <w:lvlJc w:val="left"/>
      <w:pPr>
        <w:ind w:left="1080" w:hanging="360"/>
      </w:pPr>
      <w:rPr>
        <w:rFonts w:hint="default"/>
        <w:b w:val="0"/>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398437">
    <w:abstractNumId w:val="2"/>
  </w:num>
  <w:num w:numId="2" w16cid:durableId="1904095888">
    <w:abstractNumId w:val="4"/>
  </w:num>
  <w:num w:numId="3" w16cid:durableId="965045050">
    <w:abstractNumId w:val="6"/>
  </w:num>
  <w:num w:numId="4" w16cid:durableId="436754902">
    <w:abstractNumId w:val="1"/>
  </w:num>
  <w:num w:numId="5" w16cid:durableId="1739087392">
    <w:abstractNumId w:val="9"/>
  </w:num>
  <w:num w:numId="6" w16cid:durableId="872840774">
    <w:abstractNumId w:val="0"/>
  </w:num>
  <w:num w:numId="7" w16cid:durableId="1761636747">
    <w:abstractNumId w:val="7"/>
  </w:num>
  <w:num w:numId="8" w16cid:durableId="961348877">
    <w:abstractNumId w:val="8"/>
  </w:num>
  <w:num w:numId="9" w16cid:durableId="179466161">
    <w:abstractNumId w:val="3"/>
  </w:num>
  <w:num w:numId="10" w16cid:durableId="731780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7C5"/>
    <w:rsid w:val="000137BF"/>
    <w:rsid w:val="000155D1"/>
    <w:rsid w:val="00016274"/>
    <w:rsid w:val="00020E08"/>
    <w:rsid w:val="00032E19"/>
    <w:rsid w:val="00035840"/>
    <w:rsid w:val="00054772"/>
    <w:rsid w:val="0008236A"/>
    <w:rsid w:val="000D6BAD"/>
    <w:rsid w:val="000E0A00"/>
    <w:rsid w:val="000E4D45"/>
    <w:rsid w:val="00116ECF"/>
    <w:rsid w:val="00120A70"/>
    <w:rsid w:val="00122E3D"/>
    <w:rsid w:val="00130267"/>
    <w:rsid w:val="001306B9"/>
    <w:rsid w:val="00133203"/>
    <w:rsid w:val="00162793"/>
    <w:rsid w:val="001635C7"/>
    <w:rsid w:val="00166365"/>
    <w:rsid w:val="0017684A"/>
    <w:rsid w:val="00182B83"/>
    <w:rsid w:val="00185D82"/>
    <w:rsid w:val="00192D78"/>
    <w:rsid w:val="001934A9"/>
    <w:rsid w:val="001D7330"/>
    <w:rsid w:val="001E755B"/>
    <w:rsid w:val="001F3B91"/>
    <w:rsid w:val="00200A3E"/>
    <w:rsid w:val="002160AF"/>
    <w:rsid w:val="00224F97"/>
    <w:rsid w:val="0023401E"/>
    <w:rsid w:val="00241B22"/>
    <w:rsid w:val="002431F7"/>
    <w:rsid w:val="00250B5B"/>
    <w:rsid w:val="00251135"/>
    <w:rsid w:val="00252BBF"/>
    <w:rsid w:val="002654C7"/>
    <w:rsid w:val="0027758D"/>
    <w:rsid w:val="0029488C"/>
    <w:rsid w:val="00294EC9"/>
    <w:rsid w:val="002A0DC2"/>
    <w:rsid w:val="002A1B5C"/>
    <w:rsid w:val="002C1E65"/>
    <w:rsid w:val="002D752F"/>
    <w:rsid w:val="002E56AE"/>
    <w:rsid w:val="002E7D16"/>
    <w:rsid w:val="002F1272"/>
    <w:rsid w:val="00303C06"/>
    <w:rsid w:val="00312416"/>
    <w:rsid w:val="00312534"/>
    <w:rsid w:val="00334FA1"/>
    <w:rsid w:val="003432BB"/>
    <w:rsid w:val="0035782D"/>
    <w:rsid w:val="00361392"/>
    <w:rsid w:val="003673A8"/>
    <w:rsid w:val="00367DFC"/>
    <w:rsid w:val="00371F53"/>
    <w:rsid w:val="00375AF7"/>
    <w:rsid w:val="003909C5"/>
    <w:rsid w:val="003C476D"/>
    <w:rsid w:val="003F4F11"/>
    <w:rsid w:val="00401C95"/>
    <w:rsid w:val="00405E9E"/>
    <w:rsid w:val="00422D80"/>
    <w:rsid w:val="00423160"/>
    <w:rsid w:val="004338DF"/>
    <w:rsid w:val="00433DE3"/>
    <w:rsid w:val="0043698B"/>
    <w:rsid w:val="00437300"/>
    <w:rsid w:val="00440EE7"/>
    <w:rsid w:val="00442AFC"/>
    <w:rsid w:val="00457939"/>
    <w:rsid w:val="004676FE"/>
    <w:rsid w:val="00475B5B"/>
    <w:rsid w:val="00491E02"/>
    <w:rsid w:val="004A18A4"/>
    <w:rsid w:val="004D7D1D"/>
    <w:rsid w:val="004E4CDE"/>
    <w:rsid w:val="004E7ACD"/>
    <w:rsid w:val="005003C1"/>
    <w:rsid w:val="00517998"/>
    <w:rsid w:val="00522218"/>
    <w:rsid w:val="00525A45"/>
    <w:rsid w:val="00531303"/>
    <w:rsid w:val="005328E8"/>
    <w:rsid w:val="00533F0C"/>
    <w:rsid w:val="005447C5"/>
    <w:rsid w:val="0055076E"/>
    <w:rsid w:val="0055594E"/>
    <w:rsid w:val="00556E0D"/>
    <w:rsid w:val="00557251"/>
    <w:rsid w:val="00561DB9"/>
    <w:rsid w:val="005664A9"/>
    <w:rsid w:val="00571F98"/>
    <w:rsid w:val="005818A4"/>
    <w:rsid w:val="005A1845"/>
    <w:rsid w:val="005A3D45"/>
    <w:rsid w:val="005B7B68"/>
    <w:rsid w:val="005C22BA"/>
    <w:rsid w:val="005C31FA"/>
    <w:rsid w:val="005C4827"/>
    <w:rsid w:val="005C48C6"/>
    <w:rsid w:val="005E1F0C"/>
    <w:rsid w:val="005F2510"/>
    <w:rsid w:val="006318A5"/>
    <w:rsid w:val="00631E1F"/>
    <w:rsid w:val="006522DF"/>
    <w:rsid w:val="00655ED2"/>
    <w:rsid w:val="00657451"/>
    <w:rsid w:val="006674BE"/>
    <w:rsid w:val="00674E3D"/>
    <w:rsid w:val="0067670A"/>
    <w:rsid w:val="0069118A"/>
    <w:rsid w:val="00691FF2"/>
    <w:rsid w:val="00692655"/>
    <w:rsid w:val="006B2A94"/>
    <w:rsid w:val="006B75EC"/>
    <w:rsid w:val="006B7A18"/>
    <w:rsid w:val="006C2F70"/>
    <w:rsid w:val="006C6760"/>
    <w:rsid w:val="006D0875"/>
    <w:rsid w:val="006D140F"/>
    <w:rsid w:val="006D270B"/>
    <w:rsid w:val="006D7BF8"/>
    <w:rsid w:val="006E1290"/>
    <w:rsid w:val="006E2894"/>
    <w:rsid w:val="007068F9"/>
    <w:rsid w:val="0070741F"/>
    <w:rsid w:val="007142FD"/>
    <w:rsid w:val="007220D2"/>
    <w:rsid w:val="00726C5C"/>
    <w:rsid w:val="00737919"/>
    <w:rsid w:val="00756A41"/>
    <w:rsid w:val="00762201"/>
    <w:rsid w:val="00773D96"/>
    <w:rsid w:val="0078036B"/>
    <w:rsid w:val="00787732"/>
    <w:rsid w:val="007A5B80"/>
    <w:rsid w:val="007C1C39"/>
    <w:rsid w:val="007D24D2"/>
    <w:rsid w:val="007E35FE"/>
    <w:rsid w:val="007E6315"/>
    <w:rsid w:val="00805C2E"/>
    <w:rsid w:val="008461AD"/>
    <w:rsid w:val="00847450"/>
    <w:rsid w:val="00857630"/>
    <w:rsid w:val="008663E4"/>
    <w:rsid w:val="00870FDA"/>
    <w:rsid w:val="0087608B"/>
    <w:rsid w:val="008814F9"/>
    <w:rsid w:val="008A3134"/>
    <w:rsid w:val="008C5300"/>
    <w:rsid w:val="008C7B06"/>
    <w:rsid w:val="008D0581"/>
    <w:rsid w:val="008D316C"/>
    <w:rsid w:val="008E0EE7"/>
    <w:rsid w:val="008E177F"/>
    <w:rsid w:val="008E6B40"/>
    <w:rsid w:val="008F5657"/>
    <w:rsid w:val="009105C7"/>
    <w:rsid w:val="00912CE9"/>
    <w:rsid w:val="0092106A"/>
    <w:rsid w:val="009274B7"/>
    <w:rsid w:val="009304F7"/>
    <w:rsid w:val="00931CFF"/>
    <w:rsid w:val="00933EE5"/>
    <w:rsid w:val="00952940"/>
    <w:rsid w:val="0095314B"/>
    <w:rsid w:val="00964676"/>
    <w:rsid w:val="00981F15"/>
    <w:rsid w:val="0098333E"/>
    <w:rsid w:val="00986F85"/>
    <w:rsid w:val="009B2FBB"/>
    <w:rsid w:val="009B41AE"/>
    <w:rsid w:val="009D3259"/>
    <w:rsid w:val="009F15DA"/>
    <w:rsid w:val="00A0373E"/>
    <w:rsid w:val="00A06452"/>
    <w:rsid w:val="00A11AC0"/>
    <w:rsid w:val="00A152AD"/>
    <w:rsid w:val="00A20BAC"/>
    <w:rsid w:val="00A26AB8"/>
    <w:rsid w:val="00A32978"/>
    <w:rsid w:val="00A42513"/>
    <w:rsid w:val="00A616D7"/>
    <w:rsid w:val="00A70893"/>
    <w:rsid w:val="00A8126F"/>
    <w:rsid w:val="00A818EC"/>
    <w:rsid w:val="00AB4ADB"/>
    <w:rsid w:val="00AC3458"/>
    <w:rsid w:val="00AD1950"/>
    <w:rsid w:val="00AD28BA"/>
    <w:rsid w:val="00AD5B9B"/>
    <w:rsid w:val="00AE69D2"/>
    <w:rsid w:val="00AF56CB"/>
    <w:rsid w:val="00B03D0C"/>
    <w:rsid w:val="00B12E59"/>
    <w:rsid w:val="00B12FBA"/>
    <w:rsid w:val="00B16C95"/>
    <w:rsid w:val="00B23D35"/>
    <w:rsid w:val="00B32115"/>
    <w:rsid w:val="00B33168"/>
    <w:rsid w:val="00B369FE"/>
    <w:rsid w:val="00B36A30"/>
    <w:rsid w:val="00B525D6"/>
    <w:rsid w:val="00B55EF3"/>
    <w:rsid w:val="00B65E68"/>
    <w:rsid w:val="00B677D8"/>
    <w:rsid w:val="00B73046"/>
    <w:rsid w:val="00B80CBC"/>
    <w:rsid w:val="00B83F2B"/>
    <w:rsid w:val="00B92F0C"/>
    <w:rsid w:val="00B95512"/>
    <w:rsid w:val="00BA06C5"/>
    <w:rsid w:val="00BB2D86"/>
    <w:rsid w:val="00BB5A68"/>
    <w:rsid w:val="00BF5322"/>
    <w:rsid w:val="00BF621A"/>
    <w:rsid w:val="00C118EA"/>
    <w:rsid w:val="00C166B5"/>
    <w:rsid w:val="00C30279"/>
    <w:rsid w:val="00C37BEC"/>
    <w:rsid w:val="00C4135F"/>
    <w:rsid w:val="00C45145"/>
    <w:rsid w:val="00C53A1F"/>
    <w:rsid w:val="00C6047A"/>
    <w:rsid w:val="00C7268E"/>
    <w:rsid w:val="00C773EE"/>
    <w:rsid w:val="00C839B6"/>
    <w:rsid w:val="00C93FC9"/>
    <w:rsid w:val="00CA02EE"/>
    <w:rsid w:val="00CA0F9D"/>
    <w:rsid w:val="00CA4B64"/>
    <w:rsid w:val="00CC1B9E"/>
    <w:rsid w:val="00CC4865"/>
    <w:rsid w:val="00CD6471"/>
    <w:rsid w:val="00CE4618"/>
    <w:rsid w:val="00CF6888"/>
    <w:rsid w:val="00CF7DDC"/>
    <w:rsid w:val="00D04807"/>
    <w:rsid w:val="00D0481D"/>
    <w:rsid w:val="00D06036"/>
    <w:rsid w:val="00D0604E"/>
    <w:rsid w:val="00D110B5"/>
    <w:rsid w:val="00D234CF"/>
    <w:rsid w:val="00D30416"/>
    <w:rsid w:val="00D43FB4"/>
    <w:rsid w:val="00D44B74"/>
    <w:rsid w:val="00D4635C"/>
    <w:rsid w:val="00D77018"/>
    <w:rsid w:val="00D9090B"/>
    <w:rsid w:val="00DD3F21"/>
    <w:rsid w:val="00DD6A86"/>
    <w:rsid w:val="00E03168"/>
    <w:rsid w:val="00E10810"/>
    <w:rsid w:val="00E11ED6"/>
    <w:rsid w:val="00E21AF5"/>
    <w:rsid w:val="00E26713"/>
    <w:rsid w:val="00E270B5"/>
    <w:rsid w:val="00E56E41"/>
    <w:rsid w:val="00E60912"/>
    <w:rsid w:val="00E61150"/>
    <w:rsid w:val="00E6740B"/>
    <w:rsid w:val="00E84E99"/>
    <w:rsid w:val="00E92577"/>
    <w:rsid w:val="00E951DF"/>
    <w:rsid w:val="00EA2591"/>
    <w:rsid w:val="00EC0AFE"/>
    <w:rsid w:val="00EC4B56"/>
    <w:rsid w:val="00EC6AA5"/>
    <w:rsid w:val="00ED4101"/>
    <w:rsid w:val="00EF4491"/>
    <w:rsid w:val="00F17F1D"/>
    <w:rsid w:val="00F17F45"/>
    <w:rsid w:val="00F21F80"/>
    <w:rsid w:val="00F22242"/>
    <w:rsid w:val="00F507F8"/>
    <w:rsid w:val="00F540D3"/>
    <w:rsid w:val="00F5542E"/>
    <w:rsid w:val="00F66006"/>
    <w:rsid w:val="00F66A52"/>
    <w:rsid w:val="00F807AC"/>
    <w:rsid w:val="00F873B8"/>
    <w:rsid w:val="00F91328"/>
    <w:rsid w:val="00FA0067"/>
    <w:rsid w:val="00FA4252"/>
    <w:rsid w:val="00FA4D72"/>
    <w:rsid w:val="00FB2889"/>
    <w:rsid w:val="00FC0804"/>
    <w:rsid w:val="00FC6F25"/>
    <w:rsid w:val="00FC75BF"/>
    <w:rsid w:val="00FD4A72"/>
    <w:rsid w:val="00FE65C6"/>
    <w:rsid w:val="00FF2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AD61B"/>
  <w15:docId w15:val="{51918A80-0152-458D-A6A7-879B7EE3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47C5"/>
    <w:pPr>
      <w:widowControl w:val="0"/>
      <w:autoSpaceDE w:val="0"/>
      <w:autoSpaceDN w:val="0"/>
      <w:adjustRightInd w:val="0"/>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47C5"/>
    <w:rPr>
      <w:b/>
      <w:bCs/>
      <w:sz w:val="28"/>
      <w:szCs w:val="28"/>
    </w:rPr>
  </w:style>
  <w:style w:type="character" w:customStyle="1" w:styleId="BodyTextChar">
    <w:name w:val="Body Text Char"/>
    <w:basedOn w:val="DefaultParagraphFont"/>
    <w:link w:val="BodyText"/>
    <w:uiPriority w:val="1"/>
    <w:rsid w:val="005447C5"/>
    <w:rPr>
      <w:rFonts w:ascii="Arial" w:eastAsiaTheme="minorEastAsia" w:hAnsi="Arial" w:cs="Arial"/>
      <w:b/>
      <w:bCs/>
      <w:sz w:val="28"/>
      <w:szCs w:val="28"/>
    </w:rPr>
  </w:style>
  <w:style w:type="paragraph" w:styleId="ListParagraph">
    <w:name w:val="List Paragraph"/>
    <w:basedOn w:val="Normal"/>
    <w:uiPriority w:val="1"/>
    <w:qFormat/>
    <w:rsid w:val="005447C5"/>
    <w:pPr>
      <w:ind w:left="720"/>
      <w:contextualSpacing/>
    </w:pPr>
  </w:style>
  <w:style w:type="character" w:styleId="CommentReference">
    <w:name w:val="annotation reference"/>
    <w:basedOn w:val="DefaultParagraphFont"/>
    <w:uiPriority w:val="99"/>
    <w:semiHidden/>
    <w:unhideWhenUsed/>
    <w:rsid w:val="005447C5"/>
    <w:rPr>
      <w:sz w:val="16"/>
      <w:szCs w:val="16"/>
    </w:rPr>
  </w:style>
  <w:style w:type="paragraph" w:styleId="CommentText">
    <w:name w:val="annotation text"/>
    <w:basedOn w:val="Normal"/>
    <w:link w:val="CommentTextChar"/>
    <w:uiPriority w:val="99"/>
    <w:unhideWhenUsed/>
    <w:rsid w:val="005447C5"/>
    <w:rPr>
      <w:sz w:val="20"/>
      <w:szCs w:val="20"/>
    </w:rPr>
  </w:style>
  <w:style w:type="character" w:customStyle="1" w:styleId="CommentTextChar">
    <w:name w:val="Comment Text Char"/>
    <w:basedOn w:val="DefaultParagraphFont"/>
    <w:link w:val="CommentText"/>
    <w:uiPriority w:val="99"/>
    <w:rsid w:val="005447C5"/>
    <w:rPr>
      <w:rFonts w:ascii="Arial" w:eastAsiaTheme="minorEastAsia" w:hAnsi="Arial" w:cs="Arial"/>
      <w:sz w:val="20"/>
      <w:szCs w:val="20"/>
    </w:rPr>
  </w:style>
  <w:style w:type="paragraph" w:styleId="Header">
    <w:name w:val="header"/>
    <w:basedOn w:val="Normal"/>
    <w:link w:val="HeaderChar"/>
    <w:uiPriority w:val="99"/>
    <w:unhideWhenUsed/>
    <w:rsid w:val="005447C5"/>
    <w:pPr>
      <w:tabs>
        <w:tab w:val="center" w:pos="4680"/>
        <w:tab w:val="right" w:pos="9360"/>
      </w:tabs>
    </w:pPr>
  </w:style>
  <w:style w:type="character" w:customStyle="1" w:styleId="HeaderChar">
    <w:name w:val="Header Char"/>
    <w:basedOn w:val="DefaultParagraphFont"/>
    <w:link w:val="Header"/>
    <w:uiPriority w:val="99"/>
    <w:rsid w:val="005447C5"/>
    <w:rPr>
      <w:rFonts w:ascii="Arial" w:eastAsiaTheme="minorEastAsia" w:hAnsi="Arial" w:cs="Arial"/>
      <w:sz w:val="24"/>
      <w:szCs w:val="24"/>
    </w:rPr>
  </w:style>
  <w:style w:type="paragraph" w:styleId="NormalWeb">
    <w:name w:val="Normal (Web)"/>
    <w:basedOn w:val="Normal"/>
    <w:uiPriority w:val="99"/>
    <w:unhideWhenUsed/>
    <w:rsid w:val="005447C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ssh">
    <w:name w:val="ss_sh"/>
    <w:basedOn w:val="DefaultParagraphFont"/>
    <w:rsid w:val="005447C5"/>
  </w:style>
  <w:style w:type="character" w:customStyle="1" w:styleId="ssrfcsection">
    <w:name w:val="ss_rfcsection"/>
    <w:basedOn w:val="DefaultParagraphFont"/>
    <w:rsid w:val="005447C5"/>
  </w:style>
  <w:style w:type="character" w:customStyle="1" w:styleId="ssit">
    <w:name w:val="ss_it"/>
    <w:basedOn w:val="DefaultParagraphFont"/>
    <w:rsid w:val="005447C5"/>
  </w:style>
  <w:style w:type="character" w:customStyle="1" w:styleId="ac">
    <w:name w:val="ac"/>
    <w:basedOn w:val="DefaultParagraphFont"/>
    <w:rsid w:val="005447C5"/>
  </w:style>
  <w:style w:type="paragraph" w:styleId="Footer">
    <w:name w:val="footer"/>
    <w:basedOn w:val="Normal"/>
    <w:link w:val="FooterChar"/>
    <w:uiPriority w:val="99"/>
    <w:unhideWhenUsed/>
    <w:rsid w:val="005447C5"/>
    <w:pPr>
      <w:tabs>
        <w:tab w:val="center" w:pos="4680"/>
        <w:tab w:val="right" w:pos="9360"/>
      </w:tabs>
    </w:pPr>
  </w:style>
  <w:style w:type="character" w:customStyle="1" w:styleId="FooterChar">
    <w:name w:val="Footer Char"/>
    <w:basedOn w:val="DefaultParagraphFont"/>
    <w:link w:val="Footer"/>
    <w:uiPriority w:val="99"/>
    <w:rsid w:val="005447C5"/>
    <w:rPr>
      <w:rFonts w:ascii="Arial" w:eastAsiaTheme="minorEastAsia" w:hAnsi="Arial" w:cs="Arial"/>
      <w:sz w:val="24"/>
      <w:szCs w:val="24"/>
    </w:rPr>
  </w:style>
  <w:style w:type="paragraph" w:styleId="CommentSubject">
    <w:name w:val="annotation subject"/>
    <w:basedOn w:val="CommentText"/>
    <w:next w:val="CommentText"/>
    <w:link w:val="CommentSubjectChar"/>
    <w:uiPriority w:val="99"/>
    <w:semiHidden/>
    <w:unhideWhenUsed/>
    <w:rsid w:val="005447C5"/>
    <w:rPr>
      <w:b/>
      <w:bCs/>
    </w:rPr>
  </w:style>
  <w:style w:type="character" w:customStyle="1" w:styleId="CommentSubjectChar">
    <w:name w:val="Comment Subject Char"/>
    <w:basedOn w:val="CommentTextChar"/>
    <w:link w:val="CommentSubject"/>
    <w:uiPriority w:val="99"/>
    <w:semiHidden/>
    <w:rsid w:val="005447C5"/>
    <w:rPr>
      <w:rFonts w:ascii="Arial" w:eastAsiaTheme="minorEastAsia" w:hAnsi="Arial" w:cs="Arial"/>
      <w:b/>
      <w:bCs/>
      <w:sz w:val="20"/>
      <w:szCs w:val="20"/>
    </w:rPr>
  </w:style>
  <w:style w:type="character" w:customStyle="1" w:styleId="ssrfcpassagedeactivated">
    <w:name w:val="ss_rfcpassage_deactivated"/>
    <w:basedOn w:val="DefaultParagraphFont"/>
    <w:rsid w:val="006D270B"/>
  </w:style>
  <w:style w:type="character" w:customStyle="1" w:styleId="ssun">
    <w:name w:val="ss_un"/>
    <w:basedOn w:val="DefaultParagraphFont"/>
    <w:rsid w:val="006D270B"/>
  </w:style>
  <w:style w:type="paragraph" w:styleId="FootnoteText">
    <w:name w:val="footnote text"/>
    <w:basedOn w:val="Normal"/>
    <w:link w:val="FootnoteTextChar"/>
    <w:uiPriority w:val="99"/>
    <w:semiHidden/>
    <w:unhideWhenUsed/>
    <w:rsid w:val="00A0373E"/>
    <w:rPr>
      <w:sz w:val="20"/>
      <w:szCs w:val="20"/>
    </w:rPr>
  </w:style>
  <w:style w:type="character" w:customStyle="1" w:styleId="FootnoteTextChar">
    <w:name w:val="Footnote Text Char"/>
    <w:basedOn w:val="DefaultParagraphFont"/>
    <w:link w:val="FootnoteText"/>
    <w:uiPriority w:val="99"/>
    <w:semiHidden/>
    <w:rsid w:val="00A0373E"/>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0373E"/>
    <w:rPr>
      <w:vertAlign w:val="superscript"/>
    </w:rPr>
  </w:style>
  <w:style w:type="paragraph" w:styleId="Revision">
    <w:name w:val="Revision"/>
    <w:hidden/>
    <w:uiPriority w:val="99"/>
    <w:semiHidden/>
    <w:rsid w:val="00C4135F"/>
    <w:pPr>
      <w:spacing w:after="0" w:line="240" w:lineRule="auto"/>
    </w:pPr>
    <w:rPr>
      <w:rFonts w:ascii="Arial" w:eastAsiaTheme="minorEastAsia" w:hAnsi="Arial" w:cs="Arial"/>
      <w:sz w:val="24"/>
      <w:szCs w:val="24"/>
    </w:rPr>
  </w:style>
  <w:style w:type="character" w:styleId="Hyperlink">
    <w:name w:val="Hyperlink"/>
    <w:basedOn w:val="DefaultParagraphFont"/>
    <w:uiPriority w:val="99"/>
    <w:unhideWhenUsed/>
    <w:rsid w:val="0029488C"/>
    <w:rPr>
      <w:color w:val="0563C1" w:themeColor="hyperlink"/>
      <w:u w:val="single"/>
    </w:rPr>
  </w:style>
  <w:style w:type="character" w:styleId="UnresolvedMention">
    <w:name w:val="Unresolved Mention"/>
    <w:basedOn w:val="DefaultParagraphFont"/>
    <w:uiPriority w:val="99"/>
    <w:semiHidden/>
    <w:unhideWhenUsed/>
    <w:rsid w:val="0029488C"/>
    <w:rPr>
      <w:color w:val="605E5C"/>
      <w:shd w:val="clear" w:color="auto" w:fill="E1DFDD"/>
    </w:rPr>
  </w:style>
  <w:style w:type="character" w:customStyle="1" w:styleId="ssparacontent">
    <w:name w:val="ss_paracontent"/>
    <w:basedOn w:val="DefaultParagraphFont"/>
    <w:rsid w:val="0029488C"/>
  </w:style>
  <w:style w:type="character" w:customStyle="1" w:styleId="ssparalabel">
    <w:name w:val="ss_paralabel"/>
    <w:basedOn w:val="DefaultParagraphFont"/>
    <w:rsid w:val="0029488C"/>
  </w:style>
  <w:style w:type="character" w:customStyle="1" w:styleId="ssbf">
    <w:name w:val="ss_bf"/>
    <w:basedOn w:val="DefaultParagraphFont"/>
    <w:rsid w:val="0029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6123">
      <w:bodyDiv w:val="1"/>
      <w:marLeft w:val="0"/>
      <w:marRight w:val="0"/>
      <w:marTop w:val="0"/>
      <w:marBottom w:val="0"/>
      <w:divBdr>
        <w:top w:val="none" w:sz="0" w:space="0" w:color="auto"/>
        <w:left w:val="none" w:sz="0" w:space="0" w:color="auto"/>
        <w:bottom w:val="none" w:sz="0" w:space="0" w:color="auto"/>
        <w:right w:val="none" w:sz="0" w:space="0" w:color="auto"/>
      </w:divBdr>
      <w:divsChild>
        <w:div w:id="136653220">
          <w:marLeft w:val="0"/>
          <w:marRight w:val="0"/>
          <w:marTop w:val="0"/>
          <w:marBottom w:val="0"/>
          <w:divBdr>
            <w:top w:val="none" w:sz="0" w:space="0" w:color="auto"/>
            <w:left w:val="none" w:sz="0" w:space="0" w:color="auto"/>
            <w:bottom w:val="none" w:sz="0" w:space="0" w:color="auto"/>
            <w:right w:val="none" w:sz="0" w:space="0" w:color="auto"/>
          </w:divBdr>
        </w:div>
        <w:div w:id="67852144">
          <w:marLeft w:val="0"/>
          <w:marRight w:val="0"/>
          <w:marTop w:val="0"/>
          <w:marBottom w:val="0"/>
          <w:divBdr>
            <w:top w:val="none" w:sz="0" w:space="0" w:color="auto"/>
            <w:left w:val="none" w:sz="0" w:space="0" w:color="auto"/>
            <w:bottom w:val="none" w:sz="0" w:space="0" w:color="auto"/>
            <w:right w:val="none" w:sz="0" w:space="0" w:color="auto"/>
          </w:divBdr>
        </w:div>
      </w:divsChild>
    </w:div>
    <w:div w:id="813646642">
      <w:bodyDiv w:val="1"/>
      <w:marLeft w:val="0"/>
      <w:marRight w:val="0"/>
      <w:marTop w:val="0"/>
      <w:marBottom w:val="0"/>
      <w:divBdr>
        <w:top w:val="none" w:sz="0" w:space="0" w:color="auto"/>
        <w:left w:val="none" w:sz="0" w:space="0" w:color="auto"/>
        <w:bottom w:val="none" w:sz="0" w:space="0" w:color="auto"/>
        <w:right w:val="none" w:sz="0" w:space="0" w:color="auto"/>
      </w:divBdr>
    </w:div>
    <w:div w:id="881288638">
      <w:bodyDiv w:val="1"/>
      <w:marLeft w:val="0"/>
      <w:marRight w:val="0"/>
      <w:marTop w:val="0"/>
      <w:marBottom w:val="0"/>
      <w:divBdr>
        <w:top w:val="none" w:sz="0" w:space="0" w:color="auto"/>
        <w:left w:val="none" w:sz="0" w:space="0" w:color="auto"/>
        <w:bottom w:val="none" w:sz="0" w:space="0" w:color="auto"/>
        <w:right w:val="none" w:sz="0" w:space="0" w:color="auto"/>
      </w:divBdr>
    </w:div>
    <w:div w:id="987899155">
      <w:bodyDiv w:val="1"/>
      <w:marLeft w:val="0"/>
      <w:marRight w:val="0"/>
      <w:marTop w:val="0"/>
      <w:marBottom w:val="0"/>
      <w:divBdr>
        <w:top w:val="none" w:sz="0" w:space="0" w:color="auto"/>
        <w:left w:val="none" w:sz="0" w:space="0" w:color="auto"/>
        <w:bottom w:val="none" w:sz="0" w:space="0" w:color="auto"/>
        <w:right w:val="none" w:sz="0" w:space="0" w:color="auto"/>
      </w:divBdr>
      <w:divsChild>
        <w:div w:id="1942029572">
          <w:marLeft w:val="0"/>
          <w:marRight w:val="0"/>
          <w:marTop w:val="0"/>
          <w:marBottom w:val="0"/>
          <w:divBdr>
            <w:top w:val="none" w:sz="0" w:space="0" w:color="auto"/>
            <w:left w:val="none" w:sz="0" w:space="0" w:color="auto"/>
            <w:bottom w:val="none" w:sz="0" w:space="0" w:color="auto"/>
            <w:right w:val="none" w:sz="0" w:space="0" w:color="auto"/>
          </w:divBdr>
        </w:div>
        <w:div w:id="1713117330">
          <w:marLeft w:val="0"/>
          <w:marRight w:val="0"/>
          <w:marTop w:val="0"/>
          <w:marBottom w:val="0"/>
          <w:divBdr>
            <w:top w:val="none" w:sz="0" w:space="0" w:color="auto"/>
            <w:left w:val="none" w:sz="0" w:space="0" w:color="auto"/>
            <w:bottom w:val="none" w:sz="0" w:space="0" w:color="auto"/>
            <w:right w:val="none" w:sz="0" w:space="0" w:color="auto"/>
          </w:divBdr>
        </w:div>
      </w:divsChild>
    </w:div>
    <w:div w:id="1171676793">
      <w:bodyDiv w:val="1"/>
      <w:marLeft w:val="0"/>
      <w:marRight w:val="0"/>
      <w:marTop w:val="0"/>
      <w:marBottom w:val="0"/>
      <w:divBdr>
        <w:top w:val="none" w:sz="0" w:space="0" w:color="auto"/>
        <w:left w:val="none" w:sz="0" w:space="0" w:color="auto"/>
        <w:bottom w:val="none" w:sz="0" w:space="0" w:color="auto"/>
        <w:right w:val="none" w:sz="0" w:space="0" w:color="auto"/>
      </w:divBdr>
    </w:div>
    <w:div w:id="1842695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A88D-D051-4A93-8028-2B2B51DF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2757</Words>
  <Characters>15718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 McDonough</dc:creator>
  <cp:keywords/>
  <dc:description/>
  <cp:lastModifiedBy>Sarah M Adamson</cp:lastModifiedBy>
  <cp:revision>4</cp:revision>
  <cp:lastPrinted>2024-10-31T13:59:00Z</cp:lastPrinted>
  <dcterms:created xsi:type="dcterms:W3CDTF">2026-06-08T17:05:00Z</dcterms:created>
  <dcterms:modified xsi:type="dcterms:W3CDTF">2026-06-16T14:32:00Z</dcterms:modified>
</cp:coreProperties>
</file>