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7C2A6" w14:textId="5DD8418A" w:rsidR="000C515B" w:rsidRPr="00D6672C" w:rsidRDefault="000C515B" w:rsidP="00D6672C">
      <w:pPr>
        <w:pStyle w:val="Heading1"/>
      </w:pPr>
      <w:bookmarkStart w:id="0" w:name="_Hlk65505295"/>
      <w:r w:rsidRPr="00D6672C">
        <w:t>765.21</w:t>
      </w:r>
      <w:r w:rsidRPr="00D6672C">
        <w:tab/>
      </w:r>
      <w:r w:rsidRPr="00D6672C">
        <w:tab/>
      </w:r>
      <w:r w:rsidRPr="00D6672C">
        <w:tab/>
      </w:r>
      <w:r w:rsidRPr="00D6672C">
        <w:tab/>
        <w:t>Annual Cover Crop</w:t>
      </w:r>
      <w:r w:rsidR="000A3F0F">
        <w:t xml:space="preserve"> for Native Seeding</w:t>
      </w:r>
      <w:r w:rsidRPr="00D6672C">
        <w:tab/>
      </w:r>
      <w:r w:rsidRPr="00D6672C">
        <w:tab/>
      </w:r>
      <w:r w:rsidR="000A3F0F">
        <w:tab/>
      </w:r>
      <w:r w:rsidRPr="00D6672C">
        <w:t>Pound</w:t>
      </w:r>
    </w:p>
    <w:p w14:paraId="74065952" w14:textId="77777777" w:rsidR="00942CA2" w:rsidRDefault="00942CA2" w:rsidP="000C515B">
      <w:pPr>
        <w:rPr>
          <w:b/>
          <w:bCs/>
        </w:rPr>
      </w:pPr>
    </w:p>
    <w:p w14:paraId="4DA31054" w14:textId="77777777" w:rsidR="00E145E9" w:rsidRDefault="00E145E9" w:rsidP="00E145E9">
      <w:pPr>
        <w:rPr>
          <w:highlight w:val="yellow"/>
        </w:rPr>
      </w:pPr>
      <w:r>
        <w:rPr>
          <w:highlight w:val="yellow"/>
        </w:rPr>
        <w:t xml:space="preserve">DESIGNER INSTRUCTIONS: </w:t>
      </w:r>
    </w:p>
    <w:p w14:paraId="3E9D5150" w14:textId="5DB4D8B2" w:rsidR="00A56041" w:rsidRDefault="00E145E9" w:rsidP="00E145E9">
      <w:pPr>
        <w:pStyle w:val="ListParagraph"/>
        <w:numPr>
          <w:ilvl w:val="0"/>
          <w:numId w:val="14"/>
        </w:numPr>
        <w:rPr>
          <w:highlight w:val="yellow"/>
        </w:rPr>
      </w:pPr>
      <w:r>
        <w:rPr>
          <w:highlight w:val="yellow"/>
        </w:rPr>
        <w:t xml:space="preserve">This </w:t>
      </w:r>
      <w:r w:rsidR="00A56041">
        <w:rPr>
          <w:highlight w:val="yellow"/>
        </w:rPr>
        <w:t>special provision</w:t>
      </w:r>
      <w:r>
        <w:rPr>
          <w:highlight w:val="yellow"/>
        </w:rPr>
        <w:t xml:space="preserve"> is</w:t>
      </w:r>
      <w:r w:rsidR="00A56041">
        <w:rPr>
          <w:highlight w:val="yellow"/>
        </w:rPr>
        <w:t xml:space="preserve"> specially written for </w:t>
      </w:r>
      <w:r>
        <w:rPr>
          <w:highlight w:val="yellow"/>
        </w:rPr>
        <w:t xml:space="preserve">use with upland native seeding. </w:t>
      </w:r>
      <w:r w:rsidR="00A56041">
        <w:rPr>
          <w:highlight w:val="yellow"/>
        </w:rPr>
        <w:t xml:space="preserve">It is not written to be used for temporary soil stabilization during construction. </w:t>
      </w:r>
    </w:p>
    <w:p w14:paraId="03B65723" w14:textId="4CDD0134" w:rsidR="00E145E9" w:rsidRDefault="00A56041" w:rsidP="00E145E9">
      <w:pPr>
        <w:pStyle w:val="ListParagraph"/>
        <w:numPr>
          <w:ilvl w:val="0"/>
          <w:numId w:val="14"/>
        </w:numPr>
        <w:rPr>
          <w:highlight w:val="yellow"/>
        </w:rPr>
      </w:pPr>
      <w:r>
        <w:rPr>
          <w:highlight w:val="yellow"/>
        </w:rPr>
        <w:t>When considered appliable and necessary for the site, this item</w:t>
      </w:r>
      <w:r w:rsidR="00E145E9">
        <w:rPr>
          <w:highlight w:val="yellow"/>
        </w:rPr>
        <w:t xml:space="preserve"> is </w:t>
      </w:r>
      <w:r>
        <w:rPr>
          <w:highlight w:val="yellow"/>
        </w:rPr>
        <w:t>to be used</w:t>
      </w:r>
      <w:r w:rsidR="00E145E9">
        <w:rPr>
          <w:highlight w:val="yellow"/>
        </w:rPr>
        <w:t xml:space="preserve"> in conjunction with </w:t>
      </w:r>
      <w:r>
        <w:rPr>
          <w:highlight w:val="yellow"/>
        </w:rPr>
        <w:t>765.4xx</w:t>
      </w:r>
      <w:r w:rsidR="00E145E9">
        <w:rPr>
          <w:highlight w:val="yellow"/>
        </w:rPr>
        <w:t xml:space="preserve"> Native Seed Mix</w:t>
      </w:r>
      <w:r>
        <w:rPr>
          <w:highlight w:val="yellow"/>
        </w:rPr>
        <w:t xml:space="preserve"> (TBD)</w:t>
      </w:r>
      <w:r w:rsidR="00E145E9">
        <w:rPr>
          <w:highlight w:val="yellow"/>
        </w:rPr>
        <w:t xml:space="preserve">; 765.635 Native Seeding and Establishment; and, if required for location and project intent, 765.664 Mowing for Native Seed Establishment. </w:t>
      </w:r>
    </w:p>
    <w:p w14:paraId="5CECC810" w14:textId="77777777" w:rsidR="00E145E9" w:rsidRDefault="00E145E9" w:rsidP="000C51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bCs/>
        </w:rPr>
      </w:pPr>
    </w:p>
    <w:p w14:paraId="0B98BFED" w14:textId="79DB6129" w:rsidR="000C515B" w:rsidRDefault="000C515B" w:rsidP="000C51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bCs/>
        </w:rPr>
      </w:pPr>
      <w:r>
        <w:rPr>
          <w:bCs/>
        </w:rPr>
        <w:t xml:space="preserve">Work under this item shall </w:t>
      </w:r>
      <w:r w:rsidR="00B37F1E">
        <w:rPr>
          <w:bCs/>
        </w:rPr>
        <w:t xml:space="preserve">conform to the relevant provisions of </w:t>
      </w:r>
      <w:r>
        <w:rPr>
          <w:bCs/>
        </w:rPr>
        <w:t xml:space="preserve">Subsection 765 of the Standard Specifications and the following. </w:t>
      </w:r>
    </w:p>
    <w:p w14:paraId="7E079254" w14:textId="77777777" w:rsidR="000C515B" w:rsidRDefault="000C515B" w:rsidP="000C51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bCs/>
        </w:rPr>
      </w:pPr>
    </w:p>
    <w:p w14:paraId="59983186" w14:textId="77777777" w:rsidR="004F6FBA" w:rsidRPr="00D6672C" w:rsidRDefault="004F6FBA" w:rsidP="00D6672C">
      <w:pPr>
        <w:pStyle w:val="Heading2"/>
      </w:pPr>
      <w:r w:rsidRPr="00D6672C">
        <w:t xml:space="preserve">DESCRIPTION </w:t>
      </w:r>
    </w:p>
    <w:p w14:paraId="1C5EB745" w14:textId="77777777" w:rsidR="004F6FBA" w:rsidRDefault="004F6FBA" w:rsidP="000C51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bCs/>
        </w:rPr>
      </w:pPr>
    </w:p>
    <w:p w14:paraId="0385994E" w14:textId="13051B2D" w:rsidR="000C515B" w:rsidRPr="00543FD9" w:rsidRDefault="000C515B" w:rsidP="000C51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bCs/>
        </w:rPr>
      </w:pPr>
      <w:r>
        <w:rPr>
          <w:bCs/>
        </w:rPr>
        <w:t>Work consists</w:t>
      </w:r>
      <w:r w:rsidR="00A2183A">
        <w:rPr>
          <w:bCs/>
        </w:rPr>
        <w:t xml:space="preserve"> of</w:t>
      </w:r>
      <w:r>
        <w:rPr>
          <w:bCs/>
        </w:rPr>
        <w:t xml:space="preserve"> furnishing and applying </w:t>
      </w:r>
      <w:r w:rsidR="00EE14A7">
        <w:rPr>
          <w:bCs/>
        </w:rPr>
        <w:t>the appropriate</w:t>
      </w:r>
      <w:r>
        <w:rPr>
          <w:bCs/>
        </w:rPr>
        <w:t xml:space="preserve"> annual grass to be seeded as a cover crop in conjunction with </w:t>
      </w:r>
      <w:r w:rsidRPr="00736CE0">
        <w:rPr>
          <w:bCs/>
          <w:u w:val="single"/>
        </w:rPr>
        <w:t>upland</w:t>
      </w:r>
      <w:r>
        <w:rPr>
          <w:bCs/>
        </w:rPr>
        <w:t xml:space="preserve"> native seeding</w:t>
      </w:r>
      <w:r w:rsidR="00EE14A7">
        <w:rPr>
          <w:bCs/>
        </w:rPr>
        <w:t xml:space="preserve"> and</w:t>
      </w:r>
      <w:r>
        <w:rPr>
          <w:bCs/>
        </w:rPr>
        <w:t xml:space="preserve"> at the </w:t>
      </w:r>
      <w:r w:rsidR="00EE14A7">
        <w:rPr>
          <w:bCs/>
        </w:rPr>
        <w:t>rate</w:t>
      </w:r>
      <w:r>
        <w:rPr>
          <w:bCs/>
        </w:rPr>
        <w:t xml:space="preserve"> specified herein.</w:t>
      </w:r>
    </w:p>
    <w:p w14:paraId="3756F152" w14:textId="77777777" w:rsidR="000C515B" w:rsidRDefault="000C515B" w:rsidP="000C515B"/>
    <w:p w14:paraId="1D74A22B" w14:textId="77777777" w:rsidR="000C515B" w:rsidRDefault="000C515B" w:rsidP="000C515B">
      <w:r>
        <w:t>A c</w:t>
      </w:r>
      <w:r w:rsidRPr="001D0851">
        <w:t xml:space="preserve">over crop shall be used for </w:t>
      </w:r>
      <w:r>
        <w:t>following conditions:</w:t>
      </w:r>
    </w:p>
    <w:p w14:paraId="1E7E1B1F" w14:textId="77777777" w:rsidR="000C515B" w:rsidRDefault="000C515B" w:rsidP="000C515B"/>
    <w:p w14:paraId="66E34362" w14:textId="77777777" w:rsidR="000C515B" w:rsidRDefault="000C515B" w:rsidP="000C515B">
      <w:pPr>
        <w:pStyle w:val="ListParagraph"/>
        <w:numPr>
          <w:ilvl w:val="0"/>
          <w:numId w:val="10"/>
        </w:numPr>
      </w:pPr>
      <w:r>
        <w:t xml:space="preserve">when specified under Application Rate for the permanent native upland seed mix </w:t>
      </w:r>
    </w:p>
    <w:p w14:paraId="379CFF9D" w14:textId="77777777" w:rsidR="000C515B" w:rsidRDefault="000C515B" w:rsidP="000C515B">
      <w:pPr>
        <w:pStyle w:val="ListParagraph"/>
        <w:numPr>
          <w:ilvl w:val="0"/>
          <w:numId w:val="10"/>
        </w:numPr>
      </w:pPr>
      <w:r>
        <w:t xml:space="preserve">for </w:t>
      </w:r>
      <w:r w:rsidRPr="001D0851">
        <w:t xml:space="preserve">slopes 2:1 or steeper </w:t>
      </w:r>
      <w:r>
        <w:t>and an annual is not already specified as part of the permanent mix</w:t>
      </w:r>
    </w:p>
    <w:p w14:paraId="1D06EAED" w14:textId="77777777" w:rsidR="000C515B" w:rsidRDefault="000C515B" w:rsidP="000C515B">
      <w:pPr>
        <w:pStyle w:val="ListParagraph"/>
        <w:numPr>
          <w:ilvl w:val="0"/>
          <w:numId w:val="10"/>
        </w:numPr>
      </w:pPr>
      <w:r w:rsidRPr="001D0851">
        <w:t>when seeding out of season</w:t>
      </w:r>
      <w:r>
        <w:t xml:space="preserve"> and the native seed mix does not already specify an annual</w:t>
      </w:r>
    </w:p>
    <w:p w14:paraId="2D6F451D" w14:textId="77777777" w:rsidR="000C515B" w:rsidRDefault="000C515B" w:rsidP="000C515B">
      <w:pPr>
        <w:pStyle w:val="ListParagraph"/>
        <w:numPr>
          <w:ilvl w:val="0"/>
          <w:numId w:val="10"/>
        </w:numPr>
      </w:pPr>
      <w:r w:rsidRPr="001D0851">
        <w:t xml:space="preserve">as required to prevent erosion until the permanent seed establishes. </w:t>
      </w:r>
    </w:p>
    <w:p w14:paraId="20BB3A29" w14:textId="77777777" w:rsidR="000C515B" w:rsidRDefault="000C515B" w:rsidP="000C515B"/>
    <w:p w14:paraId="38EE0389" w14:textId="1E67EE9A" w:rsidR="000C515B" w:rsidRDefault="000C515B" w:rsidP="000C515B">
      <w:r w:rsidRPr="001D0851">
        <w:t>A cover crop</w:t>
      </w:r>
      <w:r>
        <w:t xml:space="preserve"> is not necessary for wetland seeding and is not typically necessary for soil stabilization when</w:t>
      </w:r>
      <w:r w:rsidRPr="001D0851">
        <w:t xml:space="preserve"> </w:t>
      </w:r>
      <w:r>
        <w:t>seeding in conjunction with a</w:t>
      </w:r>
      <w:r w:rsidRPr="001D0851">
        <w:t xml:space="preserve"> </w:t>
      </w:r>
      <w:r>
        <w:t>c</w:t>
      </w:r>
      <w:r w:rsidRPr="001D0851">
        <w:t xml:space="preserve">ompost </w:t>
      </w:r>
      <w:r>
        <w:t>b</w:t>
      </w:r>
      <w:r w:rsidRPr="001D0851">
        <w:t>lanket application.</w:t>
      </w:r>
    </w:p>
    <w:p w14:paraId="5D6C7747" w14:textId="77777777" w:rsidR="001B4933" w:rsidRDefault="001B4933" w:rsidP="001B4933"/>
    <w:p w14:paraId="789981BE" w14:textId="1843003A" w:rsidR="001B4933" w:rsidRDefault="001B4933" w:rsidP="001B4933">
      <w:r>
        <w:t>Annual rye (</w:t>
      </w:r>
      <w:r>
        <w:rPr>
          <w:rStyle w:val="Emphasis"/>
          <w:lang w:val="en"/>
        </w:rPr>
        <w:t xml:space="preserve">Lolium </w:t>
      </w:r>
      <w:proofErr w:type="spellStart"/>
      <w:r>
        <w:rPr>
          <w:rStyle w:val="Emphasis"/>
          <w:lang w:val="en"/>
        </w:rPr>
        <w:t>multiflorum</w:t>
      </w:r>
      <w:proofErr w:type="spellEnd"/>
      <w:r>
        <w:t xml:space="preserve">) will not be accepted as an annual cover crop. </w:t>
      </w:r>
    </w:p>
    <w:p w14:paraId="14395879" w14:textId="77777777" w:rsidR="001B4933" w:rsidRDefault="001B4933" w:rsidP="000C515B"/>
    <w:p w14:paraId="0A98AE6B" w14:textId="77777777" w:rsidR="001B4933" w:rsidRDefault="001B4933" w:rsidP="001B4933">
      <w:pPr>
        <w:tabs>
          <w:tab w:val="left" w:pos="630"/>
          <w:tab w:val="left" w:pos="1980"/>
          <w:tab w:val="left" w:pos="3600"/>
          <w:tab w:val="left" w:pos="3960"/>
        </w:tabs>
      </w:pPr>
      <w:r>
        <w:t xml:space="preserve">Using annual rye or exceeding the application rate such that a dense stand of annual grasses prevents germination of the native grasses will require mowing of annual grasses. In this instance, mowing of cover crop will be incidental to this item. </w:t>
      </w:r>
    </w:p>
    <w:p w14:paraId="1E0A75C4" w14:textId="77777777" w:rsidR="000C515B" w:rsidRDefault="000C515B" w:rsidP="000C515B"/>
    <w:p w14:paraId="12548F43" w14:textId="77777777" w:rsidR="000C515B" w:rsidRPr="00543FD9" w:rsidRDefault="000C515B" w:rsidP="000C515B">
      <w:pPr>
        <w:rPr>
          <w:b/>
          <w:bCs/>
        </w:rPr>
      </w:pPr>
      <w:r>
        <w:rPr>
          <w:b/>
          <w:bCs/>
        </w:rPr>
        <w:t>Seed and Application Rate</w:t>
      </w:r>
    </w:p>
    <w:p w14:paraId="5108B383" w14:textId="77777777" w:rsidR="000C515B" w:rsidRDefault="000C515B" w:rsidP="000C515B"/>
    <w:p w14:paraId="55DB8EF1" w14:textId="77777777" w:rsidR="000C515B" w:rsidRDefault="000C515B" w:rsidP="000C515B">
      <w:r>
        <w:t xml:space="preserve">Add 30 pounds/acre of the following seed based on seeding season: </w:t>
      </w:r>
    </w:p>
    <w:p w14:paraId="63079209" w14:textId="77777777" w:rsidR="000C515B" w:rsidRDefault="000C515B" w:rsidP="000C515B">
      <w:pPr>
        <w:tabs>
          <w:tab w:val="left" w:pos="3600"/>
          <w:tab w:val="left" w:pos="3960"/>
        </w:tabs>
      </w:pPr>
    </w:p>
    <w:p w14:paraId="347A3EFC" w14:textId="77777777" w:rsidR="000C515B" w:rsidRDefault="000C515B" w:rsidP="000C515B">
      <w:pPr>
        <w:tabs>
          <w:tab w:val="left" w:pos="630"/>
          <w:tab w:val="left" w:pos="1890"/>
          <w:tab w:val="left" w:pos="3600"/>
          <w:tab w:val="left" w:pos="3960"/>
        </w:tabs>
      </w:pPr>
      <w:r>
        <w:tab/>
      </w:r>
      <w:proofErr w:type="spellStart"/>
      <w:r w:rsidRPr="00E6348B">
        <w:rPr>
          <w:i/>
          <w:iCs/>
        </w:rPr>
        <w:t>Avena</w:t>
      </w:r>
      <w:proofErr w:type="spellEnd"/>
      <w:r w:rsidRPr="00E6348B">
        <w:rPr>
          <w:i/>
          <w:iCs/>
        </w:rPr>
        <w:t xml:space="preserve"> sativa</w:t>
      </w:r>
      <w:r>
        <w:t xml:space="preserve"> (Grain Oats): </w:t>
      </w:r>
      <w:r>
        <w:tab/>
      </w:r>
      <w:r w:rsidRPr="001D0851">
        <w:t xml:space="preserve">1 </w:t>
      </w:r>
      <w:r>
        <w:t>January</w:t>
      </w:r>
      <w:r w:rsidRPr="001D0851">
        <w:t xml:space="preserve"> to 31 July</w:t>
      </w:r>
    </w:p>
    <w:p w14:paraId="50CF099C" w14:textId="77777777" w:rsidR="000C515B" w:rsidRDefault="000C515B" w:rsidP="000C515B">
      <w:pPr>
        <w:tabs>
          <w:tab w:val="left" w:pos="630"/>
          <w:tab w:val="left" w:pos="1890"/>
          <w:tab w:val="left" w:pos="3600"/>
          <w:tab w:val="left" w:pos="3960"/>
        </w:tabs>
      </w:pPr>
      <w:r>
        <w:tab/>
      </w:r>
      <w:proofErr w:type="spellStart"/>
      <w:r w:rsidRPr="00E6348B">
        <w:rPr>
          <w:i/>
          <w:iCs/>
        </w:rPr>
        <w:t>Cecale</w:t>
      </w:r>
      <w:proofErr w:type="spellEnd"/>
      <w:r w:rsidRPr="00E6348B">
        <w:rPr>
          <w:i/>
          <w:iCs/>
        </w:rPr>
        <w:t xml:space="preserve"> cereale</w:t>
      </w:r>
      <w:r>
        <w:t xml:space="preserve"> (Grain Rye): </w:t>
      </w:r>
      <w:r>
        <w:tab/>
        <w:t>1 August to 31 December</w:t>
      </w:r>
    </w:p>
    <w:p w14:paraId="31B08B20" w14:textId="77777777" w:rsidR="000C515B" w:rsidRDefault="000C515B" w:rsidP="000C515B">
      <w:pPr>
        <w:tabs>
          <w:tab w:val="left" w:pos="630"/>
          <w:tab w:val="left" w:pos="1890"/>
          <w:tab w:val="left" w:pos="3960"/>
        </w:tabs>
      </w:pPr>
    </w:p>
    <w:p w14:paraId="139F0342" w14:textId="53E81EFA" w:rsidR="001B4933" w:rsidRPr="00D6672C" w:rsidRDefault="004F6FBA" w:rsidP="00D6672C">
      <w:pPr>
        <w:pStyle w:val="Heading2"/>
      </w:pPr>
      <w:r w:rsidRPr="00D6672C">
        <w:t>METHOD OF MEASUREMENT AND BASIS OF PAYMENT</w:t>
      </w:r>
    </w:p>
    <w:p w14:paraId="0AF94BCB" w14:textId="77777777" w:rsidR="004F6FBA" w:rsidRDefault="004F6FBA" w:rsidP="000C515B"/>
    <w:p w14:paraId="13980F3A" w14:textId="092463F0" w:rsidR="00EE14A7" w:rsidRDefault="004F6FBA" w:rsidP="000C515B">
      <w:r>
        <w:t xml:space="preserve">Annual Cover Crop will be measured for payment per pound of </w:t>
      </w:r>
      <w:r w:rsidR="008802DF">
        <w:t>seed</w:t>
      </w:r>
      <w:r w:rsidR="00EE14A7">
        <w:t>, complete in place.</w:t>
      </w:r>
    </w:p>
    <w:p w14:paraId="26A86E67" w14:textId="77777777" w:rsidR="004F6FBA" w:rsidRDefault="004F6FBA" w:rsidP="000C515B"/>
    <w:p w14:paraId="6E6BA096" w14:textId="21541E70" w:rsidR="000C515B" w:rsidRDefault="004F6FBA" w:rsidP="000C515B">
      <w:bookmarkStart w:id="1" w:name="_Hlk70929946"/>
      <w:r>
        <w:t>Annual Cover Crop</w:t>
      </w:r>
      <w:r w:rsidR="000C515B" w:rsidRPr="002A314B">
        <w:t xml:space="preserve"> will be paid at the contract unit price per pound</w:t>
      </w:r>
      <w:r w:rsidR="000C515B">
        <w:t xml:space="preserve"> </w:t>
      </w:r>
      <w:r w:rsidR="000C515B" w:rsidRPr="002A314B">
        <w:t xml:space="preserve">upon approval of seed bag tags or other documentation of </w:t>
      </w:r>
      <w:r w:rsidR="000C515B">
        <w:t xml:space="preserve">correct </w:t>
      </w:r>
      <w:r w:rsidR="000C515B" w:rsidRPr="002A314B">
        <w:t>application rate and species</w:t>
      </w:r>
      <w:r>
        <w:t xml:space="preserve">, </w:t>
      </w:r>
      <w:r w:rsidR="000C515B">
        <w:t>and upon acceptance of a satisfactory stand of annual grasses three weeks following seeding</w:t>
      </w:r>
      <w:r w:rsidR="000C515B" w:rsidRPr="002A314B">
        <w:t xml:space="preserve">. </w:t>
      </w:r>
    </w:p>
    <w:p w14:paraId="33206649" w14:textId="1C119E49" w:rsidR="00EE14A7" w:rsidRDefault="00EE14A7" w:rsidP="000C515B"/>
    <w:p w14:paraId="31FC83D8" w14:textId="2C23D0A7" w:rsidR="000C515B" w:rsidRDefault="00EE14A7" w:rsidP="00A56041">
      <w:r w:rsidRPr="002846E4">
        <w:t xml:space="preserve">Application and care of </w:t>
      </w:r>
      <w:r>
        <w:t>cover crop</w:t>
      </w:r>
      <w:r w:rsidRPr="002846E4">
        <w:t xml:space="preserve"> will be paid for separately under </w:t>
      </w:r>
      <w:r w:rsidRPr="00BF7229">
        <w:t>Item 7</w:t>
      </w:r>
      <w:r w:rsidR="00B37F1E" w:rsidRPr="00BF7229">
        <w:t>6</w:t>
      </w:r>
      <w:r w:rsidRPr="00BF7229">
        <w:t>5.635 Native</w:t>
      </w:r>
      <w:r w:rsidRPr="002846E4">
        <w:t xml:space="preserve"> Seeding and Establishment</w:t>
      </w:r>
      <w:bookmarkEnd w:id="0"/>
      <w:bookmarkEnd w:id="1"/>
    </w:p>
    <w:sectPr w:rsidR="000C515B" w:rsidSect="00FB5DF1">
      <w:endnotePr>
        <w:numFmt w:val="decimal"/>
      </w:endnotePr>
      <w:pgSz w:w="12240" w:h="15840" w:code="1"/>
      <w:pgMar w:top="720" w:right="1440" w:bottom="810" w:left="1440" w:header="432" w:footer="432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47ADC" w14:textId="77777777" w:rsidR="007B7359" w:rsidRDefault="007B7359">
      <w:r>
        <w:separator/>
      </w:r>
    </w:p>
  </w:endnote>
  <w:endnote w:type="continuationSeparator" w:id="0">
    <w:p w14:paraId="74F0009F" w14:textId="77777777" w:rsidR="007B7359" w:rsidRDefault="007B7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2F64C" w14:textId="77777777" w:rsidR="007B7359" w:rsidRDefault="007B7359">
      <w:r>
        <w:separator/>
      </w:r>
    </w:p>
  </w:footnote>
  <w:footnote w:type="continuationSeparator" w:id="0">
    <w:p w14:paraId="6124C94F" w14:textId="77777777" w:rsidR="007B7359" w:rsidRDefault="007B73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C6DE0"/>
    <w:multiLevelType w:val="hybridMultilevel"/>
    <w:tmpl w:val="D5C6A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3520B"/>
    <w:multiLevelType w:val="hybridMultilevel"/>
    <w:tmpl w:val="93024C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F3A77"/>
    <w:multiLevelType w:val="hybridMultilevel"/>
    <w:tmpl w:val="597A2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91562"/>
    <w:multiLevelType w:val="hybridMultilevel"/>
    <w:tmpl w:val="654EEE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7E045D"/>
    <w:multiLevelType w:val="hybridMultilevel"/>
    <w:tmpl w:val="10DAD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2C2750"/>
    <w:multiLevelType w:val="hybridMultilevel"/>
    <w:tmpl w:val="9F30A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FF3B3B"/>
    <w:multiLevelType w:val="hybridMultilevel"/>
    <w:tmpl w:val="2AA68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D967ED"/>
    <w:multiLevelType w:val="hybridMultilevel"/>
    <w:tmpl w:val="54EEB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255D2"/>
    <w:multiLevelType w:val="hybridMultilevel"/>
    <w:tmpl w:val="87C0410A"/>
    <w:lvl w:ilvl="0" w:tplc="04090017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6AA62612"/>
    <w:multiLevelType w:val="hybridMultilevel"/>
    <w:tmpl w:val="53E62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4A56BF"/>
    <w:multiLevelType w:val="hybridMultilevel"/>
    <w:tmpl w:val="C0A626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862839"/>
    <w:multiLevelType w:val="hybridMultilevel"/>
    <w:tmpl w:val="73CE1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0665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7625564">
    <w:abstractNumId w:val="0"/>
  </w:num>
  <w:num w:numId="3" w16cid:durableId="2092003383">
    <w:abstractNumId w:val="2"/>
  </w:num>
  <w:num w:numId="4" w16cid:durableId="530803924">
    <w:abstractNumId w:val="4"/>
  </w:num>
  <w:num w:numId="5" w16cid:durableId="486635071">
    <w:abstractNumId w:val="3"/>
  </w:num>
  <w:num w:numId="6" w16cid:durableId="2121025758">
    <w:abstractNumId w:val="6"/>
  </w:num>
  <w:num w:numId="7" w16cid:durableId="1916040776">
    <w:abstractNumId w:val="9"/>
  </w:num>
  <w:num w:numId="8" w16cid:durableId="2091997278">
    <w:abstractNumId w:val="10"/>
  </w:num>
  <w:num w:numId="9" w16cid:durableId="773213198">
    <w:abstractNumId w:val="1"/>
  </w:num>
  <w:num w:numId="10" w16cid:durableId="2018653759">
    <w:abstractNumId w:val="7"/>
  </w:num>
  <w:num w:numId="11" w16cid:durableId="290788319">
    <w:abstractNumId w:val="8"/>
  </w:num>
  <w:num w:numId="12" w16cid:durableId="1805004596">
    <w:abstractNumId w:val="11"/>
  </w:num>
  <w:num w:numId="13" w16cid:durableId="734400854">
    <w:abstractNumId w:val="5"/>
  </w:num>
  <w:num w:numId="14" w16cid:durableId="21325535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869"/>
    <w:rsid w:val="00002D10"/>
    <w:rsid w:val="00007869"/>
    <w:rsid w:val="00011719"/>
    <w:rsid w:val="00014C0A"/>
    <w:rsid w:val="00026E33"/>
    <w:rsid w:val="0004698E"/>
    <w:rsid w:val="000528B5"/>
    <w:rsid w:val="00054671"/>
    <w:rsid w:val="00061085"/>
    <w:rsid w:val="00070437"/>
    <w:rsid w:val="00074B39"/>
    <w:rsid w:val="00077F2D"/>
    <w:rsid w:val="00082885"/>
    <w:rsid w:val="00091F44"/>
    <w:rsid w:val="00094181"/>
    <w:rsid w:val="00097BFA"/>
    <w:rsid w:val="000A23A3"/>
    <w:rsid w:val="000A3359"/>
    <w:rsid w:val="000A3F0F"/>
    <w:rsid w:val="000B4517"/>
    <w:rsid w:val="000B66D7"/>
    <w:rsid w:val="000C515B"/>
    <w:rsid w:val="000C54D0"/>
    <w:rsid w:val="000C7FCB"/>
    <w:rsid w:val="000D501F"/>
    <w:rsid w:val="000E1678"/>
    <w:rsid w:val="000E4E1A"/>
    <w:rsid w:val="000F290E"/>
    <w:rsid w:val="000F49FF"/>
    <w:rsid w:val="000F779F"/>
    <w:rsid w:val="00101968"/>
    <w:rsid w:val="001031F6"/>
    <w:rsid w:val="00106EA6"/>
    <w:rsid w:val="00113C9B"/>
    <w:rsid w:val="00114BC1"/>
    <w:rsid w:val="00115F32"/>
    <w:rsid w:val="0012065D"/>
    <w:rsid w:val="00127EB7"/>
    <w:rsid w:val="0013072E"/>
    <w:rsid w:val="001324BC"/>
    <w:rsid w:val="00132BE0"/>
    <w:rsid w:val="00144CAB"/>
    <w:rsid w:val="00145526"/>
    <w:rsid w:val="00146551"/>
    <w:rsid w:val="001547A6"/>
    <w:rsid w:val="00155677"/>
    <w:rsid w:val="00156360"/>
    <w:rsid w:val="001571BA"/>
    <w:rsid w:val="00160714"/>
    <w:rsid w:val="001623DB"/>
    <w:rsid w:val="0016704F"/>
    <w:rsid w:val="001753BC"/>
    <w:rsid w:val="00176FC5"/>
    <w:rsid w:val="001774C5"/>
    <w:rsid w:val="00183BC7"/>
    <w:rsid w:val="00196FD9"/>
    <w:rsid w:val="001A0195"/>
    <w:rsid w:val="001A0BD6"/>
    <w:rsid w:val="001A5014"/>
    <w:rsid w:val="001A6CBC"/>
    <w:rsid w:val="001B32B9"/>
    <w:rsid w:val="001B3E68"/>
    <w:rsid w:val="001B4933"/>
    <w:rsid w:val="001B4ECE"/>
    <w:rsid w:val="001B59B8"/>
    <w:rsid w:val="001E4D73"/>
    <w:rsid w:val="001F251C"/>
    <w:rsid w:val="001F2DA6"/>
    <w:rsid w:val="001F3724"/>
    <w:rsid w:val="001F5B10"/>
    <w:rsid w:val="001F5F16"/>
    <w:rsid w:val="001F7297"/>
    <w:rsid w:val="002019A5"/>
    <w:rsid w:val="002052DA"/>
    <w:rsid w:val="002060B2"/>
    <w:rsid w:val="0020645D"/>
    <w:rsid w:val="00207867"/>
    <w:rsid w:val="002079DD"/>
    <w:rsid w:val="00215DD1"/>
    <w:rsid w:val="00215F84"/>
    <w:rsid w:val="00217C69"/>
    <w:rsid w:val="00222270"/>
    <w:rsid w:val="002229C2"/>
    <w:rsid w:val="00227456"/>
    <w:rsid w:val="00227E36"/>
    <w:rsid w:val="00235EA1"/>
    <w:rsid w:val="002421A3"/>
    <w:rsid w:val="0024416F"/>
    <w:rsid w:val="00246723"/>
    <w:rsid w:val="00262D57"/>
    <w:rsid w:val="002727DE"/>
    <w:rsid w:val="00273B1B"/>
    <w:rsid w:val="0027654F"/>
    <w:rsid w:val="00280F1E"/>
    <w:rsid w:val="00286319"/>
    <w:rsid w:val="00286A95"/>
    <w:rsid w:val="002904A6"/>
    <w:rsid w:val="00293003"/>
    <w:rsid w:val="002A0D1A"/>
    <w:rsid w:val="002A2E1F"/>
    <w:rsid w:val="002A314B"/>
    <w:rsid w:val="002A3CA5"/>
    <w:rsid w:val="002A3E87"/>
    <w:rsid w:val="002A4F6A"/>
    <w:rsid w:val="002A64B8"/>
    <w:rsid w:val="002A770C"/>
    <w:rsid w:val="002B0D96"/>
    <w:rsid w:val="002B3816"/>
    <w:rsid w:val="002C76B2"/>
    <w:rsid w:val="002D060D"/>
    <w:rsid w:val="002D16E5"/>
    <w:rsid w:val="002D1D9A"/>
    <w:rsid w:val="002D1F97"/>
    <w:rsid w:val="002D26A1"/>
    <w:rsid w:val="002D3294"/>
    <w:rsid w:val="002D59CD"/>
    <w:rsid w:val="002D5B32"/>
    <w:rsid w:val="002E0A9F"/>
    <w:rsid w:val="002E0AD7"/>
    <w:rsid w:val="002E0F30"/>
    <w:rsid w:val="002E115E"/>
    <w:rsid w:val="002E1833"/>
    <w:rsid w:val="002F5566"/>
    <w:rsid w:val="00303ED4"/>
    <w:rsid w:val="003115E8"/>
    <w:rsid w:val="00322842"/>
    <w:rsid w:val="00331432"/>
    <w:rsid w:val="00333A1F"/>
    <w:rsid w:val="00336563"/>
    <w:rsid w:val="0033698E"/>
    <w:rsid w:val="0034237F"/>
    <w:rsid w:val="00342597"/>
    <w:rsid w:val="00345ECD"/>
    <w:rsid w:val="00347F6A"/>
    <w:rsid w:val="00354BD3"/>
    <w:rsid w:val="00364FF2"/>
    <w:rsid w:val="00365A37"/>
    <w:rsid w:val="00367CFE"/>
    <w:rsid w:val="00376B39"/>
    <w:rsid w:val="00380184"/>
    <w:rsid w:val="00387295"/>
    <w:rsid w:val="0039286E"/>
    <w:rsid w:val="003937AF"/>
    <w:rsid w:val="00394F16"/>
    <w:rsid w:val="00396F3B"/>
    <w:rsid w:val="003A1853"/>
    <w:rsid w:val="003A3F6E"/>
    <w:rsid w:val="003A4A6F"/>
    <w:rsid w:val="003B039E"/>
    <w:rsid w:val="003B4A44"/>
    <w:rsid w:val="003B4BFA"/>
    <w:rsid w:val="003C1152"/>
    <w:rsid w:val="003D32E6"/>
    <w:rsid w:val="003D3F89"/>
    <w:rsid w:val="003E1EC5"/>
    <w:rsid w:val="003E7C3A"/>
    <w:rsid w:val="003F0398"/>
    <w:rsid w:val="003F0B74"/>
    <w:rsid w:val="00401DED"/>
    <w:rsid w:val="004055A2"/>
    <w:rsid w:val="00405FB6"/>
    <w:rsid w:val="00406509"/>
    <w:rsid w:val="00410645"/>
    <w:rsid w:val="004136E5"/>
    <w:rsid w:val="00415093"/>
    <w:rsid w:val="00416848"/>
    <w:rsid w:val="00417350"/>
    <w:rsid w:val="00423587"/>
    <w:rsid w:val="00427DF0"/>
    <w:rsid w:val="00431844"/>
    <w:rsid w:val="004364A7"/>
    <w:rsid w:val="00443451"/>
    <w:rsid w:val="00451186"/>
    <w:rsid w:val="00462205"/>
    <w:rsid w:val="0046338A"/>
    <w:rsid w:val="00466474"/>
    <w:rsid w:val="0047229C"/>
    <w:rsid w:val="00473FC4"/>
    <w:rsid w:val="0047534A"/>
    <w:rsid w:val="00485440"/>
    <w:rsid w:val="00492EEE"/>
    <w:rsid w:val="004A408A"/>
    <w:rsid w:val="004B490E"/>
    <w:rsid w:val="004B5998"/>
    <w:rsid w:val="004B6382"/>
    <w:rsid w:val="004C6EF2"/>
    <w:rsid w:val="004C758B"/>
    <w:rsid w:val="004D07CA"/>
    <w:rsid w:val="004D1C2D"/>
    <w:rsid w:val="004D3FE4"/>
    <w:rsid w:val="004D46F6"/>
    <w:rsid w:val="004D72F6"/>
    <w:rsid w:val="004F30C1"/>
    <w:rsid w:val="004F4A3F"/>
    <w:rsid w:val="004F5831"/>
    <w:rsid w:val="004F66CA"/>
    <w:rsid w:val="004F6FBA"/>
    <w:rsid w:val="004F7F96"/>
    <w:rsid w:val="00504C21"/>
    <w:rsid w:val="0050581C"/>
    <w:rsid w:val="0052187E"/>
    <w:rsid w:val="0052245E"/>
    <w:rsid w:val="00530159"/>
    <w:rsid w:val="00533D42"/>
    <w:rsid w:val="0053511E"/>
    <w:rsid w:val="00542414"/>
    <w:rsid w:val="00543FD9"/>
    <w:rsid w:val="00546A9A"/>
    <w:rsid w:val="00556DF5"/>
    <w:rsid w:val="00560470"/>
    <w:rsid w:val="00567440"/>
    <w:rsid w:val="005704C0"/>
    <w:rsid w:val="00571DF6"/>
    <w:rsid w:val="00581A64"/>
    <w:rsid w:val="00584A0A"/>
    <w:rsid w:val="00590177"/>
    <w:rsid w:val="00592C04"/>
    <w:rsid w:val="0059654A"/>
    <w:rsid w:val="005A0BA7"/>
    <w:rsid w:val="005A6082"/>
    <w:rsid w:val="005B2462"/>
    <w:rsid w:val="005B430F"/>
    <w:rsid w:val="005C16A3"/>
    <w:rsid w:val="005C486F"/>
    <w:rsid w:val="005D6C32"/>
    <w:rsid w:val="005E04DC"/>
    <w:rsid w:val="005F031E"/>
    <w:rsid w:val="00601735"/>
    <w:rsid w:val="00607552"/>
    <w:rsid w:val="006077DE"/>
    <w:rsid w:val="006117C1"/>
    <w:rsid w:val="006177DF"/>
    <w:rsid w:val="00621CB1"/>
    <w:rsid w:val="006243B1"/>
    <w:rsid w:val="006302ED"/>
    <w:rsid w:val="00633EDF"/>
    <w:rsid w:val="0063607D"/>
    <w:rsid w:val="00642028"/>
    <w:rsid w:val="006563AE"/>
    <w:rsid w:val="00657DF4"/>
    <w:rsid w:val="0068693D"/>
    <w:rsid w:val="00690890"/>
    <w:rsid w:val="00690EE6"/>
    <w:rsid w:val="006A2765"/>
    <w:rsid w:val="006B6164"/>
    <w:rsid w:val="006C339B"/>
    <w:rsid w:val="006D0A5B"/>
    <w:rsid w:val="006D1B61"/>
    <w:rsid w:val="006D480C"/>
    <w:rsid w:val="006D5756"/>
    <w:rsid w:val="006F1AD2"/>
    <w:rsid w:val="006F26F2"/>
    <w:rsid w:val="006F62F7"/>
    <w:rsid w:val="006F64D5"/>
    <w:rsid w:val="007048CF"/>
    <w:rsid w:val="0071171B"/>
    <w:rsid w:val="007141B4"/>
    <w:rsid w:val="00717060"/>
    <w:rsid w:val="00717DB6"/>
    <w:rsid w:val="0072224F"/>
    <w:rsid w:val="0072232A"/>
    <w:rsid w:val="00724C3E"/>
    <w:rsid w:val="00724ECE"/>
    <w:rsid w:val="00725001"/>
    <w:rsid w:val="00736CE0"/>
    <w:rsid w:val="00740D10"/>
    <w:rsid w:val="00745DF3"/>
    <w:rsid w:val="00746A1D"/>
    <w:rsid w:val="0075313E"/>
    <w:rsid w:val="00755625"/>
    <w:rsid w:val="00757568"/>
    <w:rsid w:val="0076050C"/>
    <w:rsid w:val="007626DC"/>
    <w:rsid w:val="007704B5"/>
    <w:rsid w:val="00773175"/>
    <w:rsid w:val="007775B2"/>
    <w:rsid w:val="00787729"/>
    <w:rsid w:val="00792E23"/>
    <w:rsid w:val="00792E66"/>
    <w:rsid w:val="00793516"/>
    <w:rsid w:val="007942C2"/>
    <w:rsid w:val="007A070F"/>
    <w:rsid w:val="007A13EC"/>
    <w:rsid w:val="007A431D"/>
    <w:rsid w:val="007B0C2A"/>
    <w:rsid w:val="007B13DF"/>
    <w:rsid w:val="007B5495"/>
    <w:rsid w:val="007B6781"/>
    <w:rsid w:val="007B7359"/>
    <w:rsid w:val="007C14CC"/>
    <w:rsid w:val="007D361C"/>
    <w:rsid w:val="007D639F"/>
    <w:rsid w:val="007E460D"/>
    <w:rsid w:val="007E67EC"/>
    <w:rsid w:val="007F24A7"/>
    <w:rsid w:val="007F2BFF"/>
    <w:rsid w:val="007F6302"/>
    <w:rsid w:val="007F6A6B"/>
    <w:rsid w:val="00806D85"/>
    <w:rsid w:val="00807B4F"/>
    <w:rsid w:val="00811411"/>
    <w:rsid w:val="00816100"/>
    <w:rsid w:val="008206A4"/>
    <w:rsid w:val="00824FBC"/>
    <w:rsid w:val="008360A6"/>
    <w:rsid w:val="00840F00"/>
    <w:rsid w:val="00841335"/>
    <w:rsid w:val="00847234"/>
    <w:rsid w:val="00847743"/>
    <w:rsid w:val="0085388C"/>
    <w:rsid w:val="00853ABA"/>
    <w:rsid w:val="0085659B"/>
    <w:rsid w:val="00860844"/>
    <w:rsid w:val="00861904"/>
    <w:rsid w:val="0087235C"/>
    <w:rsid w:val="008802DF"/>
    <w:rsid w:val="0088455E"/>
    <w:rsid w:val="00887392"/>
    <w:rsid w:val="00890EC9"/>
    <w:rsid w:val="00891236"/>
    <w:rsid w:val="00891667"/>
    <w:rsid w:val="00892F62"/>
    <w:rsid w:val="00896D5F"/>
    <w:rsid w:val="008A2727"/>
    <w:rsid w:val="008A28F2"/>
    <w:rsid w:val="008A312C"/>
    <w:rsid w:val="008A4B9D"/>
    <w:rsid w:val="008C6467"/>
    <w:rsid w:val="008C66F8"/>
    <w:rsid w:val="008D274E"/>
    <w:rsid w:val="008D3865"/>
    <w:rsid w:val="008D54E2"/>
    <w:rsid w:val="008E1DA2"/>
    <w:rsid w:val="008E319D"/>
    <w:rsid w:val="008E5072"/>
    <w:rsid w:val="008E6C34"/>
    <w:rsid w:val="008F0AB7"/>
    <w:rsid w:val="008F6D53"/>
    <w:rsid w:val="009012F9"/>
    <w:rsid w:val="00904635"/>
    <w:rsid w:val="0090646B"/>
    <w:rsid w:val="00907D64"/>
    <w:rsid w:val="0091083B"/>
    <w:rsid w:val="00920C2B"/>
    <w:rsid w:val="00926968"/>
    <w:rsid w:val="009269E1"/>
    <w:rsid w:val="009275C7"/>
    <w:rsid w:val="00927DD9"/>
    <w:rsid w:val="00934987"/>
    <w:rsid w:val="00934F02"/>
    <w:rsid w:val="0093530F"/>
    <w:rsid w:val="00942CA2"/>
    <w:rsid w:val="00947138"/>
    <w:rsid w:val="00947C86"/>
    <w:rsid w:val="009528E0"/>
    <w:rsid w:val="00952A0A"/>
    <w:rsid w:val="0095528A"/>
    <w:rsid w:val="00956C71"/>
    <w:rsid w:val="009573AF"/>
    <w:rsid w:val="00957B6C"/>
    <w:rsid w:val="00960945"/>
    <w:rsid w:val="00967501"/>
    <w:rsid w:val="00972F24"/>
    <w:rsid w:val="00973532"/>
    <w:rsid w:val="009835D5"/>
    <w:rsid w:val="00990BB2"/>
    <w:rsid w:val="00990D0B"/>
    <w:rsid w:val="00997384"/>
    <w:rsid w:val="009A0B74"/>
    <w:rsid w:val="009A17A1"/>
    <w:rsid w:val="009A3ABB"/>
    <w:rsid w:val="009A5AB7"/>
    <w:rsid w:val="009C0807"/>
    <w:rsid w:val="009C2D82"/>
    <w:rsid w:val="009C3AB4"/>
    <w:rsid w:val="009C58CB"/>
    <w:rsid w:val="009C5D7D"/>
    <w:rsid w:val="009D07BD"/>
    <w:rsid w:val="009E3AE2"/>
    <w:rsid w:val="009F2636"/>
    <w:rsid w:val="009F58E7"/>
    <w:rsid w:val="00A00CDE"/>
    <w:rsid w:val="00A052FA"/>
    <w:rsid w:val="00A05847"/>
    <w:rsid w:val="00A07B96"/>
    <w:rsid w:val="00A14A7B"/>
    <w:rsid w:val="00A14ECF"/>
    <w:rsid w:val="00A17676"/>
    <w:rsid w:val="00A2183A"/>
    <w:rsid w:val="00A21A7E"/>
    <w:rsid w:val="00A22FE6"/>
    <w:rsid w:val="00A24141"/>
    <w:rsid w:val="00A26776"/>
    <w:rsid w:val="00A3324B"/>
    <w:rsid w:val="00A33C00"/>
    <w:rsid w:val="00A355BD"/>
    <w:rsid w:val="00A42F4F"/>
    <w:rsid w:val="00A43BE0"/>
    <w:rsid w:val="00A51DBB"/>
    <w:rsid w:val="00A53DDA"/>
    <w:rsid w:val="00A56041"/>
    <w:rsid w:val="00A62997"/>
    <w:rsid w:val="00A6479E"/>
    <w:rsid w:val="00A66CFA"/>
    <w:rsid w:val="00A72E96"/>
    <w:rsid w:val="00A731C5"/>
    <w:rsid w:val="00A77E73"/>
    <w:rsid w:val="00A81E5D"/>
    <w:rsid w:val="00A84985"/>
    <w:rsid w:val="00AA0722"/>
    <w:rsid w:val="00AA3220"/>
    <w:rsid w:val="00AA3E43"/>
    <w:rsid w:val="00AB0C2E"/>
    <w:rsid w:val="00AB21E9"/>
    <w:rsid w:val="00AB61CE"/>
    <w:rsid w:val="00AB742B"/>
    <w:rsid w:val="00AC60E2"/>
    <w:rsid w:val="00AD025F"/>
    <w:rsid w:val="00AD2433"/>
    <w:rsid w:val="00AD42D8"/>
    <w:rsid w:val="00AE6B73"/>
    <w:rsid w:val="00AF16B2"/>
    <w:rsid w:val="00AF3FFF"/>
    <w:rsid w:val="00B0257D"/>
    <w:rsid w:val="00B04918"/>
    <w:rsid w:val="00B04F19"/>
    <w:rsid w:val="00B10307"/>
    <w:rsid w:val="00B279EE"/>
    <w:rsid w:val="00B32646"/>
    <w:rsid w:val="00B3633B"/>
    <w:rsid w:val="00B37F1E"/>
    <w:rsid w:val="00B41184"/>
    <w:rsid w:val="00B423A9"/>
    <w:rsid w:val="00B43AE5"/>
    <w:rsid w:val="00B45C54"/>
    <w:rsid w:val="00B517E5"/>
    <w:rsid w:val="00B5543C"/>
    <w:rsid w:val="00B56B51"/>
    <w:rsid w:val="00B7074C"/>
    <w:rsid w:val="00B73AC7"/>
    <w:rsid w:val="00B86E38"/>
    <w:rsid w:val="00B970FF"/>
    <w:rsid w:val="00BA11B6"/>
    <w:rsid w:val="00BA7A30"/>
    <w:rsid w:val="00BB0C3B"/>
    <w:rsid w:val="00BB5E53"/>
    <w:rsid w:val="00BC2F4C"/>
    <w:rsid w:val="00BC3DE6"/>
    <w:rsid w:val="00BC7EDB"/>
    <w:rsid w:val="00BD6259"/>
    <w:rsid w:val="00BF218A"/>
    <w:rsid w:val="00BF7229"/>
    <w:rsid w:val="00C04846"/>
    <w:rsid w:val="00C06F5D"/>
    <w:rsid w:val="00C07736"/>
    <w:rsid w:val="00C16C51"/>
    <w:rsid w:val="00C328FA"/>
    <w:rsid w:val="00C37AEA"/>
    <w:rsid w:val="00C41539"/>
    <w:rsid w:val="00C47B57"/>
    <w:rsid w:val="00C50820"/>
    <w:rsid w:val="00C63CBA"/>
    <w:rsid w:val="00C6528D"/>
    <w:rsid w:val="00C71620"/>
    <w:rsid w:val="00C74E28"/>
    <w:rsid w:val="00C75E50"/>
    <w:rsid w:val="00C95C70"/>
    <w:rsid w:val="00CA613C"/>
    <w:rsid w:val="00CA641B"/>
    <w:rsid w:val="00CB135D"/>
    <w:rsid w:val="00CB6855"/>
    <w:rsid w:val="00CB7BDA"/>
    <w:rsid w:val="00CC02B8"/>
    <w:rsid w:val="00CC0986"/>
    <w:rsid w:val="00CD1005"/>
    <w:rsid w:val="00CD6756"/>
    <w:rsid w:val="00CE1324"/>
    <w:rsid w:val="00CE3D67"/>
    <w:rsid w:val="00CE5F82"/>
    <w:rsid w:val="00CE73F2"/>
    <w:rsid w:val="00CE7C85"/>
    <w:rsid w:val="00CF2A99"/>
    <w:rsid w:val="00CF774A"/>
    <w:rsid w:val="00D028A5"/>
    <w:rsid w:val="00D053B0"/>
    <w:rsid w:val="00D0599B"/>
    <w:rsid w:val="00D06155"/>
    <w:rsid w:val="00D11437"/>
    <w:rsid w:val="00D118E6"/>
    <w:rsid w:val="00D11FB5"/>
    <w:rsid w:val="00D14522"/>
    <w:rsid w:val="00D2559B"/>
    <w:rsid w:val="00D27530"/>
    <w:rsid w:val="00D33DDA"/>
    <w:rsid w:val="00D3484F"/>
    <w:rsid w:val="00D370D1"/>
    <w:rsid w:val="00D37610"/>
    <w:rsid w:val="00D43A0E"/>
    <w:rsid w:val="00D45BCC"/>
    <w:rsid w:val="00D46BAB"/>
    <w:rsid w:val="00D53117"/>
    <w:rsid w:val="00D53499"/>
    <w:rsid w:val="00D550EA"/>
    <w:rsid w:val="00D5781E"/>
    <w:rsid w:val="00D60535"/>
    <w:rsid w:val="00D62B87"/>
    <w:rsid w:val="00D6672C"/>
    <w:rsid w:val="00D66B91"/>
    <w:rsid w:val="00D674F7"/>
    <w:rsid w:val="00D71B0E"/>
    <w:rsid w:val="00D831F5"/>
    <w:rsid w:val="00D86F0C"/>
    <w:rsid w:val="00D97FFB"/>
    <w:rsid w:val="00DA1864"/>
    <w:rsid w:val="00DA2234"/>
    <w:rsid w:val="00DA3EB7"/>
    <w:rsid w:val="00DA4486"/>
    <w:rsid w:val="00DA534D"/>
    <w:rsid w:val="00DB5A89"/>
    <w:rsid w:val="00DC4211"/>
    <w:rsid w:val="00DD2E27"/>
    <w:rsid w:val="00DD3CB7"/>
    <w:rsid w:val="00DD4576"/>
    <w:rsid w:val="00DD76F0"/>
    <w:rsid w:val="00DF2611"/>
    <w:rsid w:val="00E02B34"/>
    <w:rsid w:val="00E145E9"/>
    <w:rsid w:val="00E2246F"/>
    <w:rsid w:val="00E23187"/>
    <w:rsid w:val="00E436D2"/>
    <w:rsid w:val="00E509CC"/>
    <w:rsid w:val="00E57C56"/>
    <w:rsid w:val="00E6173D"/>
    <w:rsid w:val="00E6286C"/>
    <w:rsid w:val="00E7011B"/>
    <w:rsid w:val="00E70784"/>
    <w:rsid w:val="00E83352"/>
    <w:rsid w:val="00E8410D"/>
    <w:rsid w:val="00E8571B"/>
    <w:rsid w:val="00E90623"/>
    <w:rsid w:val="00E9458D"/>
    <w:rsid w:val="00EB0D3D"/>
    <w:rsid w:val="00EB59E1"/>
    <w:rsid w:val="00EB7111"/>
    <w:rsid w:val="00EC08EA"/>
    <w:rsid w:val="00EC0E9C"/>
    <w:rsid w:val="00EC3AB0"/>
    <w:rsid w:val="00EC4EA0"/>
    <w:rsid w:val="00EC7638"/>
    <w:rsid w:val="00EC7AC3"/>
    <w:rsid w:val="00ED5A49"/>
    <w:rsid w:val="00ED65DF"/>
    <w:rsid w:val="00EE14A7"/>
    <w:rsid w:val="00EF666E"/>
    <w:rsid w:val="00F009A6"/>
    <w:rsid w:val="00F015C8"/>
    <w:rsid w:val="00F026AA"/>
    <w:rsid w:val="00F028D7"/>
    <w:rsid w:val="00F11DFF"/>
    <w:rsid w:val="00F12327"/>
    <w:rsid w:val="00F15DE2"/>
    <w:rsid w:val="00F171E6"/>
    <w:rsid w:val="00F17B28"/>
    <w:rsid w:val="00F223D3"/>
    <w:rsid w:val="00F23559"/>
    <w:rsid w:val="00F32DA7"/>
    <w:rsid w:val="00F37B46"/>
    <w:rsid w:val="00F45BCF"/>
    <w:rsid w:val="00F5110A"/>
    <w:rsid w:val="00F577A3"/>
    <w:rsid w:val="00F62987"/>
    <w:rsid w:val="00F650A5"/>
    <w:rsid w:val="00F66602"/>
    <w:rsid w:val="00F66AEB"/>
    <w:rsid w:val="00F66B96"/>
    <w:rsid w:val="00F67C56"/>
    <w:rsid w:val="00F81C5B"/>
    <w:rsid w:val="00F9308D"/>
    <w:rsid w:val="00F94020"/>
    <w:rsid w:val="00F9409E"/>
    <w:rsid w:val="00F97AF3"/>
    <w:rsid w:val="00FA5F4C"/>
    <w:rsid w:val="00FA6BE1"/>
    <w:rsid w:val="00FB5DF1"/>
    <w:rsid w:val="00FC0F5E"/>
    <w:rsid w:val="00FC5127"/>
    <w:rsid w:val="00FE543C"/>
    <w:rsid w:val="00FE5805"/>
    <w:rsid w:val="00FE5D76"/>
    <w:rsid w:val="00FF0DFD"/>
    <w:rsid w:val="00FF3653"/>
    <w:rsid w:val="00FF3AAD"/>
    <w:rsid w:val="00FF3CB4"/>
    <w:rsid w:val="00FF72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C60A4A"/>
  <w15:docId w15:val="{AC7D68BB-BE65-45F0-A468-E8D15D77C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6E5"/>
    <w:pPr>
      <w:jc w:val="both"/>
    </w:pPr>
    <w:rPr>
      <w:rFonts w:eastAsia="Times New Roman"/>
      <w:spacing w:val="-3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672C"/>
    <w:pPr>
      <w:outlineLvl w:val="0"/>
    </w:pPr>
    <w:rPr>
      <w:rFonts w:ascii="Times New Roman Bold" w:hAnsi="Times New Roman Bold"/>
      <w:b/>
      <w:bCs/>
      <w:u w:val="words"/>
    </w:rPr>
  </w:style>
  <w:style w:type="paragraph" w:styleId="Heading2">
    <w:name w:val="heading 2"/>
    <w:basedOn w:val="Normal"/>
    <w:next w:val="Normal"/>
    <w:link w:val="Heading2Char"/>
    <w:qFormat/>
    <w:rsid w:val="00D6672C"/>
    <w:pPr>
      <w:outlineLvl w:val="1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D3FE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786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D6672C"/>
    <w:rPr>
      <w:rFonts w:eastAsia="Times New Roman"/>
      <w:b/>
      <w:bCs/>
      <w:spacing w:val="-3"/>
    </w:rPr>
  </w:style>
  <w:style w:type="paragraph" w:styleId="BodyText">
    <w:name w:val="Body Text"/>
    <w:basedOn w:val="Normal"/>
    <w:link w:val="BodyTextChar"/>
    <w:rsid w:val="002D16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</w:pPr>
  </w:style>
  <w:style w:type="character" w:customStyle="1" w:styleId="BodyTextChar">
    <w:name w:val="Body Text Char"/>
    <w:basedOn w:val="DefaultParagraphFont"/>
    <w:link w:val="BodyText"/>
    <w:rsid w:val="002D16E5"/>
    <w:rPr>
      <w:rFonts w:eastAsia="Times New Roman"/>
      <w:spacing w:val="-3"/>
    </w:rPr>
  </w:style>
  <w:style w:type="paragraph" w:styleId="Footer">
    <w:name w:val="footer"/>
    <w:basedOn w:val="Normal"/>
    <w:link w:val="FooterChar"/>
    <w:rsid w:val="002D16E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D16E5"/>
    <w:rPr>
      <w:rFonts w:eastAsia="Times New Roman"/>
      <w:spacing w:val="-3"/>
    </w:rPr>
  </w:style>
  <w:style w:type="character" w:styleId="PageNumber">
    <w:name w:val="page number"/>
    <w:basedOn w:val="DefaultParagraphFont"/>
    <w:rsid w:val="002D16E5"/>
  </w:style>
  <w:style w:type="paragraph" w:styleId="BalloonText">
    <w:name w:val="Balloon Text"/>
    <w:basedOn w:val="Normal"/>
    <w:link w:val="BalloonTextChar"/>
    <w:uiPriority w:val="99"/>
    <w:semiHidden/>
    <w:unhideWhenUsed/>
    <w:rsid w:val="00D97F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FFB"/>
    <w:rPr>
      <w:rFonts w:ascii="Tahoma" w:eastAsia="Times New Roman" w:hAnsi="Tahoma" w:cs="Tahoma"/>
      <w:spacing w:val="-3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45B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5B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5BCC"/>
    <w:rPr>
      <w:rFonts w:eastAsia="Times New Roman"/>
      <w:spacing w:val="-3"/>
      <w:sz w:val="20"/>
      <w:szCs w:val="20"/>
    </w:rPr>
  </w:style>
  <w:style w:type="paragraph" w:customStyle="1" w:styleId="Default">
    <w:name w:val="Default"/>
    <w:rsid w:val="00A355BD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customStyle="1" w:styleId="Heading4Char">
    <w:name w:val="Heading 4 Char"/>
    <w:basedOn w:val="DefaultParagraphFont"/>
    <w:link w:val="Heading4"/>
    <w:uiPriority w:val="9"/>
    <w:rsid w:val="004D3FE4"/>
    <w:rPr>
      <w:rFonts w:asciiTheme="majorHAnsi" w:eastAsiaTheme="majorEastAsia" w:hAnsiTheme="majorHAnsi" w:cstheme="majorBidi"/>
      <w:i/>
      <w:iCs/>
      <w:color w:val="365F91" w:themeColor="accent1" w:themeShade="BF"/>
      <w:spacing w:val="-3"/>
    </w:rPr>
  </w:style>
  <w:style w:type="character" w:styleId="Strong">
    <w:name w:val="Strong"/>
    <w:basedOn w:val="DefaultParagraphFont"/>
    <w:uiPriority w:val="22"/>
    <w:qFormat/>
    <w:rsid w:val="004D3FE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D3FE4"/>
    <w:pPr>
      <w:spacing w:before="100" w:beforeAutospacing="1" w:after="100" w:afterAutospacing="1"/>
      <w:jc w:val="left"/>
    </w:pPr>
    <w:rPr>
      <w:spacing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03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0307"/>
    <w:rPr>
      <w:rFonts w:eastAsia="Times New Roman"/>
      <w:b/>
      <w:bCs/>
      <w:spacing w:val="-3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CD1005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622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2205"/>
    <w:rPr>
      <w:rFonts w:eastAsia="Times New Roman"/>
      <w:spacing w:val="-3"/>
    </w:rPr>
  </w:style>
  <w:style w:type="character" w:customStyle="1" w:styleId="Heading1Char">
    <w:name w:val="Heading 1 Char"/>
    <w:basedOn w:val="DefaultParagraphFont"/>
    <w:link w:val="Heading1"/>
    <w:uiPriority w:val="9"/>
    <w:rsid w:val="00D6672C"/>
    <w:rPr>
      <w:rFonts w:ascii="Times New Roman Bold" w:eastAsia="Times New Roman" w:hAnsi="Times New Roman Bold"/>
      <w:b/>
      <w:bCs/>
      <w:spacing w:val="-3"/>
      <w:u w:val="word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8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9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102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9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884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173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007404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593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4533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7515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5031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9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39585-E8E9-4192-A0CC-3E845C950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765 Annual Cover Crop for Native Seeding - 1/1/2022</vt:lpstr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765.21 Annual Cover Crop for Native Seeding - 1/1/2022</dc:title>
  <dc:creator>Mitchell, Tara A. (DOT)</dc:creator>
  <cp:lastModifiedBy>Mitchell, Tara A. (DOT)</cp:lastModifiedBy>
  <cp:revision>4</cp:revision>
  <dcterms:created xsi:type="dcterms:W3CDTF">2023-05-04T16:06:00Z</dcterms:created>
  <dcterms:modified xsi:type="dcterms:W3CDTF">2023-05-04T20:43:00Z</dcterms:modified>
</cp:coreProperties>
</file>