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5DDB" w14:textId="77777777" w:rsidR="007323A8" w:rsidRPr="00FB144B" w:rsidRDefault="007323A8" w:rsidP="007323A8">
      <w:pPr>
        <w:rPr>
          <w:rFonts w:ascii="Arial" w:hAnsi="Arial" w:cs="Arial"/>
          <w:sz w:val="28"/>
          <w:szCs w:val="28"/>
        </w:rPr>
      </w:pPr>
    </w:p>
    <w:p w14:paraId="4887620A" w14:textId="77777777" w:rsidR="007323A8" w:rsidRPr="00FB144B" w:rsidRDefault="007323A8" w:rsidP="007323A8">
      <w:pPr>
        <w:rPr>
          <w:rFonts w:ascii="Arial" w:hAnsi="Arial" w:cs="Arial"/>
          <w:sz w:val="28"/>
          <w:szCs w:val="28"/>
        </w:rPr>
      </w:pPr>
    </w:p>
    <w:p w14:paraId="0CC8FE6A" w14:textId="48CDBE04" w:rsidR="007323A8" w:rsidRPr="00FB144B" w:rsidRDefault="00A71279" w:rsidP="007323A8">
      <w:pPr>
        <w:jc w:val="center"/>
        <w:rPr>
          <w:rFonts w:ascii="Arial" w:hAnsi="Arial" w:cs="Arial"/>
          <w:b/>
          <w:sz w:val="28"/>
          <w:szCs w:val="28"/>
        </w:rPr>
      </w:pPr>
      <w:r w:rsidRPr="00FB144B">
        <w:rPr>
          <w:rFonts w:ascii="Arial" w:hAnsi="Arial" w:cs="Arial"/>
          <w:b/>
          <w:sz w:val="28"/>
          <w:szCs w:val="28"/>
        </w:rPr>
        <w:t xml:space="preserve">DISCHARGE OF A FIREARM </w:t>
      </w:r>
      <w:r w:rsidR="003847AE" w:rsidRPr="00FB144B">
        <w:rPr>
          <w:rFonts w:ascii="Arial" w:hAnsi="Arial" w:cs="Arial"/>
          <w:b/>
          <w:sz w:val="28"/>
          <w:szCs w:val="28"/>
        </w:rPr>
        <w:t>AND STRIKING</w:t>
      </w:r>
      <w:r w:rsidRPr="00FB144B">
        <w:rPr>
          <w:rFonts w:ascii="Arial" w:hAnsi="Arial" w:cs="Arial"/>
          <w:b/>
          <w:sz w:val="28"/>
          <w:szCs w:val="28"/>
        </w:rPr>
        <w:t xml:space="preserve"> A BUILDING</w:t>
      </w:r>
    </w:p>
    <w:p w14:paraId="15D4E7C0" w14:textId="77777777" w:rsidR="007323A8" w:rsidRPr="00FB144B" w:rsidRDefault="007323A8" w:rsidP="007323A8">
      <w:pPr>
        <w:jc w:val="center"/>
        <w:rPr>
          <w:rFonts w:ascii="Arial" w:hAnsi="Arial" w:cs="Arial"/>
          <w:b/>
          <w:sz w:val="28"/>
          <w:szCs w:val="28"/>
        </w:rPr>
      </w:pPr>
    </w:p>
    <w:p w14:paraId="4E914291" w14:textId="61C43BE4" w:rsidR="007323A8" w:rsidRPr="00FB144B" w:rsidRDefault="007323A8" w:rsidP="007323A8">
      <w:pPr>
        <w:jc w:val="center"/>
        <w:rPr>
          <w:rFonts w:ascii="Arial" w:hAnsi="Arial" w:cs="Arial"/>
          <w:sz w:val="28"/>
          <w:szCs w:val="28"/>
        </w:rPr>
      </w:pPr>
      <w:r w:rsidRPr="00FB144B">
        <w:rPr>
          <w:rFonts w:ascii="Arial" w:hAnsi="Arial" w:cs="Arial"/>
          <w:sz w:val="28"/>
          <w:szCs w:val="28"/>
        </w:rPr>
        <w:t xml:space="preserve">G.L. c. </w:t>
      </w:r>
      <w:r w:rsidR="00A71279" w:rsidRPr="00FB144B">
        <w:rPr>
          <w:rFonts w:ascii="Arial" w:hAnsi="Arial" w:cs="Arial"/>
          <w:sz w:val="28"/>
          <w:szCs w:val="28"/>
        </w:rPr>
        <w:t>269</w:t>
      </w:r>
      <w:r w:rsidRPr="00FB144B">
        <w:rPr>
          <w:rFonts w:ascii="Arial" w:hAnsi="Arial" w:cs="Arial"/>
          <w:sz w:val="28"/>
          <w:szCs w:val="28"/>
        </w:rPr>
        <w:t xml:space="preserve">, § </w:t>
      </w:r>
      <w:r w:rsidR="00A71279" w:rsidRPr="00FB144B">
        <w:rPr>
          <w:rFonts w:ascii="Arial" w:hAnsi="Arial" w:cs="Arial"/>
          <w:sz w:val="28"/>
          <w:szCs w:val="28"/>
        </w:rPr>
        <w:t>12</w:t>
      </w:r>
      <w:r w:rsidR="003847AE" w:rsidRPr="00FB144B">
        <w:rPr>
          <w:rFonts w:ascii="Arial" w:hAnsi="Arial" w:cs="Arial"/>
          <w:sz w:val="28"/>
          <w:szCs w:val="28"/>
        </w:rPr>
        <w:t>G</w:t>
      </w:r>
    </w:p>
    <w:p w14:paraId="450E6AA2" w14:textId="77777777" w:rsidR="00DC084F" w:rsidRPr="00FB144B" w:rsidRDefault="00DC084F" w:rsidP="007323A8">
      <w:pPr>
        <w:jc w:val="center"/>
        <w:rPr>
          <w:rFonts w:ascii="Arial" w:hAnsi="Arial" w:cs="Arial"/>
          <w:b/>
          <w:sz w:val="28"/>
          <w:szCs w:val="28"/>
        </w:rPr>
      </w:pPr>
    </w:p>
    <w:p w14:paraId="4E0CC570" w14:textId="1983E7EB" w:rsidR="00A71279" w:rsidRPr="00FB144B" w:rsidRDefault="00A71279" w:rsidP="00A71279">
      <w:pPr>
        <w:spacing w:line="480" w:lineRule="auto"/>
        <w:ind w:firstLine="720"/>
        <w:rPr>
          <w:rFonts w:ascii="Arial" w:hAnsi="Arial" w:cs="Arial"/>
          <w:b/>
          <w:sz w:val="28"/>
          <w:szCs w:val="28"/>
        </w:rPr>
      </w:pPr>
      <w:r w:rsidRPr="00FB144B">
        <w:rPr>
          <w:rFonts w:ascii="Arial" w:hAnsi="Arial" w:cs="Arial"/>
          <w:b/>
          <w:sz w:val="28"/>
          <w:szCs w:val="28"/>
        </w:rPr>
        <w:t xml:space="preserve">The </w:t>
      </w:r>
      <w:r w:rsidR="00846B33" w:rsidRPr="00FB144B">
        <w:rPr>
          <w:rFonts w:ascii="Arial" w:hAnsi="Arial" w:cs="Arial"/>
          <w:b/>
          <w:sz w:val="28"/>
          <w:szCs w:val="28"/>
        </w:rPr>
        <w:t>d</w:t>
      </w:r>
      <w:r w:rsidRPr="00FB144B">
        <w:rPr>
          <w:rFonts w:ascii="Arial" w:hAnsi="Arial" w:cs="Arial"/>
          <w:b/>
          <w:sz w:val="28"/>
          <w:szCs w:val="28"/>
        </w:rPr>
        <w:t>efendant is charged with discharg</w:t>
      </w:r>
      <w:r w:rsidR="006103EF" w:rsidRPr="00FB144B">
        <w:rPr>
          <w:rFonts w:ascii="Arial" w:hAnsi="Arial" w:cs="Arial"/>
          <w:b/>
          <w:sz w:val="28"/>
          <w:szCs w:val="28"/>
        </w:rPr>
        <w:t>ing</w:t>
      </w:r>
      <w:r w:rsidRPr="00FB144B">
        <w:rPr>
          <w:rFonts w:ascii="Arial" w:hAnsi="Arial" w:cs="Arial"/>
          <w:b/>
          <w:sz w:val="28"/>
          <w:szCs w:val="28"/>
        </w:rPr>
        <w:t xml:space="preserve"> a firearm </w:t>
      </w:r>
      <w:r w:rsidR="003847AE" w:rsidRPr="00FB144B">
        <w:rPr>
          <w:rFonts w:ascii="Arial" w:hAnsi="Arial" w:cs="Arial"/>
          <w:b/>
          <w:sz w:val="28"/>
          <w:szCs w:val="28"/>
        </w:rPr>
        <w:t>and striking a</w:t>
      </w:r>
      <w:r w:rsidRPr="00FB144B">
        <w:rPr>
          <w:rFonts w:ascii="Arial" w:hAnsi="Arial" w:cs="Arial"/>
          <w:b/>
          <w:sz w:val="28"/>
          <w:szCs w:val="28"/>
        </w:rPr>
        <w:t xml:space="preserve"> </w:t>
      </w:r>
      <w:r w:rsidR="00977AB1">
        <w:rPr>
          <w:rFonts w:ascii="Arial" w:hAnsi="Arial" w:cs="Arial"/>
          <w:b/>
          <w:sz w:val="28"/>
          <w:szCs w:val="28"/>
        </w:rPr>
        <w:t>(</w:t>
      </w:r>
      <w:r w:rsidR="00CE6200" w:rsidRPr="00FB144B">
        <w:rPr>
          <w:rFonts w:ascii="Arial" w:hAnsi="Arial" w:cs="Arial"/>
          <w:b/>
          <w:sz w:val="28"/>
          <w:szCs w:val="28"/>
        </w:rPr>
        <w:t>dwelling</w:t>
      </w:r>
      <w:r w:rsidR="00977AB1">
        <w:rPr>
          <w:rFonts w:ascii="Arial" w:hAnsi="Arial" w:cs="Arial"/>
          <w:b/>
          <w:sz w:val="28"/>
          <w:szCs w:val="28"/>
        </w:rPr>
        <w:t>)</w:t>
      </w:r>
      <w:r w:rsidR="00CE6200" w:rsidRPr="00FB144B">
        <w:rPr>
          <w:rFonts w:ascii="Arial" w:hAnsi="Arial" w:cs="Arial"/>
          <w:b/>
          <w:sz w:val="28"/>
          <w:szCs w:val="28"/>
        </w:rPr>
        <w:t xml:space="preserve"> </w:t>
      </w:r>
      <w:r w:rsidR="00977AB1">
        <w:rPr>
          <w:rFonts w:ascii="Arial" w:hAnsi="Arial" w:cs="Arial"/>
          <w:b/>
          <w:sz w:val="28"/>
          <w:szCs w:val="28"/>
        </w:rPr>
        <w:t>(</w:t>
      </w:r>
      <w:r w:rsidRPr="00FB144B">
        <w:rPr>
          <w:rFonts w:ascii="Arial" w:hAnsi="Arial" w:cs="Arial"/>
          <w:b/>
          <w:sz w:val="28"/>
          <w:szCs w:val="28"/>
        </w:rPr>
        <w:t>building</w:t>
      </w:r>
      <w:r w:rsidR="00977AB1">
        <w:rPr>
          <w:rFonts w:ascii="Arial" w:hAnsi="Arial" w:cs="Arial"/>
          <w:b/>
          <w:sz w:val="28"/>
          <w:szCs w:val="28"/>
        </w:rPr>
        <w:t>)</w:t>
      </w:r>
      <w:r w:rsidRPr="00FB144B">
        <w:rPr>
          <w:rFonts w:ascii="Arial" w:hAnsi="Arial" w:cs="Arial"/>
          <w:b/>
          <w:sz w:val="28"/>
          <w:szCs w:val="28"/>
        </w:rPr>
        <w:t xml:space="preserve"> in use.  </w:t>
      </w:r>
      <w:r w:rsidR="00DF5F7B" w:rsidRPr="00FB144B">
        <w:rPr>
          <w:rFonts w:ascii="Arial" w:hAnsi="Arial" w:cs="Arial"/>
          <w:b/>
          <w:sz w:val="28"/>
          <w:szCs w:val="28"/>
        </w:rPr>
        <w:t>To</w:t>
      </w:r>
      <w:r w:rsidRPr="00FB144B">
        <w:rPr>
          <w:rFonts w:ascii="Arial" w:hAnsi="Arial" w:cs="Arial"/>
          <w:b/>
          <w:sz w:val="28"/>
          <w:szCs w:val="28"/>
        </w:rPr>
        <w:t xml:space="preserve"> prove the </w:t>
      </w:r>
      <w:r w:rsidR="00846B33" w:rsidRPr="00FB144B">
        <w:rPr>
          <w:rFonts w:ascii="Arial" w:hAnsi="Arial" w:cs="Arial"/>
          <w:b/>
          <w:sz w:val="28"/>
          <w:szCs w:val="28"/>
        </w:rPr>
        <w:t>d</w:t>
      </w:r>
      <w:r w:rsidRPr="00FB144B">
        <w:rPr>
          <w:rFonts w:ascii="Arial" w:hAnsi="Arial" w:cs="Arial"/>
          <w:b/>
          <w:sz w:val="28"/>
          <w:szCs w:val="28"/>
        </w:rPr>
        <w:t xml:space="preserve">efendant guilty of this offense, the Commonwealth must prove </w:t>
      </w:r>
      <w:r w:rsidR="00B05560" w:rsidRPr="00FB144B">
        <w:rPr>
          <w:rFonts w:ascii="Arial" w:hAnsi="Arial" w:cs="Arial"/>
          <w:b/>
          <w:sz w:val="28"/>
          <w:szCs w:val="28"/>
        </w:rPr>
        <w:t xml:space="preserve">four </w:t>
      </w:r>
      <w:r w:rsidRPr="00FB144B">
        <w:rPr>
          <w:rFonts w:ascii="Arial" w:hAnsi="Arial" w:cs="Arial"/>
          <w:b/>
          <w:sz w:val="28"/>
          <w:szCs w:val="28"/>
        </w:rPr>
        <w:t>things beyond a reasonable doubt:</w:t>
      </w:r>
    </w:p>
    <w:p w14:paraId="759DA433" w14:textId="169B8152" w:rsidR="00800411" w:rsidRPr="00FB144B" w:rsidRDefault="00A71279" w:rsidP="00A71279">
      <w:pPr>
        <w:spacing w:line="480" w:lineRule="auto"/>
        <w:rPr>
          <w:rFonts w:ascii="Arial" w:hAnsi="Arial" w:cs="Arial"/>
          <w:b/>
          <w:sz w:val="28"/>
          <w:szCs w:val="28"/>
        </w:rPr>
      </w:pPr>
      <w:r w:rsidRPr="00FB144B">
        <w:rPr>
          <w:rFonts w:ascii="Arial" w:hAnsi="Arial" w:cs="Arial"/>
          <w:b/>
          <w:i/>
          <w:sz w:val="28"/>
          <w:szCs w:val="28"/>
        </w:rPr>
        <w:t>First</w:t>
      </w:r>
      <w:r w:rsidRPr="00FB144B">
        <w:rPr>
          <w:rFonts w:ascii="Arial" w:hAnsi="Arial" w:cs="Arial"/>
          <w:b/>
          <w:sz w:val="28"/>
          <w:szCs w:val="28"/>
        </w:rPr>
        <w:t xml:space="preserve">:        </w:t>
      </w:r>
      <w:r w:rsidR="00846B33" w:rsidRPr="00FB144B">
        <w:rPr>
          <w:rFonts w:ascii="Arial" w:hAnsi="Arial" w:cs="Arial"/>
          <w:b/>
          <w:sz w:val="28"/>
          <w:szCs w:val="28"/>
        </w:rPr>
        <w:t xml:space="preserve"> </w:t>
      </w:r>
      <w:r w:rsidRPr="00FB144B">
        <w:rPr>
          <w:rFonts w:ascii="Arial" w:hAnsi="Arial" w:cs="Arial"/>
          <w:b/>
          <w:sz w:val="28"/>
          <w:szCs w:val="28"/>
        </w:rPr>
        <w:t xml:space="preserve">That the </w:t>
      </w:r>
      <w:r w:rsidR="00846B33" w:rsidRPr="00FB144B">
        <w:rPr>
          <w:rFonts w:ascii="Arial" w:hAnsi="Arial" w:cs="Arial"/>
          <w:b/>
          <w:sz w:val="28"/>
          <w:szCs w:val="28"/>
        </w:rPr>
        <w:t>d</w:t>
      </w:r>
      <w:r w:rsidRPr="00FB144B">
        <w:rPr>
          <w:rFonts w:ascii="Arial" w:hAnsi="Arial" w:cs="Arial"/>
          <w:b/>
          <w:sz w:val="28"/>
          <w:szCs w:val="28"/>
        </w:rPr>
        <w:t xml:space="preserve">efendant discharged a </w:t>
      </w:r>
      <w:r w:rsidR="00E7696F" w:rsidRPr="00FB144B">
        <w:rPr>
          <w:rFonts w:ascii="Arial" w:hAnsi="Arial" w:cs="Arial"/>
          <w:b/>
          <w:sz w:val="28"/>
          <w:szCs w:val="28"/>
        </w:rPr>
        <w:t>firearm</w:t>
      </w:r>
      <w:r w:rsidRPr="00FB144B">
        <w:rPr>
          <w:rFonts w:ascii="Arial" w:hAnsi="Arial" w:cs="Arial"/>
          <w:b/>
          <w:sz w:val="28"/>
          <w:szCs w:val="28"/>
        </w:rPr>
        <w:t>;</w:t>
      </w:r>
    </w:p>
    <w:p w14:paraId="76E2B729" w14:textId="33F75956" w:rsidR="00542AD9" w:rsidRPr="00FB144B" w:rsidRDefault="00A71279" w:rsidP="00627561">
      <w:pPr>
        <w:spacing w:line="480" w:lineRule="auto"/>
        <w:rPr>
          <w:rFonts w:ascii="Arial" w:hAnsi="Arial" w:cs="Arial"/>
          <w:b/>
          <w:sz w:val="28"/>
          <w:szCs w:val="28"/>
        </w:rPr>
      </w:pPr>
      <w:r w:rsidRPr="00FB144B">
        <w:rPr>
          <w:rFonts w:ascii="Arial" w:hAnsi="Arial" w:cs="Arial"/>
          <w:b/>
          <w:i/>
          <w:sz w:val="28"/>
          <w:szCs w:val="28"/>
        </w:rPr>
        <w:t>Second</w:t>
      </w:r>
      <w:r w:rsidRPr="00FB144B">
        <w:rPr>
          <w:rFonts w:ascii="Arial" w:hAnsi="Arial" w:cs="Arial"/>
          <w:b/>
          <w:sz w:val="28"/>
          <w:szCs w:val="28"/>
        </w:rPr>
        <w:t xml:space="preserve">:   </w:t>
      </w:r>
      <w:r w:rsidR="00846B33" w:rsidRPr="00FB144B">
        <w:rPr>
          <w:rFonts w:ascii="Arial" w:hAnsi="Arial" w:cs="Arial"/>
          <w:b/>
          <w:sz w:val="28"/>
          <w:szCs w:val="28"/>
        </w:rPr>
        <w:t xml:space="preserve"> </w:t>
      </w:r>
      <w:r w:rsidR="00542AD9" w:rsidRPr="00FB144B">
        <w:rPr>
          <w:rFonts w:ascii="Arial" w:hAnsi="Arial" w:cs="Arial"/>
          <w:b/>
          <w:sz w:val="28"/>
          <w:szCs w:val="28"/>
        </w:rPr>
        <w:t xml:space="preserve">That the </w:t>
      </w:r>
      <w:r w:rsidR="00E7696F" w:rsidRPr="00FB144B">
        <w:rPr>
          <w:rFonts w:ascii="Arial" w:hAnsi="Arial" w:cs="Arial"/>
          <w:b/>
          <w:sz w:val="28"/>
          <w:szCs w:val="28"/>
        </w:rPr>
        <w:t xml:space="preserve">firearm </w:t>
      </w:r>
      <w:r w:rsidR="00542AD9" w:rsidRPr="00FB144B">
        <w:rPr>
          <w:rFonts w:ascii="Arial" w:hAnsi="Arial" w:cs="Arial"/>
          <w:b/>
          <w:sz w:val="28"/>
          <w:szCs w:val="28"/>
        </w:rPr>
        <w:t>met the legal definition of a firearm; and</w:t>
      </w:r>
    </w:p>
    <w:p w14:paraId="08DEA7C9" w14:textId="5D72BB8D" w:rsidR="00800411" w:rsidRPr="00FB144B" w:rsidRDefault="00542AD9" w:rsidP="00627561">
      <w:pPr>
        <w:spacing w:line="480" w:lineRule="auto"/>
        <w:ind w:left="1440" w:hanging="1440"/>
        <w:rPr>
          <w:rFonts w:ascii="Arial" w:hAnsi="Arial" w:cs="Arial"/>
          <w:b/>
          <w:sz w:val="28"/>
          <w:szCs w:val="28"/>
        </w:rPr>
      </w:pPr>
      <w:r w:rsidRPr="00FB144B">
        <w:rPr>
          <w:rFonts w:ascii="Arial" w:hAnsi="Arial" w:cs="Arial"/>
          <w:b/>
          <w:i/>
          <w:iCs/>
          <w:sz w:val="28"/>
          <w:szCs w:val="28"/>
        </w:rPr>
        <w:t>Third:</w:t>
      </w:r>
      <w:r w:rsidRPr="00FB144B">
        <w:rPr>
          <w:rFonts w:ascii="Arial" w:hAnsi="Arial" w:cs="Arial"/>
          <w:b/>
          <w:i/>
          <w:iCs/>
          <w:sz w:val="28"/>
          <w:szCs w:val="28"/>
        </w:rPr>
        <w:tab/>
      </w:r>
      <w:r w:rsidR="0064346C" w:rsidRPr="00FB144B">
        <w:rPr>
          <w:rFonts w:ascii="Arial" w:hAnsi="Arial" w:cs="Arial"/>
          <w:b/>
          <w:sz w:val="28"/>
          <w:szCs w:val="28"/>
        </w:rPr>
        <w:t>That the defendant d</w:t>
      </w:r>
      <w:r w:rsidRPr="00FB144B">
        <w:rPr>
          <w:rFonts w:ascii="Arial" w:hAnsi="Arial" w:cs="Arial"/>
          <w:b/>
          <w:sz w:val="28"/>
          <w:szCs w:val="28"/>
        </w:rPr>
        <w:t xml:space="preserve">ischarged the firearm </w:t>
      </w:r>
      <w:r w:rsidR="0064346C" w:rsidRPr="00FB144B">
        <w:rPr>
          <w:rFonts w:ascii="Arial" w:hAnsi="Arial" w:cs="Arial"/>
          <w:b/>
          <w:sz w:val="28"/>
          <w:szCs w:val="28"/>
        </w:rPr>
        <w:t>either intentionally or recklessly;</w:t>
      </w:r>
      <w:r w:rsidR="00627561" w:rsidRPr="00FB144B">
        <w:rPr>
          <w:rFonts w:ascii="Arial" w:hAnsi="Arial" w:cs="Arial"/>
          <w:b/>
          <w:sz w:val="28"/>
          <w:szCs w:val="28"/>
        </w:rPr>
        <w:t xml:space="preserve"> and</w:t>
      </w:r>
    </w:p>
    <w:p w14:paraId="7AA7FAC4" w14:textId="5CD00F1E" w:rsidR="00A71279" w:rsidRPr="00FB144B" w:rsidRDefault="00B05560" w:rsidP="00846B33">
      <w:pPr>
        <w:spacing w:line="480" w:lineRule="auto"/>
        <w:ind w:left="1440" w:hanging="1440"/>
        <w:rPr>
          <w:rFonts w:ascii="Arial" w:hAnsi="Arial" w:cs="Arial"/>
          <w:b/>
          <w:sz w:val="28"/>
          <w:szCs w:val="28"/>
        </w:rPr>
      </w:pPr>
      <w:r w:rsidRPr="00FB144B">
        <w:rPr>
          <w:rFonts w:ascii="Arial" w:hAnsi="Arial" w:cs="Arial"/>
          <w:b/>
          <w:i/>
          <w:sz w:val="28"/>
          <w:szCs w:val="28"/>
        </w:rPr>
        <w:t>Fourth</w:t>
      </w:r>
      <w:r w:rsidR="00A71279" w:rsidRPr="00FB144B">
        <w:rPr>
          <w:rFonts w:ascii="Arial" w:hAnsi="Arial" w:cs="Arial"/>
          <w:b/>
          <w:sz w:val="28"/>
          <w:szCs w:val="28"/>
        </w:rPr>
        <w:t xml:space="preserve">:      That the </w:t>
      </w:r>
      <w:r w:rsidR="00C94CDE">
        <w:rPr>
          <w:rFonts w:ascii="Arial" w:hAnsi="Arial" w:cs="Arial"/>
          <w:b/>
          <w:sz w:val="28"/>
          <w:szCs w:val="28"/>
        </w:rPr>
        <w:t xml:space="preserve">object that was </w:t>
      </w:r>
      <w:r w:rsidR="00A71279" w:rsidRPr="00FB144B">
        <w:rPr>
          <w:rFonts w:ascii="Arial" w:hAnsi="Arial" w:cs="Arial"/>
          <w:b/>
          <w:sz w:val="28"/>
          <w:szCs w:val="28"/>
        </w:rPr>
        <w:t>discharge</w:t>
      </w:r>
      <w:r w:rsidR="00C94CDE">
        <w:rPr>
          <w:rFonts w:ascii="Arial" w:hAnsi="Arial" w:cs="Arial"/>
          <w:b/>
          <w:sz w:val="28"/>
          <w:szCs w:val="28"/>
        </w:rPr>
        <w:t>d</w:t>
      </w:r>
      <w:r w:rsidR="00A71279" w:rsidRPr="00FB144B">
        <w:rPr>
          <w:rFonts w:ascii="Arial" w:hAnsi="Arial" w:cs="Arial"/>
          <w:b/>
          <w:sz w:val="28"/>
          <w:szCs w:val="28"/>
        </w:rPr>
        <w:t xml:space="preserve"> </w:t>
      </w:r>
      <w:r w:rsidR="00E30B41" w:rsidRPr="00FB144B">
        <w:rPr>
          <w:rFonts w:ascii="Arial" w:hAnsi="Arial" w:cs="Arial"/>
          <w:b/>
          <w:sz w:val="28"/>
          <w:szCs w:val="28"/>
        </w:rPr>
        <w:t xml:space="preserve">struck a </w:t>
      </w:r>
      <w:r w:rsidR="008D3FDD" w:rsidRPr="00FB144B">
        <w:rPr>
          <w:rFonts w:ascii="Arial" w:hAnsi="Arial" w:cs="Arial"/>
          <w:b/>
          <w:sz w:val="28"/>
          <w:szCs w:val="28"/>
        </w:rPr>
        <w:t>(</w:t>
      </w:r>
      <w:r w:rsidR="00A71279" w:rsidRPr="00FB144B">
        <w:rPr>
          <w:rFonts w:ascii="Arial" w:hAnsi="Arial" w:cs="Arial"/>
          <w:b/>
          <w:sz w:val="28"/>
          <w:szCs w:val="28"/>
        </w:rPr>
        <w:t>dwelling</w:t>
      </w:r>
      <w:r w:rsidR="008D3FDD" w:rsidRPr="00FB144B">
        <w:rPr>
          <w:rFonts w:ascii="Arial" w:hAnsi="Arial" w:cs="Arial"/>
          <w:b/>
          <w:sz w:val="28"/>
          <w:szCs w:val="28"/>
        </w:rPr>
        <w:t>)</w:t>
      </w:r>
      <w:r w:rsidR="00A71279" w:rsidRPr="00FB144B">
        <w:rPr>
          <w:rFonts w:ascii="Arial" w:hAnsi="Arial" w:cs="Arial"/>
          <w:b/>
          <w:sz w:val="28"/>
          <w:szCs w:val="28"/>
        </w:rPr>
        <w:t xml:space="preserve"> </w:t>
      </w:r>
      <w:r w:rsidR="008D3FDD" w:rsidRPr="00FB144B">
        <w:rPr>
          <w:rFonts w:ascii="Arial" w:hAnsi="Arial" w:cs="Arial"/>
          <w:b/>
          <w:sz w:val="28"/>
          <w:szCs w:val="28"/>
        </w:rPr>
        <w:t>(</w:t>
      </w:r>
      <w:r w:rsidR="00A71279" w:rsidRPr="00FB144B">
        <w:rPr>
          <w:rFonts w:ascii="Arial" w:hAnsi="Arial" w:cs="Arial"/>
          <w:b/>
          <w:sz w:val="28"/>
          <w:szCs w:val="28"/>
        </w:rPr>
        <w:t>building</w:t>
      </w:r>
      <w:r w:rsidR="008D3FDD" w:rsidRPr="00FB144B">
        <w:rPr>
          <w:rFonts w:ascii="Arial" w:hAnsi="Arial" w:cs="Arial"/>
          <w:b/>
          <w:sz w:val="28"/>
          <w:szCs w:val="28"/>
        </w:rPr>
        <w:t>)</w:t>
      </w:r>
      <w:r w:rsidR="00A71279" w:rsidRPr="00FB144B">
        <w:rPr>
          <w:rFonts w:ascii="Arial" w:hAnsi="Arial" w:cs="Arial"/>
          <w:b/>
          <w:sz w:val="28"/>
          <w:szCs w:val="28"/>
        </w:rPr>
        <w:t xml:space="preserve"> in use</w:t>
      </w:r>
      <w:r w:rsidR="008E0119" w:rsidRPr="00FB144B">
        <w:rPr>
          <w:rFonts w:ascii="Arial" w:hAnsi="Arial" w:cs="Arial"/>
          <w:b/>
          <w:sz w:val="28"/>
          <w:szCs w:val="28"/>
        </w:rPr>
        <w:t>.</w:t>
      </w:r>
    </w:p>
    <w:p w14:paraId="074BEC12" w14:textId="77777777" w:rsidR="001B0DD0" w:rsidRPr="00FB144B" w:rsidRDefault="006D60F0" w:rsidP="00A71279">
      <w:pPr>
        <w:spacing w:line="480" w:lineRule="auto"/>
        <w:rPr>
          <w:rFonts w:ascii="Arial" w:hAnsi="Arial" w:cs="Arial"/>
          <w:b/>
          <w:sz w:val="28"/>
          <w:szCs w:val="28"/>
        </w:rPr>
      </w:pPr>
      <w:r w:rsidRPr="00FB144B">
        <w:rPr>
          <w:rFonts w:ascii="Arial" w:hAnsi="Arial" w:cs="Arial"/>
          <w:b/>
          <w:sz w:val="28"/>
          <w:szCs w:val="28"/>
        </w:rPr>
        <w:tab/>
      </w:r>
    </w:p>
    <w:p w14:paraId="1C40E6D2" w14:textId="2B991B98" w:rsidR="00A71279" w:rsidRPr="00FB144B" w:rsidRDefault="00AF581A" w:rsidP="001B0DD0">
      <w:pPr>
        <w:spacing w:line="480" w:lineRule="auto"/>
        <w:ind w:firstLine="720"/>
        <w:rPr>
          <w:rFonts w:ascii="Arial" w:hAnsi="Arial" w:cs="Arial"/>
          <w:b/>
          <w:sz w:val="28"/>
          <w:szCs w:val="28"/>
        </w:rPr>
      </w:pPr>
      <w:r w:rsidRPr="00FB144B">
        <w:rPr>
          <w:rFonts w:ascii="Arial" w:hAnsi="Arial" w:cs="Arial"/>
          <w:b/>
          <w:sz w:val="28"/>
          <w:szCs w:val="28"/>
        </w:rPr>
        <w:t>T</w:t>
      </w:r>
      <w:r w:rsidR="006D60F0" w:rsidRPr="00FB144B">
        <w:rPr>
          <w:rFonts w:ascii="Arial" w:hAnsi="Arial" w:cs="Arial"/>
          <w:b/>
          <w:sz w:val="28"/>
          <w:szCs w:val="28"/>
        </w:rPr>
        <w:t xml:space="preserve">o prove the </w:t>
      </w:r>
      <w:r w:rsidR="006D60F0" w:rsidRPr="00FB144B">
        <w:rPr>
          <w:rFonts w:ascii="Arial" w:hAnsi="Arial" w:cs="Arial"/>
          <w:b/>
          <w:iCs/>
          <w:sz w:val="28"/>
          <w:szCs w:val="28"/>
        </w:rPr>
        <w:t>first</w:t>
      </w:r>
      <w:r w:rsidR="006D60F0" w:rsidRPr="00FB144B">
        <w:rPr>
          <w:rFonts w:ascii="Arial" w:hAnsi="Arial" w:cs="Arial"/>
          <w:b/>
          <w:sz w:val="28"/>
          <w:szCs w:val="28"/>
        </w:rPr>
        <w:t xml:space="preserve"> element, the Commonwealth must prove </w:t>
      </w:r>
      <w:r w:rsidR="00037776" w:rsidRPr="00FB144B">
        <w:rPr>
          <w:rFonts w:ascii="Arial" w:hAnsi="Arial" w:cs="Arial"/>
          <w:b/>
          <w:sz w:val="28"/>
          <w:szCs w:val="28"/>
        </w:rPr>
        <w:t xml:space="preserve">beyond a reasonable doubt </w:t>
      </w:r>
      <w:r w:rsidR="006D60F0" w:rsidRPr="00FB144B">
        <w:rPr>
          <w:rFonts w:ascii="Arial" w:hAnsi="Arial" w:cs="Arial"/>
          <w:b/>
          <w:sz w:val="28"/>
          <w:szCs w:val="28"/>
        </w:rPr>
        <w:t>that the defendant</w:t>
      </w:r>
      <w:r w:rsidR="00925637" w:rsidRPr="00FB144B">
        <w:rPr>
          <w:rFonts w:ascii="Arial" w:hAnsi="Arial" w:cs="Arial"/>
          <w:b/>
          <w:sz w:val="28"/>
          <w:szCs w:val="28"/>
        </w:rPr>
        <w:t xml:space="preserve"> </w:t>
      </w:r>
      <w:r w:rsidR="006D60F0" w:rsidRPr="00FB144B">
        <w:rPr>
          <w:rFonts w:ascii="Arial" w:hAnsi="Arial" w:cs="Arial"/>
          <w:b/>
          <w:sz w:val="28"/>
          <w:szCs w:val="28"/>
        </w:rPr>
        <w:t xml:space="preserve">caused </w:t>
      </w:r>
      <w:r w:rsidR="009D566C" w:rsidRPr="00FB144B">
        <w:rPr>
          <w:rFonts w:ascii="Arial" w:hAnsi="Arial" w:cs="Arial"/>
          <w:b/>
          <w:sz w:val="28"/>
          <w:szCs w:val="28"/>
        </w:rPr>
        <w:t xml:space="preserve">a </w:t>
      </w:r>
      <w:r w:rsidR="006D60F0" w:rsidRPr="00FB144B">
        <w:rPr>
          <w:rFonts w:ascii="Arial" w:hAnsi="Arial" w:cs="Arial"/>
          <w:b/>
          <w:sz w:val="28"/>
          <w:szCs w:val="28"/>
        </w:rPr>
        <w:t xml:space="preserve">firearm to </w:t>
      </w:r>
      <w:r w:rsidR="00DC084F" w:rsidRPr="00FB144B">
        <w:rPr>
          <w:rFonts w:ascii="Arial" w:hAnsi="Arial" w:cs="Arial"/>
          <w:b/>
          <w:sz w:val="28"/>
          <w:szCs w:val="28"/>
        </w:rPr>
        <w:t xml:space="preserve">discharge.  </w:t>
      </w:r>
    </w:p>
    <w:p w14:paraId="34601402" w14:textId="63DDD440" w:rsidR="0016430B" w:rsidRPr="00FB144B" w:rsidRDefault="00AF581A" w:rsidP="0016430B">
      <w:pPr>
        <w:spacing w:line="480" w:lineRule="auto"/>
        <w:ind w:firstLine="720"/>
        <w:rPr>
          <w:rFonts w:ascii="Arial" w:hAnsi="Arial" w:cs="Arial"/>
          <w:b/>
          <w:sz w:val="28"/>
          <w:szCs w:val="28"/>
        </w:rPr>
      </w:pPr>
      <w:r w:rsidRPr="00FB144B">
        <w:rPr>
          <w:rFonts w:ascii="Arial" w:hAnsi="Arial" w:cs="Arial"/>
          <w:b/>
          <w:sz w:val="28"/>
          <w:szCs w:val="28"/>
        </w:rPr>
        <w:t>T</w:t>
      </w:r>
      <w:r w:rsidR="006D60F0" w:rsidRPr="00FB144B">
        <w:rPr>
          <w:rFonts w:ascii="Arial" w:hAnsi="Arial" w:cs="Arial"/>
          <w:b/>
          <w:sz w:val="28"/>
          <w:szCs w:val="28"/>
        </w:rPr>
        <w:t xml:space="preserve">o prove the </w:t>
      </w:r>
      <w:r w:rsidR="006D60F0" w:rsidRPr="00FB144B">
        <w:rPr>
          <w:rFonts w:ascii="Arial" w:hAnsi="Arial" w:cs="Arial"/>
          <w:b/>
          <w:iCs/>
          <w:sz w:val="28"/>
          <w:szCs w:val="28"/>
        </w:rPr>
        <w:t>second</w:t>
      </w:r>
      <w:r w:rsidR="006D60F0" w:rsidRPr="00FB144B">
        <w:rPr>
          <w:rFonts w:ascii="Arial" w:hAnsi="Arial" w:cs="Arial"/>
          <w:b/>
          <w:sz w:val="28"/>
          <w:szCs w:val="28"/>
        </w:rPr>
        <w:t xml:space="preserve"> element, the Commonwealth must prove </w:t>
      </w:r>
      <w:r w:rsidR="00037776" w:rsidRPr="00FB144B">
        <w:rPr>
          <w:rFonts w:ascii="Arial" w:hAnsi="Arial" w:cs="Arial"/>
          <w:b/>
          <w:sz w:val="28"/>
          <w:szCs w:val="28"/>
        </w:rPr>
        <w:t xml:space="preserve">beyond a reasonable doubt </w:t>
      </w:r>
      <w:r w:rsidR="006D60F0" w:rsidRPr="00FB144B">
        <w:rPr>
          <w:rFonts w:ascii="Arial" w:hAnsi="Arial" w:cs="Arial"/>
          <w:b/>
          <w:sz w:val="28"/>
          <w:szCs w:val="28"/>
        </w:rPr>
        <w:t xml:space="preserve">that </w:t>
      </w:r>
      <w:r w:rsidR="00925637" w:rsidRPr="00FB144B">
        <w:rPr>
          <w:rFonts w:ascii="Arial" w:hAnsi="Arial" w:cs="Arial"/>
          <w:b/>
          <w:sz w:val="28"/>
          <w:szCs w:val="28"/>
        </w:rPr>
        <w:t xml:space="preserve">the </w:t>
      </w:r>
      <w:r w:rsidR="00E7696F" w:rsidRPr="00FB144B">
        <w:rPr>
          <w:rFonts w:ascii="Arial" w:hAnsi="Arial" w:cs="Arial"/>
          <w:b/>
          <w:sz w:val="28"/>
          <w:szCs w:val="28"/>
        </w:rPr>
        <w:t xml:space="preserve">firearm </w:t>
      </w:r>
      <w:r w:rsidR="009D566C" w:rsidRPr="00FB144B">
        <w:rPr>
          <w:rFonts w:ascii="Arial" w:hAnsi="Arial" w:cs="Arial"/>
          <w:b/>
          <w:sz w:val="28"/>
          <w:szCs w:val="28"/>
        </w:rPr>
        <w:t>met the legal definition of</w:t>
      </w:r>
      <w:r w:rsidR="00691DFE" w:rsidRPr="00FB144B">
        <w:rPr>
          <w:rFonts w:ascii="Arial" w:hAnsi="Arial" w:cs="Arial"/>
          <w:b/>
          <w:sz w:val="28"/>
          <w:szCs w:val="28"/>
        </w:rPr>
        <w:t xml:space="preserve"> </w:t>
      </w:r>
      <w:r w:rsidR="00925637" w:rsidRPr="00FB144B">
        <w:rPr>
          <w:rFonts w:ascii="Arial" w:hAnsi="Arial" w:cs="Arial"/>
          <w:b/>
          <w:sz w:val="28"/>
          <w:szCs w:val="28"/>
        </w:rPr>
        <w:t xml:space="preserve">a firearm. </w:t>
      </w:r>
    </w:p>
    <w:p w14:paraId="1C31BDD4" w14:textId="5E7B0871" w:rsidR="00925CA6" w:rsidRPr="00FB144B" w:rsidRDefault="00925CA6" w:rsidP="00925CA6">
      <w:pPr>
        <w:spacing w:line="480" w:lineRule="auto"/>
        <w:ind w:firstLine="720"/>
        <w:rPr>
          <w:rFonts w:ascii="Arial" w:hAnsi="Arial" w:cs="Arial"/>
          <w:b/>
          <w:bCs/>
          <w:sz w:val="28"/>
          <w:szCs w:val="28"/>
        </w:rPr>
      </w:pPr>
      <w:r w:rsidRPr="00FB144B">
        <w:rPr>
          <w:rFonts w:ascii="Arial" w:hAnsi="Arial" w:cs="Arial"/>
          <w:b/>
          <w:bCs/>
          <w:sz w:val="28"/>
          <w:szCs w:val="28"/>
        </w:rPr>
        <w:lastRenderedPageBreak/>
        <w:t xml:space="preserve">There are two requirements for an item to be a “firearm” under our law. </w:t>
      </w:r>
    </w:p>
    <w:p w14:paraId="3B4C253D" w14:textId="4B6EFBA0" w:rsidR="00925CA6" w:rsidRPr="00FB144B" w:rsidRDefault="00925CA6" w:rsidP="00925CA6">
      <w:pPr>
        <w:spacing w:line="480" w:lineRule="auto"/>
        <w:ind w:firstLine="720"/>
        <w:rPr>
          <w:rFonts w:ascii="Arial" w:hAnsi="Arial" w:cs="Arial"/>
          <w:b/>
          <w:bCs/>
          <w:sz w:val="28"/>
          <w:szCs w:val="28"/>
        </w:rPr>
      </w:pPr>
      <w:r w:rsidRPr="00FB144B">
        <w:rPr>
          <w:rFonts w:ascii="Arial" w:hAnsi="Arial" w:cs="Arial"/>
          <w:b/>
          <w:bCs/>
          <w:sz w:val="28"/>
          <w:szCs w:val="28"/>
        </w:rPr>
        <w:t xml:space="preserve">First, the item must be a pistol, revolver, rifle, or shotgun. </w:t>
      </w:r>
    </w:p>
    <w:p w14:paraId="733D69FA" w14:textId="77777777" w:rsidR="00925CA6" w:rsidRPr="00FB144B" w:rsidRDefault="00925CA6" w:rsidP="00925CA6">
      <w:pPr>
        <w:spacing w:line="480" w:lineRule="auto"/>
        <w:ind w:firstLine="720"/>
        <w:rPr>
          <w:rFonts w:ascii="Arial" w:hAnsi="Arial" w:cs="Arial"/>
          <w:b/>
          <w:bCs/>
          <w:sz w:val="28"/>
          <w:szCs w:val="28"/>
        </w:rPr>
      </w:pPr>
      <w:r w:rsidRPr="00FB144B">
        <w:rPr>
          <w:rFonts w:ascii="Arial" w:hAnsi="Arial" w:cs="Arial"/>
          <w:b/>
          <w:bCs/>
          <w:sz w:val="28"/>
          <w:szCs w:val="28"/>
        </w:rPr>
        <w:t xml:space="preserve">Second, the item must be designed to expel a shot or bullet, or the item must be able to readily be converted to expel a shot or bullet.  </w:t>
      </w:r>
    </w:p>
    <w:p w14:paraId="79EF1EA1" w14:textId="77777777" w:rsidR="001E2A57" w:rsidRPr="00FB144B" w:rsidRDefault="001E2A57" w:rsidP="001E2A57">
      <w:pPr>
        <w:ind w:left="720" w:right="720"/>
        <w:jc w:val="both"/>
        <w:rPr>
          <w:rFonts w:ascii="Arial" w:hAnsi="Arial" w:cs="Arial"/>
          <w:sz w:val="20"/>
          <w:szCs w:val="20"/>
        </w:rPr>
      </w:pPr>
      <w:r w:rsidRPr="00FB144B">
        <w:rPr>
          <w:rFonts w:ascii="Arial" w:hAnsi="Arial" w:cs="Arial"/>
          <w:color w:val="000000"/>
          <w:sz w:val="20"/>
          <w:szCs w:val="20"/>
        </w:rPr>
        <w:t xml:space="preserve">G.L. c. 140, § 121, as amended effective October 2, 2024, </w:t>
      </w:r>
      <w:r w:rsidRPr="00FB144B">
        <w:rPr>
          <w:rFonts w:ascii="Arial" w:hAnsi="Arial" w:cs="Arial"/>
          <w:sz w:val="20"/>
          <w:szCs w:val="20"/>
        </w:rPr>
        <w:t xml:space="preserve">defines “firearm” as: </w:t>
      </w:r>
    </w:p>
    <w:p w14:paraId="2095FD47" w14:textId="25EB311B" w:rsidR="00925CA6" w:rsidRPr="00FB144B" w:rsidRDefault="00925CA6" w:rsidP="00925CA6">
      <w:pPr>
        <w:ind w:left="720" w:right="720"/>
        <w:jc w:val="both"/>
        <w:rPr>
          <w:rFonts w:ascii="Arial" w:hAnsi="Arial" w:cs="Arial"/>
          <w:sz w:val="20"/>
          <w:szCs w:val="20"/>
        </w:rPr>
      </w:pPr>
    </w:p>
    <w:p w14:paraId="352248E3" w14:textId="0EC8671D" w:rsidR="00925CA6" w:rsidRPr="00FB144B" w:rsidRDefault="00925CA6" w:rsidP="00925CA6">
      <w:pPr>
        <w:ind w:left="1440" w:right="1440"/>
        <w:jc w:val="both"/>
        <w:rPr>
          <w:rFonts w:ascii="Arial" w:hAnsi="Arial" w:cs="Arial"/>
          <w:sz w:val="20"/>
          <w:szCs w:val="20"/>
        </w:rPr>
      </w:pPr>
      <w:r w:rsidRPr="00FB144B">
        <w:rPr>
          <w:rFonts w:ascii="Arial" w:hAnsi="Arial" w:cs="Arial"/>
          <w:sz w:val="20"/>
          <w:szCs w:val="20"/>
        </w:rPr>
        <w:t>a stun gun, pistol, revolver, rifle, shotgun, sawed-off shotgun, large capacity firearm, assault-style firearm and machine gun, loaded or unloaded, which is designed to or may readily be converted to expel a shot or bullet; the frame or receiver of any such firearm or the unfinished frame or receiver of any such firearm; provided, however, that “firearm” shall not include any antique firearm or permanently inoperable firearm.</w:t>
      </w:r>
    </w:p>
    <w:p w14:paraId="7F52F9DD" w14:textId="77777777" w:rsidR="00925CA6" w:rsidRPr="00FB144B" w:rsidRDefault="00925CA6" w:rsidP="00925CA6">
      <w:pPr>
        <w:ind w:left="720" w:right="720"/>
        <w:jc w:val="both"/>
        <w:rPr>
          <w:rFonts w:ascii="Arial" w:hAnsi="Arial" w:cs="Arial"/>
          <w:sz w:val="20"/>
          <w:szCs w:val="20"/>
        </w:rPr>
      </w:pPr>
    </w:p>
    <w:p w14:paraId="1623702C" w14:textId="77777777" w:rsidR="00384D66" w:rsidRPr="00FB144B" w:rsidRDefault="00384D66" w:rsidP="00E333D1">
      <w:pPr>
        <w:spacing w:line="276" w:lineRule="auto"/>
        <w:ind w:left="720"/>
        <w:rPr>
          <w:rFonts w:ascii="Arial" w:hAnsi="Arial" w:cs="Arial"/>
          <w:bCs/>
          <w:sz w:val="20"/>
          <w:szCs w:val="20"/>
        </w:rPr>
      </w:pPr>
    </w:p>
    <w:p w14:paraId="4BE0729B" w14:textId="77777777" w:rsidR="00D97E84" w:rsidRPr="00FB144B" w:rsidRDefault="00D97E84" w:rsidP="00D97E84">
      <w:pPr>
        <w:pStyle w:val="NormalWeb"/>
        <w:pBdr>
          <w:left w:val="single" w:sz="4" w:space="4" w:color="auto"/>
          <w:right w:val="single" w:sz="4" w:space="4" w:color="auto"/>
        </w:pBdr>
        <w:shd w:val="clear" w:color="auto" w:fill="FFFFFF"/>
        <w:spacing w:after="0" w:line="480" w:lineRule="auto"/>
        <w:ind w:left="720" w:right="720"/>
        <w:textAlignment w:val="baseline"/>
        <w:rPr>
          <w:rFonts w:ascii="Arial" w:hAnsi="Arial" w:cs="Arial"/>
          <w:i/>
          <w:iCs/>
          <w:bdr w:val="single" w:sz="4" w:space="0" w:color="auto"/>
        </w:rPr>
      </w:pPr>
      <w:r w:rsidRPr="00FB144B">
        <w:rPr>
          <w:rFonts w:ascii="Arial" w:hAnsi="Arial" w:cs="Arial"/>
          <w:i/>
          <w:iCs/>
          <w:bdr w:val="single" w:sz="4" w:space="0" w:color="auto"/>
        </w:rPr>
        <w:t xml:space="preserve">Definition of “pistol” </w:t>
      </w:r>
    </w:p>
    <w:p w14:paraId="7C998710" w14:textId="77777777" w:rsidR="00D97E84" w:rsidRPr="00FB144B" w:rsidRDefault="00D97E84" w:rsidP="00D97E84">
      <w:pPr>
        <w:pBdr>
          <w:left w:val="single" w:sz="4" w:space="4" w:color="auto"/>
          <w:right w:val="single" w:sz="4" w:space="4" w:color="auto"/>
        </w:pBdr>
        <w:spacing w:line="480" w:lineRule="auto"/>
        <w:ind w:left="720" w:right="720" w:firstLine="720"/>
        <w:rPr>
          <w:rFonts w:ascii="Arial" w:hAnsi="Arial" w:cs="Arial"/>
          <w:b/>
          <w:bCs/>
          <w:sz w:val="28"/>
          <w:szCs w:val="28"/>
        </w:rPr>
      </w:pPr>
      <w:r w:rsidRPr="00FB144B">
        <w:rPr>
          <w:rFonts w:ascii="Arial" w:hAnsi="Arial" w:cs="Arial"/>
          <w:b/>
          <w:bCs/>
          <w:sz w:val="28"/>
          <w:szCs w:val="28"/>
        </w:rPr>
        <w:t>A “pistol” is a handgun with a chamber that is part of the barrel.</w:t>
      </w:r>
    </w:p>
    <w:p w14:paraId="28DF5A17" w14:textId="77777777" w:rsidR="00D97E84" w:rsidRPr="00FB144B" w:rsidRDefault="00D97E84" w:rsidP="00D97E84">
      <w:pPr>
        <w:pBdr>
          <w:left w:val="single" w:sz="4" w:space="4" w:color="auto"/>
          <w:right w:val="single" w:sz="4" w:space="4" w:color="auto"/>
        </w:pBdr>
        <w:ind w:left="720" w:right="720" w:firstLine="720"/>
        <w:jc w:val="both"/>
        <w:rPr>
          <w:rFonts w:ascii="Arial" w:hAnsi="Arial" w:cs="Arial"/>
          <w:color w:val="000000"/>
          <w:sz w:val="20"/>
          <w:szCs w:val="20"/>
        </w:rPr>
      </w:pPr>
      <w:r w:rsidRPr="00FB144B">
        <w:rPr>
          <w:rFonts w:ascii="Arial" w:hAnsi="Arial" w:cs="Arial"/>
          <w:color w:val="000000"/>
          <w:sz w:val="20"/>
          <w:szCs w:val="20"/>
        </w:rPr>
        <w:t>Merriam-Webster.com Dictionary (2024).</w:t>
      </w:r>
    </w:p>
    <w:p w14:paraId="1B8FDFC7" w14:textId="77777777" w:rsidR="00D97E84" w:rsidRPr="00FB144B" w:rsidRDefault="00D97E84" w:rsidP="00D97E84">
      <w:pPr>
        <w:pBdr>
          <w:left w:val="single" w:sz="4" w:space="4" w:color="auto"/>
          <w:right w:val="single" w:sz="4" w:space="4" w:color="auto"/>
        </w:pBdr>
        <w:ind w:left="720" w:right="720" w:firstLine="720"/>
        <w:rPr>
          <w:rFonts w:ascii="Arial" w:hAnsi="Arial" w:cs="Arial"/>
          <w:b/>
          <w:bCs/>
          <w:sz w:val="28"/>
          <w:szCs w:val="28"/>
        </w:rPr>
      </w:pPr>
    </w:p>
    <w:p w14:paraId="79888A57" w14:textId="77777777" w:rsidR="00D97E84" w:rsidRPr="00FB144B" w:rsidRDefault="00D97E84" w:rsidP="00D97E84">
      <w:pPr>
        <w:keepNext/>
        <w:pBdr>
          <w:left w:val="single" w:sz="4" w:space="4" w:color="auto"/>
          <w:right w:val="single" w:sz="4" w:space="4" w:color="auto"/>
        </w:pBdr>
        <w:spacing w:line="480" w:lineRule="auto"/>
        <w:ind w:left="720" w:right="720"/>
        <w:rPr>
          <w:rFonts w:ascii="Arial" w:hAnsi="Arial" w:cs="Arial"/>
          <w:i/>
          <w:iCs/>
          <w:bdr w:val="single" w:sz="4" w:space="0" w:color="auto"/>
        </w:rPr>
      </w:pPr>
      <w:r w:rsidRPr="00FB144B">
        <w:rPr>
          <w:rFonts w:ascii="Arial" w:hAnsi="Arial" w:cs="Arial"/>
          <w:i/>
          <w:iCs/>
          <w:bdr w:val="single" w:sz="4" w:space="0" w:color="auto"/>
        </w:rPr>
        <w:t xml:space="preserve">Definition of “revolver” </w:t>
      </w:r>
    </w:p>
    <w:p w14:paraId="06301C87" w14:textId="77777777" w:rsidR="00D97E84" w:rsidRPr="00FB144B" w:rsidRDefault="00D97E84" w:rsidP="00D97E84">
      <w:pPr>
        <w:pBdr>
          <w:left w:val="single" w:sz="4" w:space="4" w:color="auto"/>
          <w:right w:val="single" w:sz="4" w:space="4" w:color="auto"/>
        </w:pBdr>
        <w:spacing w:line="480" w:lineRule="auto"/>
        <w:ind w:left="720" w:right="720" w:firstLine="720"/>
        <w:contextualSpacing/>
        <w:rPr>
          <w:rFonts w:ascii="Arial" w:hAnsi="Arial" w:cs="Arial"/>
          <w:b/>
          <w:bCs/>
          <w:sz w:val="28"/>
          <w:szCs w:val="28"/>
        </w:rPr>
      </w:pPr>
      <w:r w:rsidRPr="00FB144B">
        <w:rPr>
          <w:rFonts w:ascii="Arial" w:hAnsi="Arial" w:cs="Arial"/>
          <w:b/>
          <w:bCs/>
          <w:sz w:val="28"/>
          <w:szCs w:val="28"/>
        </w:rPr>
        <w:t>A “revolver” is a handgun with a cylinder of several chambers brought successively into line with the barrel and discharged with that barrel’s hammer.</w:t>
      </w:r>
    </w:p>
    <w:p w14:paraId="7EC31053" w14:textId="77777777" w:rsidR="00D97E84" w:rsidRPr="00FB144B" w:rsidRDefault="00D97E84" w:rsidP="00D97E84">
      <w:pPr>
        <w:pBdr>
          <w:left w:val="single" w:sz="4" w:space="4" w:color="auto"/>
          <w:right w:val="single" w:sz="4" w:space="4" w:color="auto"/>
        </w:pBdr>
        <w:ind w:left="720" w:right="720" w:firstLine="720"/>
        <w:contextualSpacing/>
        <w:jc w:val="both"/>
        <w:rPr>
          <w:rFonts w:ascii="Arial" w:hAnsi="Arial" w:cs="Arial"/>
          <w:color w:val="000000"/>
          <w:sz w:val="20"/>
          <w:szCs w:val="20"/>
        </w:rPr>
      </w:pPr>
      <w:r w:rsidRPr="00FB144B">
        <w:rPr>
          <w:rFonts w:ascii="Arial" w:hAnsi="Arial" w:cs="Arial"/>
          <w:color w:val="000000"/>
          <w:sz w:val="20"/>
          <w:szCs w:val="20"/>
        </w:rPr>
        <w:t>Merriam-Webster.com Dictionary (2024).</w:t>
      </w:r>
    </w:p>
    <w:p w14:paraId="1C564394" w14:textId="77777777" w:rsidR="00D97E84" w:rsidRPr="00FB144B" w:rsidRDefault="00D97E84" w:rsidP="00D97E84">
      <w:pPr>
        <w:pBdr>
          <w:left w:val="single" w:sz="4" w:space="4" w:color="auto"/>
          <w:right w:val="single" w:sz="4" w:space="4" w:color="auto"/>
        </w:pBdr>
        <w:ind w:left="720" w:right="720" w:firstLine="720"/>
        <w:contextualSpacing/>
        <w:jc w:val="both"/>
        <w:rPr>
          <w:rFonts w:ascii="Arial" w:hAnsi="Arial" w:cs="Arial"/>
          <w:color w:val="000000"/>
          <w:sz w:val="28"/>
          <w:szCs w:val="28"/>
        </w:rPr>
      </w:pPr>
    </w:p>
    <w:p w14:paraId="346B4F52" w14:textId="77777777" w:rsidR="00D97E84" w:rsidRPr="00FB144B" w:rsidRDefault="00D97E84" w:rsidP="00D97E84">
      <w:pPr>
        <w:pStyle w:val="NormalWeb"/>
        <w:pBdr>
          <w:left w:val="single" w:sz="4" w:space="4" w:color="auto"/>
          <w:right w:val="single" w:sz="4" w:space="4" w:color="auto"/>
        </w:pBdr>
        <w:shd w:val="clear" w:color="auto" w:fill="FFFFFF"/>
        <w:spacing w:after="0" w:line="480" w:lineRule="auto"/>
        <w:ind w:left="720" w:right="720"/>
        <w:textAlignment w:val="baseline"/>
        <w:rPr>
          <w:rFonts w:ascii="Arial" w:hAnsi="Arial" w:cs="Arial"/>
          <w:i/>
          <w:iCs/>
          <w:bdr w:val="single" w:sz="4" w:space="0" w:color="auto"/>
        </w:rPr>
      </w:pPr>
      <w:r w:rsidRPr="00FB144B">
        <w:rPr>
          <w:rFonts w:ascii="Arial" w:hAnsi="Arial" w:cs="Arial"/>
          <w:i/>
          <w:iCs/>
          <w:bdr w:val="single" w:sz="4" w:space="0" w:color="auto"/>
        </w:rPr>
        <w:t xml:space="preserve">Definition of “rifle” </w:t>
      </w:r>
    </w:p>
    <w:p w14:paraId="13CECC5E" w14:textId="77777777" w:rsidR="00D97E84" w:rsidRPr="00FB144B" w:rsidRDefault="00D97E84" w:rsidP="00D97E84">
      <w:pPr>
        <w:pBdr>
          <w:left w:val="single" w:sz="4" w:space="4" w:color="auto"/>
          <w:right w:val="single" w:sz="4" w:space="4" w:color="auto"/>
        </w:pBdr>
        <w:spacing w:line="480" w:lineRule="auto"/>
        <w:ind w:left="720" w:right="720" w:firstLine="720"/>
        <w:rPr>
          <w:rFonts w:ascii="Arial" w:hAnsi="Arial" w:cs="Arial"/>
          <w:b/>
          <w:bCs/>
          <w:sz w:val="28"/>
          <w:szCs w:val="28"/>
        </w:rPr>
      </w:pPr>
      <w:r w:rsidRPr="00FB144B">
        <w:rPr>
          <w:rFonts w:ascii="Arial" w:hAnsi="Arial" w:cs="Arial"/>
          <w:b/>
          <w:bCs/>
          <w:sz w:val="28"/>
          <w:szCs w:val="28"/>
        </w:rPr>
        <w:t xml:space="preserve">A “rifle” is a firearm having a rifled bore with a barrel length equal to or greater than 16 inches and capable of </w:t>
      </w:r>
      <w:r w:rsidRPr="00FB144B">
        <w:rPr>
          <w:rFonts w:ascii="Arial" w:hAnsi="Arial" w:cs="Arial"/>
          <w:b/>
          <w:bCs/>
          <w:sz w:val="28"/>
          <w:szCs w:val="28"/>
        </w:rPr>
        <w:lastRenderedPageBreak/>
        <w:t>discharging a shot or bullet for each pull of the trigger.  The term “barrel length” refers to the portion of a firearm through which a shot or bullet is driven, guided, or stabilized, and includes the chamber.</w:t>
      </w:r>
    </w:p>
    <w:p w14:paraId="7F82E1E0" w14:textId="77777777" w:rsidR="00D97E84" w:rsidRPr="00FB144B" w:rsidRDefault="00D97E84" w:rsidP="00D97E84">
      <w:pPr>
        <w:pBdr>
          <w:left w:val="single" w:sz="4" w:space="4" w:color="auto"/>
          <w:right w:val="single" w:sz="4" w:space="4" w:color="auto"/>
        </w:pBdr>
        <w:ind w:left="720" w:right="720" w:firstLine="720"/>
        <w:jc w:val="both"/>
        <w:rPr>
          <w:rFonts w:ascii="Arial" w:hAnsi="Arial" w:cs="Arial"/>
          <w:color w:val="000000"/>
          <w:sz w:val="20"/>
          <w:szCs w:val="20"/>
        </w:rPr>
      </w:pPr>
      <w:r w:rsidRPr="00FB144B">
        <w:rPr>
          <w:rFonts w:ascii="Arial" w:hAnsi="Arial" w:cs="Arial"/>
          <w:color w:val="000000"/>
          <w:sz w:val="20"/>
          <w:szCs w:val="20"/>
        </w:rPr>
        <w:t>G.L. c. 140, § 121 (defining “’length of barrel’ or ‘barrel length’” and “rifle”).</w:t>
      </w:r>
    </w:p>
    <w:p w14:paraId="5B204343" w14:textId="77777777" w:rsidR="00D97E84" w:rsidRPr="00FB144B" w:rsidRDefault="00D97E84" w:rsidP="00D97E84">
      <w:pPr>
        <w:pBdr>
          <w:left w:val="single" w:sz="4" w:space="4" w:color="auto"/>
          <w:right w:val="single" w:sz="4" w:space="4" w:color="auto"/>
        </w:pBdr>
        <w:ind w:left="720" w:right="720" w:firstLine="720"/>
        <w:rPr>
          <w:rFonts w:ascii="Arial" w:hAnsi="Arial" w:cs="Arial"/>
          <w:b/>
          <w:bCs/>
          <w:sz w:val="28"/>
          <w:szCs w:val="28"/>
        </w:rPr>
      </w:pPr>
    </w:p>
    <w:p w14:paraId="7FC148F6" w14:textId="77777777" w:rsidR="00D97E84" w:rsidRPr="00FB144B" w:rsidRDefault="00D97E84" w:rsidP="00D97E84">
      <w:pPr>
        <w:keepNext/>
        <w:pBdr>
          <w:left w:val="single" w:sz="4" w:space="4" w:color="auto"/>
          <w:right w:val="single" w:sz="4" w:space="4" w:color="auto"/>
        </w:pBdr>
        <w:spacing w:line="480" w:lineRule="auto"/>
        <w:ind w:left="720" w:right="720"/>
        <w:rPr>
          <w:rFonts w:ascii="Arial" w:hAnsi="Arial" w:cs="Arial"/>
          <w:i/>
          <w:iCs/>
          <w:bdr w:val="single" w:sz="4" w:space="0" w:color="auto"/>
        </w:rPr>
      </w:pPr>
      <w:r w:rsidRPr="00FB144B">
        <w:rPr>
          <w:rFonts w:ascii="Arial" w:hAnsi="Arial" w:cs="Arial"/>
          <w:i/>
          <w:iCs/>
          <w:bdr w:val="single" w:sz="4" w:space="0" w:color="auto"/>
        </w:rPr>
        <w:t xml:space="preserve">Definition of “shotgun” </w:t>
      </w:r>
    </w:p>
    <w:p w14:paraId="35190D96" w14:textId="0DC47F53" w:rsidR="00D97E84" w:rsidRPr="00FB144B" w:rsidRDefault="00D97E84" w:rsidP="00D97E84">
      <w:pPr>
        <w:pBdr>
          <w:left w:val="single" w:sz="4" w:space="4" w:color="auto"/>
          <w:right w:val="single" w:sz="4" w:space="4" w:color="auto"/>
        </w:pBdr>
        <w:spacing w:line="480" w:lineRule="auto"/>
        <w:ind w:left="720" w:right="720" w:firstLine="720"/>
        <w:contextualSpacing/>
        <w:rPr>
          <w:rFonts w:ascii="Arial" w:hAnsi="Arial" w:cs="Arial"/>
          <w:b/>
          <w:bCs/>
          <w:sz w:val="28"/>
          <w:szCs w:val="28"/>
        </w:rPr>
      </w:pPr>
      <w:r w:rsidRPr="00FB144B">
        <w:rPr>
          <w:rFonts w:ascii="Arial" w:hAnsi="Arial" w:cs="Arial"/>
          <w:b/>
          <w:bCs/>
          <w:sz w:val="28"/>
          <w:szCs w:val="28"/>
        </w:rPr>
        <w:t>A “shotgun” is a firearm having a smooth bore with a barrel length equal to or greater than 18 inches</w:t>
      </w:r>
      <w:r w:rsidR="0011081A">
        <w:rPr>
          <w:rFonts w:ascii="Arial" w:hAnsi="Arial" w:cs="Arial"/>
          <w:b/>
          <w:bCs/>
          <w:sz w:val="28"/>
          <w:szCs w:val="28"/>
        </w:rPr>
        <w:t>,</w:t>
      </w:r>
      <w:r w:rsidRPr="00FB144B">
        <w:rPr>
          <w:rFonts w:ascii="Arial" w:hAnsi="Arial" w:cs="Arial"/>
          <w:b/>
          <w:bCs/>
          <w:sz w:val="28"/>
          <w:szCs w:val="28"/>
        </w:rPr>
        <w:t xml:space="preserve"> with an overall length equal to or greater than 26 inches</w:t>
      </w:r>
      <w:r w:rsidR="0011081A">
        <w:rPr>
          <w:rFonts w:ascii="Arial" w:hAnsi="Arial" w:cs="Arial"/>
          <w:b/>
          <w:bCs/>
          <w:sz w:val="28"/>
          <w:szCs w:val="28"/>
        </w:rPr>
        <w:t>,</w:t>
      </w:r>
      <w:r w:rsidRPr="00FB144B">
        <w:rPr>
          <w:rFonts w:ascii="Arial" w:hAnsi="Arial" w:cs="Arial"/>
          <w:b/>
          <w:bCs/>
          <w:sz w:val="28"/>
          <w:szCs w:val="28"/>
        </w:rPr>
        <w:t xml:space="preserve"> and </w:t>
      </w:r>
      <w:r w:rsidR="0011081A">
        <w:rPr>
          <w:rFonts w:ascii="Arial" w:hAnsi="Arial" w:cs="Arial"/>
          <w:b/>
          <w:bCs/>
          <w:sz w:val="28"/>
          <w:szCs w:val="28"/>
        </w:rPr>
        <w:t xml:space="preserve">that is </w:t>
      </w:r>
      <w:r w:rsidRPr="00FB144B">
        <w:rPr>
          <w:rFonts w:ascii="Arial" w:hAnsi="Arial" w:cs="Arial"/>
          <w:b/>
          <w:bCs/>
          <w:sz w:val="28"/>
          <w:szCs w:val="28"/>
        </w:rPr>
        <w:t>capable of discharging a shot or bullet for each pull of the trigger.  The term “barrel length” refers to the portion of a firearm through which a shot or bullet is driven, guided, or stabilized, and includes the chamber.</w:t>
      </w:r>
    </w:p>
    <w:p w14:paraId="1D2B1606" w14:textId="77777777" w:rsidR="00D97E84" w:rsidRPr="00FB144B" w:rsidRDefault="00D97E84" w:rsidP="00D97E84">
      <w:pPr>
        <w:pBdr>
          <w:left w:val="single" w:sz="4" w:space="4" w:color="auto"/>
          <w:right w:val="single" w:sz="4" w:space="4" w:color="auto"/>
        </w:pBdr>
        <w:spacing w:line="480" w:lineRule="auto"/>
        <w:ind w:left="720" w:right="720" w:firstLine="720"/>
        <w:rPr>
          <w:rFonts w:ascii="Arial" w:hAnsi="Arial" w:cs="Arial"/>
          <w:color w:val="000000"/>
          <w:sz w:val="20"/>
          <w:szCs w:val="20"/>
        </w:rPr>
      </w:pPr>
      <w:r w:rsidRPr="00FB144B">
        <w:rPr>
          <w:rFonts w:ascii="Arial" w:hAnsi="Arial" w:cs="Arial"/>
          <w:color w:val="000000"/>
          <w:sz w:val="20"/>
          <w:szCs w:val="20"/>
        </w:rPr>
        <w:t>G.L. c. 140, § 121 (defining “’length of barrel’ or ‘barrel length’” and “shotgun”).</w:t>
      </w:r>
    </w:p>
    <w:p w14:paraId="3670689B" w14:textId="77777777" w:rsidR="006F1804" w:rsidRPr="00FB144B" w:rsidRDefault="006F1804" w:rsidP="004E62A0">
      <w:pPr>
        <w:pStyle w:val="Heading1"/>
        <w:spacing w:line="489" w:lineRule="auto"/>
        <w:ind w:left="0" w:firstLine="600"/>
      </w:pPr>
    </w:p>
    <w:p w14:paraId="5E9EDD43" w14:textId="07D42ED9" w:rsidR="00576FF2" w:rsidRPr="00FB144B" w:rsidRDefault="00AF581A" w:rsidP="004E62A0">
      <w:pPr>
        <w:pStyle w:val="Heading1"/>
        <w:spacing w:line="489" w:lineRule="auto"/>
        <w:ind w:left="0" w:firstLine="600"/>
        <w:rPr>
          <w:b w:val="0"/>
        </w:rPr>
      </w:pPr>
      <w:r w:rsidRPr="00FB144B">
        <w:t>T</w:t>
      </w:r>
      <w:r w:rsidR="006D60F0" w:rsidRPr="00FB144B">
        <w:t xml:space="preserve">o prove the </w:t>
      </w:r>
      <w:r w:rsidR="006D60F0" w:rsidRPr="00FB144B">
        <w:rPr>
          <w:iCs/>
        </w:rPr>
        <w:t>third</w:t>
      </w:r>
      <w:r w:rsidR="006D60F0" w:rsidRPr="00FB144B">
        <w:t xml:space="preserve"> element, the Commonwealth must prove</w:t>
      </w:r>
      <w:r w:rsidR="00037776" w:rsidRPr="00FB144B">
        <w:t xml:space="preserve"> </w:t>
      </w:r>
      <w:r w:rsidR="00FB144B">
        <w:t xml:space="preserve">beyond a reasonable doubt </w:t>
      </w:r>
      <w:r w:rsidR="00915CC1" w:rsidRPr="00FB144B">
        <w:rPr>
          <w:bCs w:val="0"/>
        </w:rPr>
        <w:t>that the defendant discharged the firearm either intentionally or recklessly.</w:t>
      </w:r>
      <w:r w:rsidR="00915CC1" w:rsidRPr="00FB144B">
        <w:rPr>
          <w:b w:val="0"/>
        </w:rPr>
        <w:t xml:space="preserve"> </w:t>
      </w:r>
    </w:p>
    <w:p w14:paraId="59937A0B" w14:textId="47BC8DBB" w:rsidR="00576FF2" w:rsidRPr="00FB144B" w:rsidRDefault="00684187" w:rsidP="004E62A0">
      <w:pPr>
        <w:pStyle w:val="Heading1"/>
        <w:spacing w:line="489" w:lineRule="auto"/>
        <w:ind w:left="0" w:firstLine="600"/>
      </w:pPr>
      <w:r w:rsidRPr="00FB144B">
        <w:t xml:space="preserve">To prove </w:t>
      </w:r>
      <w:r w:rsidR="004E62A0" w:rsidRPr="00FB144B">
        <w:t xml:space="preserve">that </w:t>
      </w:r>
      <w:r w:rsidRPr="00FB144B">
        <w:t>the defendant</w:t>
      </w:r>
      <w:r w:rsidR="00EB32B7" w:rsidRPr="00FB144B">
        <w:t xml:space="preserve"> </w:t>
      </w:r>
      <w:r w:rsidR="004E62A0" w:rsidRPr="00FB144B">
        <w:t>i</w:t>
      </w:r>
      <w:r w:rsidR="007C3E53" w:rsidRPr="00FB144B">
        <w:t>ntentionally</w:t>
      </w:r>
      <w:r w:rsidR="008E7BE5">
        <w:t xml:space="preserve"> discharged the firearm</w:t>
      </w:r>
      <w:r w:rsidR="00EB32B7" w:rsidRPr="00FB144B">
        <w:t xml:space="preserve">, </w:t>
      </w:r>
      <w:r w:rsidRPr="00FB144B">
        <w:t>the Commonwealth must prove</w:t>
      </w:r>
      <w:r w:rsidR="00FB144B">
        <w:t xml:space="preserve"> beyond a reasonable doubt</w:t>
      </w:r>
      <w:r w:rsidRPr="00FB144B">
        <w:t xml:space="preserve"> </w:t>
      </w:r>
      <w:r w:rsidR="007C3E53" w:rsidRPr="00FB144B">
        <w:t xml:space="preserve">that </w:t>
      </w:r>
      <w:r w:rsidRPr="00FB144B">
        <w:t xml:space="preserve">the defendant </w:t>
      </w:r>
      <w:r w:rsidR="004E62A0" w:rsidRPr="00FB144B">
        <w:t>consciously</w:t>
      </w:r>
      <w:r w:rsidR="00EB32B7" w:rsidRPr="00FB144B">
        <w:t xml:space="preserve"> and deliberately </w:t>
      </w:r>
      <w:r w:rsidR="00374BA8" w:rsidRPr="00FB144B">
        <w:t xml:space="preserve">discharged the firearm </w:t>
      </w:r>
      <w:r w:rsidR="00EB32B7" w:rsidRPr="00FB144B">
        <w:t xml:space="preserve">and </w:t>
      </w:r>
      <w:r w:rsidR="00EB32B7" w:rsidRPr="00FB144B">
        <w:lastRenderedPageBreak/>
        <w:t>that the discharge w</w:t>
      </w:r>
      <w:r w:rsidR="00F2406C" w:rsidRPr="00FB144B">
        <w:t>as not merely accidental or negligent.</w:t>
      </w:r>
      <w:r w:rsidR="004E62A0" w:rsidRPr="00FB144B">
        <w:t xml:space="preserve">  </w:t>
      </w:r>
    </w:p>
    <w:p w14:paraId="1462175A" w14:textId="4C31CDF2" w:rsidR="00684187" w:rsidRPr="00FB144B" w:rsidRDefault="00684187" w:rsidP="00576FF2">
      <w:pPr>
        <w:pStyle w:val="Heading1"/>
        <w:spacing w:line="489" w:lineRule="auto"/>
        <w:ind w:left="0" w:firstLine="600"/>
      </w:pPr>
      <w:r w:rsidRPr="00FB144B">
        <w:t xml:space="preserve">To prove </w:t>
      </w:r>
      <w:r w:rsidR="004E62A0" w:rsidRPr="00FB144B">
        <w:t>that</w:t>
      </w:r>
      <w:r w:rsidR="00374BA8" w:rsidRPr="00FB144B">
        <w:t xml:space="preserve"> </w:t>
      </w:r>
      <w:r w:rsidRPr="00FB144B">
        <w:t>the defendant recklessly</w:t>
      </w:r>
      <w:r w:rsidR="00852314" w:rsidRPr="00FB144B">
        <w:t xml:space="preserve"> discharged the firearm</w:t>
      </w:r>
      <w:r w:rsidRPr="00FB144B">
        <w:t xml:space="preserve">, the Commonwealth must prove </w:t>
      </w:r>
      <w:r w:rsidR="00C83802">
        <w:t xml:space="preserve">beyond a reasonable doubt </w:t>
      </w:r>
      <w:r w:rsidRPr="00FB144B">
        <w:t xml:space="preserve">that the defendant’s actions went beyond mere negligence or carelessness.  The defendant acted recklessly if the defendant knew, or should have known, that their actions were very likely to result in </w:t>
      </w:r>
      <w:r w:rsidR="00852314" w:rsidRPr="00FB144B">
        <w:t>discharge of the firearm</w:t>
      </w:r>
      <w:r w:rsidRPr="00FB144B">
        <w:t xml:space="preserve">, but they </w:t>
      </w:r>
      <w:r w:rsidR="00467DAE">
        <w:t>acted anyway, despite that risk</w:t>
      </w:r>
      <w:r w:rsidRPr="00FB144B">
        <w:t xml:space="preserve">.  The Commonwealth need not prove that the defendant </w:t>
      </w:r>
      <w:r w:rsidR="00860051">
        <w:t>could predict or</w:t>
      </w:r>
      <w:r w:rsidR="00D64893">
        <w:t xml:space="preserve"> expect</w:t>
      </w:r>
      <w:r w:rsidR="00860051" w:rsidRPr="00FB144B">
        <w:t xml:space="preserve"> </w:t>
      </w:r>
      <w:r w:rsidRPr="00FB144B">
        <w:t xml:space="preserve">that </w:t>
      </w:r>
      <w:r w:rsidR="00D64893">
        <w:t xml:space="preserve">the </w:t>
      </w:r>
      <w:r w:rsidR="000362E2">
        <w:t xml:space="preserve">firearm </w:t>
      </w:r>
      <w:r w:rsidR="00D64893">
        <w:t>discharge</w:t>
      </w:r>
      <w:r w:rsidR="00D64893" w:rsidRPr="00FB144B">
        <w:t xml:space="preserve"> </w:t>
      </w:r>
      <w:r w:rsidRPr="00FB144B">
        <w:t xml:space="preserve">would happen, </w:t>
      </w:r>
      <w:r w:rsidR="00D64893">
        <w:t>n</w:t>
      </w:r>
      <w:r w:rsidRPr="00FB144B">
        <w:t xml:space="preserve">or </w:t>
      </w:r>
      <w:r w:rsidR="00D64893">
        <w:t xml:space="preserve">does the Commonwealth need to prove </w:t>
      </w:r>
      <w:r w:rsidRPr="00FB144B">
        <w:t>that the defendant was conscious</w:t>
      </w:r>
      <w:r w:rsidR="002529E6">
        <w:t xml:space="preserve"> or aware</w:t>
      </w:r>
      <w:r w:rsidRPr="00FB144B">
        <w:t xml:space="preserve"> that their conduct would </w:t>
      </w:r>
      <w:r w:rsidR="000362E2">
        <w:t>lead to the firearm discharge</w:t>
      </w:r>
      <w:r w:rsidRPr="00FB144B">
        <w:t xml:space="preserve">.  It is enough if a reasonable person, under the circumstances as they were known to the defendant, would have recognized that such actions were very likely to result in </w:t>
      </w:r>
      <w:r w:rsidR="008E1DB9" w:rsidRPr="00FB144B">
        <w:t>discharge of the firearm</w:t>
      </w:r>
      <w:r w:rsidRPr="00FB144B">
        <w:t xml:space="preserve">.  </w:t>
      </w:r>
      <w:r w:rsidR="00576FF2" w:rsidRPr="00FB144B">
        <w:t>I</w:t>
      </w:r>
      <w:r w:rsidRPr="00FB144B">
        <w:t>t is not enough for the Commonwealth to prove that the defendant acted negligently – that is, acted in a way that a reasonably careful person would not.  Rather, the Commonwealth must prove that the defendant acted recklessly.</w:t>
      </w:r>
    </w:p>
    <w:p w14:paraId="1289C245" w14:textId="32816E19" w:rsidR="006D60F0" w:rsidRPr="00FB144B" w:rsidRDefault="009615E0" w:rsidP="006D60F0">
      <w:pPr>
        <w:spacing w:line="480" w:lineRule="auto"/>
        <w:ind w:firstLine="720"/>
        <w:rPr>
          <w:rFonts w:ascii="Arial" w:hAnsi="Arial" w:cs="Arial"/>
          <w:b/>
          <w:sz w:val="28"/>
          <w:szCs w:val="28"/>
        </w:rPr>
      </w:pPr>
      <w:r w:rsidRPr="00FB144B">
        <w:rPr>
          <w:rFonts w:ascii="Arial" w:hAnsi="Arial" w:cs="Arial"/>
          <w:b/>
          <w:sz w:val="28"/>
          <w:szCs w:val="28"/>
        </w:rPr>
        <w:t xml:space="preserve">To prove the fourth element, the Commonwealth must prove </w:t>
      </w:r>
      <w:r w:rsidR="00037776" w:rsidRPr="00FB144B">
        <w:rPr>
          <w:rFonts w:ascii="Arial" w:hAnsi="Arial" w:cs="Arial"/>
          <w:b/>
          <w:sz w:val="28"/>
          <w:szCs w:val="28"/>
        </w:rPr>
        <w:t>beyond a reasonable doubt</w:t>
      </w:r>
      <w:r w:rsidR="006D60F0" w:rsidRPr="00FB144B">
        <w:rPr>
          <w:rFonts w:ascii="Arial" w:hAnsi="Arial" w:cs="Arial"/>
          <w:b/>
          <w:sz w:val="28"/>
          <w:szCs w:val="28"/>
        </w:rPr>
        <w:t xml:space="preserve"> that</w:t>
      </w:r>
      <w:r w:rsidRPr="00FB144B">
        <w:rPr>
          <w:rFonts w:ascii="Arial" w:hAnsi="Arial" w:cs="Arial"/>
          <w:b/>
          <w:sz w:val="28"/>
          <w:szCs w:val="28"/>
        </w:rPr>
        <w:t xml:space="preserve"> </w:t>
      </w:r>
      <w:r w:rsidR="00E069DD">
        <w:rPr>
          <w:rFonts w:ascii="Arial" w:hAnsi="Arial" w:cs="Arial"/>
          <w:b/>
          <w:sz w:val="28"/>
          <w:szCs w:val="28"/>
        </w:rPr>
        <w:t>the object</w:t>
      </w:r>
      <w:r w:rsidRPr="00FB144B">
        <w:rPr>
          <w:rFonts w:ascii="Arial" w:hAnsi="Arial" w:cs="Arial"/>
          <w:b/>
          <w:sz w:val="28"/>
          <w:szCs w:val="28"/>
        </w:rPr>
        <w:t xml:space="preserve"> discharge</w:t>
      </w:r>
      <w:r w:rsidR="00D2089E" w:rsidRPr="00FB144B">
        <w:rPr>
          <w:rFonts w:ascii="Arial" w:hAnsi="Arial" w:cs="Arial"/>
          <w:b/>
          <w:sz w:val="28"/>
          <w:szCs w:val="28"/>
        </w:rPr>
        <w:t>d</w:t>
      </w:r>
      <w:r w:rsidRPr="00FB144B">
        <w:rPr>
          <w:rFonts w:ascii="Arial" w:hAnsi="Arial" w:cs="Arial"/>
          <w:b/>
          <w:sz w:val="28"/>
          <w:szCs w:val="28"/>
        </w:rPr>
        <w:t xml:space="preserve"> </w:t>
      </w:r>
      <w:r w:rsidR="00E069DD">
        <w:rPr>
          <w:rFonts w:ascii="Arial" w:hAnsi="Arial" w:cs="Arial"/>
          <w:b/>
          <w:sz w:val="28"/>
          <w:szCs w:val="28"/>
        </w:rPr>
        <w:t xml:space="preserve">by the firearm </w:t>
      </w:r>
      <w:r w:rsidRPr="00FB144B">
        <w:rPr>
          <w:rFonts w:ascii="Arial" w:hAnsi="Arial" w:cs="Arial"/>
          <w:b/>
          <w:sz w:val="28"/>
          <w:szCs w:val="28"/>
        </w:rPr>
        <w:t>struck</w:t>
      </w:r>
      <w:r w:rsidR="006D60F0" w:rsidRPr="00FB144B">
        <w:rPr>
          <w:rFonts w:ascii="Arial" w:hAnsi="Arial" w:cs="Arial"/>
          <w:b/>
          <w:sz w:val="28"/>
          <w:szCs w:val="28"/>
        </w:rPr>
        <w:t xml:space="preserve"> </w:t>
      </w:r>
      <w:r w:rsidR="00037776" w:rsidRPr="00FB144B">
        <w:rPr>
          <w:rFonts w:ascii="Arial" w:hAnsi="Arial" w:cs="Arial"/>
          <w:b/>
          <w:sz w:val="28"/>
          <w:szCs w:val="28"/>
        </w:rPr>
        <w:t>a</w:t>
      </w:r>
      <w:r w:rsidR="00740A0A" w:rsidRPr="00FB144B">
        <w:rPr>
          <w:rFonts w:ascii="Arial" w:hAnsi="Arial" w:cs="Arial"/>
          <w:b/>
          <w:sz w:val="28"/>
          <w:szCs w:val="28"/>
        </w:rPr>
        <w:t xml:space="preserve"> </w:t>
      </w:r>
      <w:r w:rsidR="008D3FDD" w:rsidRPr="00FB144B">
        <w:rPr>
          <w:rFonts w:ascii="Arial" w:hAnsi="Arial" w:cs="Arial"/>
          <w:b/>
          <w:sz w:val="28"/>
          <w:szCs w:val="28"/>
        </w:rPr>
        <w:t>(</w:t>
      </w:r>
      <w:r w:rsidR="00740A0A" w:rsidRPr="00FB144B">
        <w:rPr>
          <w:rFonts w:ascii="Arial" w:hAnsi="Arial" w:cs="Arial"/>
          <w:b/>
          <w:sz w:val="28"/>
          <w:szCs w:val="28"/>
        </w:rPr>
        <w:t>dwelling</w:t>
      </w:r>
      <w:r w:rsidR="008D3FDD" w:rsidRPr="00FB144B">
        <w:rPr>
          <w:rFonts w:ascii="Arial" w:hAnsi="Arial" w:cs="Arial"/>
          <w:b/>
          <w:sz w:val="28"/>
          <w:szCs w:val="28"/>
        </w:rPr>
        <w:t>)</w:t>
      </w:r>
      <w:r w:rsidR="00740A0A" w:rsidRPr="00FB144B">
        <w:rPr>
          <w:rFonts w:ascii="Arial" w:hAnsi="Arial" w:cs="Arial"/>
          <w:b/>
          <w:sz w:val="28"/>
          <w:szCs w:val="28"/>
        </w:rPr>
        <w:t xml:space="preserve"> </w:t>
      </w:r>
      <w:r w:rsidR="008D3FDD" w:rsidRPr="00FB144B">
        <w:rPr>
          <w:rFonts w:ascii="Arial" w:hAnsi="Arial" w:cs="Arial"/>
          <w:b/>
          <w:sz w:val="28"/>
          <w:szCs w:val="28"/>
        </w:rPr>
        <w:t>(</w:t>
      </w:r>
      <w:r w:rsidR="00740A0A" w:rsidRPr="00FB144B">
        <w:rPr>
          <w:rFonts w:ascii="Arial" w:hAnsi="Arial" w:cs="Arial"/>
          <w:b/>
          <w:sz w:val="28"/>
          <w:szCs w:val="28"/>
        </w:rPr>
        <w:t>building</w:t>
      </w:r>
      <w:r w:rsidR="008D3FDD" w:rsidRPr="00FB144B">
        <w:rPr>
          <w:rFonts w:ascii="Arial" w:hAnsi="Arial" w:cs="Arial"/>
          <w:b/>
          <w:sz w:val="28"/>
          <w:szCs w:val="28"/>
        </w:rPr>
        <w:t>)</w:t>
      </w:r>
      <w:r w:rsidR="006B346E" w:rsidRPr="00FB144B">
        <w:rPr>
          <w:rFonts w:ascii="Arial" w:hAnsi="Arial" w:cs="Arial"/>
          <w:b/>
          <w:sz w:val="28"/>
          <w:szCs w:val="28"/>
        </w:rPr>
        <w:t xml:space="preserve"> that was </w:t>
      </w:r>
      <w:r w:rsidR="005C26C2" w:rsidRPr="00FB144B">
        <w:rPr>
          <w:rFonts w:ascii="Arial" w:hAnsi="Arial" w:cs="Arial"/>
          <w:b/>
          <w:sz w:val="28"/>
          <w:szCs w:val="28"/>
        </w:rPr>
        <w:t>“</w:t>
      </w:r>
      <w:r w:rsidR="006B346E" w:rsidRPr="00FB144B">
        <w:rPr>
          <w:rFonts w:ascii="Arial" w:hAnsi="Arial" w:cs="Arial"/>
          <w:b/>
          <w:sz w:val="28"/>
          <w:szCs w:val="28"/>
        </w:rPr>
        <w:t>in use”</w:t>
      </w:r>
      <w:r w:rsidR="006D60F0" w:rsidRPr="00FB144B">
        <w:rPr>
          <w:rFonts w:ascii="Arial" w:hAnsi="Arial" w:cs="Arial"/>
          <w:b/>
          <w:sz w:val="28"/>
          <w:szCs w:val="28"/>
        </w:rPr>
        <w:t>.</w:t>
      </w:r>
      <w:r w:rsidR="00740A0A" w:rsidRPr="00FB144B">
        <w:rPr>
          <w:rFonts w:ascii="Arial" w:hAnsi="Arial" w:cs="Arial"/>
          <w:b/>
          <w:sz w:val="28"/>
          <w:szCs w:val="28"/>
        </w:rPr>
        <w:t xml:space="preserve">  Th</w:t>
      </w:r>
      <w:r w:rsidR="005C26C2" w:rsidRPr="00FB144B">
        <w:rPr>
          <w:rFonts w:ascii="Arial" w:hAnsi="Arial" w:cs="Arial"/>
          <w:b/>
          <w:sz w:val="28"/>
          <w:szCs w:val="28"/>
        </w:rPr>
        <w:t>is requires the</w:t>
      </w:r>
      <w:r w:rsidR="0040445D" w:rsidRPr="00FB144B">
        <w:rPr>
          <w:rFonts w:ascii="Arial" w:hAnsi="Arial" w:cs="Arial"/>
          <w:b/>
          <w:sz w:val="28"/>
          <w:szCs w:val="28"/>
        </w:rPr>
        <w:t xml:space="preserve"> </w:t>
      </w:r>
      <w:r w:rsidR="0040445D" w:rsidRPr="00FB144B">
        <w:rPr>
          <w:rFonts w:ascii="Arial" w:hAnsi="Arial" w:cs="Arial"/>
          <w:b/>
          <w:sz w:val="28"/>
          <w:szCs w:val="28"/>
        </w:rPr>
        <w:lastRenderedPageBreak/>
        <w:t>C</w:t>
      </w:r>
      <w:r w:rsidR="00740A0A" w:rsidRPr="00FB144B">
        <w:rPr>
          <w:rFonts w:ascii="Arial" w:hAnsi="Arial" w:cs="Arial"/>
          <w:b/>
          <w:sz w:val="28"/>
          <w:szCs w:val="28"/>
        </w:rPr>
        <w:t xml:space="preserve">ommonwealth </w:t>
      </w:r>
      <w:r w:rsidR="005C26C2" w:rsidRPr="00FB144B">
        <w:rPr>
          <w:rFonts w:ascii="Arial" w:hAnsi="Arial" w:cs="Arial"/>
          <w:b/>
          <w:sz w:val="28"/>
          <w:szCs w:val="28"/>
        </w:rPr>
        <w:t>to</w:t>
      </w:r>
      <w:r w:rsidR="00740A0A" w:rsidRPr="00FB144B">
        <w:rPr>
          <w:rFonts w:ascii="Arial" w:hAnsi="Arial" w:cs="Arial"/>
          <w:b/>
          <w:sz w:val="28"/>
          <w:szCs w:val="28"/>
        </w:rPr>
        <w:t xml:space="preserve"> prove that the </w:t>
      </w:r>
      <w:r w:rsidR="008D3FDD" w:rsidRPr="00FB144B">
        <w:rPr>
          <w:rFonts w:ascii="Arial" w:hAnsi="Arial" w:cs="Arial"/>
          <w:b/>
          <w:sz w:val="28"/>
          <w:szCs w:val="28"/>
        </w:rPr>
        <w:t>(</w:t>
      </w:r>
      <w:r w:rsidR="00740A0A" w:rsidRPr="00FB144B">
        <w:rPr>
          <w:rFonts w:ascii="Arial" w:hAnsi="Arial" w:cs="Arial"/>
          <w:b/>
          <w:sz w:val="28"/>
          <w:szCs w:val="28"/>
        </w:rPr>
        <w:t>dwelling</w:t>
      </w:r>
      <w:r w:rsidR="008D3FDD" w:rsidRPr="00FB144B">
        <w:rPr>
          <w:rFonts w:ascii="Arial" w:hAnsi="Arial" w:cs="Arial"/>
          <w:b/>
          <w:sz w:val="28"/>
          <w:szCs w:val="28"/>
        </w:rPr>
        <w:t>)</w:t>
      </w:r>
      <w:r w:rsidR="00740A0A" w:rsidRPr="00FB144B">
        <w:rPr>
          <w:rFonts w:ascii="Arial" w:hAnsi="Arial" w:cs="Arial"/>
          <w:b/>
          <w:sz w:val="28"/>
          <w:szCs w:val="28"/>
        </w:rPr>
        <w:t xml:space="preserve"> </w:t>
      </w:r>
      <w:r w:rsidR="008D3FDD" w:rsidRPr="00FB144B">
        <w:rPr>
          <w:rFonts w:ascii="Arial" w:hAnsi="Arial" w:cs="Arial"/>
          <w:b/>
          <w:sz w:val="28"/>
          <w:szCs w:val="28"/>
        </w:rPr>
        <w:t>(</w:t>
      </w:r>
      <w:r w:rsidR="00740A0A" w:rsidRPr="00FB144B">
        <w:rPr>
          <w:rFonts w:ascii="Arial" w:hAnsi="Arial" w:cs="Arial"/>
          <w:b/>
          <w:sz w:val="28"/>
          <w:szCs w:val="28"/>
        </w:rPr>
        <w:t>building</w:t>
      </w:r>
      <w:r w:rsidR="008D3FDD" w:rsidRPr="00FB144B">
        <w:rPr>
          <w:rFonts w:ascii="Arial" w:hAnsi="Arial" w:cs="Arial"/>
          <w:b/>
          <w:sz w:val="28"/>
          <w:szCs w:val="28"/>
        </w:rPr>
        <w:t>)</w:t>
      </w:r>
      <w:r w:rsidR="00740A0A" w:rsidRPr="00FB144B">
        <w:rPr>
          <w:rFonts w:ascii="Arial" w:hAnsi="Arial" w:cs="Arial"/>
          <w:b/>
          <w:sz w:val="28"/>
          <w:szCs w:val="28"/>
        </w:rPr>
        <w:t xml:space="preserve"> was </w:t>
      </w:r>
      <w:r w:rsidR="00F66AC5" w:rsidRPr="00FB144B">
        <w:rPr>
          <w:rFonts w:ascii="Arial" w:hAnsi="Arial" w:cs="Arial"/>
          <w:b/>
          <w:sz w:val="28"/>
          <w:szCs w:val="28"/>
        </w:rPr>
        <w:t xml:space="preserve">an active </w:t>
      </w:r>
      <w:r w:rsidR="008D3FDD" w:rsidRPr="00FB144B">
        <w:rPr>
          <w:rFonts w:ascii="Arial" w:hAnsi="Arial" w:cs="Arial"/>
          <w:b/>
          <w:sz w:val="28"/>
          <w:szCs w:val="28"/>
        </w:rPr>
        <w:t>(</w:t>
      </w:r>
      <w:r w:rsidR="00F66AC5" w:rsidRPr="00FB144B">
        <w:rPr>
          <w:rFonts w:ascii="Arial" w:hAnsi="Arial" w:cs="Arial"/>
          <w:b/>
          <w:sz w:val="28"/>
          <w:szCs w:val="28"/>
        </w:rPr>
        <w:t>dwelling</w:t>
      </w:r>
      <w:r w:rsidR="008D3FDD" w:rsidRPr="00FB144B">
        <w:rPr>
          <w:rFonts w:ascii="Arial" w:hAnsi="Arial" w:cs="Arial"/>
          <w:b/>
          <w:sz w:val="28"/>
          <w:szCs w:val="28"/>
        </w:rPr>
        <w:t>)</w:t>
      </w:r>
      <w:r w:rsidR="00F66AC5" w:rsidRPr="00FB144B">
        <w:rPr>
          <w:rFonts w:ascii="Arial" w:hAnsi="Arial" w:cs="Arial"/>
          <w:b/>
          <w:sz w:val="28"/>
          <w:szCs w:val="28"/>
        </w:rPr>
        <w:t xml:space="preserve"> </w:t>
      </w:r>
      <w:r w:rsidR="008D3FDD" w:rsidRPr="00FB144B">
        <w:rPr>
          <w:rFonts w:ascii="Arial" w:hAnsi="Arial" w:cs="Arial"/>
          <w:b/>
          <w:sz w:val="28"/>
          <w:szCs w:val="28"/>
        </w:rPr>
        <w:t>(</w:t>
      </w:r>
      <w:r w:rsidR="00F66AC5" w:rsidRPr="00FB144B">
        <w:rPr>
          <w:rFonts w:ascii="Arial" w:hAnsi="Arial" w:cs="Arial"/>
          <w:b/>
          <w:sz w:val="28"/>
          <w:szCs w:val="28"/>
        </w:rPr>
        <w:t>building</w:t>
      </w:r>
      <w:r w:rsidR="008D3FDD" w:rsidRPr="00FB144B">
        <w:rPr>
          <w:rFonts w:ascii="Arial" w:hAnsi="Arial" w:cs="Arial"/>
          <w:b/>
          <w:sz w:val="28"/>
          <w:szCs w:val="28"/>
        </w:rPr>
        <w:t>)</w:t>
      </w:r>
      <w:r w:rsidR="00037776" w:rsidRPr="00FB144B">
        <w:rPr>
          <w:rFonts w:ascii="Arial" w:hAnsi="Arial" w:cs="Arial"/>
          <w:b/>
          <w:sz w:val="28"/>
          <w:szCs w:val="28"/>
        </w:rPr>
        <w:t xml:space="preserve"> which was </w:t>
      </w:r>
      <w:r w:rsidR="00DF5F7B" w:rsidRPr="00FB144B">
        <w:rPr>
          <w:rFonts w:ascii="Arial" w:hAnsi="Arial" w:cs="Arial"/>
          <w:b/>
          <w:sz w:val="28"/>
          <w:szCs w:val="28"/>
        </w:rPr>
        <w:t xml:space="preserve">being used by </w:t>
      </w:r>
      <w:r w:rsidR="00740A0A" w:rsidRPr="00FB144B">
        <w:rPr>
          <w:rFonts w:ascii="Arial" w:hAnsi="Arial" w:cs="Arial"/>
          <w:b/>
          <w:sz w:val="28"/>
          <w:szCs w:val="28"/>
        </w:rPr>
        <w:t>one or more persons.</w:t>
      </w:r>
      <w:r w:rsidR="000F0A68" w:rsidRPr="00FB144B">
        <w:rPr>
          <w:rFonts w:ascii="Arial" w:hAnsi="Arial" w:cs="Arial"/>
          <w:b/>
          <w:sz w:val="28"/>
          <w:szCs w:val="28"/>
        </w:rPr>
        <w:t xml:space="preserve">  </w:t>
      </w:r>
      <w:r w:rsidR="00932085" w:rsidRPr="00FB144B">
        <w:rPr>
          <w:rFonts w:ascii="Arial" w:hAnsi="Arial" w:cs="Arial"/>
          <w:b/>
          <w:sz w:val="28"/>
          <w:szCs w:val="28"/>
        </w:rPr>
        <w:t>However, t</w:t>
      </w:r>
      <w:r w:rsidR="000F0A68" w:rsidRPr="00FB144B">
        <w:rPr>
          <w:rFonts w:ascii="Arial" w:hAnsi="Arial" w:cs="Arial"/>
          <w:b/>
          <w:sz w:val="28"/>
          <w:szCs w:val="28"/>
        </w:rPr>
        <w:t xml:space="preserve">he Commonwealth is not required to prove that the </w:t>
      </w:r>
      <w:r w:rsidR="008D3FDD" w:rsidRPr="00FB144B">
        <w:rPr>
          <w:rFonts w:ascii="Arial" w:hAnsi="Arial" w:cs="Arial"/>
          <w:b/>
          <w:sz w:val="28"/>
          <w:szCs w:val="28"/>
        </w:rPr>
        <w:t>(</w:t>
      </w:r>
      <w:r w:rsidR="000F0A68" w:rsidRPr="00FB144B">
        <w:rPr>
          <w:rFonts w:ascii="Arial" w:hAnsi="Arial" w:cs="Arial"/>
          <w:b/>
          <w:sz w:val="28"/>
          <w:szCs w:val="28"/>
        </w:rPr>
        <w:t>dwelling</w:t>
      </w:r>
      <w:r w:rsidR="008D3FDD" w:rsidRPr="00FB144B">
        <w:rPr>
          <w:rFonts w:ascii="Arial" w:hAnsi="Arial" w:cs="Arial"/>
          <w:b/>
          <w:sz w:val="28"/>
          <w:szCs w:val="28"/>
        </w:rPr>
        <w:t>)</w:t>
      </w:r>
      <w:r w:rsidR="000F0A68" w:rsidRPr="00FB144B">
        <w:rPr>
          <w:rFonts w:ascii="Arial" w:hAnsi="Arial" w:cs="Arial"/>
          <w:b/>
          <w:sz w:val="28"/>
          <w:szCs w:val="28"/>
        </w:rPr>
        <w:t xml:space="preserve"> </w:t>
      </w:r>
      <w:r w:rsidR="008D3FDD" w:rsidRPr="00FB144B">
        <w:rPr>
          <w:rFonts w:ascii="Arial" w:hAnsi="Arial" w:cs="Arial"/>
          <w:b/>
          <w:sz w:val="28"/>
          <w:szCs w:val="28"/>
        </w:rPr>
        <w:t>(</w:t>
      </w:r>
      <w:r w:rsidR="000F0A68" w:rsidRPr="00FB144B">
        <w:rPr>
          <w:rFonts w:ascii="Arial" w:hAnsi="Arial" w:cs="Arial"/>
          <w:b/>
          <w:sz w:val="28"/>
          <w:szCs w:val="28"/>
        </w:rPr>
        <w:t>building</w:t>
      </w:r>
      <w:r w:rsidR="008D3FDD" w:rsidRPr="00FB144B">
        <w:rPr>
          <w:rFonts w:ascii="Arial" w:hAnsi="Arial" w:cs="Arial"/>
          <w:b/>
          <w:sz w:val="28"/>
          <w:szCs w:val="28"/>
        </w:rPr>
        <w:t>)</w:t>
      </w:r>
      <w:r w:rsidR="000F0A68" w:rsidRPr="00FB144B">
        <w:rPr>
          <w:rFonts w:ascii="Arial" w:hAnsi="Arial" w:cs="Arial"/>
          <w:b/>
          <w:sz w:val="28"/>
          <w:szCs w:val="28"/>
        </w:rPr>
        <w:t xml:space="preserve"> was occupied at the </w:t>
      </w:r>
      <w:r w:rsidR="00A74382" w:rsidRPr="00FB144B">
        <w:rPr>
          <w:rFonts w:ascii="Arial" w:hAnsi="Arial" w:cs="Arial"/>
          <w:b/>
          <w:sz w:val="28"/>
          <w:szCs w:val="28"/>
        </w:rPr>
        <w:t>moment w</w:t>
      </w:r>
      <w:r w:rsidR="00037776" w:rsidRPr="00FB144B">
        <w:rPr>
          <w:rFonts w:ascii="Arial" w:hAnsi="Arial" w:cs="Arial"/>
          <w:b/>
          <w:sz w:val="28"/>
          <w:szCs w:val="28"/>
        </w:rPr>
        <w:t xml:space="preserve">hen the </w:t>
      </w:r>
      <w:r w:rsidR="0098540D">
        <w:rPr>
          <w:rFonts w:ascii="Arial" w:hAnsi="Arial" w:cs="Arial"/>
          <w:b/>
          <w:sz w:val="28"/>
          <w:szCs w:val="28"/>
        </w:rPr>
        <w:t>firearm</w:t>
      </w:r>
      <w:r w:rsidR="0098540D" w:rsidRPr="00FB144B">
        <w:rPr>
          <w:rFonts w:ascii="Arial" w:hAnsi="Arial" w:cs="Arial"/>
          <w:b/>
          <w:sz w:val="28"/>
          <w:szCs w:val="28"/>
        </w:rPr>
        <w:t xml:space="preserve"> </w:t>
      </w:r>
      <w:r w:rsidR="00037776" w:rsidRPr="00FB144B">
        <w:rPr>
          <w:rFonts w:ascii="Arial" w:hAnsi="Arial" w:cs="Arial"/>
          <w:b/>
          <w:sz w:val="28"/>
          <w:szCs w:val="28"/>
        </w:rPr>
        <w:t xml:space="preserve">was discharged. </w:t>
      </w:r>
    </w:p>
    <w:p w14:paraId="4AD06D32" w14:textId="6EA78B24" w:rsidR="00B434FE" w:rsidRPr="00FB144B" w:rsidRDefault="003C0419" w:rsidP="00AF581A">
      <w:pPr>
        <w:spacing w:line="480" w:lineRule="auto"/>
        <w:ind w:firstLine="720"/>
        <w:rPr>
          <w:rFonts w:ascii="Arial" w:hAnsi="Arial" w:cs="Arial"/>
          <w:bCs/>
          <w:sz w:val="20"/>
          <w:szCs w:val="20"/>
        </w:rPr>
      </w:pPr>
      <w:r w:rsidRPr="00FB144B">
        <w:rPr>
          <w:rFonts w:ascii="Arial" w:hAnsi="Arial" w:cs="Arial"/>
          <w:bCs/>
          <w:sz w:val="20"/>
          <w:szCs w:val="20"/>
        </w:rPr>
        <w:t xml:space="preserve">See note </w:t>
      </w:r>
      <w:r w:rsidR="003756CF" w:rsidRPr="00FB144B">
        <w:rPr>
          <w:rFonts w:ascii="Arial" w:hAnsi="Arial" w:cs="Arial"/>
          <w:bCs/>
          <w:sz w:val="20"/>
          <w:szCs w:val="20"/>
        </w:rPr>
        <w:t>2.</w:t>
      </w:r>
    </w:p>
    <w:p w14:paraId="073ED1CA" w14:textId="676E6F56" w:rsidR="00AF581A" w:rsidRPr="00FB144B" w:rsidRDefault="00AF581A" w:rsidP="00AF581A">
      <w:pPr>
        <w:spacing w:line="480" w:lineRule="auto"/>
        <w:ind w:firstLine="720"/>
        <w:rPr>
          <w:rFonts w:ascii="Arial" w:hAnsi="Arial" w:cs="Arial"/>
          <w:b/>
          <w:sz w:val="28"/>
          <w:szCs w:val="28"/>
        </w:rPr>
      </w:pPr>
      <w:r w:rsidRPr="00FB144B">
        <w:rPr>
          <w:rFonts w:ascii="Arial" w:hAnsi="Arial" w:cs="Arial"/>
          <w:b/>
          <w:sz w:val="28"/>
          <w:szCs w:val="28"/>
        </w:rPr>
        <w:t xml:space="preserve">If the Commonwealth has proven all </w:t>
      </w:r>
      <w:r w:rsidR="00942E8D" w:rsidRPr="00FB144B">
        <w:rPr>
          <w:rFonts w:ascii="Arial" w:hAnsi="Arial" w:cs="Arial"/>
          <w:b/>
          <w:sz w:val="28"/>
          <w:szCs w:val="28"/>
        </w:rPr>
        <w:t xml:space="preserve">four </w:t>
      </w:r>
      <w:r w:rsidRPr="00FB144B">
        <w:rPr>
          <w:rFonts w:ascii="Arial" w:hAnsi="Arial" w:cs="Arial"/>
          <w:b/>
          <w:sz w:val="28"/>
          <w:szCs w:val="28"/>
        </w:rPr>
        <w:t xml:space="preserve">elements beyond a reasonable doubt, you should return a verdict of guilty.  If the Commonwealth has failed to prove one or more of these elements beyond a reasonable doubt, you must return a verdict of not guilty. </w:t>
      </w:r>
    </w:p>
    <w:p w14:paraId="33EAADC0" w14:textId="77777777" w:rsidR="00A74382" w:rsidRPr="00FB144B" w:rsidRDefault="00A74382" w:rsidP="00A74382">
      <w:pPr>
        <w:spacing w:line="480" w:lineRule="auto"/>
        <w:rPr>
          <w:rFonts w:ascii="Arial" w:hAnsi="Arial" w:cs="Arial"/>
          <w:b/>
          <w:sz w:val="28"/>
          <w:szCs w:val="28"/>
        </w:rPr>
      </w:pPr>
    </w:p>
    <w:p w14:paraId="0C4566A2" w14:textId="66823A8D" w:rsidR="00081DC3" w:rsidRPr="00FB144B" w:rsidRDefault="00081DC3" w:rsidP="00383056">
      <w:pPr>
        <w:spacing w:line="480" w:lineRule="auto"/>
        <w:jc w:val="center"/>
        <w:rPr>
          <w:rFonts w:ascii="Arial" w:hAnsi="Arial" w:cs="Arial"/>
          <w:b/>
          <w:sz w:val="28"/>
          <w:szCs w:val="28"/>
        </w:rPr>
      </w:pPr>
      <w:r w:rsidRPr="00FB144B">
        <w:rPr>
          <w:rFonts w:ascii="Arial" w:hAnsi="Arial" w:cs="Arial"/>
          <w:b/>
          <w:sz w:val="28"/>
          <w:szCs w:val="28"/>
        </w:rPr>
        <w:t>SUPPLEMENTAL INSTRUCTIONS</w:t>
      </w:r>
    </w:p>
    <w:p w14:paraId="2F59F80B" w14:textId="3E646324" w:rsidR="00A74382" w:rsidRPr="00FB144B" w:rsidRDefault="002F45B2" w:rsidP="00E97B4E">
      <w:pPr>
        <w:pBdr>
          <w:left w:val="single" w:sz="4" w:space="4" w:color="auto"/>
          <w:right w:val="single" w:sz="4" w:space="4" w:color="auto"/>
        </w:pBdr>
        <w:spacing w:line="480" w:lineRule="auto"/>
        <w:ind w:left="720" w:right="720"/>
        <w:rPr>
          <w:rFonts w:ascii="Arial" w:hAnsi="Arial" w:cs="Arial"/>
          <w:b/>
          <w:sz w:val="28"/>
          <w:szCs w:val="28"/>
        </w:rPr>
      </w:pPr>
      <w:r w:rsidRPr="00FB144B">
        <w:rPr>
          <w:rFonts w:ascii="Arial" w:hAnsi="Arial" w:cs="Arial"/>
          <w:bCs/>
          <w:i/>
          <w:iCs/>
          <w:sz w:val="28"/>
          <w:szCs w:val="28"/>
          <w:bdr w:val="single" w:sz="4" w:space="0" w:color="auto"/>
        </w:rPr>
        <w:t>Consent.</w:t>
      </w:r>
      <w:r w:rsidRPr="00FB144B">
        <w:rPr>
          <w:rFonts w:ascii="Arial" w:hAnsi="Arial" w:cs="Arial"/>
          <w:b/>
          <w:sz w:val="28"/>
          <w:szCs w:val="28"/>
        </w:rPr>
        <w:t xml:space="preserve">  </w:t>
      </w:r>
      <w:r w:rsidR="00081DC3" w:rsidRPr="00FB144B">
        <w:rPr>
          <w:rFonts w:ascii="Arial" w:hAnsi="Arial" w:cs="Arial"/>
          <w:b/>
          <w:sz w:val="28"/>
          <w:szCs w:val="28"/>
        </w:rPr>
        <w:t xml:space="preserve">If there is evidence that the </w:t>
      </w:r>
      <w:r w:rsidR="00C25012" w:rsidRPr="00FB144B">
        <w:rPr>
          <w:rFonts w:ascii="Arial" w:hAnsi="Arial" w:cs="Arial"/>
          <w:b/>
          <w:sz w:val="28"/>
          <w:szCs w:val="28"/>
        </w:rPr>
        <w:t xml:space="preserve">owner or legal </w:t>
      </w:r>
      <w:r w:rsidR="00081DC3" w:rsidRPr="00FB144B">
        <w:rPr>
          <w:rFonts w:ascii="Arial" w:hAnsi="Arial" w:cs="Arial"/>
          <w:b/>
          <w:sz w:val="28"/>
          <w:szCs w:val="28"/>
        </w:rPr>
        <w:t>occupant of the (dwelling) (building) consented</w:t>
      </w:r>
      <w:r w:rsidR="008E0119" w:rsidRPr="00FB144B">
        <w:rPr>
          <w:rFonts w:ascii="Arial" w:hAnsi="Arial" w:cs="Arial"/>
          <w:b/>
          <w:sz w:val="28"/>
          <w:szCs w:val="28"/>
        </w:rPr>
        <w:t xml:space="preserve"> in advance</w:t>
      </w:r>
      <w:r w:rsidR="00081DC3" w:rsidRPr="00FB144B">
        <w:rPr>
          <w:rFonts w:ascii="Arial" w:hAnsi="Arial" w:cs="Arial"/>
          <w:b/>
          <w:sz w:val="28"/>
          <w:szCs w:val="28"/>
        </w:rPr>
        <w:t xml:space="preserve"> to the defendant’s discharge of a firearm</w:t>
      </w:r>
      <w:r w:rsidR="00E3082A" w:rsidRPr="00FB144B">
        <w:rPr>
          <w:rFonts w:ascii="Arial" w:hAnsi="Arial" w:cs="Arial"/>
          <w:b/>
          <w:sz w:val="28"/>
          <w:szCs w:val="28"/>
        </w:rPr>
        <w:t>,</w:t>
      </w:r>
      <w:r w:rsidR="00081DC3" w:rsidRPr="00FB144B">
        <w:rPr>
          <w:rFonts w:ascii="Arial" w:hAnsi="Arial" w:cs="Arial"/>
          <w:b/>
          <w:sz w:val="28"/>
          <w:szCs w:val="28"/>
        </w:rPr>
        <w:t xml:space="preserve"> then </w:t>
      </w:r>
      <w:r w:rsidR="004D232C" w:rsidRPr="00FB144B">
        <w:rPr>
          <w:rFonts w:ascii="Arial" w:hAnsi="Arial" w:cs="Arial"/>
          <w:b/>
          <w:sz w:val="28"/>
          <w:szCs w:val="28"/>
        </w:rPr>
        <w:t xml:space="preserve">the defendant is not guilty unless </w:t>
      </w:r>
      <w:r w:rsidR="00081DC3" w:rsidRPr="00FB144B">
        <w:rPr>
          <w:rFonts w:ascii="Arial" w:hAnsi="Arial" w:cs="Arial"/>
          <w:b/>
          <w:sz w:val="28"/>
          <w:szCs w:val="28"/>
        </w:rPr>
        <w:t xml:space="preserve">the Commonwealth </w:t>
      </w:r>
      <w:r w:rsidR="003C0419" w:rsidRPr="00FB144B">
        <w:rPr>
          <w:rFonts w:ascii="Arial" w:hAnsi="Arial" w:cs="Arial"/>
          <w:b/>
          <w:sz w:val="28"/>
          <w:szCs w:val="28"/>
        </w:rPr>
        <w:t xml:space="preserve">has </w:t>
      </w:r>
      <w:r w:rsidR="00081DC3" w:rsidRPr="00FB144B">
        <w:rPr>
          <w:rFonts w:ascii="Arial" w:hAnsi="Arial" w:cs="Arial"/>
          <w:b/>
          <w:sz w:val="28"/>
          <w:szCs w:val="28"/>
        </w:rPr>
        <w:t>prove</w:t>
      </w:r>
      <w:r w:rsidR="004D232C" w:rsidRPr="00FB144B">
        <w:rPr>
          <w:rFonts w:ascii="Arial" w:hAnsi="Arial" w:cs="Arial"/>
          <w:b/>
          <w:sz w:val="28"/>
          <w:szCs w:val="28"/>
        </w:rPr>
        <w:t>d</w:t>
      </w:r>
      <w:r w:rsidR="00081DC3" w:rsidRPr="00FB144B">
        <w:rPr>
          <w:rFonts w:ascii="Arial" w:hAnsi="Arial" w:cs="Arial"/>
          <w:b/>
          <w:sz w:val="28"/>
          <w:szCs w:val="28"/>
        </w:rPr>
        <w:t xml:space="preserve"> beyond a reasonable doubt that </w:t>
      </w:r>
      <w:r w:rsidR="00182A9A" w:rsidRPr="00FB144B">
        <w:rPr>
          <w:rFonts w:ascii="Arial" w:hAnsi="Arial" w:cs="Arial"/>
          <w:b/>
          <w:sz w:val="28"/>
          <w:szCs w:val="28"/>
        </w:rPr>
        <w:t xml:space="preserve">neither the owner nor a legal occupant </w:t>
      </w:r>
      <w:r w:rsidR="00EB11BF" w:rsidRPr="00FB144B">
        <w:rPr>
          <w:rFonts w:ascii="Arial" w:hAnsi="Arial" w:cs="Arial"/>
          <w:b/>
          <w:sz w:val="28"/>
          <w:szCs w:val="28"/>
        </w:rPr>
        <w:t xml:space="preserve">had </w:t>
      </w:r>
      <w:r w:rsidR="00182A9A" w:rsidRPr="00FB144B">
        <w:rPr>
          <w:rFonts w:ascii="Arial" w:hAnsi="Arial" w:cs="Arial"/>
          <w:b/>
          <w:sz w:val="28"/>
          <w:szCs w:val="28"/>
        </w:rPr>
        <w:t xml:space="preserve">consented to the discharge. </w:t>
      </w:r>
    </w:p>
    <w:p w14:paraId="7D53C24A" w14:textId="77777777" w:rsidR="00081DC3" w:rsidRDefault="00081DC3" w:rsidP="007323A8">
      <w:pPr>
        <w:autoSpaceDE w:val="0"/>
        <w:autoSpaceDN w:val="0"/>
        <w:adjustRightInd w:val="0"/>
        <w:rPr>
          <w:rFonts w:ascii="Arial" w:hAnsi="Arial" w:cs="Arial"/>
          <w:lang w:val="en-CA"/>
        </w:rPr>
      </w:pPr>
    </w:p>
    <w:p w14:paraId="7F98D280" w14:textId="77777777" w:rsidR="00FF09CE" w:rsidRPr="00FF09CE" w:rsidRDefault="00FF09CE" w:rsidP="007323A8">
      <w:pPr>
        <w:autoSpaceDE w:val="0"/>
        <w:autoSpaceDN w:val="0"/>
        <w:adjustRightInd w:val="0"/>
        <w:rPr>
          <w:rFonts w:ascii="Arial" w:hAnsi="Arial" w:cs="Arial"/>
          <w:b/>
          <w:bCs/>
          <w:sz w:val="20"/>
          <w:szCs w:val="20"/>
          <w:lang w:val="en-CA"/>
        </w:rPr>
      </w:pPr>
      <w:r w:rsidRPr="00FF09CE">
        <w:rPr>
          <w:rFonts w:ascii="Arial" w:hAnsi="Arial" w:cs="Arial"/>
          <w:b/>
          <w:bCs/>
          <w:sz w:val="20"/>
          <w:szCs w:val="20"/>
          <w:lang w:val="en-CA"/>
        </w:rPr>
        <w:t>NOTES:</w:t>
      </w:r>
    </w:p>
    <w:p w14:paraId="3C1D1044" w14:textId="6540BCD3" w:rsidR="00FF09CE" w:rsidRPr="00FF09CE" w:rsidRDefault="00FF09CE" w:rsidP="007323A8">
      <w:pPr>
        <w:autoSpaceDE w:val="0"/>
        <w:autoSpaceDN w:val="0"/>
        <w:adjustRightInd w:val="0"/>
        <w:rPr>
          <w:rFonts w:ascii="Arial" w:hAnsi="Arial" w:cs="Arial"/>
          <w:b/>
          <w:bCs/>
          <w:lang w:val="en-CA"/>
        </w:rPr>
      </w:pPr>
      <w:r w:rsidRPr="00FF09CE">
        <w:rPr>
          <w:rFonts w:ascii="Arial" w:hAnsi="Arial" w:cs="Arial"/>
          <w:b/>
          <w:bCs/>
          <w:lang w:val="en-CA"/>
        </w:rPr>
        <w:t xml:space="preserve"> </w:t>
      </w:r>
    </w:p>
    <w:p w14:paraId="4388BB10" w14:textId="77777777" w:rsidR="00FF09CE" w:rsidRDefault="00FF09CE" w:rsidP="00FF09CE">
      <w:pPr>
        <w:pStyle w:val="ListParagraph"/>
        <w:numPr>
          <w:ilvl w:val="0"/>
          <w:numId w:val="14"/>
        </w:numPr>
        <w:ind w:left="0" w:firstLine="360"/>
        <w:rPr>
          <w:rFonts w:ascii="Arial" w:hAnsi="Arial" w:cs="Arial"/>
          <w:bCs/>
          <w:sz w:val="20"/>
          <w:szCs w:val="20"/>
        </w:rPr>
      </w:pPr>
      <w:r w:rsidRPr="00FF09CE">
        <w:rPr>
          <w:rFonts w:ascii="Arial" w:hAnsi="Arial" w:cs="Arial"/>
          <w:b/>
          <w:sz w:val="20"/>
          <w:szCs w:val="20"/>
        </w:rPr>
        <w:t>Affirmative defenses</w:t>
      </w:r>
      <w:r w:rsidRPr="00FF09CE">
        <w:rPr>
          <w:rFonts w:ascii="Arial" w:hAnsi="Arial" w:cs="Arial"/>
          <w:sz w:val="20"/>
          <w:szCs w:val="20"/>
        </w:rPr>
        <w:t xml:space="preserve">:  The provisions of G. L. c. 269, § 12G do not apply to “persons acting in the lawful defense of life or property or any law enforcement officer acting in the discharge of their duties. This section shall not apply for dwellings or buildings within the property of: (a) persons using </w:t>
      </w:r>
      <w:r w:rsidRPr="00FF09CE">
        <w:rPr>
          <w:rFonts w:ascii="Arial" w:hAnsi="Arial" w:cs="Arial"/>
          <w:sz w:val="20"/>
          <w:szCs w:val="20"/>
        </w:rPr>
        <w:lastRenderedPageBreak/>
        <w:t xml:space="preserve">underground or indoor target or test ranges with the consent of the owner or legal occupant thereof; (b) persons using outdoor skeet, trap, target or test ranges with the consent of the owner or legal occupant of the land on which the range is established; or (c) persons using shooting galleries, licensed and defined in [G.L. c. 140, § 56A].”  See </w:t>
      </w:r>
      <w:r w:rsidRPr="00FF09CE">
        <w:rPr>
          <w:rFonts w:ascii="Arial" w:hAnsi="Arial" w:cs="Arial"/>
          <w:bCs/>
          <w:i/>
          <w:iCs/>
          <w:sz w:val="20"/>
          <w:szCs w:val="20"/>
        </w:rPr>
        <w:t xml:space="preserve">Commonwealth v. Kelly, </w:t>
      </w:r>
      <w:r w:rsidRPr="00FF09CE">
        <w:rPr>
          <w:rFonts w:ascii="Arial" w:hAnsi="Arial" w:cs="Arial"/>
          <w:bCs/>
          <w:sz w:val="20"/>
          <w:szCs w:val="20"/>
        </w:rPr>
        <w:t>484 Mass. 53, 67 (2020) (the existence of a statutory exemption is treated “as equivalent to an affirmative defense”).</w:t>
      </w:r>
    </w:p>
    <w:p w14:paraId="2EAA82E7" w14:textId="77777777" w:rsidR="00FF09CE" w:rsidRPr="00FF09CE" w:rsidRDefault="00FF09CE" w:rsidP="00FF09CE">
      <w:pPr>
        <w:pStyle w:val="ListParagraph"/>
        <w:ind w:left="360"/>
        <w:rPr>
          <w:rFonts w:ascii="Arial" w:hAnsi="Arial" w:cs="Arial"/>
          <w:bCs/>
          <w:sz w:val="20"/>
          <w:szCs w:val="20"/>
        </w:rPr>
      </w:pPr>
    </w:p>
    <w:p w14:paraId="7862C755" w14:textId="6F7D22BC" w:rsidR="00F66AC5" w:rsidRPr="00FF09CE" w:rsidRDefault="00740A0A" w:rsidP="00FF09CE">
      <w:pPr>
        <w:pStyle w:val="ListParagraph"/>
        <w:numPr>
          <w:ilvl w:val="0"/>
          <w:numId w:val="14"/>
        </w:numPr>
        <w:ind w:left="0" w:firstLine="360"/>
        <w:rPr>
          <w:rFonts w:ascii="Arial" w:hAnsi="Arial" w:cs="Arial"/>
          <w:bCs/>
          <w:sz w:val="20"/>
          <w:szCs w:val="20"/>
        </w:rPr>
      </w:pPr>
      <w:r w:rsidRPr="00FF09CE">
        <w:rPr>
          <w:rFonts w:ascii="Arial" w:hAnsi="Arial" w:cs="Arial"/>
          <w:b/>
          <w:sz w:val="20"/>
          <w:szCs w:val="20"/>
        </w:rPr>
        <w:t>Dwelling or building use</w:t>
      </w:r>
      <w:r w:rsidRPr="00FF09CE">
        <w:rPr>
          <w:rFonts w:ascii="Arial" w:hAnsi="Arial" w:cs="Arial"/>
          <w:sz w:val="20"/>
          <w:szCs w:val="20"/>
        </w:rPr>
        <w:t xml:space="preserve">:  </w:t>
      </w:r>
      <w:r w:rsidR="00E4042B" w:rsidRPr="00FF09CE">
        <w:rPr>
          <w:rFonts w:ascii="Arial" w:hAnsi="Arial" w:cs="Arial"/>
          <w:sz w:val="20"/>
          <w:szCs w:val="20"/>
        </w:rPr>
        <w:t>The requirement that the building be “in use” does not require it be occupied at the precise moment that the firearm is discharged, only that the building be in use at some time of the day.</w:t>
      </w:r>
      <w:r w:rsidR="00FD40D1" w:rsidRPr="00FF09CE">
        <w:rPr>
          <w:rFonts w:ascii="Arial" w:hAnsi="Arial" w:cs="Arial"/>
          <w:sz w:val="20"/>
          <w:szCs w:val="20"/>
        </w:rPr>
        <w:t xml:space="preserve"> </w:t>
      </w:r>
      <w:r w:rsidR="00FD40D1" w:rsidRPr="00FF09CE">
        <w:rPr>
          <w:rFonts w:ascii="Arial" w:hAnsi="Arial" w:cs="Arial"/>
          <w:i/>
          <w:sz w:val="20"/>
          <w:szCs w:val="20"/>
        </w:rPr>
        <w:t xml:space="preserve">Commonwealth v. Mendes, </w:t>
      </w:r>
      <w:r w:rsidR="00FD40D1" w:rsidRPr="00FF09CE">
        <w:rPr>
          <w:rFonts w:ascii="Arial" w:hAnsi="Arial" w:cs="Arial"/>
          <w:iCs/>
          <w:sz w:val="20"/>
          <w:szCs w:val="20"/>
        </w:rPr>
        <w:t>75 Mass. App. Ct. 390, 395, rev. denied, 457 Mass. 1106 (2009).  The statute protects the “potential occupants of active buildings t</w:t>
      </w:r>
      <w:r w:rsidR="00FD40D1" w:rsidRPr="00FF09CE">
        <w:rPr>
          <w:rFonts w:ascii="Arial" w:hAnsi="Arial" w:cs="Arial"/>
          <w:color w:val="000000"/>
          <w:sz w:val="20"/>
          <w:szCs w:val="20"/>
        </w:rPr>
        <w:t xml:space="preserve">hroughout the whole day and not simply within their formal business hours”. See </w:t>
      </w:r>
      <w:r w:rsidR="00FD40D1" w:rsidRPr="00FF09CE">
        <w:rPr>
          <w:rFonts w:ascii="Arial" w:hAnsi="Arial" w:cs="Arial"/>
          <w:i/>
          <w:iCs/>
          <w:color w:val="000000"/>
          <w:sz w:val="20"/>
          <w:szCs w:val="20"/>
        </w:rPr>
        <w:t>id.</w:t>
      </w:r>
      <w:r w:rsidR="00465B25" w:rsidRPr="00FF09CE">
        <w:rPr>
          <w:rFonts w:ascii="Arial" w:hAnsi="Arial" w:cs="Arial"/>
          <w:sz w:val="20"/>
          <w:szCs w:val="20"/>
        </w:rPr>
        <w:t xml:space="preserve">  If further definition of a “dwelling” is required, see Instruction </w:t>
      </w:r>
      <w:r w:rsidR="00797FD9" w:rsidRPr="00FF09CE">
        <w:rPr>
          <w:rFonts w:ascii="Arial" w:hAnsi="Arial" w:cs="Arial"/>
          <w:sz w:val="20"/>
          <w:szCs w:val="20"/>
        </w:rPr>
        <w:t xml:space="preserve">8.110, Entering A Dwelling at Night with Intent to Commit Felony (No Person in Fear).  </w:t>
      </w:r>
      <w:r w:rsidR="007F7A06" w:rsidRPr="00FF09CE">
        <w:rPr>
          <w:rFonts w:ascii="Arial" w:hAnsi="Arial" w:cs="Arial"/>
          <w:sz w:val="20"/>
          <w:szCs w:val="20"/>
        </w:rPr>
        <w:t>The statute does not provide a definition of “building.”</w:t>
      </w:r>
    </w:p>
    <w:p w14:paraId="0792B8DD" w14:textId="77777777" w:rsidR="00727B92" w:rsidRPr="00FB144B" w:rsidRDefault="00727B92" w:rsidP="00727B92">
      <w:pPr>
        <w:pStyle w:val="ListParagraph"/>
        <w:autoSpaceDE w:val="0"/>
        <w:autoSpaceDN w:val="0"/>
        <w:adjustRightInd w:val="0"/>
        <w:rPr>
          <w:rFonts w:ascii="Arial" w:hAnsi="Arial" w:cs="Arial"/>
          <w:bCs/>
          <w:sz w:val="20"/>
          <w:szCs w:val="20"/>
        </w:rPr>
      </w:pPr>
    </w:p>
    <w:p w14:paraId="5D0F20D8" w14:textId="77777777" w:rsidR="00F63627" w:rsidRPr="00FB144B" w:rsidRDefault="00F63627" w:rsidP="00F63627">
      <w:pPr>
        <w:pStyle w:val="ListParagraph"/>
        <w:autoSpaceDE w:val="0"/>
        <w:autoSpaceDN w:val="0"/>
        <w:adjustRightInd w:val="0"/>
        <w:rPr>
          <w:rFonts w:ascii="Arial" w:hAnsi="Arial" w:cs="Arial"/>
          <w:bCs/>
          <w:sz w:val="20"/>
          <w:szCs w:val="20"/>
        </w:rPr>
      </w:pPr>
    </w:p>
    <w:sectPr w:rsidR="00F63627" w:rsidRPr="00FB144B" w:rsidSect="00A44C0A">
      <w:headerReference w:type="even" r:id="rId8"/>
      <w:headerReference w:type="default" r:id="rId9"/>
      <w:footerReference w:type="even"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B4AB" w14:textId="77777777" w:rsidR="00A928C2" w:rsidRDefault="00A928C2" w:rsidP="00A44C0A">
      <w:r>
        <w:separator/>
      </w:r>
    </w:p>
  </w:endnote>
  <w:endnote w:type="continuationSeparator" w:id="0">
    <w:p w14:paraId="2DD247C3" w14:textId="77777777" w:rsidR="00A928C2" w:rsidRDefault="00A928C2" w:rsidP="00A4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F158" w14:textId="77777777" w:rsidR="00B64C00" w:rsidRDefault="00B64C00">
    <w:pPr>
      <w:pStyle w:val="Footer"/>
      <w:jc w:val="center"/>
    </w:pPr>
  </w:p>
  <w:p w14:paraId="366FB29B" w14:textId="77777777" w:rsidR="00B64C00" w:rsidRDefault="00B6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CB4A" w14:textId="77777777" w:rsidR="00A928C2" w:rsidRDefault="00A928C2" w:rsidP="00A44C0A">
      <w:r>
        <w:separator/>
      </w:r>
    </w:p>
  </w:footnote>
  <w:footnote w:type="continuationSeparator" w:id="0">
    <w:p w14:paraId="6117B21C" w14:textId="77777777" w:rsidR="00A928C2" w:rsidRDefault="00A928C2" w:rsidP="00A4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2CCF" w14:textId="4BAEB28D" w:rsidR="00C37CC6" w:rsidRPr="00A44C0A" w:rsidRDefault="006D60F0" w:rsidP="00FC5731">
    <w:pPr>
      <w:pStyle w:val="Header"/>
      <w:pBdr>
        <w:bottom w:val="single" w:sz="12" w:space="1" w:color="auto"/>
      </w:pBdr>
      <w:tabs>
        <w:tab w:val="clear" w:pos="4680"/>
      </w:tabs>
      <w:rPr>
        <w:rFonts w:ascii="Arial" w:hAnsi="Arial" w:cs="Arial"/>
        <w:noProof/>
        <w:sz w:val="20"/>
        <w:szCs w:val="20"/>
      </w:rPr>
    </w:pPr>
    <w:r>
      <w:rPr>
        <w:rFonts w:ascii="Arial" w:hAnsi="Arial" w:cs="Arial"/>
        <w:sz w:val="20"/>
        <w:szCs w:val="20"/>
      </w:rPr>
      <w:t>Instruction 7.66</w:t>
    </w:r>
    <w:r w:rsidR="00633093">
      <w:rPr>
        <w:rFonts w:ascii="Arial" w:hAnsi="Arial" w:cs="Arial"/>
        <w:sz w:val="20"/>
        <w:szCs w:val="20"/>
      </w:rPr>
      <w:t>7</w:t>
    </w:r>
    <w:r w:rsidR="00016565">
      <w:rPr>
        <w:rFonts w:ascii="Arial" w:hAnsi="Arial" w:cs="Arial"/>
        <w:sz w:val="20"/>
        <w:szCs w:val="20"/>
      </w:rPr>
      <w:tab/>
      <w:t xml:space="preserve">Page </w:t>
    </w:r>
    <w:r w:rsidR="00016565" w:rsidRPr="00016565">
      <w:rPr>
        <w:rFonts w:ascii="Arial" w:hAnsi="Arial" w:cs="Arial"/>
        <w:sz w:val="20"/>
        <w:szCs w:val="20"/>
      </w:rPr>
      <w:fldChar w:fldCharType="begin"/>
    </w:r>
    <w:r w:rsidR="00016565" w:rsidRPr="00016565">
      <w:rPr>
        <w:rFonts w:ascii="Arial" w:hAnsi="Arial" w:cs="Arial"/>
        <w:sz w:val="20"/>
        <w:szCs w:val="20"/>
      </w:rPr>
      <w:instrText xml:space="preserve"> PAGE   \* MERGEFORMAT </w:instrText>
    </w:r>
    <w:r w:rsidR="00016565" w:rsidRPr="00016565">
      <w:rPr>
        <w:rFonts w:ascii="Arial" w:hAnsi="Arial" w:cs="Arial"/>
        <w:sz w:val="20"/>
        <w:szCs w:val="20"/>
      </w:rPr>
      <w:fldChar w:fldCharType="separate"/>
    </w:r>
    <w:r w:rsidR="00016565" w:rsidRPr="00016565">
      <w:rPr>
        <w:rFonts w:ascii="Arial" w:hAnsi="Arial" w:cs="Arial"/>
        <w:noProof/>
        <w:sz w:val="20"/>
        <w:szCs w:val="20"/>
      </w:rPr>
      <w:t>1</w:t>
    </w:r>
    <w:r w:rsidR="00016565" w:rsidRPr="00016565">
      <w:rPr>
        <w:rFonts w:ascii="Arial" w:hAnsi="Arial" w:cs="Arial"/>
        <w:noProof/>
        <w:sz w:val="20"/>
        <w:szCs w:val="20"/>
      </w:rPr>
      <w:fldChar w:fldCharType="end"/>
    </w:r>
  </w:p>
  <w:p w14:paraId="57F0B6CE" w14:textId="46711082" w:rsidR="00C37CC6" w:rsidRDefault="00846B33" w:rsidP="00BB1115">
    <w:pPr>
      <w:pStyle w:val="Header"/>
      <w:tabs>
        <w:tab w:val="clear" w:pos="4680"/>
        <w:tab w:val="left" w:pos="5940"/>
      </w:tabs>
    </w:pPr>
    <w:r>
      <w:rPr>
        <w:rFonts w:ascii="Arial" w:hAnsi="Arial" w:cs="Arial"/>
        <w:b/>
        <w:sz w:val="20"/>
        <w:szCs w:val="20"/>
      </w:rPr>
      <w:t>DISCHARGE OF</w:t>
    </w:r>
    <w:r w:rsidR="00000094">
      <w:rPr>
        <w:rFonts w:ascii="Arial" w:hAnsi="Arial" w:cs="Arial"/>
        <w:b/>
        <w:sz w:val="20"/>
        <w:szCs w:val="20"/>
      </w:rPr>
      <w:t xml:space="preserve"> A </w:t>
    </w:r>
    <w:r>
      <w:rPr>
        <w:rFonts w:ascii="Arial" w:hAnsi="Arial" w:cs="Arial"/>
        <w:b/>
        <w:sz w:val="20"/>
        <w:szCs w:val="20"/>
      </w:rPr>
      <w:t>FIREARM</w:t>
    </w:r>
    <w:r w:rsidR="00BB1115">
      <w:rPr>
        <w:rFonts w:ascii="Arial" w:hAnsi="Arial" w:cs="Arial"/>
        <w:b/>
        <w:sz w:val="20"/>
        <w:szCs w:val="20"/>
      </w:rPr>
      <w:t xml:space="preserve"> AND STRIKING A BUILDING</w:t>
    </w:r>
    <w:r w:rsidR="00C37CC6">
      <w:rPr>
        <w:rFonts w:ascii="Arial" w:hAnsi="Arial" w:cs="Arial"/>
        <w:sz w:val="20"/>
        <w:szCs w:val="20"/>
      </w:rPr>
      <w:tab/>
    </w:r>
    <w:r w:rsidR="00016565">
      <w:rPr>
        <w:rFonts w:ascii="Arial" w:hAnsi="Arial" w:cs="Arial"/>
        <w:sz w:val="20"/>
        <w:szCs w:val="20"/>
      </w:rPr>
      <w:tab/>
    </w:r>
    <w:r w:rsidR="00220A8F" w:rsidRPr="00220A8F">
      <w:rPr>
        <w:rFonts w:ascii="Arial" w:hAnsi="Arial" w:cs="Arial"/>
        <w:sz w:val="20"/>
        <w:szCs w:val="20"/>
      </w:rPr>
      <w:t>J</w:t>
    </w:r>
    <w:r w:rsidR="00E41EE3">
      <w:rPr>
        <w:rFonts w:ascii="Arial" w:hAnsi="Arial" w:cs="Arial"/>
        <w:sz w:val="20"/>
        <w:szCs w:val="20"/>
      </w:rPr>
      <w:t>une</w:t>
    </w:r>
    <w:r w:rsidR="00220A8F" w:rsidRPr="00220A8F">
      <w:rPr>
        <w:rFonts w:ascii="Arial" w:hAnsi="Arial" w:cs="Arial"/>
        <w:sz w:val="20"/>
        <w:szCs w:val="20"/>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CF85" w14:textId="0256DE91" w:rsidR="00A44C0A" w:rsidRPr="00A44C0A" w:rsidRDefault="00A44C0A" w:rsidP="00FC5731">
    <w:pPr>
      <w:pStyle w:val="Header"/>
      <w:pBdr>
        <w:bottom w:val="single" w:sz="12" w:space="1" w:color="auto"/>
      </w:pBdr>
      <w:tabs>
        <w:tab w:val="clear" w:pos="4680"/>
      </w:tabs>
      <w:rPr>
        <w:rFonts w:ascii="Arial" w:hAnsi="Arial" w:cs="Arial"/>
        <w:noProof/>
        <w:sz w:val="20"/>
        <w:szCs w:val="20"/>
      </w:rPr>
    </w:pPr>
    <w:r w:rsidRPr="00A44C0A">
      <w:rPr>
        <w:rFonts w:ascii="Arial" w:hAnsi="Arial" w:cs="Arial"/>
        <w:sz w:val="20"/>
        <w:szCs w:val="20"/>
      </w:rPr>
      <w:t xml:space="preserve">Page </w:t>
    </w:r>
    <w:r w:rsidRPr="00A44C0A">
      <w:rPr>
        <w:rFonts w:ascii="Arial" w:hAnsi="Arial" w:cs="Arial"/>
        <w:sz w:val="20"/>
        <w:szCs w:val="20"/>
      </w:rPr>
      <w:fldChar w:fldCharType="begin"/>
    </w:r>
    <w:r w:rsidRPr="00A44C0A">
      <w:rPr>
        <w:rFonts w:ascii="Arial" w:hAnsi="Arial" w:cs="Arial"/>
        <w:sz w:val="20"/>
        <w:szCs w:val="20"/>
      </w:rPr>
      <w:instrText xml:space="preserve"> PAGE   \* MERGEFORMAT </w:instrText>
    </w:r>
    <w:r w:rsidRPr="00A44C0A">
      <w:rPr>
        <w:rFonts w:ascii="Arial" w:hAnsi="Arial" w:cs="Arial"/>
        <w:sz w:val="20"/>
        <w:szCs w:val="20"/>
      </w:rPr>
      <w:fldChar w:fldCharType="separate"/>
    </w:r>
    <w:r w:rsidR="00F66AC5">
      <w:rPr>
        <w:rFonts w:ascii="Arial" w:hAnsi="Arial" w:cs="Arial"/>
        <w:noProof/>
        <w:sz w:val="20"/>
        <w:szCs w:val="20"/>
      </w:rPr>
      <w:t>1</w:t>
    </w:r>
    <w:r w:rsidRPr="00A44C0A">
      <w:rPr>
        <w:rFonts w:ascii="Arial" w:hAnsi="Arial" w:cs="Arial"/>
        <w:noProof/>
        <w:sz w:val="20"/>
        <w:szCs w:val="20"/>
      </w:rPr>
      <w:fldChar w:fldCharType="end"/>
    </w:r>
    <w:r w:rsidR="00000094">
      <w:rPr>
        <w:rFonts w:ascii="Arial" w:hAnsi="Arial" w:cs="Arial"/>
        <w:noProof/>
        <w:sz w:val="20"/>
        <w:szCs w:val="20"/>
      </w:rPr>
      <w:tab/>
      <w:t xml:space="preserve">Instruction </w:t>
    </w:r>
    <w:r w:rsidR="006D60F0">
      <w:rPr>
        <w:rFonts w:ascii="Arial" w:hAnsi="Arial" w:cs="Arial"/>
        <w:noProof/>
        <w:sz w:val="20"/>
        <w:szCs w:val="20"/>
      </w:rPr>
      <w:t>7</w:t>
    </w:r>
    <w:r w:rsidR="00000094">
      <w:rPr>
        <w:rFonts w:ascii="Arial" w:hAnsi="Arial" w:cs="Arial"/>
        <w:noProof/>
        <w:sz w:val="20"/>
        <w:szCs w:val="20"/>
      </w:rPr>
      <w:t>.</w:t>
    </w:r>
    <w:r w:rsidR="006D60F0">
      <w:rPr>
        <w:rFonts w:ascii="Arial" w:hAnsi="Arial" w:cs="Arial"/>
        <w:noProof/>
        <w:sz w:val="20"/>
        <w:szCs w:val="20"/>
      </w:rPr>
      <w:t>6</w:t>
    </w:r>
    <w:r w:rsidR="00633093">
      <w:rPr>
        <w:rFonts w:ascii="Arial" w:hAnsi="Arial" w:cs="Arial"/>
        <w:noProof/>
        <w:sz w:val="20"/>
        <w:szCs w:val="20"/>
      </w:rPr>
      <w:t>67</w:t>
    </w:r>
  </w:p>
  <w:p w14:paraId="4C2EC5A8" w14:textId="69C3A78F" w:rsidR="00A44C0A" w:rsidRPr="00A44C0A" w:rsidRDefault="00220A8F" w:rsidP="00FC5731">
    <w:pPr>
      <w:pStyle w:val="Header"/>
      <w:tabs>
        <w:tab w:val="clear" w:pos="4680"/>
      </w:tabs>
      <w:rPr>
        <w:rFonts w:ascii="Arial" w:hAnsi="Arial" w:cs="Arial"/>
        <w:b/>
        <w:sz w:val="20"/>
        <w:szCs w:val="20"/>
      </w:rPr>
    </w:pPr>
    <w:r w:rsidRPr="00220A8F">
      <w:rPr>
        <w:rFonts w:ascii="Arial" w:hAnsi="Arial" w:cs="Arial"/>
        <w:sz w:val="20"/>
        <w:szCs w:val="20"/>
      </w:rPr>
      <w:t>J</w:t>
    </w:r>
    <w:r w:rsidR="00E41EE3">
      <w:rPr>
        <w:rFonts w:ascii="Arial" w:hAnsi="Arial" w:cs="Arial"/>
        <w:sz w:val="20"/>
        <w:szCs w:val="20"/>
      </w:rPr>
      <w:t>une</w:t>
    </w:r>
    <w:r w:rsidRPr="00220A8F">
      <w:rPr>
        <w:rFonts w:ascii="Arial" w:hAnsi="Arial" w:cs="Arial"/>
        <w:sz w:val="20"/>
        <w:szCs w:val="20"/>
      </w:rPr>
      <w:t xml:space="preserve"> 2026</w:t>
    </w:r>
    <w:r w:rsidR="00A44C0A" w:rsidRPr="00A44C0A">
      <w:rPr>
        <w:rFonts w:ascii="Arial" w:hAnsi="Arial" w:cs="Arial"/>
        <w:sz w:val="20"/>
        <w:szCs w:val="20"/>
      </w:rPr>
      <w:tab/>
    </w:r>
    <w:r w:rsidR="00A71279">
      <w:rPr>
        <w:rFonts w:ascii="Arial" w:hAnsi="Arial" w:cs="Arial"/>
        <w:b/>
        <w:sz w:val="20"/>
        <w:szCs w:val="20"/>
      </w:rPr>
      <w:t>DISCHARGE OF A FIREARM</w:t>
    </w:r>
    <w:r w:rsidR="003847AE">
      <w:rPr>
        <w:rFonts w:ascii="Arial" w:hAnsi="Arial" w:cs="Arial"/>
        <w:b/>
        <w:sz w:val="20"/>
        <w:szCs w:val="20"/>
      </w:rPr>
      <w:t xml:space="preserve"> AND STRIKING A BUILDING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AEC"/>
    <w:multiLevelType w:val="hybridMultilevel"/>
    <w:tmpl w:val="C95E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2232F"/>
    <w:multiLevelType w:val="hybridMultilevel"/>
    <w:tmpl w:val="EF72A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8514DC"/>
    <w:multiLevelType w:val="hybridMultilevel"/>
    <w:tmpl w:val="38B03AC6"/>
    <w:lvl w:ilvl="0" w:tplc="3C28230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32001"/>
    <w:multiLevelType w:val="hybridMultilevel"/>
    <w:tmpl w:val="6F8E13E8"/>
    <w:lvl w:ilvl="0" w:tplc="43AA64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D7C21"/>
    <w:multiLevelType w:val="hybridMultilevel"/>
    <w:tmpl w:val="A7585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266CE9"/>
    <w:multiLevelType w:val="hybridMultilevel"/>
    <w:tmpl w:val="0BBE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6431B"/>
    <w:multiLevelType w:val="hybridMultilevel"/>
    <w:tmpl w:val="244C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F06951"/>
    <w:multiLevelType w:val="hybridMultilevel"/>
    <w:tmpl w:val="3122696E"/>
    <w:lvl w:ilvl="0" w:tplc="A40E3D40">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8" w15:restartNumberingAfterBreak="0">
    <w:nsid w:val="417B5A46"/>
    <w:multiLevelType w:val="hybridMultilevel"/>
    <w:tmpl w:val="3122696E"/>
    <w:lvl w:ilvl="0" w:tplc="A40E3D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A468C4"/>
    <w:multiLevelType w:val="hybridMultilevel"/>
    <w:tmpl w:val="77BCC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23645"/>
    <w:multiLevelType w:val="hybridMultilevel"/>
    <w:tmpl w:val="992A6546"/>
    <w:lvl w:ilvl="0" w:tplc="8872F8A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665C9"/>
    <w:multiLevelType w:val="hybridMultilevel"/>
    <w:tmpl w:val="3122696E"/>
    <w:lvl w:ilvl="0" w:tplc="A40E3D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B0550B"/>
    <w:multiLevelType w:val="hybridMultilevel"/>
    <w:tmpl w:val="30C4449E"/>
    <w:lvl w:ilvl="0" w:tplc="F006A3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0E326F"/>
    <w:multiLevelType w:val="hybridMultilevel"/>
    <w:tmpl w:val="5608C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039661">
    <w:abstractNumId w:val="13"/>
  </w:num>
  <w:num w:numId="2" w16cid:durableId="509950606">
    <w:abstractNumId w:val="12"/>
  </w:num>
  <w:num w:numId="3" w16cid:durableId="1101029926">
    <w:abstractNumId w:val="9"/>
  </w:num>
  <w:num w:numId="4" w16cid:durableId="347684429">
    <w:abstractNumId w:val="0"/>
  </w:num>
  <w:num w:numId="5" w16cid:durableId="1226601538">
    <w:abstractNumId w:val="1"/>
  </w:num>
  <w:num w:numId="6" w16cid:durableId="1513714821">
    <w:abstractNumId w:val="4"/>
  </w:num>
  <w:num w:numId="7" w16cid:durableId="707997319">
    <w:abstractNumId w:val="6"/>
  </w:num>
  <w:num w:numId="8" w16cid:durableId="240607830">
    <w:abstractNumId w:val="7"/>
  </w:num>
  <w:num w:numId="9" w16cid:durableId="1349717287">
    <w:abstractNumId w:val="8"/>
  </w:num>
  <w:num w:numId="10" w16cid:durableId="1339965124">
    <w:abstractNumId w:val="11"/>
  </w:num>
  <w:num w:numId="11" w16cid:durableId="1871019569">
    <w:abstractNumId w:val="5"/>
  </w:num>
  <w:num w:numId="12" w16cid:durableId="1693722934">
    <w:abstractNumId w:val="2"/>
  </w:num>
  <w:num w:numId="13" w16cid:durableId="345904153">
    <w:abstractNumId w:val="3"/>
  </w:num>
  <w:num w:numId="14" w16cid:durableId="1259099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0A"/>
    <w:rsid w:val="00000094"/>
    <w:rsid w:val="00016565"/>
    <w:rsid w:val="0003172C"/>
    <w:rsid w:val="00035C0D"/>
    <w:rsid w:val="000362E2"/>
    <w:rsid w:val="00037776"/>
    <w:rsid w:val="00055B2E"/>
    <w:rsid w:val="00067329"/>
    <w:rsid w:val="000712EB"/>
    <w:rsid w:val="00073A70"/>
    <w:rsid w:val="00081DC3"/>
    <w:rsid w:val="000826B1"/>
    <w:rsid w:val="000832C6"/>
    <w:rsid w:val="0008355B"/>
    <w:rsid w:val="000838E7"/>
    <w:rsid w:val="000B1B22"/>
    <w:rsid w:val="000B2337"/>
    <w:rsid w:val="000B5ABF"/>
    <w:rsid w:val="000C5CB7"/>
    <w:rsid w:val="000D0CE5"/>
    <w:rsid w:val="000D27B3"/>
    <w:rsid w:val="000D3EB0"/>
    <w:rsid w:val="000D5696"/>
    <w:rsid w:val="000F0A68"/>
    <w:rsid w:val="000F402B"/>
    <w:rsid w:val="00104D46"/>
    <w:rsid w:val="00105D1D"/>
    <w:rsid w:val="0011081A"/>
    <w:rsid w:val="00112B73"/>
    <w:rsid w:val="001326D8"/>
    <w:rsid w:val="0014140E"/>
    <w:rsid w:val="00147D51"/>
    <w:rsid w:val="001572FD"/>
    <w:rsid w:val="0016430B"/>
    <w:rsid w:val="00182A9A"/>
    <w:rsid w:val="00193F2F"/>
    <w:rsid w:val="00197DB9"/>
    <w:rsid w:val="001B0DD0"/>
    <w:rsid w:val="001B6BC1"/>
    <w:rsid w:val="001B712A"/>
    <w:rsid w:val="001C6E8B"/>
    <w:rsid w:val="001D04F4"/>
    <w:rsid w:val="001E1DE2"/>
    <w:rsid w:val="001E2A57"/>
    <w:rsid w:val="001E371D"/>
    <w:rsid w:val="0020023C"/>
    <w:rsid w:val="00214F09"/>
    <w:rsid w:val="00220A8F"/>
    <w:rsid w:val="00242CBA"/>
    <w:rsid w:val="00251050"/>
    <w:rsid w:val="002529E6"/>
    <w:rsid w:val="00260417"/>
    <w:rsid w:val="00261B3F"/>
    <w:rsid w:val="0026433A"/>
    <w:rsid w:val="002654C7"/>
    <w:rsid w:val="002700F1"/>
    <w:rsid w:val="0027199F"/>
    <w:rsid w:val="002736D2"/>
    <w:rsid w:val="002834F5"/>
    <w:rsid w:val="002B5045"/>
    <w:rsid w:val="002E07B2"/>
    <w:rsid w:val="002E499A"/>
    <w:rsid w:val="002F45B2"/>
    <w:rsid w:val="0030578F"/>
    <w:rsid w:val="0030657B"/>
    <w:rsid w:val="00321A2F"/>
    <w:rsid w:val="00346AEA"/>
    <w:rsid w:val="00347B3A"/>
    <w:rsid w:val="0035115B"/>
    <w:rsid w:val="00361894"/>
    <w:rsid w:val="0036576B"/>
    <w:rsid w:val="00374BA8"/>
    <w:rsid w:val="003756CF"/>
    <w:rsid w:val="00383056"/>
    <w:rsid w:val="00383D00"/>
    <w:rsid w:val="003847AE"/>
    <w:rsid w:val="00384D66"/>
    <w:rsid w:val="003861AD"/>
    <w:rsid w:val="003B2C94"/>
    <w:rsid w:val="003C0419"/>
    <w:rsid w:val="003E1B61"/>
    <w:rsid w:val="003F575A"/>
    <w:rsid w:val="004015F9"/>
    <w:rsid w:val="0040336B"/>
    <w:rsid w:val="0040445D"/>
    <w:rsid w:val="004204E4"/>
    <w:rsid w:val="0042353C"/>
    <w:rsid w:val="00437157"/>
    <w:rsid w:val="00442DF7"/>
    <w:rsid w:val="00444A0A"/>
    <w:rsid w:val="00446C5C"/>
    <w:rsid w:val="00465B25"/>
    <w:rsid w:val="00467DAE"/>
    <w:rsid w:val="0047417B"/>
    <w:rsid w:val="004A30C2"/>
    <w:rsid w:val="004D232C"/>
    <w:rsid w:val="004E01ED"/>
    <w:rsid w:val="004E62A0"/>
    <w:rsid w:val="00524D8C"/>
    <w:rsid w:val="00532D43"/>
    <w:rsid w:val="00542AD9"/>
    <w:rsid w:val="005641C9"/>
    <w:rsid w:val="00572F17"/>
    <w:rsid w:val="005747EC"/>
    <w:rsid w:val="00576FF2"/>
    <w:rsid w:val="00585C10"/>
    <w:rsid w:val="00590A08"/>
    <w:rsid w:val="005C26C2"/>
    <w:rsid w:val="005E1B8D"/>
    <w:rsid w:val="005E69BD"/>
    <w:rsid w:val="006103EF"/>
    <w:rsid w:val="0061106B"/>
    <w:rsid w:val="00616294"/>
    <w:rsid w:val="00616419"/>
    <w:rsid w:val="00624125"/>
    <w:rsid w:val="00627561"/>
    <w:rsid w:val="006314A5"/>
    <w:rsid w:val="00631ABA"/>
    <w:rsid w:val="00633093"/>
    <w:rsid w:val="006407C1"/>
    <w:rsid w:val="0064346C"/>
    <w:rsid w:val="006502D4"/>
    <w:rsid w:val="00660453"/>
    <w:rsid w:val="00684187"/>
    <w:rsid w:val="00691DFE"/>
    <w:rsid w:val="006A09FF"/>
    <w:rsid w:val="006A5ED4"/>
    <w:rsid w:val="006A73B3"/>
    <w:rsid w:val="006A75FC"/>
    <w:rsid w:val="006B346E"/>
    <w:rsid w:val="006D3577"/>
    <w:rsid w:val="006D60F0"/>
    <w:rsid w:val="006F1804"/>
    <w:rsid w:val="007264AC"/>
    <w:rsid w:val="00727B92"/>
    <w:rsid w:val="007323A8"/>
    <w:rsid w:val="00740A0A"/>
    <w:rsid w:val="00756D4D"/>
    <w:rsid w:val="00766F24"/>
    <w:rsid w:val="00771010"/>
    <w:rsid w:val="00773AB6"/>
    <w:rsid w:val="00785D6A"/>
    <w:rsid w:val="00797FD9"/>
    <w:rsid w:val="007A254B"/>
    <w:rsid w:val="007B65A0"/>
    <w:rsid w:val="007B75C9"/>
    <w:rsid w:val="007C3E53"/>
    <w:rsid w:val="007D4134"/>
    <w:rsid w:val="007D7542"/>
    <w:rsid w:val="007F7A06"/>
    <w:rsid w:val="00800411"/>
    <w:rsid w:val="00846B33"/>
    <w:rsid w:val="00852314"/>
    <w:rsid w:val="00857AAE"/>
    <w:rsid w:val="00860051"/>
    <w:rsid w:val="00870FDA"/>
    <w:rsid w:val="0088303E"/>
    <w:rsid w:val="00893859"/>
    <w:rsid w:val="008A1809"/>
    <w:rsid w:val="008C56DA"/>
    <w:rsid w:val="008C78AE"/>
    <w:rsid w:val="008D3FDD"/>
    <w:rsid w:val="008E0119"/>
    <w:rsid w:val="008E1DB9"/>
    <w:rsid w:val="008E2AF2"/>
    <w:rsid w:val="008E3FCC"/>
    <w:rsid w:val="008E6CE8"/>
    <w:rsid w:val="008E7BE5"/>
    <w:rsid w:val="00900C30"/>
    <w:rsid w:val="009043B3"/>
    <w:rsid w:val="00915CC1"/>
    <w:rsid w:val="00925350"/>
    <w:rsid w:val="00925637"/>
    <w:rsid w:val="00925B41"/>
    <w:rsid w:val="00925CA6"/>
    <w:rsid w:val="00932085"/>
    <w:rsid w:val="00942E8D"/>
    <w:rsid w:val="009615E0"/>
    <w:rsid w:val="00976A50"/>
    <w:rsid w:val="00977AB1"/>
    <w:rsid w:val="00983950"/>
    <w:rsid w:val="0098540D"/>
    <w:rsid w:val="00996E49"/>
    <w:rsid w:val="009B17FD"/>
    <w:rsid w:val="009B5B97"/>
    <w:rsid w:val="009C0F89"/>
    <w:rsid w:val="009D129D"/>
    <w:rsid w:val="009D566C"/>
    <w:rsid w:val="009D711B"/>
    <w:rsid w:val="00A03D62"/>
    <w:rsid w:val="00A44C0A"/>
    <w:rsid w:val="00A55303"/>
    <w:rsid w:val="00A570EF"/>
    <w:rsid w:val="00A71279"/>
    <w:rsid w:val="00A74382"/>
    <w:rsid w:val="00A81BBD"/>
    <w:rsid w:val="00A928C2"/>
    <w:rsid w:val="00AB1F0F"/>
    <w:rsid w:val="00AF581A"/>
    <w:rsid w:val="00B013C2"/>
    <w:rsid w:val="00B05560"/>
    <w:rsid w:val="00B139B5"/>
    <w:rsid w:val="00B156EA"/>
    <w:rsid w:val="00B20158"/>
    <w:rsid w:val="00B434FE"/>
    <w:rsid w:val="00B64C00"/>
    <w:rsid w:val="00B72A19"/>
    <w:rsid w:val="00B73046"/>
    <w:rsid w:val="00BA3F09"/>
    <w:rsid w:val="00BB0C9C"/>
    <w:rsid w:val="00BB1115"/>
    <w:rsid w:val="00C10A9A"/>
    <w:rsid w:val="00C1500E"/>
    <w:rsid w:val="00C230B4"/>
    <w:rsid w:val="00C25012"/>
    <w:rsid w:val="00C373E6"/>
    <w:rsid w:val="00C37BEC"/>
    <w:rsid w:val="00C37CC6"/>
    <w:rsid w:val="00C7217B"/>
    <w:rsid w:val="00C74CDF"/>
    <w:rsid w:val="00C83802"/>
    <w:rsid w:val="00C87209"/>
    <w:rsid w:val="00C94CDE"/>
    <w:rsid w:val="00CA4689"/>
    <w:rsid w:val="00CB1851"/>
    <w:rsid w:val="00CE6200"/>
    <w:rsid w:val="00CF6B34"/>
    <w:rsid w:val="00D0161B"/>
    <w:rsid w:val="00D03CD0"/>
    <w:rsid w:val="00D2089E"/>
    <w:rsid w:val="00D24F76"/>
    <w:rsid w:val="00D32ED2"/>
    <w:rsid w:val="00D35888"/>
    <w:rsid w:val="00D64546"/>
    <w:rsid w:val="00D64893"/>
    <w:rsid w:val="00D75F61"/>
    <w:rsid w:val="00D802CC"/>
    <w:rsid w:val="00D83F88"/>
    <w:rsid w:val="00D8723A"/>
    <w:rsid w:val="00D97E84"/>
    <w:rsid w:val="00DB0B31"/>
    <w:rsid w:val="00DB0CD4"/>
    <w:rsid w:val="00DB2098"/>
    <w:rsid w:val="00DC084F"/>
    <w:rsid w:val="00DC659E"/>
    <w:rsid w:val="00DD362E"/>
    <w:rsid w:val="00DF5F7B"/>
    <w:rsid w:val="00E03C94"/>
    <w:rsid w:val="00E069DD"/>
    <w:rsid w:val="00E07FEB"/>
    <w:rsid w:val="00E3082A"/>
    <w:rsid w:val="00E30B41"/>
    <w:rsid w:val="00E333D1"/>
    <w:rsid w:val="00E4042B"/>
    <w:rsid w:val="00E41EE3"/>
    <w:rsid w:val="00E44765"/>
    <w:rsid w:val="00E52389"/>
    <w:rsid w:val="00E52E5F"/>
    <w:rsid w:val="00E5655D"/>
    <w:rsid w:val="00E577B6"/>
    <w:rsid w:val="00E75CD7"/>
    <w:rsid w:val="00E76282"/>
    <w:rsid w:val="00E7696F"/>
    <w:rsid w:val="00E85CB5"/>
    <w:rsid w:val="00E97B4E"/>
    <w:rsid w:val="00EB11BF"/>
    <w:rsid w:val="00EB21E8"/>
    <w:rsid w:val="00EB32B7"/>
    <w:rsid w:val="00ED0113"/>
    <w:rsid w:val="00EF3852"/>
    <w:rsid w:val="00EF4491"/>
    <w:rsid w:val="00F00DED"/>
    <w:rsid w:val="00F03CCA"/>
    <w:rsid w:val="00F136B8"/>
    <w:rsid w:val="00F2406C"/>
    <w:rsid w:val="00F36A1C"/>
    <w:rsid w:val="00F42485"/>
    <w:rsid w:val="00F60B40"/>
    <w:rsid w:val="00F63627"/>
    <w:rsid w:val="00F66AC5"/>
    <w:rsid w:val="00F70061"/>
    <w:rsid w:val="00F707CA"/>
    <w:rsid w:val="00F7262E"/>
    <w:rsid w:val="00FA0067"/>
    <w:rsid w:val="00FB144B"/>
    <w:rsid w:val="00FC5731"/>
    <w:rsid w:val="00FC7AC3"/>
    <w:rsid w:val="00FD0BFB"/>
    <w:rsid w:val="00FD40D1"/>
    <w:rsid w:val="00FF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D6AA"/>
  <w15:docId w15:val="{695F7B93-C912-4F1B-8DB0-D712BF26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4187"/>
    <w:pPr>
      <w:widowControl w:val="0"/>
      <w:autoSpaceDE w:val="0"/>
      <w:autoSpaceDN w:val="0"/>
      <w:ind w:left="120" w:firstLine="7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0A"/>
    <w:pPr>
      <w:tabs>
        <w:tab w:val="center" w:pos="4680"/>
        <w:tab w:val="right" w:pos="9360"/>
      </w:tabs>
    </w:pPr>
  </w:style>
  <w:style w:type="character" w:customStyle="1" w:styleId="HeaderChar">
    <w:name w:val="Header Char"/>
    <w:basedOn w:val="DefaultParagraphFont"/>
    <w:link w:val="Header"/>
    <w:uiPriority w:val="99"/>
    <w:rsid w:val="00A44C0A"/>
  </w:style>
  <w:style w:type="paragraph" w:styleId="Footer">
    <w:name w:val="footer"/>
    <w:basedOn w:val="Normal"/>
    <w:link w:val="FooterChar"/>
    <w:uiPriority w:val="99"/>
    <w:unhideWhenUsed/>
    <w:rsid w:val="00A44C0A"/>
    <w:pPr>
      <w:tabs>
        <w:tab w:val="center" w:pos="4680"/>
        <w:tab w:val="right" w:pos="9360"/>
      </w:tabs>
    </w:pPr>
  </w:style>
  <w:style w:type="character" w:customStyle="1" w:styleId="FooterChar">
    <w:name w:val="Footer Char"/>
    <w:basedOn w:val="DefaultParagraphFont"/>
    <w:link w:val="Footer"/>
    <w:uiPriority w:val="99"/>
    <w:rsid w:val="00A44C0A"/>
  </w:style>
  <w:style w:type="paragraph" w:styleId="ListParagraph">
    <w:name w:val="List Paragraph"/>
    <w:basedOn w:val="Normal"/>
    <w:uiPriority w:val="34"/>
    <w:qFormat/>
    <w:rsid w:val="0030657B"/>
    <w:pPr>
      <w:ind w:left="720"/>
      <w:contextualSpacing/>
    </w:pPr>
  </w:style>
  <w:style w:type="paragraph" w:styleId="FootnoteText">
    <w:name w:val="footnote text"/>
    <w:basedOn w:val="Normal"/>
    <w:link w:val="FootnoteTextChar"/>
    <w:uiPriority w:val="99"/>
    <w:semiHidden/>
    <w:unhideWhenUsed/>
    <w:rsid w:val="00C87209"/>
    <w:rPr>
      <w:sz w:val="20"/>
      <w:szCs w:val="20"/>
    </w:rPr>
  </w:style>
  <w:style w:type="character" w:customStyle="1" w:styleId="FootnoteTextChar">
    <w:name w:val="Footnote Text Char"/>
    <w:basedOn w:val="DefaultParagraphFont"/>
    <w:link w:val="FootnoteText"/>
    <w:uiPriority w:val="99"/>
    <w:semiHidden/>
    <w:rsid w:val="00C87209"/>
    <w:rPr>
      <w:sz w:val="20"/>
      <w:szCs w:val="20"/>
    </w:rPr>
  </w:style>
  <w:style w:type="character" w:styleId="FootnoteReference">
    <w:name w:val="footnote reference"/>
    <w:basedOn w:val="DefaultParagraphFont"/>
    <w:uiPriority w:val="99"/>
    <w:semiHidden/>
    <w:unhideWhenUsed/>
    <w:rsid w:val="00C87209"/>
    <w:rPr>
      <w:vertAlign w:val="superscript"/>
    </w:rPr>
  </w:style>
  <w:style w:type="paragraph" w:styleId="BalloonText">
    <w:name w:val="Balloon Text"/>
    <w:basedOn w:val="Normal"/>
    <w:link w:val="BalloonTextChar"/>
    <w:uiPriority w:val="99"/>
    <w:semiHidden/>
    <w:unhideWhenUsed/>
    <w:rsid w:val="00132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6D8"/>
    <w:rPr>
      <w:rFonts w:ascii="Segoe UI" w:hAnsi="Segoe UI" w:cs="Segoe UI"/>
      <w:sz w:val="18"/>
      <w:szCs w:val="18"/>
    </w:rPr>
  </w:style>
  <w:style w:type="paragraph" w:styleId="NormalWeb">
    <w:name w:val="Normal (Web)"/>
    <w:basedOn w:val="Normal"/>
    <w:uiPriority w:val="99"/>
    <w:unhideWhenUsed/>
    <w:rsid w:val="00925637"/>
    <w:pPr>
      <w:spacing w:after="150"/>
    </w:pPr>
    <w:rPr>
      <w:rFonts w:eastAsia="Times New Roman"/>
    </w:rPr>
  </w:style>
  <w:style w:type="character" w:styleId="CommentReference">
    <w:name w:val="annotation reference"/>
    <w:basedOn w:val="DefaultParagraphFont"/>
    <w:uiPriority w:val="99"/>
    <w:semiHidden/>
    <w:unhideWhenUsed/>
    <w:rsid w:val="00FD0BFB"/>
    <w:rPr>
      <w:sz w:val="16"/>
      <w:szCs w:val="16"/>
    </w:rPr>
  </w:style>
  <w:style w:type="paragraph" w:styleId="CommentText">
    <w:name w:val="annotation text"/>
    <w:basedOn w:val="Normal"/>
    <w:link w:val="CommentTextChar"/>
    <w:uiPriority w:val="99"/>
    <w:unhideWhenUsed/>
    <w:rsid w:val="00FD0BFB"/>
    <w:rPr>
      <w:sz w:val="20"/>
      <w:szCs w:val="20"/>
    </w:rPr>
  </w:style>
  <w:style w:type="character" w:customStyle="1" w:styleId="CommentTextChar">
    <w:name w:val="Comment Text Char"/>
    <w:basedOn w:val="DefaultParagraphFont"/>
    <w:link w:val="CommentText"/>
    <w:uiPriority w:val="99"/>
    <w:rsid w:val="00FD0BFB"/>
    <w:rPr>
      <w:sz w:val="20"/>
      <w:szCs w:val="20"/>
    </w:rPr>
  </w:style>
  <w:style w:type="paragraph" w:styleId="CommentSubject">
    <w:name w:val="annotation subject"/>
    <w:basedOn w:val="CommentText"/>
    <w:next w:val="CommentText"/>
    <w:link w:val="CommentSubjectChar"/>
    <w:uiPriority w:val="99"/>
    <w:semiHidden/>
    <w:unhideWhenUsed/>
    <w:rsid w:val="00FD0BFB"/>
    <w:rPr>
      <w:b/>
      <w:bCs/>
    </w:rPr>
  </w:style>
  <w:style w:type="character" w:customStyle="1" w:styleId="CommentSubjectChar">
    <w:name w:val="Comment Subject Char"/>
    <w:basedOn w:val="CommentTextChar"/>
    <w:link w:val="CommentSubject"/>
    <w:uiPriority w:val="99"/>
    <w:semiHidden/>
    <w:rsid w:val="00FD0BFB"/>
    <w:rPr>
      <w:b/>
      <w:bCs/>
      <w:sz w:val="20"/>
      <w:szCs w:val="20"/>
    </w:rPr>
  </w:style>
  <w:style w:type="paragraph" w:styleId="Revision">
    <w:name w:val="Revision"/>
    <w:hidden/>
    <w:uiPriority w:val="99"/>
    <w:semiHidden/>
    <w:rsid w:val="00347B3A"/>
  </w:style>
  <w:style w:type="character" w:styleId="Hyperlink">
    <w:name w:val="Hyperlink"/>
    <w:basedOn w:val="DefaultParagraphFont"/>
    <w:uiPriority w:val="99"/>
    <w:unhideWhenUsed/>
    <w:rsid w:val="000D27B3"/>
    <w:rPr>
      <w:color w:val="0563C1" w:themeColor="hyperlink"/>
      <w:u w:val="single"/>
    </w:rPr>
  </w:style>
  <w:style w:type="character" w:styleId="UnresolvedMention">
    <w:name w:val="Unresolved Mention"/>
    <w:basedOn w:val="DefaultParagraphFont"/>
    <w:uiPriority w:val="99"/>
    <w:semiHidden/>
    <w:unhideWhenUsed/>
    <w:rsid w:val="000D27B3"/>
    <w:rPr>
      <w:color w:val="605E5C"/>
      <w:shd w:val="clear" w:color="auto" w:fill="E1DFDD"/>
    </w:rPr>
  </w:style>
  <w:style w:type="character" w:customStyle="1" w:styleId="Heading1Char">
    <w:name w:val="Heading 1 Char"/>
    <w:basedOn w:val="DefaultParagraphFont"/>
    <w:link w:val="Heading1"/>
    <w:uiPriority w:val="9"/>
    <w:rsid w:val="00684187"/>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074">
      <w:bodyDiv w:val="1"/>
      <w:marLeft w:val="0"/>
      <w:marRight w:val="0"/>
      <w:marTop w:val="0"/>
      <w:marBottom w:val="0"/>
      <w:divBdr>
        <w:top w:val="none" w:sz="0" w:space="0" w:color="auto"/>
        <w:left w:val="none" w:sz="0" w:space="0" w:color="auto"/>
        <w:bottom w:val="none" w:sz="0" w:space="0" w:color="auto"/>
        <w:right w:val="none" w:sz="0" w:space="0" w:color="auto"/>
      </w:divBdr>
    </w:div>
    <w:div w:id="370082104">
      <w:bodyDiv w:val="1"/>
      <w:marLeft w:val="0"/>
      <w:marRight w:val="0"/>
      <w:marTop w:val="0"/>
      <w:marBottom w:val="0"/>
      <w:divBdr>
        <w:top w:val="none" w:sz="0" w:space="0" w:color="auto"/>
        <w:left w:val="none" w:sz="0" w:space="0" w:color="auto"/>
        <w:bottom w:val="none" w:sz="0" w:space="0" w:color="auto"/>
        <w:right w:val="none" w:sz="0" w:space="0" w:color="auto"/>
      </w:divBdr>
      <w:divsChild>
        <w:div w:id="1826968309">
          <w:marLeft w:val="0"/>
          <w:marRight w:val="0"/>
          <w:marTop w:val="0"/>
          <w:marBottom w:val="0"/>
          <w:divBdr>
            <w:top w:val="none" w:sz="0" w:space="0" w:color="auto"/>
            <w:left w:val="none" w:sz="0" w:space="0" w:color="auto"/>
            <w:bottom w:val="none" w:sz="0" w:space="0" w:color="auto"/>
            <w:right w:val="none" w:sz="0" w:space="0" w:color="auto"/>
          </w:divBdr>
          <w:divsChild>
            <w:div w:id="94249692">
              <w:marLeft w:val="0"/>
              <w:marRight w:val="0"/>
              <w:marTop w:val="0"/>
              <w:marBottom w:val="0"/>
              <w:divBdr>
                <w:top w:val="none" w:sz="0" w:space="0" w:color="auto"/>
                <w:left w:val="none" w:sz="0" w:space="0" w:color="auto"/>
                <w:bottom w:val="none" w:sz="0" w:space="0" w:color="auto"/>
                <w:right w:val="none" w:sz="0" w:space="0" w:color="auto"/>
              </w:divBdr>
              <w:divsChild>
                <w:div w:id="251396390">
                  <w:marLeft w:val="0"/>
                  <w:marRight w:val="0"/>
                  <w:marTop w:val="0"/>
                  <w:marBottom w:val="0"/>
                  <w:divBdr>
                    <w:top w:val="none" w:sz="0" w:space="0" w:color="auto"/>
                    <w:left w:val="none" w:sz="0" w:space="0" w:color="auto"/>
                    <w:bottom w:val="none" w:sz="0" w:space="0" w:color="auto"/>
                    <w:right w:val="none" w:sz="0" w:space="0" w:color="auto"/>
                  </w:divBdr>
                  <w:divsChild>
                    <w:div w:id="1361203169">
                      <w:marLeft w:val="-225"/>
                      <w:marRight w:val="-225"/>
                      <w:marTop w:val="0"/>
                      <w:marBottom w:val="0"/>
                      <w:divBdr>
                        <w:top w:val="none" w:sz="0" w:space="0" w:color="auto"/>
                        <w:left w:val="none" w:sz="0" w:space="0" w:color="auto"/>
                        <w:bottom w:val="none" w:sz="0" w:space="0" w:color="auto"/>
                        <w:right w:val="none" w:sz="0" w:space="0" w:color="auto"/>
                      </w:divBdr>
                      <w:divsChild>
                        <w:div w:id="1298609832">
                          <w:marLeft w:val="0"/>
                          <w:marRight w:val="0"/>
                          <w:marTop w:val="0"/>
                          <w:marBottom w:val="0"/>
                          <w:divBdr>
                            <w:top w:val="none" w:sz="0" w:space="0" w:color="auto"/>
                            <w:left w:val="none" w:sz="0" w:space="0" w:color="auto"/>
                            <w:bottom w:val="none" w:sz="0" w:space="0" w:color="auto"/>
                            <w:right w:val="none" w:sz="0" w:space="0" w:color="auto"/>
                          </w:divBdr>
                          <w:divsChild>
                            <w:div w:id="1619024617">
                              <w:marLeft w:val="-225"/>
                              <w:marRight w:val="-225"/>
                              <w:marTop w:val="0"/>
                              <w:marBottom w:val="0"/>
                              <w:divBdr>
                                <w:top w:val="none" w:sz="0" w:space="0" w:color="auto"/>
                                <w:left w:val="none" w:sz="0" w:space="0" w:color="auto"/>
                                <w:bottom w:val="none" w:sz="0" w:space="0" w:color="auto"/>
                                <w:right w:val="none" w:sz="0" w:space="0" w:color="auto"/>
                              </w:divBdr>
                              <w:divsChild>
                                <w:div w:id="5022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45941">
      <w:bodyDiv w:val="1"/>
      <w:marLeft w:val="0"/>
      <w:marRight w:val="0"/>
      <w:marTop w:val="0"/>
      <w:marBottom w:val="0"/>
      <w:divBdr>
        <w:top w:val="none" w:sz="0" w:space="0" w:color="auto"/>
        <w:left w:val="none" w:sz="0" w:space="0" w:color="auto"/>
        <w:bottom w:val="none" w:sz="0" w:space="0" w:color="auto"/>
        <w:right w:val="none" w:sz="0" w:space="0" w:color="auto"/>
      </w:divBdr>
    </w:div>
    <w:div w:id="561405477">
      <w:bodyDiv w:val="1"/>
      <w:marLeft w:val="0"/>
      <w:marRight w:val="0"/>
      <w:marTop w:val="0"/>
      <w:marBottom w:val="0"/>
      <w:divBdr>
        <w:top w:val="none" w:sz="0" w:space="0" w:color="auto"/>
        <w:left w:val="none" w:sz="0" w:space="0" w:color="auto"/>
        <w:bottom w:val="none" w:sz="0" w:space="0" w:color="auto"/>
        <w:right w:val="none" w:sz="0" w:space="0" w:color="auto"/>
      </w:divBdr>
    </w:div>
    <w:div w:id="769858075">
      <w:bodyDiv w:val="1"/>
      <w:marLeft w:val="0"/>
      <w:marRight w:val="0"/>
      <w:marTop w:val="0"/>
      <w:marBottom w:val="0"/>
      <w:divBdr>
        <w:top w:val="none" w:sz="0" w:space="0" w:color="auto"/>
        <w:left w:val="none" w:sz="0" w:space="0" w:color="auto"/>
        <w:bottom w:val="none" w:sz="0" w:space="0" w:color="auto"/>
        <w:right w:val="none" w:sz="0" w:space="0" w:color="auto"/>
      </w:divBdr>
    </w:div>
    <w:div w:id="1400128107">
      <w:bodyDiv w:val="1"/>
      <w:marLeft w:val="0"/>
      <w:marRight w:val="0"/>
      <w:marTop w:val="0"/>
      <w:marBottom w:val="0"/>
      <w:divBdr>
        <w:top w:val="none" w:sz="0" w:space="0" w:color="auto"/>
        <w:left w:val="none" w:sz="0" w:space="0" w:color="auto"/>
        <w:bottom w:val="none" w:sz="0" w:space="0" w:color="auto"/>
        <w:right w:val="none" w:sz="0" w:space="0" w:color="auto"/>
      </w:divBdr>
    </w:div>
    <w:div w:id="1769886781">
      <w:bodyDiv w:val="1"/>
      <w:marLeft w:val="0"/>
      <w:marRight w:val="0"/>
      <w:marTop w:val="0"/>
      <w:marBottom w:val="0"/>
      <w:divBdr>
        <w:top w:val="none" w:sz="0" w:space="0" w:color="auto"/>
        <w:left w:val="none" w:sz="0" w:space="0" w:color="auto"/>
        <w:bottom w:val="none" w:sz="0" w:space="0" w:color="auto"/>
        <w:right w:val="none" w:sz="0" w:space="0" w:color="auto"/>
      </w:divBdr>
    </w:div>
    <w:div w:id="19986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5A0A-B7CB-4950-9544-F332CD1F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bethany.stevens</dc:creator>
  <cp:keywords/>
  <dc:description/>
  <cp:lastModifiedBy>Sarah M Adamson</cp:lastModifiedBy>
  <cp:revision>2</cp:revision>
  <cp:lastPrinted>2022-03-28T15:51:00Z</cp:lastPrinted>
  <dcterms:created xsi:type="dcterms:W3CDTF">2026-06-08T17:46:00Z</dcterms:created>
  <dcterms:modified xsi:type="dcterms:W3CDTF">2026-06-08T17:46:00Z</dcterms:modified>
</cp:coreProperties>
</file>