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64"/>
        <w:rPr>
          <w:sz w:val="20"/>
        </w:rPr>
      </w:pPr>
      <w:r>
        <w:rPr>
          <w:sz w:val="20"/>
        </w:rPr>
        <w:drawing>
          <wp:inline distT="0" distB="0" distL="0" distR="0">
            <wp:extent cx="901686" cy="1064418"/>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01686" cy="1064418"/>
                    </a:xfrm>
                    <a:prstGeom prst="rect">
                      <a:avLst/>
                    </a:prstGeom>
                  </pic:spPr>
                </pic:pic>
              </a:graphicData>
            </a:graphic>
          </wp:inline>
        </w:drawing>
      </w:r>
      <w:r>
        <w:rPr>
          <w:sz w:val="20"/>
        </w:rPr>
      </w:r>
    </w:p>
    <w:p>
      <w:pPr>
        <w:pStyle w:val="BodyText"/>
        <w:spacing w:before="11"/>
        <w:rPr>
          <w:sz w:val="26"/>
        </w:rPr>
      </w:pPr>
    </w:p>
    <w:p>
      <w:pPr>
        <w:spacing w:line="185" w:lineRule="exact" w:before="0"/>
        <w:ind w:left="97" w:right="30" w:firstLine="0"/>
        <w:jc w:val="center"/>
        <w:rPr>
          <w:rFonts w:ascii="Arial Rounded MT Bold"/>
          <w:sz w:val="16"/>
        </w:rPr>
      </w:pPr>
      <w:r>
        <w:rPr>
          <w:rFonts w:ascii="Arial Rounded MT Bold"/>
          <w:sz w:val="16"/>
        </w:rPr>
        <w:t>CHARLES</w:t>
      </w:r>
      <w:r>
        <w:rPr>
          <w:rFonts w:ascii="Arial Rounded MT Bold"/>
          <w:spacing w:val="-5"/>
          <w:sz w:val="16"/>
        </w:rPr>
        <w:t> </w:t>
      </w:r>
      <w:r>
        <w:rPr>
          <w:rFonts w:ascii="Arial Rounded MT Bold"/>
          <w:sz w:val="16"/>
        </w:rPr>
        <w:t>D.</w:t>
      </w:r>
      <w:r>
        <w:rPr>
          <w:rFonts w:ascii="Arial Rounded MT Bold"/>
          <w:spacing w:val="-7"/>
          <w:sz w:val="16"/>
        </w:rPr>
        <w:t> </w:t>
      </w:r>
      <w:r>
        <w:rPr>
          <w:rFonts w:ascii="Arial Rounded MT Bold"/>
          <w:spacing w:val="-2"/>
          <w:sz w:val="16"/>
        </w:rPr>
        <w:t>BAKER</w:t>
      </w:r>
    </w:p>
    <w:p>
      <w:pPr>
        <w:spacing w:before="0"/>
        <w:ind w:left="97" w:right="30" w:firstLine="0"/>
        <w:jc w:val="center"/>
        <w:rPr>
          <w:rFonts w:ascii="Arial Rounded MT Bold"/>
          <w:sz w:val="14"/>
        </w:rPr>
      </w:pPr>
      <w:r>
        <w:rPr>
          <w:rFonts w:ascii="Arial Rounded MT Bold"/>
          <w:spacing w:val="-2"/>
          <w:sz w:val="14"/>
        </w:rPr>
        <w:t>Governor</w:t>
      </w:r>
    </w:p>
    <w:p>
      <w:pPr>
        <w:spacing w:line="185" w:lineRule="exact" w:before="120"/>
        <w:ind w:left="97" w:right="30" w:firstLine="0"/>
        <w:jc w:val="center"/>
        <w:rPr>
          <w:rFonts w:ascii="Arial Rounded MT Bold"/>
          <w:sz w:val="16"/>
        </w:rPr>
      </w:pPr>
      <w:r>
        <w:rPr>
          <w:rFonts w:ascii="Arial Rounded MT Bold"/>
          <w:sz w:val="16"/>
        </w:rPr>
        <w:t>KARYN</w:t>
      </w:r>
      <w:r>
        <w:rPr>
          <w:rFonts w:ascii="Arial Rounded MT Bold"/>
          <w:spacing w:val="-6"/>
          <w:sz w:val="16"/>
        </w:rPr>
        <w:t> </w:t>
      </w:r>
      <w:r>
        <w:rPr>
          <w:rFonts w:ascii="Arial Rounded MT Bold"/>
          <w:sz w:val="16"/>
        </w:rPr>
        <w:t>E.</w:t>
      </w:r>
      <w:r>
        <w:rPr>
          <w:rFonts w:ascii="Arial Rounded MT Bold"/>
          <w:spacing w:val="-5"/>
          <w:sz w:val="16"/>
        </w:rPr>
        <w:t> </w:t>
      </w:r>
      <w:r>
        <w:rPr>
          <w:rFonts w:ascii="Arial Rounded MT Bold"/>
          <w:spacing w:val="-2"/>
          <w:sz w:val="16"/>
        </w:rPr>
        <w:t>POLITO</w:t>
      </w:r>
    </w:p>
    <w:p>
      <w:pPr>
        <w:spacing w:line="162" w:lineRule="exact" w:before="0"/>
        <w:ind w:left="97" w:right="28" w:firstLine="0"/>
        <w:jc w:val="center"/>
        <w:rPr>
          <w:rFonts w:ascii="Arial Rounded MT Bold"/>
          <w:sz w:val="14"/>
        </w:rPr>
      </w:pPr>
      <w:r>
        <w:rPr>
          <w:rFonts w:ascii="Arial Rounded MT Bold"/>
          <w:sz w:val="14"/>
        </w:rPr>
        <w:t>Lieutenant</w:t>
      </w:r>
      <w:r>
        <w:rPr>
          <w:rFonts w:ascii="Arial Rounded MT Bold"/>
          <w:spacing w:val="-4"/>
          <w:sz w:val="14"/>
        </w:rPr>
        <w:t> </w:t>
      </w:r>
      <w:r>
        <w:rPr>
          <w:rFonts w:ascii="Arial Rounded MT Bold"/>
          <w:spacing w:val="-2"/>
          <w:sz w:val="14"/>
        </w:rPr>
        <w:t>Governor</w:t>
      </w:r>
    </w:p>
    <w:p>
      <w:pPr>
        <w:pStyle w:val="Title"/>
      </w:pPr>
      <w:r>
        <w:rPr/>
        <w:br w:type="column"/>
      </w:r>
      <w:r>
        <w:rPr/>
        <w:t>The</w:t>
      </w:r>
      <w:r>
        <w:rPr>
          <w:spacing w:val="-10"/>
        </w:rPr>
        <w:t> </w:t>
      </w:r>
      <w:r>
        <w:rPr/>
        <w:t>Commonwealth</w:t>
      </w:r>
      <w:r>
        <w:rPr>
          <w:spacing w:val="-12"/>
        </w:rPr>
        <w:t> </w:t>
      </w:r>
      <w:r>
        <w:rPr/>
        <w:t>of</w:t>
      </w:r>
      <w:r>
        <w:rPr>
          <w:spacing w:val="-12"/>
        </w:rPr>
        <w:t> </w:t>
      </w:r>
      <w:r>
        <w:rPr>
          <w:spacing w:val="-2"/>
        </w:rPr>
        <w:t>Massachusetts</w:t>
      </w:r>
    </w:p>
    <w:p>
      <w:pPr>
        <w:spacing w:before="0"/>
        <w:ind w:left="116" w:right="47" w:firstLine="0"/>
        <w:jc w:val="center"/>
        <w:rPr>
          <w:rFonts w:ascii="Arial"/>
          <w:sz w:val="28"/>
        </w:rPr>
      </w:pPr>
      <w:r>
        <w:rPr>
          <w:rFonts w:ascii="Arial"/>
          <w:sz w:val="28"/>
        </w:rPr>
        <w:t>Executive</w:t>
      </w:r>
      <w:r>
        <w:rPr>
          <w:rFonts w:ascii="Arial"/>
          <w:spacing w:val="-7"/>
          <w:sz w:val="28"/>
        </w:rPr>
        <w:t> </w:t>
      </w:r>
      <w:r>
        <w:rPr>
          <w:rFonts w:ascii="Arial"/>
          <w:sz w:val="28"/>
        </w:rPr>
        <w:t>Office</w:t>
      </w:r>
      <w:r>
        <w:rPr>
          <w:rFonts w:ascii="Arial"/>
          <w:spacing w:val="-7"/>
          <w:sz w:val="28"/>
        </w:rPr>
        <w:t> </w:t>
      </w:r>
      <w:r>
        <w:rPr>
          <w:rFonts w:ascii="Arial"/>
          <w:sz w:val="28"/>
        </w:rPr>
        <w:t>of</w:t>
      </w:r>
      <w:r>
        <w:rPr>
          <w:rFonts w:ascii="Arial"/>
          <w:spacing w:val="-8"/>
          <w:sz w:val="28"/>
        </w:rPr>
        <w:t> </w:t>
      </w:r>
      <w:r>
        <w:rPr>
          <w:rFonts w:ascii="Arial"/>
          <w:sz w:val="28"/>
        </w:rPr>
        <w:t>Health</w:t>
      </w:r>
      <w:r>
        <w:rPr>
          <w:rFonts w:ascii="Arial"/>
          <w:spacing w:val="-6"/>
          <w:sz w:val="28"/>
        </w:rPr>
        <w:t> </w:t>
      </w:r>
      <w:r>
        <w:rPr>
          <w:rFonts w:ascii="Arial"/>
          <w:sz w:val="28"/>
        </w:rPr>
        <w:t>and</w:t>
      </w:r>
      <w:r>
        <w:rPr>
          <w:rFonts w:ascii="Arial"/>
          <w:spacing w:val="-7"/>
          <w:sz w:val="28"/>
        </w:rPr>
        <w:t> </w:t>
      </w:r>
      <w:r>
        <w:rPr>
          <w:rFonts w:ascii="Arial"/>
          <w:sz w:val="28"/>
        </w:rPr>
        <w:t>Human</w:t>
      </w:r>
      <w:r>
        <w:rPr>
          <w:rFonts w:ascii="Arial"/>
          <w:spacing w:val="-6"/>
          <w:sz w:val="28"/>
        </w:rPr>
        <w:t> </w:t>
      </w:r>
      <w:r>
        <w:rPr>
          <w:rFonts w:ascii="Arial"/>
          <w:sz w:val="28"/>
        </w:rPr>
        <w:t>Services Department of Public Health</w:t>
      </w:r>
    </w:p>
    <w:p>
      <w:pPr>
        <w:spacing w:line="321" w:lineRule="exact" w:before="0"/>
        <w:ind w:left="172" w:right="104" w:firstLine="0"/>
        <w:jc w:val="center"/>
        <w:rPr>
          <w:rFonts w:ascii="Arial"/>
          <w:sz w:val="28"/>
        </w:rPr>
      </w:pPr>
      <w:r>
        <w:rPr>
          <w:rFonts w:ascii="Arial"/>
          <w:sz w:val="28"/>
        </w:rPr>
        <w:t>250</w:t>
      </w:r>
      <w:r>
        <w:rPr>
          <w:rFonts w:ascii="Arial"/>
          <w:spacing w:val="-12"/>
          <w:sz w:val="28"/>
        </w:rPr>
        <w:t> </w:t>
      </w:r>
      <w:r>
        <w:rPr>
          <w:rFonts w:ascii="Arial"/>
          <w:sz w:val="28"/>
        </w:rPr>
        <w:t>Washington</w:t>
      </w:r>
      <w:r>
        <w:rPr>
          <w:rFonts w:ascii="Arial"/>
          <w:spacing w:val="-10"/>
          <w:sz w:val="28"/>
        </w:rPr>
        <w:t> </w:t>
      </w:r>
      <w:r>
        <w:rPr>
          <w:rFonts w:ascii="Arial"/>
          <w:sz w:val="28"/>
        </w:rPr>
        <w:t>Street,</w:t>
      </w:r>
      <w:r>
        <w:rPr>
          <w:rFonts w:ascii="Arial"/>
          <w:spacing w:val="-11"/>
          <w:sz w:val="28"/>
        </w:rPr>
        <w:t> </w:t>
      </w:r>
      <w:r>
        <w:rPr>
          <w:rFonts w:ascii="Arial"/>
          <w:sz w:val="28"/>
        </w:rPr>
        <w:t>Boston,</w:t>
      </w:r>
      <w:r>
        <w:rPr>
          <w:rFonts w:ascii="Arial"/>
          <w:spacing w:val="-10"/>
          <w:sz w:val="28"/>
        </w:rPr>
        <w:t> </w:t>
      </w:r>
      <w:r>
        <w:rPr>
          <w:rFonts w:ascii="Arial"/>
          <w:sz w:val="28"/>
        </w:rPr>
        <w:t>MA</w:t>
      </w:r>
      <w:r>
        <w:rPr>
          <w:rFonts w:ascii="Arial"/>
          <w:spacing w:val="-12"/>
          <w:sz w:val="28"/>
        </w:rPr>
        <w:t> </w:t>
      </w:r>
      <w:r>
        <w:rPr>
          <w:rFonts w:ascii="Arial"/>
          <w:sz w:val="28"/>
        </w:rPr>
        <w:t>02108-</w:t>
      </w:r>
      <w:r>
        <w:rPr>
          <w:rFonts w:ascii="Arial"/>
          <w:spacing w:val="-4"/>
          <w:sz w:val="28"/>
        </w:rPr>
        <w:t>4619</w:t>
      </w:r>
    </w:p>
    <w:p>
      <w:pPr>
        <w:spacing w:line="240" w:lineRule="auto" w:before="0"/>
        <w:rPr>
          <w:rFonts w:ascii="Arial"/>
          <w:sz w:val="18"/>
        </w:rPr>
      </w:pPr>
      <w:r>
        <w:rPr/>
        <w:br w:type="column"/>
      </w:r>
      <w:r>
        <w:rPr>
          <w:rFonts w:ascii="Arial"/>
          <w:sz w:val="18"/>
        </w:rPr>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spacing w:line="185" w:lineRule="exact" w:before="124"/>
        <w:ind w:left="99" w:right="106" w:firstLine="0"/>
        <w:jc w:val="center"/>
        <w:rPr>
          <w:rFonts w:ascii="Arial Rounded MT Bold"/>
          <w:sz w:val="16"/>
        </w:rPr>
      </w:pPr>
      <w:r>
        <w:rPr>
          <w:rFonts w:ascii="Arial Rounded MT Bold"/>
          <w:spacing w:val="-2"/>
          <w:sz w:val="16"/>
        </w:rPr>
        <w:t>MARYLOU</w:t>
      </w:r>
      <w:r>
        <w:rPr>
          <w:rFonts w:ascii="Arial Rounded MT Bold"/>
          <w:spacing w:val="1"/>
          <w:sz w:val="16"/>
        </w:rPr>
        <w:t> </w:t>
      </w:r>
      <w:r>
        <w:rPr>
          <w:rFonts w:ascii="Arial Rounded MT Bold"/>
          <w:spacing w:val="-2"/>
          <w:sz w:val="16"/>
        </w:rPr>
        <w:t>SUDDERS</w:t>
      </w:r>
    </w:p>
    <w:p>
      <w:pPr>
        <w:spacing w:before="0"/>
        <w:ind w:left="588" w:right="592" w:firstLine="0"/>
        <w:jc w:val="center"/>
        <w:rPr>
          <w:rFonts w:ascii="Arial Rounded MT Bold"/>
          <w:sz w:val="14"/>
        </w:rPr>
      </w:pPr>
      <w:r>
        <w:rPr>
          <w:rFonts w:ascii="Arial Rounded MT Bold"/>
          <w:spacing w:val="-2"/>
          <w:sz w:val="14"/>
        </w:rPr>
        <w:t>Secretary</w:t>
      </w:r>
    </w:p>
    <w:p>
      <w:pPr>
        <w:spacing w:line="185" w:lineRule="exact" w:before="120"/>
        <w:ind w:left="99" w:right="106" w:firstLine="0"/>
        <w:jc w:val="center"/>
        <w:rPr>
          <w:rFonts w:ascii="Arial Rounded MT Bold"/>
          <w:sz w:val="16"/>
        </w:rPr>
      </w:pPr>
      <w:r>
        <w:rPr>
          <w:rFonts w:ascii="Arial Rounded MT Bold"/>
          <w:sz w:val="16"/>
        </w:rPr>
        <w:t>MARGRET</w:t>
      </w:r>
      <w:r>
        <w:rPr>
          <w:rFonts w:ascii="Arial Rounded MT Bold"/>
          <w:spacing w:val="-8"/>
          <w:sz w:val="16"/>
        </w:rPr>
        <w:t> </w:t>
      </w:r>
      <w:r>
        <w:rPr>
          <w:rFonts w:ascii="Arial Rounded MT Bold"/>
          <w:sz w:val="16"/>
        </w:rPr>
        <w:t>R.</w:t>
      </w:r>
      <w:r>
        <w:rPr>
          <w:rFonts w:ascii="Arial Rounded MT Bold"/>
          <w:spacing w:val="-5"/>
          <w:sz w:val="16"/>
        </w:rPr>
        <w:t> </w:t>
      </w:r>
      <w:r>
        <w:rPr>
          <w:rFonts w:ascii="Arial Rounded MT Bold"/>
          <w:spacing w:val="-2"/>
          <w:sz w:val="16"/>
        </w:rPr>
        <w:t>COOKE</w:t>
      </w:r>
    </w:p>
    <w:p>
      <w:pPr>
        <w:spacing w:line="162" w:lineRule="exact" w:before="0"/>
        <w:ind w:left="99" w:right="104" w:firstLine="0"/>
        <w:jc w:val="center"/>
        <w:rPr>
          <w:rFonts w:ascii="Arial Rounded MT Bold"/>
          <w:sz w:val="14"/>
        </w:rPr>
      </w:pPr>
      <w:r>
        <w:rPr>
          <w:rFonts w:ascii="Arial Rounded MT Bold"/>
          <w:spacing w:val="-2"/>
          <w:sz w:val="14"/>
        </w:rPr>
        <w:t>Commissioner</w:t>
      </w:r>
    </w:p>
    <w:p>
      <w:pPr>
        <w:spacing w:after="0" w:line="162" w:lineRule="exact"/>
        <w:jc w:val="center"/>
        <w:rPr>
          <w:rFonts w:ascii="Arial Rounded MT Bold"/>
          <w:sz w:val="14"/>
        </w:rPr>
        <w:sectPr>
          <w:type w:val="continuous"/>
          <w:pgSz w:w="12240" w:h="15840"/>
          <w:pgMar w:top="560" w:bottom="280" w:left="700" w:right="680"/>
          <w:cols w:num="3" w:equalWidth="0">
            <w:col w:w="1745" w:space="732"/>
            <w:col w:w="6269" w:space="237"/>
            <w:col w:w="1877"/>
          </w:cols>
        </w:sectPr>
      </w:pPr>
    </w:p>
    <w:p>
      <w:pPr>
        <w:pStyle w:val="BodyText"/>
        <w:rPr>
          <w:rFonts w:ascii="Arial Rounded MT Bold"/>
          <w:sz w:val="26"/>
        </w:rPr>
      </w:pPr>
    </w:p>
    <w:p>
      <w:pPr>
        <w:pStyle w:val="BodyText"/>
        <w:spacing w:before="1"/>
        <w:rPr>
          <w:rFonts w:ascii="Arial Rounded MT Bold"/>
          <w:sz w:val="31"/>
        </w:rPr>
      </w:pPr>
    </w:p>
    <w:p>
      <w:pPr>
        <w:tabs>
          <w:tab w:pos="2540" w:val="left" w:leader="none"/>
        </w:tabs>
        <w:spacing w:before="0"/>
        <w:ind w:left="380" w:right="0" w:firstLine="0"/>
        <w:jc w:val="left"/>
        <w:rPr>
          <w:b/>
          <w:sz w:val="24"/>
        </w:rPr>
      </w:pPr>
      <w:r>
        <w:rPr>
          <w:b/>
          <w:spacing w:val="-5"/>
          <w:sz w:val="24"/>
        </w:rPr>
        <w:t>TO:</w:t>
      </w:r>
      <w:r>
        <w:rPr>
          <w:b/>
          <w:sz w:val="24"/>
        </w:rPr>
        <w:tab/>
        <w:t>BSAS</w:t>
      </w:r>
      <w:r>
        <w:rPr>
          <w:b/>
          <w:spacing w:val="-11"/>
          <w:sz w:val="24"/>
        </w:rPr>
        <w:t> </w:t>
      </w:r>
      <w:r>
        <w:rPr>
          <w:b/>
          <w:sz w:val="24"/>
        </w:rPr>
        <w:t>LICENSEES,</w:t>
      </w:r>
      <w:r>
        <w:rPr>
          <w:b/>
          <w:spacing w:val="-10"/>
          <w:sz w:val="24"/>
        </w:rPr>
        <w:t> </w:t>
      </w:r>
      <w:r>
        <w:rPr>
          <w:b/>
          <w:sz w:val="24"/>
        </w:rPr>
        <w:t>PROVIDERS,</w:t>
      </w:r>
      <w:r>
        <w:rPr>
          <w:b/>
          <w:spacing w:val="-10"/>
          <w:sz w:val="24"/>
        </w:rPr>
        <w:t> </w:t>
      </w:r>
      <w:r>
        <w:rPr>
          <w:b/>
          <w:sz w:val="24"/>
        </w:rPr>
        <w:t>AND</w:t>
      </w:r>
      <w:r>
        <w:rPr>
          <w:b/>
          <w:spacing w:val="-11"/>
          <w:sz w:val="24"/>
        </w:rPr>
        <w:t> </w:t>
      </w:r>
      <w:r>
        <w:rPr>
          <w:b/>
          <w:spacing w:val="-2"/>
          <w:sz w:val="24"/>
        </w:rPr>
        <w:t>STAKEHOLDERS</w:t>
      </w:r>
    </w:p>
    <w:p>
      <w:pPr>
        <w:spacing w:line="240" w:lineRule="auto" w:before="1"/>
        <w:rPr>
          <w:b/>
          <w:sz w:val="14"/>
        </w:rPr>
      </w:pPr>
      <w:r>
        <w:rPr/>
        <w:br w:type="column"/>
      </w:r>
      <w:r>
        <w:rPr>
          <w:b/>
          <w:sz w:val="14"/>
        </w:rPr>
      </w:r>
    </w:p>
    <w:p>
      <w:pPr>
        <w:spacing w:before="0"/>
        <w:ind w:left="453" w:right="0" w:firstLine="0"/>
        <w:jc w:val="left"/>
        <w:rPr>
          <w:rFonts w:ascii="Arial"/>
          <w:b/>
          <w:sz w:val="14"/>
        </w:rPr>
      </w:pPr>
      <w:r>
        <w:rPr>
          <w:rFonts w:ascii="Arial"/>
          <w:b/>
          <w:sz w:val="14"/>
        </w:rPr>
        <w:t>Tel:</w:t>
      </w:r>
      <w:r>
        <w:rPr>
          <w:rFonts w:ascii="Arial"/>
          <w:b/>
          <w:spacing w:val="-7"/>
          <w:sz w:val="14"/>
        </w:rPr>
        <w:t> </w:t>
      </w:r>
      <w:r>
        <w:rPr>
          <w:rFonts w:ascii="Arial"/>
          <w:b/>
          <w:sz w:val="14"/>
        </w:rPr>
        <w:t>617-624-</w:t>
      </w:r>
      <w:r>
        <w:rPr>
          <w:rFonts w:ascii="Arial"/>
          <w:b/>
          <w:spacing w:val="-4"/>
          <w:sz w:val="14"/>
        </w:rPr>
        <w:t>6000</w:t>
      </w:r>
    </w:p>
    <w:p>
      <w:pPr>
        <w:spacing w:before="0"/>
        <w:ind w:left="380" w:right="0" w:firstLine="0"/>
        <w:jc w:val="left"/>
        <w:rPr>
          <w:rFonts w:ascii="Arial"/>
          <w:b/>
          <w:sz w:val="14"/>
        </w:rPr>
      </w:pPr>
      <w:hyperlink r:id="rId6">
        <w:r>
          <w:rPr>
            <w:rFonts w:ascii="Arial"/>
            <w:b/>
            <w:spacing w:val="-2"/>
            <w:sz w:val="14"/>
          </w:rPr>
          <w:t>www.mass.gov/dph</w:t>
        </w:r>
      </w:hyperlink>
    </w:p>
    <w:p>
      <w:pPr>
        <w:spacing w:after="0"/>
        <w:jc w:val="left"/>
        <w:rPr>
          <w:rFonts w:ascii="Arial"/>
          <w:sz w:val="14"/>
        </w:rPr>
        <w:sectPr>
          <w:type w:val="continuous"/>
          <w:pgSz w:w="12240" w:h="15840"/>
          <w:pgMar w:top="560" w:bottom="280" w:left="700" w:right="680"/>
          <w:cols w:num="2" w:equalWidth="0">
            <w:col w:w="8807" w:space="78"/>
            <w:col w:w="1975"/>
          </w:cols>
        </w:sectPr>
      </w:pPr>
    </w:p>
    <w:p>
      <w:pPr>
        <w:pStyle w:val="BodyText"/>
        <w:spacing w:before="3"/>
        <w:rPr>
          <w:rFonts w:ascii="Arial"/>
          <w:b/>
          <w:sz w:val="18"/>
        </w:rPr>
      </w:pPr>
      <w:r>
        <w:rPr/>
        <w:pict>
          <v:rect style="position:absolute;margin-left:459.399994pt;margin-top:114.5pt;width:142.85pt;height:89.45pt;mso-position-horizontal-relative:page;mso-position-vertical-relative:page;z-index:-15805952" id="docshape1" filled="true" fillcolor="#ffffff" stroked="false">
            <v:fill type="solid"/>
            <w10:wrap type="none"/>
          </v:rect>
        </w:pict>
      </w:r>
    </w:p>
    <w:p>
      <w:pPr>
        <w:tabs>
          <w:tab w:pos="2540" w:val="left" w:leader="none"/>
        </w:tabs>
        <w:spacing w:before="90"/>
        <w:ind w:left="2540" w:right="1536" w:hanging="2161"/>
        <w:jc w:val="left"/>
        <w:rPr>
          <w:b/>
          <w:sz w:val="24"/>
        </w:rPr>
      </w:pPr>
      <w:r>
        <w:rPr>
          <w:b/>
          <w:spacing w:val="-2"/>
          <w:sz w:val="24"/>
        </w:rPr>
        <w:t>FROM:</w:t>
      </w:r>
      <w:r>
        <w:rPr>
          <w:b/>
          <w:sz w:val="24"/>
        </w:rPr>
        <w:tab/>
        <w:t>DEIRDRE</w:t>
      </w:r>
      <w:r>
        <w:rPr>
          <w:b/>
          <w:spacing w:val="-8"/>
          <w:sz w:val="24"/>
        </w:rPr>
        <w:t> </w:t>
      </w:r>
      <w:r>
        <w:rPr>
          <w:b/>
          <w:sz w:val="24"/>
        </w:rPr>
        <w:t>CALVERT,</w:t>
      </w:r>
      <w:r>
        <w:rPr>
          <w:b/>
          <w:spacing w:val="-8"/>
          <w:sz w:val="24"/>
        </w:rPr>
        <w:t> </w:t>
      </w:r>
      <w:r>
        <w:rPr>
          <w:b/>
          <w:sz w:val="24"/>
        </w:rPr>
        <w:t>DIRECTOR,</w:t>
      </w:r>
      <w:r>
        <w:rPr>
          <w:b/>
          <w:spacing w:val="-8"/>
          <w:sz w:val="24"/>
        </w:rPr>
        <w:t> </w:t>
      </w:r>
      <w:r>
        <w:rPr>
          <w:b/>
          <w:sz w:val="24"/>
        </w:rPr>
        <w:t>BUREAU</w:t>
      </w:r>
      <w:r>
        <w:rPr>
          <w:b/>
          <w:spacing w:val="-9"/>
          <w:sz w:val="24"/>
        </w:rPr>
        <w:t> </w:t>
      </w:r>
      <w:r>
        <w:rPr>
          <w:b/>
          <w:sz w:val="24"/>
        </w:rPr>
        <w:t>OF</w:t>
      </w:r>
      <w:r>
        <w:rPr>
          <w:b/>
          <w:spacing w:val="-8"/>
          <w:sz w:val="24"/>
        </w:rPr>
        <w:t> </w:t>
      </w:r>
      <w:r>
        <w:rPr>
          <w:b/>
          <w:sz w:val="24"/>
        </w:rPr>
        <w:t>SUBSTANCE ADDICTION SERVICES</w:t>
      </w:r>
    </w:p>
    <w:p>
      <w:pPr>
        <w:pStyle w:val="BodyText"/>
        <w:spacing w:before="1"/>
        <w:rPr>
          <w:b/>
          <w:sz w:val="26"/>
        </w:rPr>
      </w:pPr>
    </w:p>
    <w:p>
      <w:pPr>
        <w:tabs>
          <w:tab w:pos="2540" w:val="left" w:leader="none"/>
        </w:tabs>
        <w:spacing w:before="1"/>
        <w:ind w:left="2540" w:right="398" w:hanging="2161"/>
        <w:jc w:val="both"/>
        <w:rPr>
          <w:b/>
          <w:sz w:val="24"/>
        </w:rPr>
      </w:pPr>
      <w:r>
        <w:rPr>
          <w:b/>
          <w:spacing w:val="-2"/>
          <w:sz w:val="24"/>
        </w:rPr>
        <w:t>SUBJECT:</w:t>
      </w:r>
      <w:r>
        <w:rPr>
          <w:b/>
          <w:sz w:val="24"/>
        </w:rPr>
        <w:tab/>
        <w:t>UPDATES TO REGULATIONS 105 CMR 164.305 – REQUIREMENTS RELATED</w:t>
      </w:r>
      <w:r>
        <w:rPr>
          <w:b/>
          <w:spacing w:val="-1"/>
          <w:sz w:val="24"/>
        </w:rPr>
        <w:t> </w:t>
      </w:r>
      <w:r>
        <w:rPr>
          <w:b/>
          <w:sz w:val="24"/>
        </w:rPr>
        <w:t>TO</w:t>
      </w:r>
      <w:r>
        <w:rPr>
          <w:b/>
          <w:spacing w:val="-2"/>
          <w:sz w:val="24"/>
        </w:rPr>
        <w:t> </w:t>
      </w:r>
      <w:r>
        <w:rPr>
          <w:b/>
          <w:sz w:val="24"/>
        </w:rPr>
        <w:t>CENTRAL</w:t>
      </w:r>
      <w:r>
        <w:rPr>
          <w:b/>
          <w:spacing w:val="-2"/>
          <w:sz w:val="24"/>
        </w:rPr>
        <w:t> </w:t>
      </w:r>
      <w:r>
        <w:rPr>
          <w:b/>
          <w:sz w:val="24"/>
        </w:rPr>
        <w:t>REGISTRY</w:t>
      </w:r>
      <w:r>
        <w:rPr>
          <w:b/>
          <w:spacing w:val="-2"/>
          <w:sz w:val="24"/>
        </w:rPr>
        <w:t> </w:t>
      </w:r>
      <w:r>
        <w:rPr>
          <w:b/>
          <w:sz w:val="24"/>
        </w:rPr>
        <w:t>SYSTEM –</w:t>
      </w:r>
      <w:r>
        <w:rPr>
          <w:b/>
          <w:spacing w:val="-2"/>
          <w:sz w:val="24"/>
        </w:rPr>
        <w:t> </w:t>
      </w:r>
      <w:r>
        <w:rPr>
          <w:b/>
          <w:sz w:val="24"/>
        </w:rPr>
        <w:t>OPIOID</w:t>
      </w:r>
      <w:r>
        <w:rPr>
          <w:b/>
          <w:spacing w:val="-2"/>
          <w:sz w:val="24"/>
        </w:rPr>
        <w:t> </w:t>
      </w:r>
      <w:r>
        <w:rPr>
          <w:b/>
          <w:sz w:val="24"/>
        </w:rPr>
        <w:t>TREATMENT </w:t>
      </w:r>
      <w:r>
        <w:rPr>
          <w:b/>
          <w:spacing w:val="-2"/>
          <w:sz w:val="24"/>
        </w:rPr>
        <w:t>PROGRAMS</w:t>
      </w:r>
    </w:p>
    <w:p>
      <w:pPr>
        <w:pStyle w:val="BodyText"/>
        <w:rPr>
          <w:b/>
          <w:sz w:val="26"/>
        </w:rPr>
      </w:pPr>
    </w:p>
    <w:p>
      <w:pPr>
        <w:tabs>
          <w:tab w:pos="2540" w:val="left" w:leader="none"/>
        </w:tabs>
        <w:spacing w:before="1"/>
        <w:ind w:left="380" w:right="0" w:firstLine="0"/>
        <w:jc w:val="left"/>
        <w:rPr>
          <w:b/>
          <w:sz w:val="24"/>
        </w:rPr>
      </w:pPr>
      <w:r>
        <w:rPr>
          <w:b/>
          <w:spacing w:val="-2"/>
          <w:sz w:val="24"/>
        </w:rPr>
        <w:t>DATE:</w:t>
      </w:r>
      <w:r>
        <w:rPr>
          <w:b/>
          <w:sz w:val="24"/>
        </w:rPr>
        <w:tab/>
        <w:t>NOVEMBER</w:t>
      </w:r>
      <w:r>
        <w:rPr>
          <w:b/>
          <w:spacing w:val="-6"/>
          <w:sz w:val="24"/>
        </w:rPr>
        <w:t> </w:t>
      </w:r>
      <w:r>
        <w:rPr>
          <w:b/>
          <w:sz w:val="24"/>
        </w:rPr>
        <w:t>11,</w:t>
      </w:r>
      <w:r>
        <w:rPr>
          <w:b/>
          <w:spacing w:val="-5"/>
          <w:sz w:val="24"/>
        </w:rPr>
        <w:t> </w:t>
      </w:r>
      <w:r>
        <w:rPr>
          <w:b/>
          <w:spacing w:val="-4"/>
          <w:sz w:val="24"/>
        </w:rPr>
        <w:t>2022</w:t>
      </w:r>
    </w:p>
    <w:p>
      <w:pPr>
        <w:pStyle w:val="BodyText"/>
        <w:rPr>
          <w:b/>
          <w:sz w:val="20"/>
        </w:rPr>
      </w:pPr>
    </w:p>
    <w:p>
      <w:pPr>
        <w:pStyle w:val="BodyText"/>
        <w:spacing w:before="7"/>
        <w:rPr>
          <w:b/>
          <w:sz w:val="29"/>
        </w:rPr>
      </w:pPr>
      <w:r>
        <w:rPr/>
        <w:pict>
          <v:rect style="position:absolute;margin-left:52.5pt;margin-top:18.243376pt;width:507.06pt;height:1.5pt;mso-position-horizontal-relative:page;mso-position-vertical-relative:paragraph;z-index:-15728640;mso-wrap-distance-left:0;mso-wrap-distance-right:0" id="docshape2" filled="true" fillcolor="#000000" stroked="false">
            <v:fill type="solid"/>
            <w10:wrap type="topAndBottom"/>
          </v:rect>
        </w:pict>
      </w:r>
    </w:p>
    <w:p>
      <w:pPr>
        <w:pStyle w:val="BodyText"/>
        <w:spacing w:before="3"/>
        <w:rPr>
          <w:b/>
          <w:sz w:val="18"/>
        </w:rPr>
      </w:pPr>
    </w:p>
    <w:p>
      <w:pPr>
        <w:spacing w:before="91"/>
        <w:ind w:left="380" w:right="398" w:firstLine="0"/>
        <w:jc w:val="both"/>
        <w:rPr>
          <w:sz w:val="22"/>
        </w:rPr>
      </w:pPr>
      <w:r>
        <w:rPr>
          <w:sz w:val="22"/>
        </w:rPr>
        <w:t>The purpose of this document is to issue guidance to all providers licensed/approved, otherwise referred to as “providers,” by the Massachusetts Department of Public Health’s (DPH) Bureau of Substance Addiction Services (BSAS) regarding compliance with new requirements for the use of the Central Registry System in BSAS’ regulation for </w:t>
      </w:r>
      <w:r>
        <w:rPr>
          <w:i/>
          <w:sz w:val="22"/>
        </w:rPr>
        <w:t>Licensure of Substance Use Disorder Treatment Programs</w:t>
      </w:r>
      <w:r>
        <w:rPr>
          <w:sz w:val="22"/>
        </w:rPr>
        <w:t>, 105 CMR 164.000.</w:t>
      </w:r>
    </w:p>
    <w:p>
      <w:pPr>
        <w:pStyle w:val="BodyText"/>
        <w:spacing w:before="10"/>
        <w:rPr>
          <w:sz w:val="20"/>
        </w:rPr>
      </w:pPr>
    </w:p>
    <w:p>
      <w:pPr>
        <w:spacing w:before="0"/>
        <w:ind w:left="380" w:right="482" w:firstLine="0"/>
        <w:jc w:val="left"/>
        <w:rPr>
          <w:sz w:val="22"/>
        </w:rPr>
      </w:pPr>
      <w:r>
        <w:rPr>
          <w:sz w:val="22"/>
        </w:rPr>
        <w:t>BSAS recognizes that each situation has its unique facts and circumstances and encourages stakeholders with specific</w:t>
      </w:r>
      <w:r>
        <w:rPr>
          <w:spacing w:val="-6"/>
          <w:sz w:val="22"/>
        </w:rPr>
        <w:t> </w:t>
      </w:r>
      <w:r>
        <w:rPr>
          <w:sz w:val="22"/>
        </w:rPr>
        <w:t>questions</w:t>
      </w:r>
      <w:r>
        <w:rPr>
          <w:spacing w:val="-5"/>
          <w:sz w:val="22"/>
        </w:rPr>
        <w:t> </w:t>
      </w:r>
      <w:r>
        <w:rPr>
          <w:sz w:val="22"/>
        </w:rPr>
        <w:t>to</w:t>
      </w:r>
      <w:r>
        <w:rPr>
          <w:spacing w:val="-5"/>
          <w:sz w:val="22"/>
        </w:rPr>
        <w:t> </w:t>
      </w:r>
      <w:r>
        <w:rPr>
          <w:sz w:val="22"/>
        </w:rPr>
        <w:t>contact</w:t>
      </w:r>
      <w:r>
        <w:rPr>
          <w:spacing w:val="-6"/>
          <w:sz w:val="22"/>
        </w:rPr>
        <w:t> </w:t>
      </w:r>
      <w:r>
        <w:rPr>
          <w:sz w:val="22"/>
        </w:rPr>
        <w:t>your</w:t>
      </w:r>
      <w:r>
        <w:rPr>
          <w:spacing w:val="-5"/>
          <w:sz w:val="22"/>
        </w:rPr>
        <w:t> </w:t>
      </w:r>
      <w:r>
        <w:rPr>
          <w:sz w:val="22"/>
        </w:rPr>
        <w:t>Regional</w:t>
      </w:r>
      <w:r>
        <w:rPr>
          <w:spacing w:val="-6"/>
          <w:sz w:val="22"/>
        </w:rPr>
        <w:t> </w:t>
      </w:r>
      <w:r>
        <w:rPr>
          <w:sz w:val="22"/>
        </w:rPr>
        <w:t>License</w:t>
      </w:r>
      <w:r>
        <w:rPr>
          <w:spacing w:val="-6"/>
          <w:sz w:val="22"/>
        </w:rPr>
        <w:t> </w:t>
      </w:r>
      <w:r>
        <w:rPr>
          <w:sz w:val="22"/>
        </w:rPr>
        <w:t>Inspector:</w:t>
      </w:r>
      <w:r>
        <w:rPr>
          <w:spacing w:val="-5"/>
          <w:sz w:val="22"/>
        </w:rPr>
        <w:t> </w:t>
      </w:r>
      <w:hyperlink r:id="rId7">
        <w:r>
          <w:rPr>
            <w:color w:val="0000FF"/>
            <w:sz w:val="22"/>
            <w:u w:val="single" w:color="0000FF"/>
          </w:rPr>
          <w:t>https://www.mass.gov/service-details/information-</w:t>
        </w:r>
      </w:hyperlink>
      <w:r>
        <w:rPr>
          <w:color w:val="0000FF"/>
          <w:sz w:val="22"/>
        </w:rPr>
        <w:t> </w:t>
      </w:r>
      <w:hyperlink r:id="rId7">
        <w:r>
          <w:rPr>
            <w:color w:val="0000FF"/>
            <w:spacing w:val="-2"/>
            <w:sz w:val="22"/>
            <w:u w:val="single" w:color="0000FF"/>
          </w:rPr>
          <w:t>for-licensed-substance-use-disorder-treatment-programs</w:t>
        </w:r>
      </w:hyperlink>
    </w:p>
    <w:p>
      <w:pPr>
        <w:pStyle w:val="BodyText"/>
        <w:spacing w:before="11"/>
        <w:rPr>
          <w:sz w:val="12"/>
        </w:rPr>
      </w:pPr>
    </w:p>
    <w:p>
      <w:pPr>
        <w:spacing w:before="90"/>
        <w:ind w:left="380" w:right="395" w:firstLine="0"/>
        <w:jc w:val="both"/>
        <w:rPr>
          <w:b/>
          <w:sz w:val="22"/>
        </w:rPr>
      </w:pPr>
      <w:r>
        <w:rPr>
          <w:sz w:val="22"/>
        </w:rPr>
        <w:t>Amendments to 105 CMR 164.305 now require all Opioid Treatment Programs (OTP) to participate in the</w:t>
      </w:r>
      <w:r>
        <w:rPr>
          <w:spacing w:val="40"/>
          <w:sz w:val="22"/>
        </w:rPr>
        <w:t> </w:t>
      </w:r>
      <w:r>
        <w:rPr>
          <w:sz w:val="22"/>
        </w:rPr>
        <w:t>Central Registry System. </w:t>
      </w:r>
      <w:r>
        <w:rPr>
          <w:b/>
          <w:sz w:val="22"/>
        </w:rPr>
        <w:t>The Department has issued a blanket waiver allowing providers 90-days to fully implement the Central Registry System from the date of regulation promulgation.</w:t>
      </w:r>
    </w:p>
    <w:p>
      <w:pPr>
        <w:pStyle w:val="BodyText"/>
        <w:spacing w:before="11"/>
        <w:rPr>
          <w:b/>
          <w:sz w:val="20"/>
        </w:rPr>
      </w:pPr>
    </w:p>
    <w:p>
      <w:pPr>
        <w:spacing w:before="0"/>
        <w:ind w:left="380" w:right="418" w:firstLine="0"/>
        <w:jc w:val="left"/>
        <w:rPr>
          <w:sz w:val="22"/>
        </w:rPr>
      </w:pPr>
      <w:r>
        <w:rPr>
          <w:sz w:val="22"/>
        </w:rPr>
        <w:t>This</w:t>
      </w:r>
      <w:r>
        <w:rPr>
          <w:spacing w:val="-4"/>
          <w:sz w:val="22"/>
        </w:rPr>
        <w:t> </w:t>
      </w:r>
      <w:r>
        <w:rPr>
          <w:sz w:val="22"/>
        </w:rPr>
        <w:t>guidance</w:t>
      </w:r>
      <w:r>
        <w:rPr>
          <w:spacing w:val="-4"/>
          <w:sz w:val="22"/>
        </w:rPr>
        <w:t> </w:t>
      </w:r>
      <w:r>
        <w:rPr>
          <w:sz w:val="22"/>
        </w:rPr>
        <w:t>seeks</w:t>
      </w:r>
      <w:r>
        <w:rPr>
          <w:spacing w:val="-3"/>
          <w:sz w:val="22"/>
        </w:rPr>
        <w:t> </w:t>
      </w:r>
      <w:r>
        <w:rPr>
          <w:sz w:val="22"/>
        </w:rPr>
        <w:t>to</w:t>
      </w:r>
      <w:r>
        <w:rPr>
          <w:spacing w:val="-3"/>
          <w:sz w:val="22"/>
        </w:rPr>
        <w:t> </w:t>
      </w:r>
      <w:r>
        <w:rPr>
          <w:sz w:val="22"/>
        </w:rPr>
        <w:t>inform</w:t>
      </w:r>
      <w:r>
        <w:rPr>
          <w:spacing w:val="-4"/>
          <w:sz w:val="22"/>
        </w:rPr>
        <w:t> </w:t>
      </w:r>
      <w:r>
        <w:rPr>
          <w:sz w:val="22"/>
        </w:rPr>
        <w:t>providers</w:t>
      </w:r>
      <w:r>
        <w:rPr>
          <w:spacing w:val="-4"/>
          <w:sz w:val="22"/>
        </w:rPr>
        <w:t> </w:t>
      </w:r>
      <w:r>
        <w:rPr>
          <w:sz w:val="22"/>
        </w:rPr>
        <w:t>of</w:t>
      </w:r>
      <w:r>
        <w:rPr>
          <w:spacing w:val="-4"/>
          <w:sz w:val="22"/>
        </w:rPr>
        <w:t> </w:t>
      </w:r>
      <w:r>
        <w:rPr>
          <w:sz w:val="22"/>
        </w:rPr>
        <w:t>changes</w:t>
      </w:r>
      <w:r>
        <w:rPr>
          <w:spacing w:val="-4"/>
          <w:sz w:val="22"/>
        </w:rPr>
        <w:t> </w:t>
      </w:r>
      <w:r>
        <w:rPr>
          <w:sz w:val="22"/>
        </w:rPr>
        <w:t>to</w:t>
      </w:r>
      <w:r>
        <w:rPr>
          <w:spacing w:val="-3"/>
          <w:sz w:val="22"/>
        </w:rPr>
        <w:t> </w:t>
      </w:r>
      <w:r>
        <w:rPr>
          <w:sz w:val="22"/>
        </w:rPr>
        <w:t>the</w:t>
      </w:r>
      <w:r>
        <w:rPr>
          <w:spacing w:val="-4"/>
          <w:sz w:val="22"/>
        </w:rPr>
        <w:t> </w:t>
      </w:r>
      <w:r>
        <w:rPr>
          <w:sz w:val="22"/>
        </w:rPr>
        <w:t>regulation</w:t>
      </w:r>
      <w:r>
        <w:rPr>
          <w:spacing w:val="-3"/>
          <w:sz w:val="22"/>
        </w:rPr>
        <w:t> </w:t>
      </w:r>
      <w:r>
        <w:rPr>
          <w:sz w:val="22"/>
        </w:rPr>
        <w:t>and</w:t>
      </w:r>
      <w:r>
        <w:rPr>
          <w:spacing w:val="-4"/>
          <w:sz w:val="22"/>
        </w:rPr>
        <w:t> </w:t>
      </w:r>
      <w:r>
        <w:rPr>
          <w:sz w:val="22"/>
        </w:rPr>
        <w:t>point</w:t>
      </w:r>
      <w:r>
        <w:rPr>
          <w:spacing w:val="-5"/>
          <w:sz w:val="22"/>
        </w:rPr>
        <w:t> </w:t>
      </w:r>
      <w:r>
        <w:rPr>
          <w:sz w:val="22"/>
        </w:rPr>
        <w:t>them</w:t>
      </w:r>
      <w:r>
        <w:rPr>
          <w:spacing w:val="-4"/>
          <w:sz w:val="22"/>
        </w:rPr>
        <w:t> </w:t>
      </w:r>
      <w:r>
        <w:rPr>
          <w:sz w:val="22"/>
        </w:rPr>
        <w:t>to</w:t>
      </w:r>
      <w:r>
        <w:rPr>
          <w:spacing w:val="-3"/>
          <w:sz w:val="22"/>
        </w:rPr>
        <w:t> </w:t>
      </w:r>
      <w:r>
        <w:rPr>
          <w:sz w:val="22"/>
        </w:rPr>
        <w:t>particular</w:t>
      </w:r>
      <w:r>
        <w:rPr>
          <w:spacing w:val="-4"/>
          <w:sz w:val="22"/>
        </w:rPr>
        <w:t> </w:t>
      </w:r>
      <w:r>
        <w:rPr>
          <w:sz w:val="22"/>
        </w:rPr>
        <w:t>sections relevant to this topic. BSAS encourages all providers to review the updated regulation in its entirety, which may be found at the following link: </w:t>
      </w:r>
      <w:hyperlink r:id="rId8">
        <w:r>
          <w:rPr>
            <w:color w:val="0000FF"/>
            <w:sz w:val="22"/>
            <w:u w:val="single" w:color="0000FF"/>
          </w:rPr>
          <w:t>https://www.mass.gov/regulations/105-CMR-16400-licensure-of-substance-abuse-</w:t>
        </w:r>
      </w:hyperlink>
      <w:r>
        <w:rPr>
          <w:color w:val="0000FF"/>
          <w:sz w:val="22"/>
        </w:rPr>
        <w:t> </w:t>
      </w:r>
      <w:hyperlink r:id="rId8">
        <w:r>
          <w:rPr>
            <w:color w:val="0000FF"/>
            <w:spacing w:val="-2"/>
            <w:sz w:val="22"/>
            <w:u w:val="single" w:color="0000FF"/>
          </w:rPr>
          <w:t>treatment-programs</w:t>
        </w:r>
      </w:hyperlink>
    </w:p>
    <w:p>
      <w:pPr>
        <w:pStyle w:val="BodyText"/>
        <w:spacing w:before="10"/>
        <w:rPr>
          <w:sz w:val="20"/>
        </w:rPr>
      </w:pPr>
    </w:p>
    <w:p>
      <w:pPr>
        <w:pStyle w:val="Heading1"/>
      </w:pPr>
      <w:r>
        <w:rPr>
          <w:spacing w:val="-2"/>
        </w:rPr>
        <w:t>Introduction</w:t>
      </w:r>
    </w:p>
    <w:p>
      <w:pPr>
        <w:pStyle w:val="BodyText"/>
        <w:spacing w:before="10"/>
        <w:rPr>
          <w:b/>
          <w:sz w:val="20"/>
        </w:rPr>
      </w:pPr>
    </w:p>
    <w:p>
      <w:pPr>
        <w:pStyle w:val="BodyText"/>
        <w:ind w:left="380" w:right="482"/>
      </w:pPr>
      <w:r>
        <w:rPr/>
        <w:t>105 CMR 164.305 now requires all Opioid Treatment Programs (OTPs) to participate in the Central Registry System. The purpose of the Central Registry System is to expedite the admission process by verification</w:t>
      </w:r>
      <w:r>
        <w:rPr>
          <w:spacing w:val="-4"/>
        </w:rPr>
        <w:t> </w:t>
      </w:r>
      <w:r>
        <w:rPr/>
        <w:t>of</w:t>
      </w:r>
      <w:r>
        <w:rPr>
          <w:spacing w:val="-3"/>
        </w:rPr>
        <w:t> </w:t>
      </w:r>
      <w:r>
        <w:rPr/>
        <w:t>medication</w:t>
      </w:r>
      <w:r>
        <w:rPr>
          <w:spacing w:val="-3"/>
        </w:rPr>
        <w:t> </w:t>
      </w:r>
      <w:r>
        <w:rPr/>
        <w:t>and</w:t>
      </w:r>
      <w:r>
        <w:rPr>
          <w:spacing w:val="-3"/>
        </w:rPr>
        <w:t> </w:t>
      </w:r>
      <w:r>
        <w:rPr/>
        <w:t>dose,</w:t>
      </w:r>
      <w:r>
        <w:rPr>
          <w:spacing w:val="-5"/>
        </w:rPr>
        <w:t> </w:t>
      </w:r>
      <w:r>
        <w:rPr/>
        <w:t>prevent</w:t>
      </w:r>
      <w:r>
        <w:rPr>
          <w:spacing w:val="-4"/>
        </w:rPr>
        <w:t> </w:t>
      </w:r>
      <w:r>
        <w:rPr/>
        <w:t>a</w:t>
      </w:r>
      <w:r>
        <w:rPr>
          <w:spacing w:val="-3"/>
        </w:rPr>
        <w:t> </w:t>
      </w:r>
      <w:r>
        <w:rPr/>
        <w:t>patient’s</w:t>
      </w:r>
      <w:r>
        <w:rPr>
          <w:spacing w:val="-3"/>
        </w:rPr>
        <w:t> </w:t>
      </w:r>
      <w:r>
        <w:rPr/>
        <w:t>simultaneous</w:t>
      </w:r>
      <w:r>
        <w:rPr>
          <w:spacing w:val="-3"/>
        </w:rPr>
        <w:t> </w:t>
      </w:r>
      <w:r>
        <w:rPr/>
        <w:t>enrollment</w:t>
      </w:r>
      <w:r>
        <w:rPr>
          <w:spacing w:val="-3"/>
        </w:rPr>
        <w:t> </w:t>
      </w:r>
      <w:r>
        <w:rPr/>
        <w:t>in</w:t>
      </w:r>
      <w:r>
        <w:rPr>
          <w:spacing w:val="-5"/>
        </w:rPr>
        <w:t> </w:t>
      </w:r>
      <w:r>
        <w:rPr/>
        <w:t>more</w:t>
      </w:r>
      <w:r>
        <w:rPr>
          <w:spacing w:val="-3"/>
        </w:rPr>
        <w:t> </w:t>
      </w:r>
      <w:r>
        <w:rPr/>
        <w:t>than</w:t>
      </w:r>
      <w:r>
        <w:rPr>
          <w:spacing w:val="-3"/>
        </w:rPr>
        <w:t> </w:t>
      </w:r>
      <w:r>
        <w:rPr/>
        <w:t>one</w:t>
      </w:r>
      <w:r>
        <w:rPr>
          <w:spacing w:val="-5"/>
        </w:rPr>
        <w:t> </w:t>
      </w:r>
      <w:r>
        <w:rPr/>
        <w:t>OTP, facilitate disaster response, allow access to treatment during emergencies throughout the State, and</w:t>
      </w:r>
    </w:p>
    <w:p>
      <w:pPr>
        <w:spacing w:after="0"/>
        <w:sectPr>
          <w:type w:val="continuous"/>
          <w:pgSz w:w="12240" w:h="15840"/>
          <w:pgMar w:top="560" w:bottom="280" w:left="700" w:right="680"/>
        </w:sectPr>
      </w:pPr>
    </w:p>
    <w:p>
      <w:pPr>
        <w:pStyle w:val="BodyText"/>
        <w:spacing w:before="60"/>
        <w:ind w:left="380" w:right="482"/>
      </w:pPr>
      <w:r>
        <w:rPr/>
        <w:t>ensure</w:t>
      </w:r>
      <w:r>
        <w:rPr>
          <w:spacing w:val="-3"/>
        </w:rPr>
        <w:t> </w:t>
      </w:r>
      <w:r>
        <w:rPr/>
        <w:t>accurate</w:t>
      </w:r>
      <w:r>
        <w:rPr>
          <w:spacing w:val="-2"/>
        </w:rPr>
        <w:t> </w:t>
      </w:r>
      <w:r>
        <w:rPr/>
        <w:t>data</w:t>
      </w:r>
      <w:r>
        <w:rPr>
          <w:spacing w:val="-3"/>
        </w:rPr>
        <w:t> </w:t>
      </w:r>
      <w:r>
        <w:rPr/>
        <w:t>reporting</w:t>
      </w:r>
      <w:r>
        <w:rPr>
          <w:spacing w:val="-4"/>
        </w:rPr>
        <w:t> </w:t>
      </w:r>
      <w:r>
        <w:rPr/>
        <w:t>and</w:t>
      </w:r>
      <w:r>
        <w:rPr>
          <w:spacing w:val="-3"/>
        </w:rPr>
        <w:t> </w:t>
      </w:r>
      <w:r>
        <w:rPr/>
        <w:t>dispensing</w:t>
      </w:r>
      <w:r>
        <w:rPr>
          <w:spacing w:val="-3"/>
        </w:rPr>
        <w:t> </w:t>
      </w:r>
      <w:r>
        <w:rPr/>
        <w:t>of</w:t>
      </w:r>
      <w:r>
        <w:rPr>
          <w:spacing w:val="-4"/>
        </w:rPr>
        <w:t> </w:t>
      </w:r>
      <w:r>
        <w:rPr/>
        <w:t>medication</w:t>
      </w:r>
      <w:r>
        <w:rPr>
          <w:spacing w:val="-5"/>
        </w:rPr>
        <w:t> </w:t>
      </w:r>
      <w:r>
        <w:rPr/>
        <w:t>in</w:t>
      </w:r>
      <w:r>
        <w:rPr>
          <w:spacing w:val="-4"/>
        </w:rPr>
        <w:t> </w:t>
      </w:r>
      <w:r>
        <w:rPr/>
        <w:t>accordance</w:t>
      </w:r>
      <w:r>
        <w:rPr>
          <w:spacing w:val="-3"/>
        </w:rPr>
        <w:t> </w:t>
      </w:r>
      <w:r>
        <w:rPr/>
        <w:t>with</w:t>
      </w:r>
      <w:r>
        <w:rPr>
          <w:spacing w:val="-3"/>
        </w:rPr>
        <w:t> </w:t>
      </w:r>
      <w:r>
        <w:rPr/>
        <w:t>state</w:t>
      </w:r>
      <w:r>
        <w:rPr>
          <w:spacing w:val="-3"/>
        </w:rPr>
        <w:t> </w:t>
      </w:r>
      <w:r>
        <w:rPr/>
        <w:t>and federal</w:t>
      </w:r>
      <w:r>
        <w:rPr>
          <w:spacing w:val="-3"/>
        </w:rPr>
        <w:t> </w:t>
      </w:r>
      <w:r>
        <w:rPr/>
        <w:t>laws and regulations.</w:t>
      </w:r>
    </w:p>
    <w:p>
      <w:pPr>
        <w:pStyle w:val="BodyText"/>
        <w:spacing w:before="10"/>
        <w:rPr>
          <w:sz w:val="20"/>
        </w:rPr>
      </w:pPr>
    </w:p>
    <w:p>
      <w:pPr>
        <w:pStyle w:val="Heading1"/>
      </w:pPr>
      <w:r>
        <w:rPr/>
        <w:t>Implementation</w:t>
      </w:r>
      <w:r>
        <w:rPr>
          <w:spacing w:val="-9"/>
        </w:rPr>
        <w:t> </w:t>
      </w:r>
      <w:r>
        <w:rPr/>
        <w:t>&amp;</w:t>
      </w:r>
      <w:r>
        <w:rPr>
          <w:spacing w:val="-9"/>
        </w:rPr>
        <w:t> </w:t>
      </w:r>
      <w:r>
        <w:rPr>
          <w:spacing w:val="-2"/>
        </w:rPr>
        <w:t>Training</w:t>
      </w:r>
    </w:p>
    <w:p>
      <w:pPr>
        <w:pStyle w:val="BodyText"/>
        <w:rPr>
          <w:b/>
        </w:rPr>
      </w:pPr>
    </w:p>
    <w:p>
      <w:pPr>
        <w:pStyle w:val="BodyText"/>
        <w:spacing w:before="1"/>
        <w:ind w:left="380" w:right="418"/>
      </w:pPr>
      <w:r>
        <w:rPr/>
        <w:t>OTPs</w:t>
      </w:r>
      <w:r>
        <w:rPr>
          <w:spacing w:val="-2"/>
        </w:rPr>
        <w:t> </w:t>
      </w:r>
      <w:r>
        <w:rPr/>
        <w:t>are</w:t>
      </w:r>
      <w:r>
        <w:rPr>
          <w:spacing w:val="-2"/>
        </w:rPr>
        <w:t> </w:t>
      </w:r>
      <w:r>
        <w:rPr/>
        <w:t>expected</w:t>
      </w:r>
      <w:r>
        <w:rPr>
          <w:spacing w:val="-2"/>
        </w:rPr>
        <w:t> </w:t>
      </w:r>
      <w:r>
        <w:rPr/>
        <w:t>to</w:t>
      </w:r>
      <w:r>
        <w:rPr>
          <w:spacing w:val="-2"/>
        </w:rPr>
        <w:t> </w:t>
      </w:r>
      <w:r>
        <w:rPr/>
        <w:t>work</w:t>
      </w:r>
      <w:r>
        <w:rPr>
          <w:spacing w:val="-2"/>
        </w:rPr>
        <w:t> </w:t>
      </w:r>
      <w:r>
        <w:rPr/>
        <w:t>directly</w:t>
      </w:r>
      <w:r>
        <w:rPr>
          <w:spacing w:val="-2"/>
        </w:rPr>
        <w:t> </w:t>
      </w:r>
      <w:r>
        <w:rPr/>
        <w:t>with</w:t>
      </w:r>
      <w:r>
        <w:rPr>
          <w:spacing w:val="-2"/>
        </w:rPr>
        <w:t> </w:t>
      </w:r>
      <w:r>
        <w:rPr/>
        <w:t>the</w:t>
      </w:r>
      <w:r>
        <w:rPr>
          <w:spacing w:val="-2"/>
        </w:rPr>
        <w:t> </w:t>
      </w:r>
      <w:r>
        <w:rPr/>
        <w:t>Central</w:t>
      </w:r>
      <w:r>
        <w:rPr>
          <w:spacing w:val="-2"/>
        </w:rPr>
        <w:t> </w:t>
      </w:r>
      <w:r>
        <w:rPr/>
        <w:t>Registry</w:t>
      </w:r>
      <w:r>
        <w:rPr>
          <w:spacing w:val="-5"/>
        </w:rPr>
        <w:t> </w:t>
      </w:r>
      <w:r>
        <w:rPr/>
        <w:t>System</w:t>
      </w:r>
      <w:r>
        <w:rPr>
          <w:spacing w:val="-2"/>
        </w:rPr>
        <w:t> </w:t>
      </w:r>
      <w:r>
        <w:rPr/>
        <w:t>vendor,</w:t>
      </w:r>
      <w:r>
        <w:rPr>
          <w:spacing w:val="-2"/>
        </w:rPr>
        <w:t> </w:t>
      </w:r>
      <w:r>
        <w:rPr/>
        <w:t>Light</w:t>
      </w:r>
      <w:r>
        <w:rPr>
          <w:spacing w:val="-2"/>
        </w:rPr>
        <w:t> </w:t>
      </w:r>
      <w:r>
        <w:rPr/>
        <w:t>House,</w:t>
      </w:r>
      <w:r>
        <w:rPr>
          <w:spacing w:val="-3"/>
        </w:rPr>
        <w:t> </w:t>
      </w:r>
      <w:r>
        <w:rPr/>
        <w:t>to</w:t>
      </w:r>
      <w:r>
        <w:rPr>
          <w:spacing w:val="-3"/>
        </w:rPr>
        <w:t> </w:t>
      </w:r>
      <w:r>
        <w:rPr/>
        <w:t>ensure</w:t>
      </w:r>
      <w:r>
        <w:rPr>
          <w:spacing w:val="-3"/>
        </w:rPr>
        <w:t> </w:t>
      </w:r>
      <w:r>
        <w:rPr/>
        <w:t>the full implementation of the Central Registry System, which includes all requirements in 105 CMR</w:t>
      </w:r>
    </w:p>
    <w:p>
      <w:pPr>
        <w:pStyle w:val="BodyText"/>
        <w:ind w:left="380" w:right="482"/>
      </w:pPr>
      <w:r>
        <w:rPr/>
        <w:t>164.305.</w:t>
      </w:r>
      <w:r>
        <w:rPr>
          <w:spacing w:val="-3"/>
        </w:rPr>
        <w:t> </w:t>
      </w:r>
      <w:r>
        <w:rPr/>
        <w:t>For</w:t>
      </w:r>
      <w:r>
        <w:rPr>
          <w:spacing w:val="-3"/>
        </w:rPr>
        <w:t> </w:t>
      </w:r>
      <w:r>
        <w:rPr/>
        <w:t>information</w:t>
      </w:r>
      <w:r>
        <w:rPr>
          <w:spacing w:val="-3"/>
        </w:rPr>
        <w:t> </w:t>
      </w:r>
      <w:r>
        <w:rPr/>
        <w:t>on</w:t>
      </w:r>
      <w:r>
        <w:rPr>
          <w:spacing w:val="-3"/>
        </w:rPr>
        <w:t> </w:t>
      </w:r>
      <w:r>
        <w:rPr/>
        <w:t>accessing</w:t>
      </w:r>
      <w:r>
        <w:rPr>
          <w:spacing w:val="-3"/>
        </w:rPr>
        <w:t> </w:t>
      </w:r>
      <w:r>
        <w:rPr/>
        <w:t>the</w:t>
      </w:r>
      <w:r>
        <w:rPr>
          <w:spacing w:val="-3"/>
        </w:rPr>
        <w:t> </w:t>
      </w:r>
      <w:r>
        <w:rPr/>
        <w:t>Central</w:t>
      </w:r>
      <w:r>
        <w:rPr>
          <w:spacing w:val="-3"/>
        </w:rPr>
        <w:t> </w:t>
      </w:r>
      <w:r>
        <w:rPr/>
        <w:t>Registry</w:t>
      </w:r>
      <w:r>
        <w:rPr>
          <w:spacing w:val="-5"/>
        </w:rPr>
        <w:t> </w:t>
      </w:r>
      <w:r>
        <w:rPr/>
        <w:t>System</w:t>
      </w:r>
      <w:r>
        <w:rPr>
          <w:spacing w:val="-3"/>
        </w:rPr>
        <w:t> </w:t>
      </w:r>
      <w:r>
        <w:rPr/>
        <w:t>and/or</w:t>
      </w:r>
      <w:r>
        <w:rPr>
          <w:spacing w:val="-3"/>
        </w:rPr>
        <w:t> </w:t>
      </w:r>
      <w:r>
        <w:rPr/>
        <w:t>Light</w:t>
      </w:r>
      <w:r>
        <w:rPr>
          <w:spacing w:val="-3"/>
        </w:rPr>
        <w:t> </w:t>
      </w:r>
      <w:r>
        <w:rPr/>
        <w:t>House,</w:t>
      </w:r>
      <w:r>
        <w:rPr>
          <w:spacing w:val="-3"/>
        </w:rPr>
        <w:t> </w:t>
      </w:r>
      <w:r>
        <w:rPr/>
        <w:t>please</w:t>
      </w:r>
      <w:r>
        <w:rPr>
          <w:spacing w:val="-3"/>
        </w:rPr>
        <w:t> </w:t>
      </w:r>
      <w:r>
        <w:rPr/>
        <w:t>contact Opioid Services Coordinator, Michael Gurney (Michael.Gurney@mass.gov) and/or Light House </w:t>
      </w:r>
      <w:hyperlink r:id="rId9">
        <w:r>
          <w:rPr/>
          <w:t>(support@thecentralregistry.com</w:t>
        </w:r>
      </w:hyperlink>
      <w:r>
        <w:rPr/>
        <w:t> or 626-239-8245).</w:t>
      </w:r>
    </w:p>
    <w:p>
      <w:pPr>
        <w:pStyle w:val="BodyText"/>
        <w:spacing w:before="9"/>
        <w:rPr>
          <w:sz w:val="20"/>
        </w:rPr>
      </w:pPr>
    </w:p>
    <w:p>
      <w:pPr>
        <w:pStyle w:val="BodyText"/>
        <w:spacing w:before="1"/>
        <w:ind w:left="380" w:right="482"/>
      </w:pPr>
      <w:r>
        <w:rPr/>
        <w:t>Each OTP must sign all appropriate agreements between itself and Light House to ensure the confidentiality of the patient information and to prepare for implementation of the Central Registry. OTPs</w:t>
      </w:r>
      <w:r>
        <w:rPr>
          <w:spacing w:val="-3"/>
        </w:rPr>
        <w:t> </w:t>
      </w:r>
      <w:r>
        <w:rPr/>
        <w:t>must</w:t>
      </w:r>
      <w:r>
        <w:rPr>
          <w:spacing w:val="-3"/>
        </w:rPr>
        <w:t> </w:t>
      </w:r>
      <w:r>
        <w:rPr/>
        <w:t>provide</w:t>
      </w:r>
      <w:r>
        <w:rPr>
          <w:spacing w:val="-3"/>
        </w:rPr>
        <w:t> </w:t>
      </w:r>
      <w:r>
        <w:rPr/>
        <w:t>signed</w:t>
      </w:r>
      <w:r>
        <w:rPr>
          <w:spacing w:val="-3"/>
        </w:rPr>
        <w:t> </w:t>
      </w:r>
      <w:r>
        <w:rPr/>
        <w:t>patient</w:t>
      </w:r>
      <w:r>
        <w:rPr>
          <w:spacing w:val="-3"/>
        </w:rPr>
        <w:t> </w:t>
      </w:r>
      <w:r>
        <w:rPr/>
        <w:t>consent</w:t>
      </w:r>
      <w:r>
        <w:rPr>
          <w:spacing w:val="-3"/>
        </w:rPr>
        <w:t> </w:t>
      </w:r>
      <w:r>
        <w:rPr/>
        <w:t>forms</w:t>
      </w:r>
      <w:r>
        <w:rPr>
          <w:spacing w:val="-3"/>
        </w:rPr>
        <w:t> </w:t>
      </w:r>
      <w:r>
        <w:rPr/>
        <w:t>to</w:t>
      </w:r>
      <w:r>
        <w:rPr>
          <w:spacing w:val="-3"/>
        </w:rPr>
        <w:t> </w:t>
      </w:r>
      <w:r>
        <w:rPr/>
        <w:t>Light</w:t>
      </w:r>
      <w:r>
        <w:rPr>
          <w:spacing w:val="-3"/>
        </w:rPr>
        <w:t> </w:t>
      </w:r>
      <w:r>
        <w:rPr/>
        <w:t>House</w:t>
      </w:r>
      <w:r>
        <w:rPr>
          <w:spacing w:val="-3"/>
        </w:rPr>
        <w:t> </w:t>
      </w:r>
      <w:r>
        <w:rPr/>
        <w:t>to</w:t>
      </w:r>
      <w:r>
        <w:rPr>
          <w:spacing w:val="-3"/>
        </w:rPr>
        <w:t> </w:t>
      </w:r>
      <w:r>
        <w:rPr/>
        <w:t>access</w:t>
      </w:r>
      <w:r>
        <w:rPr>
          <w:spacing w:val="-3"/>
        </w:rPr>
        <w:t> </w:t>
      </w:r>
      <w:r>
        <w:rPr/>
        <w:t>patient</w:t>
      </w:r>
      <w:r>
        <w:rPr>
          <w:spacing w:val="-3"/>
        </w:rPr>
        <w:t> </w:t>
      </w:r>
      <w:r>
        <w:rPr/>
        <w:t>data.</w:t>
      </w:r>
      <w:r>
        <w:rPr>
          <w:spacing w:val="-4"/>
        </w:rPr>
        <w:t> </w:t>
      </w:r>
      <w:r>
        <w:rPr/>
        <w:t>Templates</w:t>
      </w:r>
      <w:r>
        <w:rPr>
          <w:spacing w:val="-3"/>
        </w:rPr>
        <w:t> </w:t>
      </w:r>
      <w:r>
        <w:rPr/>
        <w:t>for these forms are available through the Department.</w:t>
      </w:r>
    </w:p>
    <w:p>
      <w:pPr>
        <w:pStyle w:val="BodyText"/>
        <w:spacing w:before="10"/>
        <w:rPr>
          <w:sz w:val="20"/>
        </w:rPr>
      </w:pPr>
    </w:p>
    <w:p>
      <w:pPr>
        <w:pStyle w:val="BodyText"/>
        <w:ind w:left="380" w:right="448"/>
      </w:pPr>
      <w:r>
        <w:rPr/>
        <w:t>In addition to the Program Director, OTPs must identify two other employees who will have access to and</w:t>
      </w:r>
      <w:r>
        <w:rPr>
          <w:spacing w:val="-3"/>
        </w:rPr>
        <w:t> </w:t>
      </w:r>
      <w:r>
        <w:rPr/>
        <w:t>be</w:t>
      </w:r>
      <w:r>
        <w:rPr>
          <w:spacing w:val="-3"/>
        </w:rPr>
        <w:t> </w:t>
      </w:r>
      <w:r>
        <w:rPr/>
        <w:t>trained</w:t>
      </w:r>
      <w:r>
        <w:rPr>
          <w:spacing w:val="-3"/>
        </w:rPr>
        <w:t> </w:t>
      </w:r>
      <w:r>
        <w:rPr/>
        <w:t>on</w:t>
      </w:r>
      <w:r>
        <w:rPr>
          <w:spacing w:val="-3"/>
        </w:rPr>
        <w:t> </w:t>
      </w:r>
      <w:r>
        <w:rPr/>
        <w:t>the</w:t>
      </w:r>
      <w:r>
        <w:rPr>
          <w:spacing w:val="-3"/>
        </w:rPr>
        <w:t> </w:t>
      </w:r>
      <w:r>
        <w:rPr/>
        <w:t>use</w:t>
      </w:r>
      <w:r>
        <w:rPr>
          <w:spacing w:val="-3"/>
        </w:rPr>
        <w:t> </w:t>
      </w:r>
      <w:r>
        <w:rPr/>
        <w:t>of</w:t>
      </w:r>
      <w:r>
        <w:rPr>
          <w:spacing w:val="-3"/>
        </w:rPr>
        <w:t> </w:t>
      </w:r>
      <w:r>
        <w:rPr/>
        <w:t>the</w:t>
      </w:r>
      <w:r>
        <w:rPr>
          <w:spacing w:val="-3"/>
        </w:rPr>
        <w:t> </w:t>
      </w:r>
      <w:r>
        <w:rPr/>
        <w:t>Central</w:t>
      </w:r>
      <w:r>
        <w:rPr>
          <w:spacing w:val="-3"/>
        </w:rPr>
        <w:t> </w:t>
      </w:r>
      <w:r>
        <w:rPr/>
        <w:t>Registry</w:t>
      </w:r>
      <w:r>
        <w:rPr>
          <w:spacing w:val="-5"/>
        </w:rPr>
        <w:t> </w:t>
      </w:r>
      <w:r>
        <w:rPr/>
        <w:t>System.</w:t>
      </w:r>
      <w:r>
        <w:rPr>
          <w:spacing w:val="-1"/>
        </w:rPr>
        <w:t> </w:t>
      </w:r>
      <w:r>
        <w:rPr/>
        <w:t>These</w:t>
      </w:r>
      <w:r>
        <w:rPr>
          <w:spacing w:val="-3"/>
        </w:rPr>
        <w:t> </w:t>
      </w:r>
      <w:r>
        <w:rPr/>
        <w:t>identified</w:t>
      </w:r>
      <w:r>
        <w:rPr>
          <w:spacing w:val="-3"/>
        </w:rPr>
        <w:t> </w:t>
      </w:r>
      <w:r>
        <w:rPr/>
        <w:t>employees</w:t>
      </w:r>
      <w:r>
        <w:rPr>
          <w:spacing w:val="-4"/>
        </w:rPr>
        <w:t> </w:t>
      </w:r>
      <w:r>
        <w:rPr/>
        <w:t>must</w:t>
      </w:r>
      <w:r>
        <w:rPr>
          <w:spacing w:val="-3"/>
        </w:rPr>
        <w:t> </w:t>
      </w:r>
      <w:r>
        <w:rPr/>
        <w:t>participate</w:t>
      </w:r>
      <w:r>
        <w:rPr>
          <w:spacing w:val="-2"/>
        </w:rPr>
        <w:t> </w:t>
      </w:r>
      <w:r>
        <w:rPr/>
        <w:t>in specific user training from Light House and this should be documented in the personnel file. Light House maintains an array of live and recorded trainings (Light House Training) for user support and training. Additionally, general orientation training on the Central Registry must be provided to all staff and documented in the staff’s personnel files. The Program Director must timely report any changes related to who can access the Central Registry System.</w:t>
      </w:r>
    </w:p>
    <w:p>
      <w:pPr>
        <w:pStyle w:val="BodyText"/>
        <w:spacing w:before="10"/>
        <w:rPr>
          <w:sz w:val="20"/>
        </w:rPr>
      </w:pPr>
    </w:p>
    <w:p>
      <w:pPr>
        <w:pStyle w:val="Heading1"/>
      </w:pPr>
      <w:r>
        <w:rPr/>
        <w:t>Policy &amp; </w:t>
      </w:r>
      <w:r>
        <w:rPr>
          <w:spacing w:val="-2"/>
        </w:rPr>
        <w:t>Procedures</w:t>
      </w:r>
    </w:p>
    <w:p>
      <w:pPr>
        <w:pStyle w:val="BodyText"/>
        <w:spacing w:before="10"/>
        <w:rPr>
          <w:b/>
          <w:sz w:val="20"/>
        </w:rPr>
      </w:pPr>
    </w:p>
    <w:p>
      <w:pPr>
        <w:pStyle w:val="BodyText"/>
        <w:ind w:left="380" w:right="482"/>
      </w:pPr>
      <w:r>
        <w:rPr/>
        <w:t>OTPs</w:t>
      </w:r>
      <w:r>
        <w:rPr>
          <w:spacing w:val="-3"/>
        </w:rPr>
        <w:t> </w:t>
      </w:r>
      <w:r>
        <w:rPr/>
        <w:t>must</w:t>
      </w:r>
      <w:r>
        <w:rPr>
          <w:spacing w:val="-2"/>
        </w:rPr>
        <w:t> </w:t>
      </w:r>
      <w:r>
        <w:rPr/>
        <w:t>create</w:t>
      </w:r>
      <w:r>
        <w:rPr>
          <w:spacing w:val="-3"/>
        </w:rPr>
        <w:t> </w:t>
      </w:r>
      <w:r>
        <w:rPr/>
        <w:t>policies</w:t>
      </w:r>
      <w:r>
        <w:rPr>
          <w:spacing w:val="-3"/>
        </w:rPr>
        <w:t> </w:t>
      </w:r>
      <w:r>
        <w:rPr/>
        <w:t>to</w:t>
      </w:r>
      <w:r>
        <w:rPr>
          <w:spacing w:val="-3"/>
        </w:rPr>
        <w:t> </w:t>
      </w:r>
      <w:r>
        <w:rPr/>
        <w:t>ensure</w:t>
      </w:r>
      <w:r>
        <w:rPr>
          <w:spacing w:val="-3"/>
        </w:rPr>
        <w:t> </w:t>
      </w:r>
      <w:r>
        <w:rPr/>
        <w:t>compliance</w:t>
      </w:r>
      <w:r>
        <w:rPr>
          <w:spacing w:val="-4"/>
        </w:rPr>
        <w:t> </w:t>
      </w:r>
      <w:r>
        <w:rPr/>
        <w:t>with</w:t>
      </w:r>
      <w:r>
        <w:rPr>
          <w:spacing w:val="-2"/>
        </w:rPr>
        <w:t> </w:t>
      </w:r>
      <w:r>
        <w:rPr/>
        <w:t>all</w:t>
      </w:r>
      <w:r>
        <w:rPr>
          <w:spacing w:val="-3"/>
        </w:rPr>
        <w:t> </w:t>
      </w:r>
      <w:r>
        <w:rPr/>
        <w:t>state</w:t>
      </w:r>
      <w:r>
        <w:rPr>
          <w:spacing w:val="-3"/>
        </w:rPr>
        <w:t> </w:t>
      </w:r>
      <w:r>
        <w:rPr/>
        <w:t>and</w:t>
      </w:r>
      <w:r>
        <w:rPr>
          <w:spacing w:val="-3"/>
        </w:rPr>
        <w:t> </w:t>
      </w:r>
      <w:r>
        <w:rPr/>
        <w:t>federal</w:t>
      </w:r>
      <w:r>
        <w:rPr>
          <w:spacing w:val="-3"/>
        </w:rPr>
        <w:t> </w:t>
      </w:r>
      <w:r>
        <w:rPr/>
        <w:t>laws</w:t>
      </w:r>
      <w:r>
        <w:rPr>
          <w:spacing w:val="-3"/>
        </w:rPr>
        <w:t> </w:t>
      </w:r>
      <w:r>
        <w:rPr/>
        <w:t>governing</w:t>
      </w:r>
      <w:r>
        <w:rPr>
          <w:spacing w:val="-3"/>
        </w:rPr>
        <w:t> </w:t>
      </w:r>
      <w:r>
        <w:rPr/>
        <w:t>the</w:t>
      </w:r>
      <w:r>
        <w:rPr>
          <w:spacing w:val="-3"/>
        </w:rPr>
        <w:t> </w:t>
      </w:r>
      <w:r>
        <w:rPr/>
        <w:t>collection of patient identifying information. OTPs may disclose information to other OTPs participating in the Light House Central Registry System, provided that the patient has consented to enrollment in the Central Registry System or has signed a specific authorization to release information.</w:t>
      </w:r>
    </w:p>
    <w:p>
      <w:pPr>
        <w:pStyle w:val="BodyText"/>
        <w:spacing w:before="9"/>
        <w:rPr>
          <w:sz w:val="20"/>
        </w:rPr>
      </w:pPr>
    </w:p>
    <w:p>
      <w:pPr>
        <w:pStyle w:val="BodyText"/>
        <w:ind w:left="380" w:right="482"/>
      </w:pPr>
      <w:r>
        <w:rPr/>
        <w:t>Upon admission, OTPs must inform all patients of the program’s participation in the Central Registry System.</w:t>
      </w:r>
      <w:r>
        <w:rPr>
          <w:spacing w:val="-3"/>
        </w:rPr>
        <w:t> </w:t>
      </w:r>
      <w:r>
        <w:rPr/>
        <w:t>The</w:t>
      </w:r>
      <w:r>
        <w:rPr>
          <w:spacing w:val="-4"/>
        </w:rPr>
        <w:t> </w:t>
      </w:r>
      <w:r>
        <w:rPr/>
        <w:t>program</w:t>
      </w:r>
      <w:r>
        <w:rPr>
          <w:spacing w:val="-4"/>
        </w:rPr>
        <w:t> </w:t>
      </w:r>
      <w:r>
        <w:rPr/>
        <w:t>must</w:t>
      </w:r>
      <w:r>
        <w:rPr>
          <w:spacing w:val="-3"/>
        </w:rPr>
        <w:t> </w:t>
      </w:r>
      <w:r>
        <w:rPr/>
        <w:t>obtain</w:t>
      </w:r>
      <w:r>
        <w:rPr>
          <w:spacing w:val="-3"/>
        </w:rPr>
        <w:t> </w:t>
      </w:r>
      <w:r>
        <w:rPr/>
        <w:t>the</w:t>
      </w:r>
      <w:r>
        <w:rPr>
          <w:spacing w:val="-3"/>
        </w:rPr>
        <w:t> </w:t>
      </w:r>
      <w:r>
        <w:rPr/>
        <w:t>patient’s</w:t>
      </w:r>
      <w:r>
        <w:rPr>
          <w:spacing w:val="-3"/>
        </w:rPr>
        <w:t> </w:t>
      </w:r>
      <w:r>
        <w:rPr/>
        <w:t>written</w:t>
      </w:r>
      <w:r>
        <w:rPr>
          <w:spacing w:val="-3"/>
        </w:rPr>
        <w:t> </w:t>
      </w:r>
      <w:r>
        <w:rPr/>
        <w:t>consent</w:t>
      </w:r>
      <w:r>
        <w:rPr>
          <w:spacing w:val="-3"/>
        </w:rPr>
        <w:t> </w:t>
      </w:r>
      <w:r>
        <w:rPr/>
        <w:t>for</w:t>
      </w:r>
      <w:r>
        <w:rPr>
          <w:spacing w:val="-3"/>
        </w:rPr>
        <w:t> </w:t>
      </w:r>
      <w:r>
        <w:rPr/>
        <w:t>participation.</w:t>
      </w:r>
      <w:r>
        <w:rPr>
          <w:spacing w:val="-2"/>
        </w:rPr>
        <w:t> </w:t>
      </w:r>
      <w:r>
        <w:rPr/>
        <w:t>The</w:t>
      </w:r>
      <w:r>
        <w:rPr>
          <w:spacing w:val="-5"/>
        </w:rPr>
        <w:t> </w:t>
      </w:r>
      <w:r>
        <w:rPr/>
        <w:t>Patient</w:t>
      </w:r>
      <w:r>
        <w:rPr>
          <w:spacing w:val="-3"/>
        </w:rPr>
        <w:t> </w:t>
      </w:r>
      <w:r>
        <w:rPr/>
        <w:t>Handbook and Patient Orientations must be updated to provide patients education about the Central Registry System.</w:t>
      </w:r>
      <w:r>
        <w:rPr>
          <w:spacing w:val="40"/>
        </w:rPr>
        <w:t> </w:t>
      </w:r>
      <w:r>
        <w:rPr/>
        <w:t>Education of patients must be documented in the patient record.</w:t>
      </w:r>
    </w:p>
    <w:p>
      <w:pPr>
        <w:pStyle w:val="BodyText"/>
        <w:spacing w:before="10"/>
        <w:rPr>
          <w:sz w:val="20"/>
        </w:rPr>
      </w:pPr>
    </w:p>
    <w:p>
      <w:pPr>
        <w:pStyle w:val="BodyText"/>
        <w:ind w:left="380" w:right="482"/>
      </w:pPr>
      <w:r>
        <w:rPr/>
        <w:t>As a part of the admission process for a new patient, the program must complete a multiple/dual enrollment</w:t>
      </w:r>
      <w:r>
        <w:rPr>
          <w:spacing w:val="-4"/>
        </w:rPr>
        <w:t> </w:t>
      </w:r>
      <w:r>
        <w:rPr/>
        <w:t>verification</w:t>
      </w:r>
      <w:r>
        <w:rPr>
          <w:spacing w:val="-5"/>
        </w:rPr>
        <w:t> </w:t>
      </w:r>
      <w:r>
        <w:rPr/>
        <w:t>through</w:t>
      </w:r>
      <w:r>
        <w:rPr>
          <w:spacing w:val="-4"/>
        </w:rPr>
        <w:t> </w:t>
      </w:r>
      <w:r>
        <w:rPr/>
        <w:t>the</w:t>
      </w:r>
      <w:r>
        <w:rPr>
          <w:spacing w:val="-5"/>
        </w:rPr>
        <w:t> </w:t>
      </w:r>
      <w:r>
        <w:rPr/>
        <w:t>Central</w:t>
      </w:r>
      <w:r>
        <w:rPr>
          <w:spacing w:val="-4"/>
        </w:rPr>
        <w:t> </w:t>
      </w:r>
      <w:r>
        <w:rPr/>
        <w:t>Registry</w:t>
      </w:r>
      <w:r>
        <w:rPr>
          <w:spacing w:val="-4"/>
        </w:rPr>
        <w:t> </w:t>
      </w:r>
      <w:r>
        <w:rPr/>
        <w:t>System.</w:t>
      </w:r>
      <w:r>
        <w:rPr>
          <w:spacing w:val="-4"/>
        </w:rPr>
        <w:t> </w:t>
      </w:r>
      <w:r>
        <w:rPr/>
        <w:t>This</w:t>
      </w:r>
      <w:r>
        <w:rPr>
          <w:spacing w:val="-4"/>
        </w:rPr>
        <w:t> </w:t>
      </w:r>
      <w:r>
        <w:rPr/>
        <w:t>verification</w:t>
      </w:r>
      <w:r>
        <w:rPr>
          <w:spacing w:val="-5"/>
        </w:rPr>
        <w:t> </w:t>
      </w:r>
      <w:r>
        <w:rPr/>
        <w:t>must</w:t>
      </w:r>
      <w:r>
        <w:rPr>
          <w:spacing w:val="-4"/>
        </w:rPr>
        <w:t> </w:t>
      </w:r>
      <w:r>
        <w:rPr/>
        <w:t>be</w:t>
      </w:r>
      <w:r>
        <w:rPr>
          <w:spacing w:val="-4"/>
        </w:rPr>
        <w:t> </w:t>
      </w:r>
      <w:r>
        <w:rPr/>
        <w:t>documented</w:t>
      </w:r>
      <w:r>
        <w:rPr>
          <w:spacing w:val="-4"/>
        </w:rPr>
        <w:t> </w:t>
      </w:r>
      <w:r>
        <w:rPr/>
        <w:t>in the patient record.</w:t>
      </w:r>
    </w:p>
    <w:p>
      <w:pPr>
        <w:pStyle w:val="BodyText"/>
        <w:spacing w:before="10"/>
        <w:rPr>
          <w:sz w:val="20"/>
        </w:rPr>
      </w:pPr>
    </w:p>
    <w:p>
      <w:pPr>
        <w:pStyle w:val="BodyText"/>
        <w:spacing w:before="1"/>
        <w:ind w:left="380" w:right="482"/>
      </w:pPr>
      <w:r>
        <w:rPr/>
        <w:t>OTPs may not deny a patient access to treatment should the patient refuse enrollment in the Central Registry</w:t>
      </w:r>
      <w:r>
        <w:rPr>
          <w:spacing w:val="-3"/>
        </w:rPr>
        <w:t> </w:t>
      </w:r>
      <w:r>
        <w:rPr/>
        <w:t>System,</w:t>
      </w:r>
      <w:r>
        <w:rPr>
          <w:spacing w:val="-3"/>
        </w:rPr>
        <w:t> </w:t>
      </w:r>
      <w:r>
        <w:rPr/>
        <w:t>however</w:t>
      </w:r>
      <w:r>
        <w:rPr>
          <w:spacing w:val="-3"/>
        </w:rPr>
        <w:t> </w:t>
      </w:r>
      <w:r>
        <w:rPr/>
        <w:t>BSAS</w:t>
      </w:r>
      <w:r>
        <w:rPr>
          <w:spacing w:val="-4"/>
        </w:rPr>
        <w:t> </w:t>
      </w:r>
      <w:r>
        <w:rPr/>
        <w:t>hopes</w:t>
      </w:r>
      <w:r>
        <w:rPr>
          <w:spacing w:val="-3"/>
        </w:rPr>
        <w:t> </w:t>
      </w:r>
      <w:r>
        <w:rPr/>
        <w:t>that</w:t>
      </w:r>
      <w:r>
        <w:rPr>
          <w:spacing w:val="-3"/>
        </w:rPr>
        <w:t> </w:t>
      </w:r>
      <w:r>
        <w:rPr/>
        <w:t>all</w:t>
      </w:r>
      <w:r>
        <w:rPr>
          <w:spacing w:val="-3"/>
        </w:rPr>
        <w:t> </w:t>
      </w:r>
      <w:r>
        <w:rPr/>
        <w:t>OTPs</w:t>
      </w:r>
      <w:r>
        <w:rPr>
          <w:spacing w:val="-3"/>
        </w:rPr>
        <w:t> </w:t>
      </w:r>
      <w:r>
        <w:rPr/>
        <w:t>will</w:t>
      </w:r>
      <w:r>
        <w:rPr>
          <w:spacing w:val="-2"/>
        </w:rPr>
        <w:t> </w:t>
      </w:r>
      <w:r>
        <w:rPr/>
        <w:t>encourage,</w:t>
      </w:r>
      <w:r>
        <w:rPr>
          <w:spacing w:val="-3"/>
        </w:rPr>
        <w:t> </w:t>
      </w:r>
      <w:r>
        <w:rPr/>
        <w:t>through</w:t>
      </w:r>
      <w:r>
        <w:rPr>
          <w:spacing w:val="-4"/>
        </w:rPr>
        <w:t> </w:t>
      </w:r>
      <w:r>
        <w:rPr/>
        <w:t>clinical</w:t>
      </w:r>
      <w:r>
        <w:rPr>
          <w:spacing w:val="-4"/>
        </w:rPr>
        <w:t> </w:t>
      </w:r>
      <w:r>
        <w:rPr/>
        <w:t>conversations, participation in the Central Registry System by explaining all of the benefits of participation. These clinical conversations must be documented in the patient record.</w:t>
      </w:r>
    </w:p>
    <w:p>
      <w:pPr>
        <w:pStyle w:val="BodyText"/>
        <w:spacing w:before="9"/>
        <w:rPr>
          <w:sz w:val="20"/>
        </w:rPr>
      </w:pPr>
    </w:p>
    <w:p>
      <w:pPr>
        <w:pStyle w:val="BodyText"/>
        <w:spacing w:before="1"/>
        <w:ind w:left="380" w:right="482"/>
      </w:pPr>
      <w:r>
        <w:rPr/>
        <w:t>All OTPs must create policies and procedures should a patient refuse consent to participate in the Central</w:t>
      </w:r>
      <w:r>
        <w:rPr>
          <w:spacing w:val="-3"/>
        </w:rPr>
        <w:t> </w:t>
      </w:r>
      <w:r>
        <w:rPr/>
        <w:t>Registry</w:t>
      </w:r>
      <w:r>
        <w:rPr>
          <w:spacing w:val="-3"/>
        </w:rPr>
        <w:t> </w:t>
      </w:r>
      <w:r>
        <w:rPr/>
        <w:t>System.</w:t>
      </w:r>
      <w:r>
        <w:rPr>
          <w:spacing w:val="-3"/>
        </w:rPr>
        <w:t> </w:t>
      </w:r>
      <w:r>
        <w:rPr/>
        <w:t>OTPs</w:t>
      </w:r>
      <w:r>
        <w:rPr>
          <w:spacing w:val="-3"/>
        </w:rPr>
        <w:t> </w:t>
      </w:r>
      <w:r>
        <w:rPr/>
        <w:t>must</w:t>
      </w:r>
      <w:r>
        <w:rPr>
          <w:spacing w:val="-3"/>
        </w:rPr>
        <w:t> </w:t>
      </w:r>
      <w:r>
        <w:rPr/>
        <w:t>develop</w:t>
      </w:r>
      <w:r>
        <w:rPr>
          <w:spacing w:val="-3"/>
        </w:rPr>
        <w:t> </w:t>
      </w:r>
      <w:r>
        <w:rPr/>
        <w:t>policies</w:t>
      </w:r>
      <w:r>
        <w:rPr>
          <w:spacing w:val="-4"/>
        </w:rPr>
        <w:t> </w:t>
      </w:r>
      <w:r>
        <w:rPr/>
        <w:t>that</w:t>
      </w:r>
      <w:r>
        <w:rPr>
          <w:spacing w:val="-3"/>
        </w:rPr>
        <w:t> </w:t>
      </w:r>
      <w:r>
        <w:rPr/>
        <w:t>ensure</w:t>
      </w:r>
      <w:r>
        <w:rPr>
          <w:spacing w:val="-3"/>
        </w:rPr>
        <w:t> </w:t>
      </w:r>
      <w:r>
        <w:rPr/>
        <w:t>that</w:t>
      </w:r>
      <w:r>
        <w:rPr>
          <w:spacing w:val="-3"/>
        </w:rPr>
        <w:t> </w:t>
      </w:r>
      <w:r>
        <w:rPr/>
        <w:t>the</w:t>
      </w:r>
      <w:r>
        <w:rPr>
          <w:spacing w:val="-4"/>
        </w:rPr>
        <w:t> </w:t>
      </w:r>
      <w:r>
        <w:rPr/>
        <w:t>OTP</w:t>
      </w:r>
      <w:r>
        <w:rPr>
          <w:spacing w:val="-3"/>
        </w:rPr>
        <w:t> </w:t>
      </w:r>
      <w:r>
        <w:rPr/>
        <w:t>tracks</w:t>
      </w:r>
      <w:r>
        <w:rPr>
          <w:spacing w:val="-3"/>
        </w:rPr>
        <w:t> </w:t>
      </w:r>
      <w:r>
        <w:rPr/>
        <w:t>patients</w:t>
      </w:r>
      <w:r>
        <w:rPr>
          <w:spacing w:val="-3"/>
        </w:rPr>
        <w:t> </w:t>
      </w:r>
      <w:r>
        <w:rPr/>
        <w:t>that choose not to participate in the Central Registry System. The OTP must issue protocols for dual</w:t>
      </w:r>
    </w:p>
    <w:p>
      <w:pPr>
        <w:spacing w:after="0"/>
        <w:sectPr>
          <w:pgSz w:w="12240" w:h="15840"/>
          <w:pgMar w:top="1380" w:bottom="280" w:left="700" w:right="680"/>
        </w:sectPr>
      </w:pPr>
    </w:p>
    <w:p>
      <w:pPr>
        <w:pStyle w:val="BodyText"/>
        <w:spacing w:before="60"/>
        <w:ind w:left="380"/>
      </w:pPr>
      <w:r>
        <w:rPr/>
        <w:t>enrollment</w:t>
      </w:r>
      <w:r>
        <w:rPr>
          <w:spacing w:val="-4"/>
        </w:rPr>
        <w:t> </w:t>
      </w:r>
      <w:r>
        <w:rPr/>
        <w:t>verification,</w:t>
      </w:r>
      <w:r>
        <w:rPr>
          <w:spacing w:val="-4"/>
        </w:rPr>
        <w:t> </w:t>
      </w:r>
      <w:r>
        <w:rPr/>
        <w:t>disaster</w:t>
      </w:r>
      <w:r>
        <w:rPr>
          <w:spacing w:val="-3"/>
        </w:rPr>
        <w:t> </w:t>
      </w:r>
      <w:r>
        <w:rPr/>
        <w:t>response,</w:t>
      </w:r>
      <w:r>
        <w:rPr>
          <w:spacing w:val="-3"/>
        </w:rPr>
        <w:t> </w:t>
      </w:r>
      <w:r>
        <w:rPr/>
        <w:t>and</w:t>
      </w:r>
      <w:r>
        <w:rPr>
          <w:spacing w:val="-3"/>
        </w:rPr>
        <w:t> </w:t>
      </w:r>
      <w:r>
        <w:rPr/>
        <w:t>communication</w:t>
      </w:r>
      <w:r>
        <w:rPr>
          <w:spacing w:val="-3"/>
        </w:rPr>
        <w:t> </w:t>
      </w:r>
      <w:r>
        <w:rPr/>
        <w:t>for</w:t>
      </w:r>
      <w:r>
        <w:rPr>
          <w:spacing w:val="-3"/>
        </w:rPr>
        <w:t> </w:t>
      </w:r>
      <w:r>
        <w:rPr/>
        <w:t>those</w:t>
      </w:r>
      <w:r>
        <w:rPr>
          <w:spacing w:val="-3"/>
        </w:rPr>
        <w:t> </w:t>
      </w:r>
      <w:r>
        <w:rPr/>
        <w:t>patients</w:t>
      </w:r>
      <w:r>
        <w:rPr>
          <w:spacing w:val="-3"/>
        </w:rPr>
        <w:t> </w:t>
      </w:r>
      <w:r>
        <w:rPr/>
        <w:t>who</w:t>
      </w:r>
      <w:r>
        <w:rPr>
          <w:spacing w:val="-4"/>
        </w:rPr>
        <w:t> </w:t>
      </w:r>
      <w:r>
        <w:rPr/>
        <w:t>will</w:t>
      </w:r>
      <w:r>
        <w:rPr>
          <w:spacing w:val="-3"/>
        </w:rPr>
        <w:t> </w:t>
      </w:r>
      <w:r>
        <w:rPr/>
        <w:t>not</w:t>
      </w:r>
      <w:r>
        <w:rPr>
          <w:spacing w:val="-4"/>
        </w:rPr>
        <w:t> </w:t>
      </w:r>
      <w:r>
        <w:rPr/>
        <w:t>receive</w:t>
      </w:r>
      <w:r>
        <w:rPr>
          <w:spacing w:val="-3"/>
        </w:rPr>
        <w:t> </w:t>
      </w:r>
      <w:r>
        <w:rPr/>
        <w:t>the benefit of the Central Registry System disaster management response.</w:t>
      </w:r>
    </w:p>
    <w:p>
      <w:pPr>
        <w:pStyle w:val="BodyText"/>
        <w:spacing w:before="10"/>
        <w:rPr>
          <w:sz w:val="20"/>
        </w:rPr>
      </w:pPr>
    </w:p>
    <w:p>
      <w:pPr>
        <w:pStyle w:val="BodyText"/>
        <w:ind w:left="380" w:right="893"/>
        <w:jc w:val="both"/>
      </w:pPr>
      <w:r>
        <w:rPr/>
        <w:t>OTPs</w:t>
      </w:r>
      <w:r>
        <w:rPr>
          <w:spacing w:val="-2"/>
        </w:rPr>
        <w:t> </w:t>
      </w:r>
      <w:r>
        <w:rPr/>
        <w:t>must</w:t>
      </w:r>
      <w:r>
        <w:rPr>
          <w:spacing w:val="-2"/>
        </w:rPr>
        <w:t> </w:t>
      </w:r>
      <w:r>
        <w:rPr/>
        <w:t>document</w:t>
      </w:r>
      <w:r>
        <w:rPr>
          <w:spacing w:val="-3"/>
        </w:rPr>
        <w:t> </w:t>
      </w:r>
      <w:r>
        <w:rPr/>
        <w:t>in</w:t>
      </w:r>
      <w:r>
        <w:rPr>
          <w:spacing w:val="-3"/>
        </w:rPr>
        <w:t> </w:t>
      </w:r>
      <w:r>
        <w:rPr/>
        <w:t>each</w:t>
      </w:r>
      <w:r>
        <w:rPr>
          <w:spacing w:val="-2"/>
        </w:rPr>
        <w:t> </w:t>
      </w:r>
      <w:r>
        <w:rPr/>
        <w:t>patient</w:t>
      </w:r>
      <w:r>
        <w:rPr>
          <w:spacing w:val="-3"/>
        </w:rPr>
        <w:t> </w:t>
      </w:r>
      <w:r>
        <w:rPr/>
        <w:t>record</w:t>
      </w:r>
      <w:r>
        <w:rPr>
          <w:spacing w:val="-4"/>
        </w:rPr>
        <w:t> </w:t>
      </w:r>
      <w:r>
        <w:rPr/>
        <w:t>that</w:t>
      </w:r>
      <w:r>
        <w:rPr>
          <w:spacing w:val="-3"/>
        </w:rPr>
        <w:t> </w:t>
      </w:r>
      <w:r>
        <w:rPr/>
        <w:t>a</w:t>
      </w:r>
      <w:r>
        <w:rPr>
          <w:spacing w:val="-2"/>
        </w:rPr>
        <w:t> </w:t>
      </w:r>
      <w:r>
        <w:rPr/>
        <w:t>patient did</w:t>
      </w:r>
      <w:r>
        <w:rPr>
          <w:spacing w:val="-3"/>
        </w:rPr>
        <w:t> </w:t>
      </w:r>
      <w:r>
        <w:rPr/>
        <w:t>or</w:t>
      </w:r>
      <w:r>
        <w:rPr>
          <w:spacing w:val="-2"/>
        </w:rPr>
        <w:t> </w:t>
      </w:r>
      <w:r>
        <w:rPr/>
        <w:t>did</w:t>
      </w:r>
      <w:r>
        <w:rPr>
          <w:spacing w:val="-2"/>
        </w:rPr>
        <w:t> </w:t>
      </w:r>
      <w:r>
        <w:rPr/>
        <w:t>not</w:t>
      </w:r>
      <w:r>
        <w:rPr>
          <w:spacing w:val="-3"/>
        </w:rPr>
        <w:t> </w:t>
      </w:r>
      <w:r>
        <w:rPr/>
        <w:t>consent</w:t>
      </w:r>
      <w:r>
        <w:rPr>
          <w:spacing w:val="-1"/>
        </w:rPr>
        <w:t> </w:t>
      </w:r>
      <w:r>
        <w:rPr/>
        <w:t>to</w:t>
      </w:r>
      <w:r>
        <w:rPr>
          <w:spacing w:val="-2"/>
        </w:rPr>
        <w:t> </w:t>
      </w:r>
      <w:r>
        <w:rPr/>
        <w:t>participate</w:t>
      </w:r>
      <w:r>
        <w:rPr>
          <w:spacing w:val="-1"/>
        </w:rPr>
        <w:t> </w:t>
      </w:r>
      <w:r>
        <w:rPr/>
        <w:t>in</w:t>
      </w:r>
      <w:r>
        <w:rPr>
          <w:spacing w:val="-3"/>
        </w:rPr>
        <w:t> </w:t>
      </w:r>
      <w:r>
        <w:rPr/>
        <w:t>the Central Registry System. If a patient does not consent, the documentation</w:t>
      </w:r>
      <w:r>
        <w:rPr>
          <w:spacing w:val="-1"/>
        </w:rPr>
        <w:t> </w:t>
      </w:r>
      <w:r>
        <w:rPr/>
        <w:t>must include evidence of orienting the patient on how to receive disaster response information and updates.</w:t>
      </w:r>
    </w:p>
    <w:p>
      <w:pPr>
        <w:pStyle w:val="BodyText"/>
        <w:spacing w:before="10"/>
        <w:rPr>
          <w:sz w:val="20"/>
        </w:rPr>
      </w:pPr>
    </w:p>
    <w:p>
      <w:pPr>
        <w:pStyle w:val="Heading1"/>
        <w:spacing w:before="1"/>
        <w:jc w:val="both"/>
      </w:pPr>
      <w:r>
        <w:rPr/>
        <w:t>All</w:t>
      </w:r>
      <w:r>
        <w:rPr>
          <w:spacing w:val="-5"/>
        </w:rPr>
        <w:t> </w:t>
      </w:r>
      <w:r>
        <w:rPr/>
        <w:t>Hazard</w:t>
      </w:r>
      <w:r>
        <w:rPr>
          <w:spacing w:val="-5"/>
        </w:rPr>
        <w:t> </w:t>
      </w:r>
      <w:r>
        <w:rPr/>
        <w:t>and</w:t>
      </w:r>
      <w:r>
        <w:rPr>
          <w:spacing w:val="-4"/>
        </w:rPr>
        <w:t> </w:t>
      </w:r>
      <w:r>
        <w:rPr/>
        <w:t>Emergency</w:t>
      </w:r>
      <w:r>
        <w:rPr>
          <w:spacing w:val="-5"/>
        </w:rPr>
        <w:t> </w:t>
      </w:r>
      <w:r>
        <w:rPr/>
        <w:t>Preparedness</w:t>
      </w:r>
      <w:r>
        <w:rPr>
          <w:spacing w:val="-4"/>
        </w:rPr>
        <w:t> </w:t>
      </w:r>
      <w:r>
        <w:rPr/>
        <w:t>Planning</w:t>
      </w:r>
      <w:r>
        <w:rPr>
          <w:spacing w:val="-4"/>
        </w:rPr>
        <w:t> </w:t>
      </w:r>
      <w:r>
        <w:rPr/>
        <w:t>and</w:t>
      </w:r>
      <w:r>
        <w:rPr>
          <w:spacing w:val="-4"/>
        </w:rPr>
        <w:t> </w:t>
      </w:r>
      <w:r>
        <w:rPr>
          <w:spacing w:val="-2"/>
        </w:rPr>
        <w:t>Procedures</w:t>
      </w:r>
    </w:p>
    <w:p>
      <w:pPr>
        <w:pStyle w:val="BodyText"/>
        <w:spacing w:before="9"/>
        <w:rPr>
          <w:b/>
          <w:sz w:val="20"/>
        </w:rPr>
      </w:pPr>
    </w:p>
    <w:p>
      <w:pPr>
        <w:pStyle w:val="BodyText"/>
        <w:spacing w:before="1"/>
        <w:ind w:left="380"/>
      </w:pPr>
      <w:r>
        <w:rPr/>
        <w:t>All OTPs should include the use of the Central Registry System in the All Hazard and Emergency Preparedness</w:t>
      </w:r>
      <w:r>
        <w:rPr>
          <w:spacing w:val="-3"/>
        </w:rPr>
        <w:t> </w:t>
      </w:r>
      <w:r>
        <w:rPr/>
        <w:t>Planning</w:t>
      </w:r>
      <w:r>
        <w:rPr>
          <w:spacing w:val="-3"/>
        </w:rPr>
        <w:t> </w:t>
      </w:r>
      <w:r>
        <w:rPr/>
        <w:t>and</w:t>
      </w:r>
      <w:r>
        <w:rPr>
          <w:spacing w:val="-3"/>
        </w:rPr>
        <w:t> </w:t>
      </w:r>
      <w:r>
        <w:rPr/>
        <w:t>Procedures</w:t>
      </w:r>
      <w:r>
        <w:rPr>
          <w:spacing w:val="-3"/>
        </w:rPr>
        <w:t> </w:t>
      </w:r>
      <w:r>
        <w:rPr/>
        <w:t>planning</w:t>
      </w:r>
      <w:r>
        <w:rPr>
          <w:spacing w:val="-5"/>
        </w:rPr>
        <w:t> </w:t>
      </w:r>
      <w:r>
        <w:rPr/>
        <w:t>policies</w:t>
      </w:r>
      <w:r>
        <w:rPr>
          <w:spacing w:val="-3"/>
        </w:rPr>
        <w:t> </w:t>
      </w:r>
      <w:r>
        <w:rPr/>
        <w:t>to</w:t>
      </w:r>
      <w:r>
        <w:rPr>
          <w:spacing w:val="-3"/>
        </w:rPr>
        <w:t> </w:t>
      </w:r>
      <w:r>
        <w:rPr/>
        <w:t>ensure</w:t>
      </w:r>
      <w:r>
        <w:rPr>
          <w:spacing w:val="-3"/>
        </w:rPr>
        <w:t> </w:t>
      </w:r>
      <w:r>
        <w:rPr/>
        <w:t>patient</w:t>
      </w:r>
      <w:r>
        <w:rPr>
          <w:spacing w:val="-3"/>
        </w:rPr>
        <w:t> </w:t>
      </w:r>
      <w:r>
        <w:rPr/>
        <w:t>access</w:t>
      </w:r>
      <w:r>
        <w:rPr>
          <w:spacing w:val="-3"/>
        </w:rPr>
        <w:t> </w:t>
      </w:r>
      <w:r>
        <w:rPr/>
        <w:t>to</w:t>
      </w:r>
      <w:r>
        <w:rPr>
          <w:spacing w:val="-3"/>
        </w:rPr>
        <w:t> </w:t>
      </w:r>
      <w:r>
        <w:rPr/>
        <w:t>care,</w:t>
      </w:r>
      <w:r>
        <w:rPr>
          <w:spacing w:val="-3"/>
        </w:rPr>
        <w:t> </w:t>
      </w:r>
      <w:r>
        <w:rPr/>
        <w:t>accuracy,</w:t>
      </w:r>
      <w:r>
        <w:rPr>
          <w:spacing w:val="-3"/>
        </w:rPr>
        <w:t> </w:t>
      </w:r>
      <w:r>
        <w:rPr/>
        <w:t>and efficiency in dosing services during an emergency.</w:t>
      </w:r>
    </w:p>
    <w:p>
      <w:pPr>
        <w:pStyle w:val="BodyText"/>
        <w:spacing w:before="10"/>
        <w:rPr>
          <w:sz w:val="20"/>
        </w:rPr>
      </w:pPr>
    </w:p>
    <w:p>
      <w:pPr>
        <w:pStyle w:val="BodyText"/>
        <w:ind w:left="380" w:right="418"/>
      </w:pPr>
      <w:r>
        <w:rPr/>
        <w:t>OTPs</w:t>
      </w:r>
      <w:r>
        <w:rPr>
          <w:spacing w:val="-3"/>
        </w:rPr>
        <w:t> </w:t>
      </w:r>
      <w:r>
        <w:rPr/>
        <w:t>must</w:t>
      </w:r>
      <w:r>
        <w:rPr>
          <w:spacing w:val="-3"/>
        </w:rPr>
        <w:t> </w:t>
      </w:r>
      <w:r>
        <w:rPr/>
        <w:t>update</w:t>
      </w:r>
      <w:r>
        <w:rPr>
          <w:spacing w:val="-3"/>
        </w:rPr>
        <w:t> </w:t>
      </w:r>
      <w:r>
        <w:rPr/>
        <w:t>the</w:t>
      </w:r>
      <w:r>
        <w:rPr>
          <w:spacing w:val="-3"/>
        </w:rPr>
        <w:t> </w:t>
      </w:r>
      <w:r>
        <w:rPr/>
        <w:t>All</w:t>
      </w:r>
      <w:r>
        <w:rPr>
          <w:spacing w:val="-3"/>
        </w:rPr>
        <w:t> </w:t>
      </w:r>
      <w:r>
        <w:rPr/>
        <w:t>Hazard</w:t>
      </w:r>
      <w:r>
        <w:rPr>
          <w:spacing w:val="-3"/>
        </w:rPr>
        <w:t> </w:t>
      </w:r>
      <w:r>
        <w:rPr/>
        <w:t>and</w:t>
      </w:r>
      <w:r>
        <w:rPr>
          <w:spacing w:val="-3"/>
        </w:rPr>
        <w:t> </w:t>
      </w:r>
      <w:r>
        <w:rPr/>
        <w:t>Emergency</w:t>
      </w:r>
      <w:r>
        <w:rPr>
          <w:spacing w:val="-3"/>
        </w:rPr>
        <w:t> </w:t>
      </w:r>
      <w:r>
        <w:rPr/>
        <w:t>Preparedness</w:t>
      </w:r>
      <w:r>
        <w:rPr>
          <w:spacing w:val="-3"/>
        </w:rPr>
        <w:t> </w:t>
      </w:r>
      <w:r>
        <w:rPr/>
        <w:t>Planning</w:t>
      </w:r>
      <w:r>
        <w:rPr>
          <w:spacing w:val="-4"/>
        </w:rPr>
        <w:t> </w:t>
      </w:r>
      <w:r>
        <w:rPr/>
        <w:t>and</w:t>
      </w:r>
      <w:r>
        <w:rPr>
          <w:spacing w:val="-3"/>
        </w:rPr>
        <w:t> </w:t>
      </w:r>
      <w:r>
        <w:rPr/>
        <w:t>Procedures</w:t>
      </w:r>
      <w:r>
        <w:rPr>
          <w:spacing w:val="-3"/>
        </w:rPr>
        <w:t> </w:t>
      </w:r>
      <w:r>
        <w:rPr/>
        <w:t>plan</w:t>
      </w:r>
      <w:r>
        <w:rPr>
          <w:spacing w:val="-4"/>
        </w:rPr>
        <w:t> </w:t>
      </w:r>
      <w:r>
        <w:rPr/>
        <w:t>to</w:t>
      </w:r>
      <w:r>
        <w:rPr>
          <w:spacing w:val="-4"/>
        </w:rPr>
        <w:t> </w:t>
      </w:r>
      <w:r>
        <w:rPr/>
        <w:t>include the Central Registry System for those who participate in the Central Registry System and patients who decline to participate.</w:t>
      </w:r>
    </w:p>
    <w:p>
      <w:pPr>
        <w:pStyle w:val="BodyText"/>
        <w:spacing w:before="10"/>
        <w:rPr>
          <w:sz w:val="20"/>
        </w:rPr>
      </w:pPr>
    </w:p>
    <w:p>
      <w:pPr>
        <w:pStyle w:val="Heading1"/>
      </w:pPr>
      <w:r>
        <w:rPr>
          <w:spacing w:val="-2"/>
        </w:rPr>
        <w:t>Resources</w:t>
      </w:r>
    </w:p>
    <w:p>
      <w:pPr>
        <w:pStyle w:val="BodyText"/>
        <w:spacing w:before="9"/>
        <w:rPr>
          <w:b/>
          <w:sz w:val="20"/>
        </w:rPr>
      </w:pPr>
    </w:p>
    <w:p>
      <w:pPr>
        <w:pStyle w:val="ListParagraph"/>
        <w:numPr>
          <w:ilvl w:val="0"/>
          <w:numId w:val="1"/>
        </w:numPr>
        <w:tabs>
          <w:tab w:pos="1099" w:val="left" w:leader="none"/>
          <w:tab w:pos="1100" w:val="left" w:leader="none"/>
        </w:tabs>
        <w:spacing w:line="240" w:lineRule="auto" w:before="0" w:after="0"/>
        <w:ind w:left="1100" w:right="0" w:hanging="360"/>
        <w:jc w:val="left"/>
        <w:rPr>
          <w:sz w:val="22"/>
          <w:u w:val="none"/>
        </w:rPr>
      </w:pPr>
      <w:hyperlink r:id="rId7">
        <w:r>
          <w:rPr>
            <w:color w:val="0000FF"/>
            <w:sz w:val="22"/>
            <w:u w:val="single" w:color="0000FF"/>
          </w:rPr>
          <w:t>Forms,</w:t>
        </w:r>
        <w:r>
          <w:rPr>
            <w:color w:val="0000FF"/>
            <w:spacing w:val="-8"/>
            <w:sz w:val="22"/>
            <w:u w:val="single" w:color="0000FF"/>
          </w:rPr>
          <w:t> </w:t>
        </w:r>
        <w:r>
          <w:rPr>
            <w:color w:val="0000FF"/>
            <w:sz w:val="22"/>
            <w:u w:val="single" w:color="0000FF"/>
          </w:rPr>
          <w:t>resources,</w:t>
        </w:r>
        <w:r>
          <w:rPr>
            <w:color w:val="0000FF"/>
            <w:spacing w:val="-7"/>
            <w:sz w:val="22"/>
            <w:u w:val="single" w:color="0000FF"/>
          </w:rPr>
          <w:t> </w:t>
        </w:r>
        <w:r>
          <w:rPr>
            <w:color w:val="0000FF"/>
            <w:sz w:val="22"/>
            <w:u w:val="single" w:color="0000FF"/>
          </w:rPr>
          <w:t>and</w:t>
        </w:r>
        <w:r>
          <w:rPr>
            <w:color w:val="0000FF"/>
            <w:spacing w:val="-6"/>
            <w:sz w:val="22"/>
            <w:u w:val="single" w:color="0000FF"/>
          </w:rPr>
          <w:t> </w:t>
        </w:r>
        <w:r>
          <w:rPr>
            <w:color w:val="0000FF"/>
            <w:sz w:val="22"/>
            <w:u w:val="single" w:color="0000FF"/>
          </w:rPr>
          <w:t>regulations</w:t>
        </w:r>
        <w:r>
          <w:rPr>
            <w:color w:val="0000FF"/>
            <w:spacing w:val="-7"/>
            <w:sz w:val="22"/>
            <w:u w:val="single" w:color="0000FF"/>
          </w:rPr>
          <w:t> </w:t>
        </w:r>
        <w:r>
          <w:rPr>
            <w:color w:val="0000FF"/>
            <w:sz w:val="22"/>
            <w:u w:val="single" w:color="0000FF"/>
          </w:rPr>
          <w:t>related</w:t>
        </w:r>
        <w:r>
          <w:rPr>
            <w:color w:val="0000FF"/>
            <w:spacing w:val="-7"/>
            <w:sz w:val="22"/>
            <w:u w:val="single" w:color="0000FF"/>
          </w:rPr>
          <w:t> </w:t>
        </w:r>
        <w:r>
          <w:rPr>
            <w:color w:val="0000FF"/>
            <w:sz w:val="22"/>
            <w:u w:val="single" w:color="0000FF"/>
          </w:rPr>
          <w:t>to</w:t>
        </w:r>
        <w:r>
          <w:rPr>
            <w:color w:val="0000FF"/>
            <w:spacing w:val="-7"/>
            <w:sz w:val="22"/>
            <w:u w:val="single" w:color="0000FF"/>
          </w:rPr>
          <w:t> </w:t>
        </w:r>
        <w:r>
          <w:rPr>
            <w:color w:val="0000FF"/>
            <w:sz w:val="22"/>
            <w:u w:val="single" w:color="0000FF"/>
          </w:rPr>
          <w:t>BSAS-licensed</w:t>
        </w:r>
        <w:r>
          <w:rPr>
            <w:color w:val="0000FF"/>
            <w:spacing w:val="-7"/>
            <w:sz w:val="22"/>
            <w:u w:val="single" w:color="0000FF"/>
          </w:rPr>
          <w:t> </w:t>
        </w:r>
        <w:r>
          <w:rPr>
            <w:color w:val="0000FF"/>
            <w:sz w:val="22"/>
            <w:u w:val="single" w:color="0000FF"/>
          </w:rPr>
          <w:t>Alcohol</w:t>
        </w:r>
        <w:r>
          <w:rPr>
            <w:color w:val="0000FF"/>
            <w:spacing w:val="-7"/>
            <w:sz w:val="22"/>
            <w:u w:val="single" w:color="0000FF"/>
          </w:rPr>
          <w:t> </w:t>
        </w:r>
        <w:r>
          <w:rPr>
            <w:color w:val="0000FF"/>
            <w:sz w:val="22"/>
            <w:u w:val="single" w:color="0000FF"/>
          </w:rPr>
          <w:t>&amp;</w:t>
        </w:r>
        <w:r>
          <w:rPr>
            <w:color w:val="0000FF"/>
            <w:spacing w:val="-7"/>
            <w:sz w:val="22"/>
            <w:u w:val="single" w:color="0000FF"/>
          </w:rPr>
          <w:t> </w:t>
        </w:r>
        <w:r>
          <w:rPr>
            <w:color w:val="0000FF"/>
            <w:sz w:val="22"/>
            <w:u w:val="single" w:color="0000FF"/>
          </w:rPr>
          <w:t>Drug</w:t>
        </w:r>
        <w:r>
          <w:rPr>
            <w:color w:val="0000FF"/>
            <w:spacing w:val="-7"/>
            <w:sz w:val="22"/>
            <w:u w:val="single" w:color="0000FF"/>
          </w:rPr>
          <w:t> </w:t>
        </w:r>
        <w:r>
          <w:rPr>
            <w:color w:val="0000FF"/>
            <w:sz w:val="22"/>
            <w:u w:val="single" w:color="0000FF"/>
          </w:rPr>
          <w:t>treatment</w:t>
        </w:r>
        <w:r>
          <w:rPr>
            <w:color w:val="0000FF"/>
            <w:spacing w:val="-6"/>
            <w:sz w:val="22"/>
            <w:u w:val="single" w:color="0000FF"/>
          </w:rPr>
          <w:t> </w:t>
        </w:r>
        <w:r>
          <w:rPr>
            <w:color w:val="0000FF"/>
            <w:spacing w:val="-2"/>
            <w:sz w:val="22"/>
            <w:u w:val="single" w:color="0000FF"/>
          </w:rPr>
          <w:t>programs</w:t>
        </w:r>
      </w:hyperlink>
    </w:p>
    <w:p>
      <w:pPr>
        <w:pStyle w:val="BodyText"/>
        <w:spacing w:before="9"/>
        <w:rPr>
          <w:sz w:val="20"/>
        </w:rPr>
      </w:pPr>
    </w:p>
    <w:p>
      <w:pPr>
        <w:pStyle w:val="ListParagraph"/>
        <w:numPr>
          <w:ilvl w:val="0"/>
          <w:numId w:val="1"/>
        </w:numPr>
        <w:tabs>
          <w:tab w:pos="1099" w:val="left" w:leader="none"/>
          <w:tab w:pos="1100" w:val="left" w:leader="none"/>
        </w:tabs>
        <w:spacing w:line="240" w:lineRule="auto" w:before="0" w:after="0"/>
        <w:ind w:left="1100" w:right="841" w:hanging="360"/>
        <w:jc w:val="left"/>
        <w:rPr>
          <w:sz w:val="22"/>
          <w:u w:val="none"/>
        </w:rPr>
      </w:pPr>
      <w:hyperlink r:id="rId10">
        <w:r>
          <w:rPr>
            <w:color w:val="0000FF"/>
            <w:sz w:val="22"/>
            <w:u w:val="single" w:color="0000FF"/>
          </w:rPr>
          <w:t>Code</w:t>
        </w:r>
        <w:r>
          <w:rPr>
            <w:color w:val="0000FF"/>
            <w:spacing w:val="-4"/>
            <w:sz w:val="22"/>
            <w:u w:val="single" w:color="0000FF"/>
          </w:rPr>
          <w:t> </w:t>
        </w:r>
        <w:r>
          <w:rPr>
            <w:color w:val="0000FF"/>
            <w:sz w:val="22"/>
            <w:u w:val="single" w:color="0000FF"/>
          </w:rPr>
          <w:t>of</w:t>
        </w:r>
        <w:r>
          <w:rPr>
            <w:color w:val="0000FF"/>
            <w:spacing w:val="-3"/>
            <w:sz w:val="22"/>
            <w:u w:val="single" w:color="0000FF"/>
          </w:rPr>
          <w:t> </w:t>
        </w:r>
        <w:r>
          <w:rPr>
            <w:color w:val="0000FF"/>
            <w:sz w:val="22"/>
            <w:u w:val="single" w:color="0000FF"/>
          </w:rPr>
          <w:t>Federal</w:t>
        </w:r>
        <w:r>
          <w:rPr>
            <w:color w:val="0000FF"/>
            <w:spacing w:val="-4"/>
            <w:sz w:val="22"/>
            <w:u w:val="single" w:color="0000FF"/>
          </w:rPr>
          <w:t> </w:t>
        </w:r>
        <w:r>
          <w:rPr>
            <w:color w:val="0000FF"/>
            <w:sz w:val="22"/>
            <w:u w:val="single" w:color="0000FF"/>
          </w:rPr>
          <w:t>Regulations</w:t>
        </w:r>
        <w:r>
          <w:rPr>
            <w:color w:val="0000FF"/>
            <w:spacing w:val="-4"/>
            <w:sz w:val="22"/>
            <w:u w:val="single" w:color="0000FF"/>
          </w:rPr>
          <w:t> </w:t>
        </w:r>
        <w:r>
          <w:rPr>
            <w:color w:val="0000FF"/>
            <w:sz w:val="22"/>
            <w:u w:val="single" w:color="0000FF"/>
          </w:rPr>
          <w:t>Substance</w:t>
        </w:r>
        <w:r>
          <w:rPr>
            <w:color w:val="0000FF"/>
            <w:spacing w:val="-4"/>
            <w:sz w:val="22"/>
            <w:u w:val="single" w:color="0000FF"/>
          </w:rPr>
          <w:t> </w:t>
        </w:r>
        <w:r>
          <w:rPr>
            <w:color w:val="0000FF"/>
            <w:sz w:val="22"/>
            <w:u w:val="single" w:color="0000FF"/>
          </w:rPr>
          <w:t>Abuse</w:t>
        </w:r>
        <w:r>
          <w:rPr>
            <w:color w:val="0000FF"/>
            <w:spacing w:val="-4"/>
            <w:sz w:val="22"/>
            <w:u w:val="single" w:color="0000FF"/>
          </w:rPr>
          <w:t> </w:t>
        </w:r>
        <w:r>
          <w:rPr>
            <w:color w:val="0000FF"/>
            <w:sz w:val="22"/>
            <w:u w:val="single" w:color="0000FF"/>
          </w:rPr>
          <w:t>and</w:t>
        </w:r>
        <w:r>
          <w:rPr>
            <w:color w:val="0000FF"/>
            <w:spacing w:val="-3"/>
            <w:sz w:val="22"/>
            <w:u w:val="single" w:color="0000FF"/>
          </w:rPr>
          <w:t> </w:t>
        </w:r>
        <w:r>
          <w:rPr>
            <w:color w:val="0000FF"/>
            <w:sz w:val="22"/>
            <w:u w:val="single" w:color="0000FF"/>
          </w:rPr>
          <w:t>Mental</w:t>
        </w:r>
        <w:r>
          <w:rPr>
            <w:color w:val="0000FF"/>
            <w:spacing w:val="-4"/>
            <w:sz w:val="22"/>
            <w:u w:val="single" w:color="0000FF"/>
          </w:rPr>
          <w:t> </w:t>
        </w:r>
        <w:r>
          <w:rPr>
            <w:color w:val="0000FF"/>
            <w:sz w:val="22"/>
            <w:u w:val="single" w:color="0000FF"/>
          </w:rPr>
          <w:t>Health</w:t>
        </w:r>
        <w:r>
          <w:rPr>
            <w:color w:val="0000FF"/>
            <w:spacing w:val="-2"/>
            <w:sz w:val="22"/>
            <w:u w:val="single" w:color="0000FF"/>
          </w:rPr>
          <w:t> </w:t>
        </w:r>
        <w:r>
          <w:rPr>
            <w:color w:val="0000FF"/>
            <w:sz w:val="22"/>
            <w:u w:val="single" w:color="0000FF"/>
          </w:rPr>
          <w:t>Services</w:t>
        </w:r>
        <w:r>
          <w:rPr>
            <w:color w:val="0000FF"/>
            <w:spacing w:val="-4"/>
            <w:sz w:val="22"/>
            <w:u w:val="single" w:color="0000FF"/>
          </w:rPr>
          <w:t> </w:t>
        </w:r>
        <w:r>
          <w:rPr>
            <w:color w:val="0000FF"/>
            <w:sz w:val="22"/>
            <w:u w:val="single" w:color="0000FF"/>
          </w:rPr>
          <w:t>Administration</w:t>
        </w:r>
        <w:r>
          <w:rPr>
            <w:color w:val="0000FF"/>
            <w:spacing w:val="-3"/>
            <w:sz w:val="22"/>
            <w:u w:val="single" w:color="0000FF"/>
          </w:rPr>
          <w:t> </w:t>
        </w:r>
        <w:r>
          <w:rPr>
            <w:color w:val="0000FF"/>
            <w:sz w:val="22"/>
            <w:u w:val="single" w:color="0000FF"/>
          </w:rPr>
          <w:t>Center</w:t>
        </w:r>
        <w:r>
          <w:rPr>
            <w:color w:val="0000FF"/>
            <w:spacing w:val="-4"/>
            <w:sz w:val="22"/>
            <w:u w:val="single" w:color="0000FF"/>
          </w:rPr>
          <w:t> </w:t>
        </w:r>
        <w:r>
          <w:rPr>
            <w:color w:val="0000FF"/>
            <w:sz w:val="22"/>
            <w:u w:val="single" w:color="0000FF"/>
          </w:rPr>
          <w:t>for</w:t>
        </w:r>
      </w:hyperlink>
      <w:r>
        <w:rPr>
          <w:color w:val="0000FF"/>
          <w:sz w:val="22"/>
          <w:u w:val="none"/>
        </w:rPr>
        <w:t> </w:t>
      </w:r>
      <w:hyperlink r:id="rId10">
        <w:r>
          <w:rPr>
            <w:color w:val="0000FF"/>
            <w:sz w:val="22"/>
            <w:u w:val="single" w:color="0000FF"/>
          </w:rPr>
          <w:t>Substance Abuse Treatment 42 Part 8</w:t>
        </w:r>
      </w:hyperlink>
    </w:p>
    <w:p>
      <w:pPr>
        <w:pStyle w:val="BodyText"/>
        <w:spacing w:before="10"/>
        <w:rPr>
          <w:sz w:val="20"/>
        </w:rPr>
      </w:pPr>
    </w:p>
    <w:p>
      <w:pPr>
        <w:pStyle w:val="ListParagraph"/>
        <w:numPr>
          <w:ilvl w:val="0"/>
          <w:numId w:val="1"/>
        </w:numPr>
        <w:tabs>
          <w:tab w:pos="1099" w:val="left" w:leader="none"/>
          <w:tab w:pos="1100" w:val="left" w:leader="none"/>
        </w:tabs>
        <w:spacing w:line="240" w:lineRule="auto" w:before="0" w:after="0"/>
        <w:ind w:left="1100" w:right="0" w:hanging="360"/>
        <w:jc w:val="left"/>
        <w:rPr>
          <w:sz w:val="22"/>
          <w:u w:val="none"/>
        </w:rPr>
      </w:pPr>
      <w:hyperlink r:id="rId11">
        <w:r>
          <w:rPr>
            <w:color w:val="0000FF"/>
            <w:sz w:val="22"/>
            <w:u w:val="single" w:color="0000FF"/>
          </w:rPr>
          <w:t>MA</w:t>
        </w:r>
        <w:r>
          <w:rPr>
            <w:color w:val="0000FF"/>
            <w:spacing w:val="-11"/>
            <w:sz w:val="22"/>
            <w:u w:val="single" w:color="0000FF"/>
          </w:rPr>
          <w:t> </w:t>
        </w:r>
        <w:r>
          <w:rPr>
            <w:color w:val="0000FF"/>
            <w:sz w:val="22"/>
            <w:u w:val="single" w:color="0000FF"/>
          </w:rPr>
          <w:t>Department</w:t>
        </w:r>
        <w:r>
          <w:rPr>
            <w:color w:val="0000FF"/>
            <w:spacing w:val="-7"/>
            <w:sz w:val="22"/>
            <w:u w:val="single" w:color="0000FF"/>
          </w:rPr>
          <w:t> </w:t>
        </w:r>
        <w:r>
          <w:rPr>
            <w:color w:val="0000FF"/>
            <w:sz w:val="22"/>
            <w:u w:val="single" w:color="0000FF"/>
          </w:rPr>
          <w:t>of</w:t>
        </w:r>
        <w:r>
          <w:rPr>
            <w:color w:val="0000FF"/>
            <w:spacing w:val="-7"/>
            <w:sz w:val="22"/>
            <w:u w:val="single" w:color="0000FF"/>
          </w:rPr>
          <w:t> </w:t>
        </w:r>
        <w:r>
          <w:rPr>
            <w:color w:val="0000FF"/>
            <w:sz w:val="22"/>
            <w:u w:val="single" w:color="0000FF"/>
          </w:rPr>
          <w:t>Public</w:t>
        </w:r>
        <w:r>
          <w:rPr>
            <w:color w:val="0000FF"/>
            <w:spacing w:val="-8"/>
            <w:sz w:val="22"/>
            <w:u w:val="single" w:color="0000FF"/>
          </w:rPr>
          <w:t> </w:t>
        </w:r>
        <w:r>
          <w:rPr>
            <w:color w:val="0000FF"/>
            <w:sz w:val="22"/>
            <w:u w:val="single" w:color="0000FF"/>
          </w:rPr>
          <w:t>Health</w:t>
        </w:r>
        <w:r>
          <w:rPr>
            <w:color w:val="0000FF"/>
            <w:spacing w:val="-14"/>
            <w:sz w:val="22"/>
            <w:u w:val="single" w:color="0000FF"/>
          </w:rPr>
          <w:t> </w:t>
        </w:r>
        <w:r>
          <w:rPr>
            <w:color w:val="0000FF"/>
            <w:sz w:val="22"/>
            <w:u w:val="single" w:color="0000FF"/>
          </w:rPr>
          <w:t>Drug</w:t>
        </w:r>
        <w:r>
          <w:rPr>
            <w:color w:val="0000FF"/>
            <w:spacing w:val="-7"/>
            <w:sz w:val="22"/>
            <w:u w:val="single" w:color="0000FF"/>
          </w:rPr>
          <w:t> </w:t>
        </w:r>
        <w:r>
          <w:rPr>
            <w:color w:val="0000FF"/>
            <w:sz w:val="22"/>
            <w:u w:val="single" w:color="0000FF"/>
          </w:rPr>
          <w:t>Control</w:t>
        </w:r>
        <w:r>
          <w:rPr>
            <w:color w:val="0000FF"/>
            <w:spacing w:val="-8"/>
            <w:sz w:val="22"/>
            <w:u w:val="single" w:color="0000FF"/>
          </w:rPr>
          <w:t> </w:t>
        </w:r>
        <w:r>
          <w:rPr>
            <w:color w:val="0000FF"/>
            <w:spacing w:val="-2"/>
            <w:sz w:val="22"/>
            <w:u w:val="single" w:color="0000FF"/>
          </w:rPr>
          <w:t>Program</w:t>
        </w:r>
      </w:hyperlink>
    </w:p>
    <w:p>
      <w:pPr>
        <w:pStyle w:val="BodyText"/>
        <w:spacing w:before="8"/>
        <w:rPr>
          <w:sz w:val="20"/>
        </w:rPr>
      </w:pPr>
    </w:p>
    <w:p>
      <w:pPr>
        <w:pStyle w:val="ListParagraph"/>
        <w:numPr>
          <w:ilvl w:val="0"/>
          <w:numId w:val="1"/>
        </w:numPr>
        <w:tabs>
          <w:tab w:pos="1099" w:val="left" w:leader="none"/>
          <w:tab w:pos="1100" w:val="left" w:leader="none"/>
        </w:tabs>
        <w:spacing w:line="240" w:lineRule="auto" w:before="0" w:after="0"/>
        <w:ind w:left="1100" w:right="0" w:hanging="360"/>
        <w:jc w:val="left"/>
        <w:rPr>
          <w:sz w:val="22"/>
          <w:u w:val="none"/>
        </w:rPr>
      </w:pPr>
      <w:hyperlink r:id="rId12">
        <w:r>
          <w:rPr>
            <w:color w:val="0000FF"/>
            <w:sz w:val="22"/>
            <w:u w:val="single" w:color="0000FF"/>
          </w:rPr>
          <w:t>Drug</w:t>
        </w:r>
        <w:r>
          <w:rPr>
            <w:color w:val="0000FF"/>
            <w:spacing w:val="-9"/>
            <w:sz w:val="22"/>
            <w:u w:val="single" w:color="0000FF"/>
          </w:rPr>
          <w:t> </w:t>
        </w:r>
        <w:r>
          <w:rPr>
            <w:color w:val="0000FF"/>
            <w:sz w:val="22"/>
            <w:u w:val="single" w:color="0000FF"/>
          </w:rPr>
          <w:t>Enforcement</w:t>
        </w:r>
        <w:r>
          <w:rPr>
            <w:color w:val="0000FF"/>
            <w:spacing w:val="-9"/>
            <w:sz w:val="22"/>
            <w:u w:val="single" w:color="0000FF"/>
          </w:rPr>
          <w:t> </w:t>
        </w:r>
        <w:r>
          <w:rPr>
            <w:color w:val="0000FF"/>
            <w:spacing w:val="-2"/>
            <w:sz w:val="22"/>
            <w:u w:val="single" w:color="0000FF"/>
          </w:rPr>
          <w:t>Administration</w:t>
        </w:r>
      </w:hyperlink>
    </w:p>
    <w:p>
      <w:pPr>
        <w:pStyle w:val="BodyText"/>
        <w:spacing w:before="10"/>
        <w:rPr>
          <w:sz w:val="20"/>
        </w:rPr>
      </w:pPr>
    </w:p>
    <w:p>
      <w:pPr>
        <w:pStyle w:val="ListParagraph"/>
        <w:numPr>
          <w:ilvl w:val="0"/>
          <w:numId w:val="1"/>
        </w:numPr>
        <w:tabs>
          <w:tab w:pos="1099" w:val="left" w:leader="none"/>
          <w:tab w:pos="1100" w:val="left" w:leader="none"/>
        </w:tabs>
        <w:spacing w:line="240" w:lineRule="auto" w:before="0" w:after="0"/>
        <w:ind w:left="1100" w:right="0" w:hanging="360"/>
        <w:jc w:val="left"/>
        <w:rPr>
          <w:sz w:val="22"/>
          <w:u w:val="none"/>
        </w:rPr>
      </w:pPr>
      <w:hyperlink r:id="rId13">
        <w:r>
          <w:rPr>
            <w:color w:val="0000FF"/>
            <w:sz w:val="22"/>
            <w:u w:val="single" w:color="0000FF"/>
          </w:rPr>
          <w:t>Federal</w:t>
        </w:r>
        <w:r>
          <w:rPr>
            <w:color w:val="0000FF"/>
            <w:spacing w:val="-8"/>
            <w:sz w:val="22"/>
            <w:u w:val="single" w:color="0000FF"/>
          </w:rPr>
          <w:t> </w:t>
        </w:r>
        <w:r>
          <w:rPr>
            <w:color w:val="0000FF"/>
            <w:sz w:val="22"/>
            <w:u w:val="single" w:color="0000FF"/>
          </w:rPr>
          <w:t>Guidelines</w:t>
        </w:r>
        <w:r>
          <w:rPr>
            <w:color w:val="0000FF"/>
            <w:spacing w:val="-8"/>
            <w:sz w:val="22"/>
            <w:u w:val="single" w:color="0000FF"/>
          </w:rPr>
          <w:t> </w:t>
        </w:r>
        <w:r>
          <w:rPr>
            <w:color w:val="0000FF"/>
            <w:sz w:val="22"/>
            <w:u w:val="single" w:color="0000FF"/>
          </w:rPr>
          <w:t>for</w:t>
        </w:r>
        <w:r>
          <w:rPr>
            <w:color w:val="0000FF"/>
            <w:spacing w:val="-8"/>
            <w:sz w:val="22"/>
            <w:u w:val="single" w:color="0000FF"/>
          </w:rPr>
          <w:t> </w:t>
        </w:r>
        <w:r>
          <w:rPr>
            <w:color w:val="0000FF"/>
            <w:sz w:val="22"/>
            <w:u w:val="single" w:color="0000FF"/>
          </w:rPr>
          <w:t>Opioid</w:t>
        </w:r>
        <w:r>
          <w:rPr>
            <w:color w:val="0000FF"/>
            <w:spacing w:val="-7"/>
            <w:sz w:val="22"/>
            <w:u w:val="single" w:color="0000FF"/>
          </w:rPr>
          <w:t> </w:t>
        </w:r>
        <w:r>
          <w:rPr>
            <w:color w:val="0000FF"/>
            <w:sz w:val="22"/>
            <w:u w:val="single" w:color="0000FF"/>
          </w:rPr>
          <w:t>Treatment</w:t>
        </w:r>
        <w:r>
          <w:rPr>
            <w:color w:val="0000FF"/>
            <w:spacing w:val="-7"/>
            <w:sz w:val="22"/>
            <w:u w:val="single" w:color="0000FF"/>
          </w:rPr>
          <w:t> </w:t>
        </w:r>
        <w:r>
          <w:rPr>
            <w:color w:val="0000FF"/>
            <w:spacing w:val="-2"/>
            <w:sz w:val="22"/>
            <w:u w:val="single" w:color="0000FF"/>
          </w:rPr>
          <w:t>Programs</w:t>
        </w:r>
      </w:hyperlink>
    </w:p>
    <w:p>
      <w:pPr>
        <w:pStyle w:val="BodyText"/>
        <w:spacing w:before="9"/>
        <w:rPr>
          <w:sz w:val="20"/>
        </w:rPr>
      </w:pPr>
    </w:p>
    <w:p>
      <w:pPr>
        <w:pStyle w:val="ListParagraph"/>
        <w:numPr>
          <w:ilvl w:val="0"/>
          <w:numId w:val="1"/>
        </w:numPr>
        <w:tabs>
          <w:tab w:pos="1099" w:val="left" w:leader="none"/>
          <w:tab w:pos="1100" w:val="left" w:leader="none"/>
        </w:tabs>
        <w:spacing w:line="240" w:lineRule="auto" w:before="0" w:after="0"/>
        <w:ind w:left="1100" w:right="0" w:hanging="360"/>
        <w:jc w:val="left"/>
        <w:rPr>
          <w:sz w:val="22"/>
          <w:u w:val="none"/>
        </w:rPr>
      </w:pPr>
      <w:hyperlink r:id="rId14">
        <w:r>
          <w:rPr>
            <w:color w:val="0000FF"/>
            <w:sz w:val="22"/>
            <w:u w:val="single" w:color="0000FF"/>
          </w:rPr>
          <w:t>SAMHSA</w:t>
        </w:r>
        <w:r>
          <w:rPr>
            <w:color w:val="0000FF"/>
            <w:spacing w:val="-7"/>
            <w:sz w:val="22"/>
            <w:u w:val="single" w:color="0000FF"/>
          </w:rPr>
          <w:t> </w:t>
        </w:r>
        <w:r>
          <w:rPr>
            <w:color w:val="0000FF"/>
            <w:sz w:val="22"/>
            <w:u w:val="single" w:color="0000FF"/>
          </w:rPr>
          <w:t>TIP</w:t>
        </w:r>
        <w:r>
          <w:rPr>
            <w:color w:val="0000FF"/>
            <w:spacing w:val="-7"/>
            <w:sz w:val="22"/>
            <w:u w:val="single" w:color="0000FF"/>
          </w:rPr>
          <w:t> </w:t>
        </w:r>
        <w:r>
          <w:rPr>
            <w:color w:val="0000FF"/>
            <w:sz w:val="22"/>
            <w:u w:val="single" w:color="0000FF"/>
          </w:rPr>
          <w:t>63:</w:t>
        </w:r>
        <w:r>
          <w:rPr>
            <w:color w:val="0000FF"/>
            <w:spacing w:val="-5"/>
            <w:sz w:val="22"/>
            <w:u w:val="single" w:color="0000FF"/>
          </w:rPr>
          <w:t> </w:t>
        </w:r>
        <w:r>
          <w:rPr>
            <w:color w:val="0000FF"/>
            <w:sz w:val="22"/>
            <w:u w:val="single" w:color="0000FF"/>
          </w:rPr>
          <w:t>Medications</w:t>
        </w:r>
        <w:r>
          <w:rPr>
            <w:color w:val="0000FF"/>
            <w:spacing w:val="-6"/>
            <w:sz w:val="22"/>
            <w:u w:val="single" w:color="0000FF"/>
          </w:rPr>
          <w:t> </w:t>
        </w:r>
        <w:r>
          <w:rPr>
            <w:color w:val="0000FF"/>
            <w:sz w:val="22"/>
            <w:u w:val="single" w:color="0000FF"/>
          </w:rPr>
          <w:t>for</w:t>
        </w:r>
        <w:r>
          <w:rPr>
            <w:color w:val="0000FF"/>
            <w:spacing w:val="-7"/>
            <w:sz w:val="22"/>
            <w:u w:val="single" w:color="0000FF"/>
          </w:rPr>
          <w:t> </w:t>
        </w:r>
        <w:r>
          <w:rPr>
            <w:color w:val="0000FF"/>
            <w:sz w:val="22"/>
            <w:u w:val="single" w:color="0000FF"/>
          </w:rPr>
          <w:t>Opioid</w:t>
        </w:r>
        <w:r>
          <w:rPr>
            <w:color w:val="0000FF"/>
            <w:spacing w:val="-5"/>
            <w:sz w:val="22"/>
            <w:u w:val="single" w:color="0000FF"/>
          </w:rPr>
          <w:t> </w:t>
        </w:r>
        <w:r>
          <w:rPr>
            <w:color w:val="0000FF"/>
            <w:sz w:val="22"/>
            <w:u w:val="single" w:color="0000FF"/>
          </w:rPr>
          <w:t>Use</w:t>
        </w:r>
        <w:r>
          <w:rPr>
            <w:color w:val="0000FF"/>
            <w:spacing w:val="-7"/>
            <w:sz w:val="22"/>
            <w:u w:val="single" w:color="0000FF"/>
          </w:rPr>
          <w:t> </w:t>
        </w:r>
        <w:r>
          <w:rPr>
            <w:color w:val="0000FF"/>
            <w:spacing w:val="-2"/>
            <w:sz w:val="22"/>
            <w:u w:val="single" w:color="0000FF"/>
          </w:rPr>
          <w:t>Disorder</w:t>
        </w:r>
      </w:hyperlink>
    </w:p>
    <w:p>
      <w:pPr>
        <w:pStyle w:val="BodyText"/>
        <w:spacing w:before="9"/>
        <w:rPr>
          <w:sz w:val="20"/>
        </w:rPr>
      </w:pPr>
    </w:p>
    <w:p>
      <w:pPr>
        <w:pStyle w:val="ListParagraph"/>
        <w:numPr>
          <w:ilvl w:val="0"/>
          <w:numId w:val="1"/>
        </w:numPr>
        <w:tabs>
          <w:tab w:pos="1099" w:val="left" w:leader="none"/>
          <w:tab w:pos="1100" w:val="left" w:leader="none"/>
        </w:tabs>
        <w:spacing w:line="240" w:lineRule="auto" w:before="0" w:after="0"/>
        <w:ind w:left="1100" w:right="0" w:hanging="360"/>
        <w:jc w:val="left"/>
        <w:rPr>
          <w:sz w:val="22"/>
          <w:u w:val="none"/>
        </w:rPr>
      </w:pPr>
      <w:hyperlink r:id="rId15">
        <w:r>
          <w:rPr>
            <w:color w:val="0000FF"/>
            <w:sz w:val="22"/>
            <w:u w:val="single" w:color="0000FF"/>
          </w:rPr>
          <w:t>SAMHSA</w:t>
        </w:r>
        <w:r>
          <w:rPr>
            <w:color w:val="0000FF"/>
            <w:spacing w:val="-8"/>
            <w:sz w:val="22"/>
            <w:u w:val="single" w:color="0000FF"/>
          </w:rPr>
          <w:t> </w:t>
        </w:r>
        <w:r>
          <w:rPr>
            <w:color w:val="0000FF"/>
            <w:sz w:val="22"/>
            <w:u w:val="single" w:color="0000FF"/>
          </w:rPr>
          <w:t>TIP</w:t>
        </w:r>
        <w:r>
          <w:rPr>
            <w:color w:val="0000FF"/>
            <w:spacing w:val="-7"/>
            <w:sz w:val="22"/>
            <w:u w:val="single" w:color="0000FF"/>
          </w:rPr>
          <w:t> </w:t>
        </w:r>
        <w:r>
          <w:rPr>
            <w:color w:val="0000FF"/>
            <w:sz w:val="22"/>
            <w:u w:val="single" w:color="0000FF"/>
          </w:rPr>
          <w:t>34:</w:t>
        </w:r>
        <w:r>
          <w:rPr>
            <w:color w:val="0000FF"/>
            <w:spacing w:val="-7"/>
            <w:sz w:val="22"/>
            <w:u w:val="single" w:color="0000FF"/>
          </w:rPr>
          <w:t> </w:t>
        </w:r>
        <w:r>
          <w:rPr>
            <w:color w:val="0000FF"/>
            <w:sz w:val="22"/>
            <w:u w:val="single" w:color="0000FF"/>
          </w:rPr>
          <w:t>Disaster</w:t>
        </w:r>
        <w:r>
          <w:rPr>
            <w:color w:val="0000FF"/>
            <w:spacing w:val="-7"/>
            <w:sz w:val="22"/>
            <w:u w:val="single" w:color="0000FF"/>
          </w:rPr>
          <w:t> </w:t>
        </w:r>
        <w:r>
          <w:rPr>
            <w:color w:val="0000FF"/>
            <w:sz w:val="22"/>
            <w:u w:val="single" w:color="0000FF"/>
          </w:rPr>
          <w:t>Planning</w:t>
        </w:r>
        <w:r>
          <w:rPr>
            <w:color w:val="0000FF"/>
            <w:spacing w:val="-6"/>
            <w:sz w:val="22"/>
            <w:u w:val="single" w:color="0000FF"/>
          </w:rPr>
          <w:t> </w:t>
        </w:r>
        <w:r>
          <w:rPr>
            <w:color w:val="0000FF"/>
            <w:sz w:val="22"/>
            <w:u w:val="single" w:color="0000FF"/>
          </w:rPr>
          <w:t>Handbook</w:t>
        </w:r>
        <w:r>
          <w:rPr>
            <w:color w:val="0000FF"/>
            <w:spacing w:val="-7"/>
            <w:sz w:val="22"/>
            <w:u w:val="single" w:color="0000FF"/>
          </w:rPr>
          <w:t> </w:t>
        </w:r>
        <w:r>
          <w:rPr>
            <w:color w:val="0000FF"/>
            <w:sz w:val="22"/>
            <w:u w:val="single" w:color="0000FF"/>
          </w:rPr>
          <w:t>for</w:t>
        </w:r>
        <w:r>
          <w:rPr>
            <w:color w:val="0000FF"/>
            <w:spacing w:val="-8"/>
            <w:sz w:val="22"/>
            <w:u w:val="single" w:color="0000FF"/>
          </w:rPr>
          <w:t> </w:t>
        </w:r>
        <w:r>
          <w:rPr>
            <w:color w:val="0000FF"/>
            <w:sz w:val="22"/>
            <w:u w:val="single" w:color="0000FF"/>
          </w:rPr>
          <w:t>Behavioral</w:t>
        </w:r>
        <w:r>
          <w:rPr>
            <w:color w:val="0000FF"/>
            <w:spacing w:val="-8"/>
            <w:sz w:val="22"/>
            <w:u w:val="single" w:color="0000FF"/>
          </w:rPr>
          <w:t> </w:t>
        </w:r>
        <w:r>
          <w:rPr>
            <w:color w:val="0000FF"/>
            <w:sz w:val="22"/>
            <w:u w:val="single" w:color="0000FF"/>
          </w:rPr>
          <w:t>Health</w:t>
        </w:r>
        <w:r>
          <w:rPr>
            <w:color w:val="0000FF"/>
            <w:spacing w:val="-6"/>
            <w:sz w:val="22"/>
            <w:u w:val="single" w:color="0000FF"/>
          </w:rPr>
          <w:t> </w:t>
        </w:r>
        <w:r>
          <w:rPr>
            <w:color w:val="0000FF"/>
            <w:sz w:val="22"/>
            <w:u w:val="single" w:color="0000FF"/>
          </w:rPr>
          <w:t>Service</w:t>
        </w:r>
        <w:r>
          <w:rPr>
            <w:color w:val="0000FF"/>
            <w:spacing w:val="-8"/>
            <w:sz w:val="22"/>
            <w:u w:val="single" w:color="0000FF"/>
          </w:rPr>
          <w:t> </w:t>
        </w:r>
        <w:r>
          <w:rPr>
            <w:color w:val="0000FF"/>
            <w:spacing w:val="-2"/>
            <w:sz w:val="22"/>
            <w:u w:val="single" w:color="0000FF"/>
          </w:rPr>
          <w:t>Programs</w:t>
        </w:r>
      </w:hyperlink>
    </w:p>
    <w:sectPr>
      <w:pgSz w:w="12240" w:h="15840"/>
      <w:pgMar w:top="1380" w:bottom="280" w:left="70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Rounded MT Bold">
    <w:altName w:val="Arial Rounded MT Bold"/>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00" w:hanging="360"/>
      </w:pPr>
      <w:rPr>
        <w:rFonts w:hint="default" w:ascii="Symbol" w:hAnsi="Symbol" w:eastAsia="Symbol" w:cs="Symbol"/>
        <w:b w:val="0"/>
        <w:bCs w:val="0"/>
        <w:i w:val="0"/>
        <w:iCs w:val="0"/>
        <w:w w:val="99"/>
        <w:sz w:val="22"/>
        <w:szCs w:val="22"/>
        <w:lang w:val="en-US" w:eastAsia="en-US" w:bidi="ar-SA"/>
      </w:rPr>
    </w:lvl>
    <w:lvl w:ilvl="1">
      <w:start w:val="0"/>
      <w:numFmt w:val="bullet"/>
      <w:lvlText w:val="•"/>
      <w:lvlJc w:val="left"/>
      <w:pPr>
        <w:ind w:left="2076" w:hanging="360"/>
      </w:pPr>
      <w:rPr>
        <w:rFonts w:hint="default"/>
        <w:lang w:val="en-US" w:eastAsia="en-US" w:bidi="ar-SA"/>
      </w:rPr>
    </w:lvl>
    <w:lvl w:ilvl="2">
      <w:start w:val="0"/>
      <w:numFmt w:val="bullet"/>
      <w:lvlText w:val="•"/>
      <w:lvlJc w:val="left"/>
      <w:pPr>
        <w:ind w:left="3052" w:hanging="360"/>
      </w:pPr>
      <w:rPr>
        <w:rFonts w:hint="default"/>
        <w:lang w:val="en-US" w:eastAsia="en-US" w:bidi="ar-SA"/>
      </w:rPr>
    </w:lvl>
    <w:lvl w:ilvl="3">
      <w:start w:val="0"/>
      <w:numFmt w:val="bullet"/>
      <w:lvlText w:val="•"/>
      <w:lvlJc w:val="left"/>
      <w:pPr>
        <w:ind w:left="4028" w:hanging="360"/>
      </w:pPr>
      <w:rPr>
        <w:rFonts w:hint="default"/>
        <w:lang w:val="en-US" w:eastAsia="en-US" w:bidi="ar-SA"/>
      </w:rPr>
    </w:lvl>
    <w:lvl w:ilvl="4">
      <w:start w:val="0"/>
      <w:numFmt w:val="bullet"/>
      <w:lvlText w:val="•"/>
      <w:lvlJc w:val="left"/>
      <w:pPr>
        <w:ind w:left="5004" w:hanging="360"/>
      </w:pPr>
      <w:rPr>
        <w:rFonts w:hint="default"/>
        <w:lang w:val="en-US" w:eastAsia="en-US" w:bidi="ar-SA"/>
      </w:rPr>
    </w:lvl>
    <w:lvl w:ilvl="5">
      <w:start w:val="0"/>
      <w:numFmt w:val="bullet"/>
      <w:lvlText w:val="•"/>
      <w:lvlJc w:val="left"/>
      <w:pPr>
        <w:ind w:left="5980" w:hanging="360"/>
      </w:pPr>
      <w:rPr>
        <w:rFonts w:hint="default"/>
        <w:lang w:val="en-US" w:eastAsia="en-US" w:bidi="ar-SA"/>
      </w:rPr>
    </w:lvl>
    <w:lvl w:ilvl="6">
      <w:start w:val="0"/>
      <w:numFmt w:val="bullet"/>
      <w:lvlText w:val="•"/>
      <w:lvlJc w:val="left"/>
      <w:pPr>
        <w:ind w:left="6956" w:hanging="360"/>
      </w:pPr>
      <w:rPr>
        <w:rFonts w:hint="default"/>
        <w:lang w:val="en-US" w:eastAsia="en-US" w:bidi="ar-SA"/>
      </w:rPr>
    </w:lvl>
    <w:lvl w:ilvl="7">
      <w:start w:val="0"/>
      <w:numFmt w:val="bullet"/>
      <w:lvlText w:val="•"/>
      <w:lvlJc w:val="left"/>
      <w:pPr>
        <w:ind w:left="7932" w:hanging="360"/>
      </w:pPr>
      <w:rPr>
        <w:rFonts w:hint="default"/>
        <w:lang w:val="en-US" w:eastAsia="en-US" w:bidi="ar-SA"/>
      </w:rPr>
    </w:lvl>
    <w:lvl w:ilvl="8">
      <w:start w:val="0"/>
      <w:numFmt w:val="bullet"/>
      <w:lvlText w:val="•"/>
      <w:lvlJc w:val="left"/>
      <w:pPr>
        <w:ind w:left="890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8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150"/>
      <w:ind w:left="116" w:right="49"/>
      <w:jc w:val="center"/>
    </w:pPr>
    <w:rPr>
      <w:rFonts w:ascii="Arial" w:hAnsi="Arial" w:eastAsia="Arial" w:cs="Arial"/>
      <w:sz w:val="36"/>
      <w:szCs w:val="36"/>
      <w:lang w:val="en-US" w:eastAsia="en-US" w:bidi="ar-SA"/>
    </w:rPr>
  </w:style>
  <w:style w:styleId="ListParagraph" w:type="paragraph">
    <w:name w:val="List Paragraph"/>
    <w:basedOn w:val="Normal"/>
    <w:uiPriority w:val="1"/>
    <w:qFormat/>
    <w:pPr>
      <w:ind w:left="1100" w:hanging="360"/>
    </w:pPr>
    <w:rPr>
      <w:rFonts w:ascii="Times New Roman" w:hAnsi="Times New Roman" w:eastAsia="Times New Roman" w:cs="Times New Roman"/>
      <w:u w:val="single" w:color="000000"/>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dph" TargetMode="External"/><Relationship Id="rId7" Type="http://schemas.openxmlformats.org/officeDocument/2006/relationships/hyperlink" Target="https://www.mass.gov/service-details/information-for-licensed-substance-use-disorder-treatment-programs" TargetMode="External"/><Relationship Id="rId8" Type="http://schemas.openxmlformats.org/officeDocument/2006/relationships/hyperlink" Target="https://www.mass.gov/regulations/105-CMR-16400-licensure-of-substance-abuse-treatment-programs" TargetMode="External"/><Relationship Id="rId9" Type="http://schemas.openxmlformats.org/officeDocument/2006/relationships/hyperlink" Target="mailto:(support@thecentralregistry.com" TargetMode="External"/><Relationship Id="rId10" Type="http://schemas.openxmlformats.org/officeDocument/2006/relationships/hyperlink" Target="https://www.gpo.gov/fdsys/pkg/CFR-2017-title42-vol1/xml/CFR-2017-title42-vol1-part8.xml" TargetMode="External"/><Relationship Id="rId11" Type="http://schemas.openxmlformats.org/officeDocument/2006/relationships/hyperlink" Target="https://www.mass.gov/regulations/105-CMR-70000-implementation-of-mgl-c94c" TargetMode="External"/><Relationship Id="rId12" Type="http://schemas.openxmlformats.org/officeDocument/2006/relationships/hyperlink" Target="https://www.deadiversion.usdoj.gov/pubs/index.html" TargetMode="External"/><Relationship Id="rId13" Type="http://schemas.openxmlformats.org/officeDocument/2006/relationships/hyperlink" Target="https://store.samhsa.gov/product/Federal-Guidelines-for-Opioid-Treatment-Programs/PEP15-FEDGUIDEOTP" TargetMode="External"/><Relationship Id="rId14" Type="http://schemas.openxmlformats.org/officeDocument/2006/relationships/hyperlink" Target="https://store.samhsa.gov/product/TIP-63-Medications-for-Opioid-Use-Disorder-Full-Document/PEP21-02-01-002" TargetMode="External"/><Relationship Id="rId15" Type="http://schemas.openxmlformats.org/officeDocument/2006/relationships/hyperlink" Target="https://store.samhsa.gov/product/tap-34-disaster-planning-handbook-for-behavioral-health-service-programs/pep21-02-01-001"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dcterms:created xsi:type="dcterms:W3CDTF">2022-11-01T15:10:54Z</dcterms:created>
  <dcterms:modified xsi:type="dcterms:W3CDTF">2022-11-01T15:10:54Z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Microsoft® Word for Microsoft 365</vt:lpwstr>
  </property>
  <property fmtid="{D5CDD505-2E9C-101B-9397-08002B2CF9AE}" pid="4" name="LastSaved">
    <vt:filetime>2022-11-01T00:00:00Z</vt:filetime>
  </property>
  <property fmtid="{D5CDD505-2E9C-101B-9397-08002B2CF9AE}" pid="5" name="Producer">
    <vt:lpwstr>Microsoft® Word for Microsoft 365</vt:lpwstr>
  </property>
</Properties>
</file>