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A69E" w14:textId="386C729C" w:rsidR="00E60432" w:rsidRDefault="00E60432" w:rsidP="00E604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2E726" wp14:editId="1EEDE043">
            <wp:extent cx="2169622" cy="685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H AJH New Logo 3.20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62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68B00" w14:textId="0D67B515" w:rsidR="00E27283" w:rsidRDefault="00AE0F93">
      <w:pPr>
        <w:rPr>
          <w:rFonts w:ascii="Times New Roman" w:hAnsi="Times New Roman" w:cs="Times New Roman"/>
          <w:sz w:val="24"/>
          <w:szCs w:val="24"/>
        </w:rPr>
      </w:pPr>
      <w:r w:rsidRPr="00AE0F93">
        <w:rPr>
          <w:rFonts w:ascii="Times New Roman" w:hAnsi="Times New Roman" w:cs="Times New Roman"/>
          <w:sz w:val="24"/>
          <w:szCs w:val="24"/>
        </w:rPr>
        <w:t>June 26, 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A851D3B" w14:textId="2FBF0D51" w:rsidR="00AE0F93" w:rsidRDefault="00AE0F93">
      <w:pPr>
        <w:rPr>
          <w:rFonts w:ascii="Times New Roman" w:hAnsi="Times New Roman" w:cs="Times New Roman"/>
          <w:sz w:val="24"/>
          <w:szCs w:val="24"/>
        </w:rPr>
      </w:pPr>
    </w:p>
    <w:p w14:paraId="4F6EAEB2" w14:textId="6430CD6F" w:rsidR="00AE0F93" w:rsidRDefault="00AE0F93">
      <w:pPr>
        <w:rPr>
          <w:rFonts w:ascii="Times New Roman" w:hAnsi="Times New Roman" w:cs="Times New Roman"/>
          <w:sz w:val="24"/>
          <w:szCs w:val="24"/>
        </w:rPr>
      </w:pPr>
    </w:p>
    <w:p w14:paraId="3F46154F" w14:textId="42A75478" w:rsidR="00AE0F93" w:rsidRPr="00AE0F93" w:rsidRDefault="00AE0F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E0F93">
        <w:rPr>
          <w:rFonts w:ascii="Times New Roman" w:hAnsi="Times New Roman" w:cs="Times New Roman"/>
          <w:sz w:val="24"/>
          <w:szCs w:val="24"/>
          <w:u w:val="single"/>
        </w:rPr>
        <w:t>Via Email</w:t>
      </w:r>
    </w:p>
    <w:p w14:paraId="07341A0E" w14:textId="74D84EBE" w:rsidR="00AE0F93" w:rsidRDefault="00AE0F93">
      <w:pPr>
        <w:rPr>
          <w:rFonts w:ascii="Times New Roman" w:hAnsi="Times New Roman" w:cs="Times New Roman"/>
          <w:sz w:val="24"/>
          <w:szCs w:val="24"/>
        </w:rPr>
      </w:pPr>
    </w:p>
    <w:p w14:paraId="42D15C9A" w14:textId="77777777" w:rsidR="00AE0F93" w:rsidRPr="00AE0F93" w:rsidRDefault="00AE0F93" w:rsidP="00AE0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F93">
        <w:rPr>
          <w:rFonts w:ascii="Times New Roman" w:eastAsia="Times New Roman" w:hAnsi="Times New Roman" w:cs="Times New Roman"/>
          <w:sz w:val="24"/>
          <w:szCs w:val="24"/>
        </w:rPr>
        <w:t>Sherman Lohnes, Esq., Director</w:t>
      </w:r>
    </w:p>
    <w:p w14:paraId="74DA640C" w14:textId="77777777" w:rsidR="00AE0F93" w:rsidRPr="00AE0F93" w:rsidRDefault="00AE0F93" w:rsidP="00AE0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F93">
        <w:rPr>
          <w:rFonts w:ascii="Times New Roman" w:eastAsia="Times New Roman" w:hAnsi="Times New Roman" w:cs="Times New Roman"/>
          <w:sz w:val="24"/>
          <w:szCs w:val="24"/>
        </w:rPr>
        <w:t>Division of Health Care Facility Licensure and Certification</w:t>
      </w:r>
    </w:p>
    <w:p w14:paraId="793D13F8" w14:textId="77777777" w:rsidR="00AE0F93" w:rsidRPr="00AE0F93" w:rsidRDefault="00AE0F93" w:rsidP="00AE0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F93">
        <w:rPr>
          <w:rFonts w:ascii="Times New Roman" w:eastAsia="Times New Roman" w:hAnsi="Times New Roman" w:cs="Times New Roman"/>
          <w:sz w:val="24"/>
          <w:szCs w:val="24"/>
        </w:rPr>
        <w:t>Massachusetts Department of Public Health</w:t>
      </w:r>
    </w:p>
    <w:p w14:paraId="37341BC9" w14:textId="77777777" w:rsidR="00AE0F93" w:rsidRPr="00AE0F93" w:rsidRDefault="00AE0F93" w:rsidP="00AE0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F93">
        <w:rPr>
          <w:rFonts w:ascii="Times New Roman" w:eastAsia="Times New Roman" w:hAnsi="Times New Roman" w:cs="Times New Roman"/>
          <w:sz w:val="24"/>
          <w:szCs w:val="24"/>
        </w:rPr>
        <w:t>67 Forest Street</w:t>
      </w:r>
    </w:p>
    <w:p w14:paraId="651AD040" w14:textId="77777777" w:rsidR="00AE0F93" w:rsidRPr="00AE0F93" w:rsidRDefault="00AE0F93" w:rsidP="00AE0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F93">
        <w:rPr>
          <w:rFonts w:ascii="Times New Roman" w:eastAsia="Times New Roman" w:hAnsi="Times New Roman" w:cs="Times New Roman"/>
          <w:sz w:val="24"/>
          <w:szCs w:val="24"/>
        </w:rPr>
        <w:t>Marlborough, MA 01752</w:t>
      </w:r>
    </w:p>
    <w:p w14:paraId="50B4061C" w14:textId="77777777" w:rsidR="00AE0F93" w:rsidRPr="00AE0F93" w:rsidRDefault="00AE0F93" w:rsidP="00AE0F93">
      <w:pPr>
        <w:tabs>
          <w:tab w:val="left" w:pos="720"/>
          <w:tab w:val="left" w:pos="1440"/>
          <w:tab w:val="left" w:pos="4320"/>
          <w:tab w:val="left" w:pos="5040"/>
        </w:tabs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55B385D" w14:textId="14738910" w:rsidR="00AE0F93" w:rsidRPr="00AE0F93" w:rsidRDefault="00AE0F93" w:rsidP="00AE0F93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AE0F93">
        <w:rPr>
          <w:rFonts w:ascii="Times New Roman" w:eastAsia="Times New Roman" w:hAnsi="Times New Roman" w:cs="Times New Roman"/>
          <w:kern w:val="2"/>
          <w:sz w:val="24"/>
          <w:szCs w:val="24"/>
        </w:rPr>
        <w:t>Re:</w:t>
      </w:r>
      <w:r w:rsidRPr="00AE0F9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Anna Jaques Hospital</w:t>
      </w:r>
      <w:r w:rsidRPr="00AE0F93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 – Formal 90-Day Notice of Closure of Inpatient Pediatric Service </w:t>
      </w:r>
    </w:p>
    <w:p w14:paraId="2951D00D" w14:textId="2F5DDA9E" w:rsidR="00AE0F93" w:rsidRDefault="00AE0F93">
      <w:pPr>
        <w:rPr>
          <w:rFonts w:ascii="Times New Roman" w:hAnsi="Times New Roman" w:cs="Times New Roman"/>
          <w:sz w:val="24"/>
          <w:szCs w:val="24"/>
        </w:rPr>
      </w:pPr>
    </w:p>
    <w:p w14:paraId="3E98B4E4" w14:textId="07A8CA5F" w:rsidR="00AE0F93" w:rsidRDefault="00AE0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Attorney Lohnes:</w:t>
      </w:r>
    </w:p>
    <w:p w14:paraId="71684EFD" w14:textId="49AB2DC1" w:rsidR="00AE0F93" w:rsidRDefault="00AE0F93">
      <w:pPr>
        <w:rPr>
          <w:rFonts w:ascii="Times New Roman" w:hAnsi="Times New Roman" w:cs="Times New Roman"/>
          <w:sz w:val="24"/>
          <w:szCs w:val="24"/>
        </w:rPr>
      </w:pPr>
    </w:p>
    <w:p w14:paraId="016BC874" w14:textId="06E5CC81" w:rsidR="00471CCC" w:rsidRP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write on behalf of Anna Jaques Hospital, located at </w:t>
      </w:r>
      <w:r w:rsidR="003F15F5">
        <w:rPr>
          <w:rFonts w:ascii="Times New Roman" w:hAnsi="Times New Roman" w:cs="Times New Roman"/>
          <w:sz w:val="24"/>
          <w:szCs w:val="24"/>
        </w:rPr>
        <w:t>25 Highland Avenue, Newburyport, MA 01950</w:t>
      </w:r>
      <w:r>
        <w:rPr>
          <w:rFonts w:ascii="Times New Roman" w:hAnsi="Times New Roman" w:cs="Times New Roman"/>
          <w:sz w:val="24"/>
          <w:szCs w:val="24"/>
        </w:rPr>
        <w:t xml:space="preserve"> (the “Hospital”) </w:t>
      </w:r>
      <w:r w:rsidRPr="00471CCC">
        <w:rPr>
          <w:rFonts w:ascii="Times New Roman" w:hAnsi="Times New Roman" w:cs="Times New Roman"/>
          <w:sz w:val="24"/>
          <w:szCs w:val="24"/>
        </w:rPr>
        <w:t xml:space="preserve">in follow-up to the initial essential services closure notice that the </w:t>
      </w:r>
      <w:r w:rsidR="003F15F5">
        <w:rPr>
          <w:rFonts w:ascii="Times New Roman" w:hAnsi="Times New Roman" w:cs="Times New Roman"/>
          <w:sz w:val="24"/>
          <w:szCs w:val="24"/>
        </w:rPr>
        <w:t>Hospital</w:t>
      </w:r>
      <w:r w:rsidRPr="00471CCC">
        <w:rPr>
          <w:rFonts w:ascii="Times New Roman" w:hAnsi="Times New Roman" w:cs="Times New Roman"/>
          <w:sz w:val="24"/>
          <w:szCs w:val="24"/>
        </w:rPr>
        <w:t xml:space="preserve"> filed </w:t>
      </w:r>
      <w:r w:rsidR="00C93BA9">
        <w:rPr>
          <w:rFonts w:ascii="Times New Roman" w:hAnsi="Times New Roman" w:cs="Times New Roman"/>
          <w:sz w:val="24"/>
          <w:szCs w:val="24"/>
        </w:rPr>
        <w:t xml:space="preserve">on May 27, 2021 </w:t>
      </w:r>
      <w:r w:rsidRPr="00471CCC">
        <w:rPr>
          <w:rFonts w:ascii="Times New Roman" w:hAnsi="Times New Roman" w:cs="Times New Roman"/>
          <w:sz w:val="24"/>
          <w:szCs w:val="24"/>
        </w:rPr>
        <w:t xml:space="preserve">with the Department of Public Health (the “Department”) and the appropriate parties required by the Department’s regulations. Pursuant to 105 CMR 130.122(B), the </w:t>
      </w:r>
      <w:r>
        <w:rPr>
          <w:rFonts w:ascii="Times New Roman" w:hAnsi="Times New Roman" w:cs="Times New Roman"/>
          <w:sz w:val="24"/>
          <w:szCs w:val="24"/>
        </w:rPr>
        <w:t>Hospital</w:t>
      </w:r>
      <w:r w:rsidRPr="00471CCC">
        <w:rPr>
          <w:rFonts w:ascii="Times New Roman" w:hAnsi="Times New Roman" w:cs="Times New Roman"/>
          <w:sz w:val="24"/>
          <w:szCs w:val="24"/>
        </w:rPr>
        <w:t xml:space="preserve"> hereby provides </w:t>
      </w:r>
      <w:r w:rsidR="00C93BA9">
        <w:rPr>
          <w:rFonts w:ascii="Times New Roman" w:hAnsi="Times New Roman" w:cs="Times New Roman"/>
          <w:sz w:val="24"/>
          <w:szCs w:val="24"/>
        </w:rPr>
        <w:t>the required</w:t>
      </w:r>
      <w:r w:rsidRPr="00471CCC">
        <w:rPr>
          <w:rFonts w:ascii="Times New Roman" w:hAnsi="Times New Roman" w:cs="Times New Roman"/>
          <w:sz w:val="24"/>
          <w:szCs w:val="24"/>
        </w:rPr>
        <w:t xml:space="preserve"> ninety (90) day notice to the Department of its </w:t>
      </w:r>
      <w:r w:rsidR="00C93BA9">
        <w:rPr>
          <w:rFonts w:ascii="Times New Roman" w:hAnsi="Times New Roman" w:cs="Times New Roman"/>
          <w:sz w:val="24"/>
          <w:szCs w:val="24"/>
        </w:rPr>
        <w:t>intent</w:t>
      </w:r>
      <w:r w:rsidRPr="00471CCC">
        <w:rPr>
          <w:rFonts w:ascii="Times New Roman" w:hAnsi="Times New Roman" w:cs="Times New Roman"/>
          <w:sz w:val="24"/>
          <w:szCs w:val="24"/>
        </w:rPr>
        <w:t xml:space="preserve"> to discontinue operation of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D0076D">
        <w:rPr>
          <w:rFonts w:ascii="Times New Roman" w:hAnsi="Times New Roman" w:cs="Times New Roman"/>
          <w:sz w:val="24"/>
          <w:szCs w:val="24"/>
        </w:rPr>
        <w:t>s</w:t>
      </w:r>
      <w:r w:rsidR="003813A2">
        <w:rPr>
          <w:rFonts w:ascii="Times New Roman" w:hAnsi="Times New Roman" w:cs="Times New Roman"/>
          <w:sz w:val="24"/>
          <w:szCs w:val="24"/>
        </w:rPr>
        <w:t xml:space="preserve"> </w:t>
      </w:r>
      <w:r w:rsidRPr="00471CCC">
        <w:rPr>
          <w:rFonts w:ascii="Times New Roman" w:hAnsi="Times New Roman" w:cs="Times New Roman"/>
          <w:sz w:val="24"/>
          <w:szCs w:val="24"/>
        </w:rPr>
        <w:t xml:space="preserve">inpatient pediatric service, consisting of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71CCC">
        <w:rPr>
          <w:rFonts w:ascii="Times New Roman" w:hAnsi="Times New Roman" w:cs="Times New Roman"/>
          <w:sz w:val="24"/>
          <w:szCs w:val="24"/>
        </w:rPr>
        <w:t xml:space="preserve"> beds (“the Service”). We offer the following </w:t>
      </w:r>
      <w:r w:rsidR="00C93BA9">
        <w:rPr>
          <w:rFonts w:ascii="Times New Roman" w:hAnsi="Times New Roman" w:cs="Times New Roman"/>
          <w:sz w:val="24"/>
          <w:szCs w:val="24"/>
        </w:rPr>
        <w:t>information</w:t>
      </w:r>
      <w:r w:rsidRPr="00471CCC">
        <w:rPr>
          <w:rFonts w:ascii="Times New Roman" w:hAnsi="Times New Roman" w:cs="Times New Roman"/>
          <w:sz w:val="24"/>
          <w:szCs w:val="24"/>
        </w:rPr>
        <w:t>.</w:t>
      </w:r>
    </w:p>
    <w:p w14:paraId="2CE88FB8" w14:textId="77777777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5CD6E" w14:textId="47CB309D" w:rsidR="00471CCC" w:rsidRDefault="00D0076D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71CCC" w:rsidRPr="00471CCC">
        <w:rPr>
          <w:rFonts w:ascii="Times New Roman" w:hAnsi="Times New Roman" w:cs="Times New Roman"/>
          <w:sz w:val="24"/>
          <w:szCs w:val="24"/>
        </w:rPr>
        <w:t xml:space="preserve">he </w:t>
      </w:r>
      <w:r w:rsidR="00471CCC">
        <w:rPr>
          <w:rFonts w:ascii="Times New Roman" w:hAnsi="Times New Roman" w:cs="Times New Roman"/>
          <w:sz w:val="24"/>
          <w:szCs w:val="24"/>
        </w:rPr>
        <w:t>Hospital</w:t>
      </w:r>
      <w:r w:rsidR="00471CCC" w:rsidRPr="00471CCC">
        <w:rPr>
          <w:rFonts w:ascii="Times New Roman" w:hAnsi="Times New Roman" w:cs="Times New Roman"/>
          <w:sz w:val="24"/>
          <w:szCs w:val="24"/>
        </w:rPr>
        <w:t xml:space="preserve"> determined that the Service should be discontinued because of insufficient patient volume</w:t>
      </w:r>
      <w:r>
        <w:rPr>
          <w:rFonts w:ascii="Times New Roman" w:hAnsi="Times New Roman" w:cs="Times New Roman"/>
          <w:sz w:val="24"/>
          <w:szCs w:val="24"/>
        </w:rPr>
        <w:t xml:space="preserve"> over the last several years</w:t>
      </w:r>
      <w:r w:rsidR="00471CCC" w:rsidRPr="00471CCC">
        <w:rPr>
          <w:rFonts w:ascii="Times New Roman" w:hAnsi="Times New Roman" w:cs="Times New Roman"/>
          <w:sz w:val="24"/>
          <w:szCs w:val="24"/>
        </w:rPr>
        <w:t xml:space="preserve">, which is an indicator that </w:t>
      </w:r>
      <w:r w:rsidR="00C93BA9">
        <w:rPr>
          <w:rFonts w:ascii="Times New Roman" w:hAnsi="Times New Roman" w:cs="Times New Roman"/>
          <w:sz w:val="24"/>
          <w:szCs w:val="24"/>
        </w:rPr>
        <w:t xml:space="preserve">there is not adequate demand for </w:t>
      </w:r>
      <w:r w:rsidR="00471CCC" w:rsidRPr="00471CCC">
        <w:rPr>
          <w:rFonts w:ascii="Times New Roman" w:hAnsi="Times New Roman" w:cs="Times New Roman"/>
          <w:sz w:val="24"/>
          <w:szCs w:val="24"/>
        </w:rPr>
        <w:t>the Service</w:t>
      </w:r>
      <w:r w:rsidR="00C93BA9">
        <w:rPr>
          <w:rFonts w:ascii="Times New Roman" w:hAnsi="Times New Roman" w:cs="Times New Roman"/>
          <w:sz w:val="24"/>
          <w:szCs w:val="24"/>
        </w:rPr>
        <w:t xml:space="preserve">. In compliance with </w:t>
      </w:r>
      <w:r w:rsidR="00C93BA9" w:rsidRPr="00C93BA9">
        <w:rPr>
          <w:rFonts w:ascii="Times New Roman" w:hAnsi="Times New Roman" w:cs="Times New Roman"/>
          <w:sz w:val="24"/>
          <w:szCs w:val="24"/>
        </w:rPr>
        <w:t>105 CMR 130</w:t>
      </w:r>
      <w:r w:rsidR="00BF264E">
        <w:rPr>
          <w:rFonts w:ascii="Times New Roman" w:hAnsi="Times New Roman" w:cs="Times New Roman"/>
          <w:sz w:val="24"/>
          <w:szCs w:val="24"/>
        </w:rPr>
        <w:t>.122(B),</w:t>
      </w:r>
      <w:r w:rsidR="00C93BA9">
        <w:rPr>
          <w:rFonts w:ascii="Times New Roman" w:hAnsi="Times New Roman" w:cs="Times New Roman"/>
          <w:sz w:val="24"/>
          <w:szCs w:val="24"/>
        </w:rPr>
        <w:t xml:space="preserve"> t</w:t>
      </w:r>
      <w:r w:rsidR="00471CCC" w:rsidRPr="00471CCC">
        <w:rPr>
          <w:rFonts w:ascii="Times New Roman" w:hAnsi="Times New Roman" w:cs="Times New Roman"/>
          <w:sz w:val="24"/>
          <w:szCs w:val="24"/>
        </w:rPr>
        <w:t xml:space="preserve">he following information regarding the discontinuation is provided for </w:t>
      </w:r>
      <w:r w:rsidR="00C93BA9">
        <w:rPr>
          <w:rFonts w:ascii="Times New Roman" w:hAnsi="Times New Roman" w:cs="Times New Roman"/>
          <w:sz w:val="24"/>
          <w:szCs w:val="24"/>
        </w:rPr>
        <w:t>the Department’s</w:t>
      </w:r>
      <w:r w:rsidR="00471CCC" w:rsidRPr="00471CCC">
        <w:rPr>
          <w:rFonts w:ascii="Times New Roman" w:hAnsi="Times New Roman" w:cs="Times New Roman"/>
          <w:sz w:val="24"/>
          <w:szCs w:val="24"/>
        </w:rPr>
        <w:t xml:space="preserve"> review. </w:t>
      </w:r>
    </w:p>
    <w:p w14:paraId="5E7EDB7E" w14:textId="43B75015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81144" w14:textId="412AEB10" w:rsidR="00471CCC" w:rsidRDefault="00471CCC" w:rsidP="00471C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  <w:u w:val="single"/>
        </w:rPr>
        <w:t>Current Utilization Rates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076D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BF264E">
        <w:rPr>
          <w:rFonts w:ascii="Times New Roman" w:hAnsi="Times New Roman" w:cs="Times New Roman"/>
          <w:sz w:val="24"/>
          <w:szCs w:val="24"/>
        </w:rPr>
        <w:t xml:space="preserve">table details </w:t>
      </w:r>
      <w:r w:rsidR="00D0076D">
        <w:rPr>
          <w:rFonts w:ascii="Times New Roman" w:hAnsi="Times New Roman" w:cs="Times New Roman"/>
          <w:sz w:val="24"/>
          <w:szCs w:val="24"/>
        </w:rPr>
        <w:t xml:space="preserve">the Service </w:t>
      </w:r>
      <w:r w:rsidR="00BF264E">
        <w:rPr>
          <w:rFonts w:ascii="Times New Roman" w:hAnsi="Times New Roman" w:cs="Times New Roman"/>
          <w:sz w:val="24"/>
          <w:szCs w:val="24"/>
        </w:rPr>
        <w:t>for</w:t>
      </w:r>
      <w:r w:rsidR="00D0076D">
        <w:rPr>
          <w:rFonts w:ascii="Times New Roman" w:hAnsi="Times New Roman" w:cs="Times New Roman"/>
          <w:sz w:val="24"/>
          <w:szCs w:val="24"/>
        </w:rPr>
        <w:t xml:space="preserve"> the last three </w:t>
      </w:r>
      <w:r w:rsidR="00D67574">
        <w:rPr>
          <w:rFonts w:ascii="Times New Roman" w:hAnsi="Times New Roman" w:cs="Times New Roman"/>
          <w:sz w:val="24"/>
          <w:szCs w:val="24"/>
        </w:rPr>
        <w:t xml:space="preserve">fiscal </w:t>
      </w:r>
      <w:r w:rsidR="00D0076D">
        <w:rPr>
          <w:rFonts w:ascii="Times New Roman" w:hAnsi="Times New Roman" w:cs="Times New Roman"/>
          <w:sz w:val="24"/>
          <w:szCs w:val="24"/>
        </w:rPr>
        <w:t>years</w:t>
      </w:r>
      <w:r w:rsidR="00D67574">
        <w:rPr>
          <w:rFonts w:ascii="Times New Roman" w:hAnsi="Times New Roman" w:cs="Times New Roman"/>
          <w:sz w:val="24"/>
          <w:szCs w:val="24"/>
        </w:rPr>
        <w:t xml:space="preserve"> (“FY”)</w:t>
      </w:r>
      <w:r w:rsidR="00D0076D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BF264E">
        <w:rPr>
          <w:rFonts w:ascii="Times New Roman" w:hAnsi="Times New Roman" w:cs="Times New Roman"/>
          <w:sz w:val="24"/>
          <w:szCs w:val="24"/>
        </w:rPr>
        <w:t>FY21 through May.</w:t>
      </w:r>
      <w:r w:rsidR="00D00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B8470" w14:textId="4A64BB3E" w:rsidR="00D0076D" w:rsidRDefault="00D0076D" w:rsidP="00D0076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1416"/>
        <w:gridCol w:w="1416"/>
        <w:gridCol w:w="1416"/>
        <w:gridCol w:w="1597"/>
      </w:tblGrid>
      <w:tr w:rsidR="00D0076D" w14:paraId="4EA80DF4" w14:textId="77777777" w:rsidTr="00ED5B80">
        <w:tc>
          <w:tcPr>
            <w:tcW w:w="3145" w:type="dxa"/>
          </w:tcPr>
          <w:p w14:paraId="61BB4357" w14:textId="0900A44D" w:rsidR="00D0076D" w:rsidRPr="00D67574" w:rsidRDefault="00D0076D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AJH Pediatric Service</w:t>
            </w:r>
          </w:p>
        </w:tc>
        <w:tc>
          <w:tcPr>
            <w:tcW w:w="1416" w:type="dxa"/>
          </w:tcPr>
          <w:p w14:paraId="681356B1" w14:textId="4B43F801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FY18</w:t>
            </w:r>
          </w:p>
        </w:tc>
        <w:tc>
          <w:tcPr>
            <w:tcW w:w="1416" w:type="dxa"/>
          </w:tcPr>
          <w:p w14:paraId="48F1A854" w14:textId="1E6FD2E2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FY19</w:t>
            </w:r>
          </w:p>
        </w:tc>
        <w:tc>
          <w:tcPr>
            <w:tcW w:w="1416" w:type="dxa"/>
          </w:tcPr>
          <w:p w14:paraId="79D38B29" w14:textId="04C0F8FB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FY20</w:t>
            </w:r>
          </w:p>
        </w:tc>
        <w:tc>
          <w:tcPr>
            <w:tcW w:w="1597" w:type="dxa"/>
          </w:tcPr>
          <w:p w14:paraId="438E8C45" w14:textId="0BBB47D7" w:rsidR="00D0076D" w:rsidRPr="00D67574" w:rsidRDefault="00BF264E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FY21</w:t>
            </w:r>
            <w:r w:rsidR="00D67574"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through</w:t>
            </w:r>
            <w:r w:rsid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7574" w:rsidRPr="00D6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  <w:r w:rsidR="00B25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67574" w14:paraId="0DEEF4C4" w14:textId="77777777" w:rsidTr="00ED5B80">
        <w:tc>
          <w:tcPr>
            <w:tcW w:w="3145" w:type="dxa"/>
          </w:tcPr>
          <w:p w14:paraId="1D6B6969" w14:textId="1F3898FE" w:rsidR="00D67574" w:rsidRPr="00D67574" w:rsidRDefault="00D67574" w:rsidP="00D675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Number of Pedi</w:t>
            </w:r>
            <w:r w:rsidR="00ED5B80">
              <w:rPr>
                <w:rFonts w:ascii="Times New Roman" w:hAnsi="Times New Roman" w:cs="Times New Roman"/>
                <w:sz w:val="24"/>
                <w:szCs w:val="24"/>
              </w:rPr>
              <w:t>atric</w:t>
            </w: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 xml:space="preserve"> Patients</w:t>
            </w:r>
          </w:p>
        </w:tc>
        <w:tc>
          <w:tcPr>
            <w:tcW w:w="1416" w:type="dxa"/>
          </w:tcPr>
          <w:p w14:paraId="3CB7B224" w14:textId="40C9DA0A" w:rsidR="00D67574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14:paraId="6E39F67A" w14:textId="187E2F36" w:rsidR="00D67574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</w:tcPr>
          <w:p w14:paraId="40B199A3" w14:textId="00B64028" w:rsidR="00D67574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7" w:type="dxa"/>
          </w:tcPr>
          <w:p w14:paraId="785FCAAB" w14:textId="13A363D3" w:rsidR="00D67574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76D" w14:paraId="34634D11" w14:textId="77777777" w:rsidTr="00ED5B80">
        <w:tc>
          <w:tcPr>
            <w:tcW w:w="3145" w:type="dxa"/>
          </w:tcPr>
          <w:p w14:paraId="202C3025" w14:textId="303B23E6" w:rsidR="00D0076D" w:rsidRPr="00D67574" w:rsidRDefault="003813A2" w:rsidP="00D675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r w:rsidR="00ED5B80">
              <w:rPr>
                <w:rFonts w:ascii="Times New Roman" w:hAnsi="Times New Roman" w:cs="Times New Roman"/>
                <w:sz w:val="24"/>
                <w:szCs w:val="24"/>
              </w:rPr>
              <w:t>atric</w:t>
            </w: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 xml:space="preserve"> Unit Patient Days</w:t>
            </w:r>
          </w:p>
        </w:tc>
        <w:tc>
          <w:tcPr>
            <w:tcW w:w="1416" w:type="dxa"/>
          </w:tcPr>
          <w:p w14:paraId="5A3FC180" w14:textId="13262DB4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14:paraId="5AEF1EF8" w14:textId="2B513948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14:paraId="2283F746" w14:textId="7460511E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7" w:type="dxa"/>
          </w:tcPr>
          <w:p w14:paraId="3BB1F07A" w14:textId="7E394394" w:rsidR="00D0076D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13A2" w14:paraId="261153C0" w14:textId="77777777" w:rsidTr="00ED5B80">
        <w:tc>
          <w:tcPr>
            <w:tcW w:w="3145" w:type="dxa"/>
          </w:tcPr>
          <w:p w14:paraId="6090495C" w14:textId="5B9AACF1" w:rsidR="003813A2" w:rsidRPr="00D67574" w:rsidRDefault="003813A2" w:rsidP="00D675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Pedi</w:t>
            </w:r>
            <w:r w:rsidR="00ED5B80">
              <w:rPr>
                <w:rFonts w:ascii="Times New Roman" w:hAnsi="Times New Roman" w:cs="Times New Roman"/>
                <w:sz w:val="24"/>
                <w:szCs w:val="24"/>
              </w:rPr>
              <w:t xml:space="preserve">atric </w:t>
            </w:r>
            <w:r w:rsidRPr="00D67574">
              <w:rPr>
                <w:rFonts w:ascii="Times New Roman" w:hAnsi="Times New Roman" w:cs="Times New Roman"/>
                <w:sz w:val="24"/>
                <w:szCs w:val="24"/>
              </w:rPr>
              <w:t>Unit Average Daily Census</w:t>
            </w:r>
          </w:p>
        </w:tc>
        <w:tc>
          <w:tcPr>
            <w:tcW w:w="1416" w:type="dxa"/>
          </w:tcPr>
          <w:p w14:paraId="1A5B3381" w14:textId="05970D49" w:rsidR="003813A2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16" w:type="dxa"/>
          </w:tcPr>
          <w:p w14:paraId="37D3909D" w14:textId="4C61CA47" w:rsidR="003813A2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16" w:type="dxa"/>
          </w:tcPr>
          <w:p w14:paraId="4A5FAC14" w14:textId="256A7BEE" w:rsidR="003813A2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97" w:type="dxa"/>
          </w:tcPr>
          <w:p w14:paraId="53595B53" w14:textId="7581C8BA" w:rsidR="003813A2" w:rsidRPr="00D67574" w:rsidRDefault="00D67574" w:rsidP="00D6757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</w:tbl>
    <w:p w14:paraId="15700B6C" w14:textId="0672F62B" w:rsidR="00D0076D" w:rsidRDefault="00D0076D" w:rsidP="00D0076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5A917D" w14:textId="6C46A061" w:rsidR="00D0076D" w:rsidRDefault="00D0076D" w:rsidP="00D0076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illustrated in the table above, the Hospital’s inpatient pediatric unit has experienced a low Average Daily Census (“ADC”) over the past three years</w:t>
      </w:r>
      <w:r w:rsidR="0051751E">
        <w:rPr>
          <w:rFonts w:ascii="Times New Roman" w:hAnsi="Times New Roman" w:cs="Times New Roman"/>
          <w:sz w:val="24"/>
          <w:szCs w:val="24"/>
        </w:rPr>
        <w:t xml:space="preserve"> and year to date</w:t>
      </w:r>
      <w:r w:rsidR="00ED5B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with less than one patient per </w:t>
      </w:r>
      <w:r w:rsidR="00CC29F6">
        <w:rPr>
          <w:rFonts w:ascii="Times New Roman" w:hAnsi="Times New Roman" w:cs="Times New Roman"/>
          <w:sz w:val="24"/>
          <w:szCs w:val="24"/>
        </w:rPr>
        <w:t>week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7574">
        <w:rPr>
          <w:rFonts w:ascii="Times New Roman" w:hAnsi="Times New Roman" w:cs="Times New Roman"/>
          <w:sz w:val="24"/>
          <w:szCs w:val="24"/>
        </w:rPr>
        <w:t xml:space="preserve">In FY21 through May, the Hospital </w:t>
      </w:r>
      <w:r w:rsidR="00BF264E">
        <w:rPr>
          <w:rFonts w:ascii="Times New Roman" w:hAnsi="Times New Roman" w:cs="Times New Roman"/>
          <w:sz w:val="24"/>
          <w:szCs w:val="24"/>
        </w:rPr>
        <w:t>had</w:t>
      </w:r>
      <w:r w:rsidR="00D67574">
        <w:rPr>
          <w:rFonts w:ascii="Times New Roman" w:hAnsi="Times New Roman" w:cs="Times New Roman"/>
          <w:sz w:val="24"/>
          <w:szCs w:val="24"/>
        </w:rPr>
        <w:t xml:space="preserve"> one pediatric </w:t>
      </w:r>
      <w:r w:rsidR="00BF264E">
        <w:rPr>
          <w:rFonts w:ascii="Times New Roman" w:hAnsi="Times New Roman" w:cs="Times New Roman"/>
          <w:sz w:val="24"/>
          <w:szCs w:val="24"/>
        </w:rPr>
        <w:t>in</w:t>
      </w:r>
      <w:r w:rsidR="00D67574">
        <w:rPr>
          <w:rFonts w:ascii="Times New Roman" w:hAnsi="Times New Roman" w:cs="Times New Roman"/>
          <w:sz w:val="24"/>
          <w:szCs w:val="24"/>
        </w:rPr>
        <w:t>patient</w:t>
      </w:r>
      <w:r w:rsidR="00BF264E">
        <w:rPr>
          <w:rFonts w:ascii="Times New Roman" w:hAnsi="Times New Roman" w:cs="Times New Roman"/>
          <w:sz w:val="24"/>
          <w:szCs w:val="24"/>
        </w:rPr>
        <w:t xml:space="preserve"> admitted to </w:t>
      </w:r>
      <w:r w:rsidR="00BF264E">
        <w:rPr>
          <w:rFonts w:ascii="Times New Roman" w:hAnsi="Times New Roman" w:cs="Times New Roman"/>
          <w:sz w:val="24"/>
          <w:szCs w:val="24"/>
        </w:rPr>
        <w:lastRenderedPageBreak/>
        <w:t>the Service</w:t>
      </w:r>
      <w:r w:rsidR="00D675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D67574">
        <w:rPr>
          <w:rFonts w:ascii="Times New Roman" w:hAnsi="Times New Roman" w:cs="Times New Roman"/>
          <w:sz w:val="24"/>
          <w:szCs w:val="24"/>
        </w:rPr>
        <w:t xml:space="preserve">continued </w:t>
      </w:r>
      <w:r>
        <w:rPr>
          <w:rFonts w:ascii="Times New Roman" w:hAnsi="Times New Roman" w:cs="Times New Roman"/>
          <w:sz w:val="24"/>
          <w:szCs w:val="24"/>
        </w:rPr>
        <w:t xml:space="preserve">low ADC is evidence that there is insufficient demand </w:t>
      </w:r>
      <w:r w:rsidR="00BF264E">
        <w:rPr>
          <w:rFonts w:ascii="Times New Roman" w:hAnsi="Times New Roman" w:cs="Times New Roman"/>
          <w:sz w:val="24"/>
          <w:szCs w:val="24"/>
        </w:rPr>
        <w:t>to continue to operate</w:t>
      </w:r>
      <w:r>
        <w:rPr>
          <w:rFonts w:ascii="Times New Roman" w:hAnsi="Times New Roman" w:cs="Times New Roman"/>
          <w:sz w:val="24"/>
          <w:szCs w:val="24"/>
        </w:rPr>
        <w:t xml:space="preserve"> the Service at the Hospital</w:t>
      </w:r>
      <w:r w:rsidR="00BF264E">
        <w:rPr>
          <w:rFonts w:ascii="Times New Roman" w:hAnsi="Times New Roman" w:cs="Times New Roman"/>
          <w:sz w:val="24"/>
          <w:szCs w:val="24"/>
        </w:rPr>
        <w:t xml:space="preserve"> in an efficient manner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B88F5" w14:textId="77777777" w:rsidR="00D0076D" w:rsidRDefault="00D0076D" w:rsidP="00D0076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655919" w14:textId="19E43974" w:rsidR="003813A2" w:rsidRDefault="00471CCC" w:rsidP="00471C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  <w:u w:val="single"/>
        </w:rPr>
        <w:t>Impact of Discontinuance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7574">
        <w:rPr>
          <w:rFonts w:ascii="Times New Roman" w:hAnsi="Times New Roman" w:cs="Times New Roman"/>
          <w:sz w:val="24"/>
          <w:szCs w:val="24"/>
        </w:rPr>
        <w:t xml:space="preserve"> The Hospital does not anticipate a negative impact on patient access following </w:t>
      </w:r>
      <w:r w:rsidR="00113067">
        <w:rPr>
          <w:rFonts w:ascii="Times New Roman" w:hAnsi="Times New Roman" w:cs="Times New Roman"/>
          <w:sz w:val="24"/>
          <w:szCs w:val="24"/>
        </w:rPr>
        <w:t xml:space="preserve">the </w:t>
      </w:r>
      <w:r w:rsidR="00D67574">
        <w:rPr>
          <w:rFonts w:ascii="Times New Roman" w:hAnsi="Times New Roman" w:cs="Times New Roman"/>
          <w:sz w:val="24"/>
          <w:szCs w:val="24"/>
        </w:rPr>
        <w:t>closure of th</w:t>
      </w:r>
      <w:r w:rsidR="00113067">
        <w:rPr>
          <w:rFonts w:ascii="Times New Roman" w:hAnsi="Times New Roman" w:cs="Times New Roman"/>
          <w:sz w:val="24"/>
          <w:szCs w:val="24"/>
        </w:rPr>
        <w:t>e</w:t>
      </w:r>
      <w:r w:rsidR="00D67574">
        <w:rPr>
          <w:rFonts w:ascii="Times New Roman" w:hAnsi="Times New Roman" w:cs="Times New Roman"/>
          <w:sz w:val="24"/>
          <w:szCs w:val="24"/>
        </w:rPr>
        <w:t xml:space="preserve"> Service. </w:t>
      </w:r>
      <w:r w:rsidR="00A30D6F">
        <w:rPr>
          <w:rFonts w:ascii="Times New Roman" w:hAnsi="Times New Roman" w:cs="Times New Roman"/>
          <w:sz w:val="24"/>
          <w:szCs w:val="24"/>
        </w:rPr>
        <w:t>In recent years, p</w:t>
      </w:r>
      <w:r w:rsidR="00D67574">
        <w:rPr>
          <w:rFonts w:ascii="Times New Roman" w:hAnsi="Times New Roman" w:cs="Times New Roman"/>
          <w:sz w:val="24"/>
          <w:szCs w:val="24"/>
        </w:rPr>
        <w:t xml:space="preserve">ediatric </w:t>
      </w:r>
      <w:r w:rsidR="00A30D6F">
        <w:rPr>
          <w:rFonts w:ascii="Times New Roman" w:hAnsi="Times New Roman" w:cs="Times New Roman"/>
          <w:sz w:val="24"/>
          <w:szCs w:val="24"/>
        </w:rPr>
        <w:t xml:space="preserve">care has largely migrated to outpatient service providers. As a result, community hospitals experience lower pediatric </w:t>
      </w:r>
      <w:r w:rsidR="00113067">
        <w:rPr>
          <w:rFonts w:ascii="Times New Roman" w:hAnsi="Times New Roman" w:cs="Times New Roman"/>
          <w:sz w:val="24"/>
          <w:szCs w:val="24"/>
        </w:rPr>
        <w:t>in</w:t>
      </w:r>
      <w:r w:rsidR="00A30D6F">
        <w:rPr>
          <w:rFonts w:ascii="Times New Roman" w:hAnsi="Times New Roman" w:cs="Times New Roman"/>
          <w:sz w:val="24"/>
          <w:szCs w:val="24"/>
        </w:rPr>
        <w:t>patient volume and are largely providing treatment for short-</w:t>
      </w:r>
      <w:r w:rsidR="00113067">
        <w:rPr>
          <w:rFonts w:ascii="Times New Roman" w:hAnsi="Times New Roman" w:cs="Times New Roman"/>
          <w:sz w:val="24"/>
          <w:szCs w:val="24"/>
        </w:rPr>
        <w:t>stay</w:t>
      </w:r>
      <w:r w:rsidR="00A30D6F">
        <w:rPr>
          <w:rFonts w:ascii="Times New Roman" w:hAnsi="Times New Roman" w:cs="Times New Roman"/>
          <w:sz w:val="24"/>
          <w:szCs w:val="24"/>
        </w:rPr>
        <w:t xml:space="preserve"> pediatric </w:t>
      </w:r>
      <w:r w:rsidR="00113067">
        <w:rPr>
          <w:rFonts w:ascii="Times New Roman" w:hAnsi="Times New Roman" w:cs="Times New Roman"/>
          <w:sz w:val="24"/>
          <w:szCs w:val="24"/>
        </w:rPr>
        <w:t>admissions</w:t>
      </w:r>
      <w:r w:rsidR="00A30D6F">
        <w:rPr>
          <w:rFonts w:ascii="Times New Roman" w:hAnsi="Times New Roman" w:cs="Times New Roman"/>
          <w:sz w:val="24"/>
          <w:szCs w:val="24"/>
        </w:rPr>
        <w:t xml:space="preserve">. Following the closure of the Service, patients will continue to have access to several nearby community hospitals for inpatient pediatric services. Moreover, pediatric patients presenting with </w:t>
      </w:r>
      <w:r w:rsidR="00B253B1">
        <w:rPr>
          <w:rFonts w:ascii="Times New Roman" w:hAnsi="Times New Roman" w:cs="Times New Roman"/>
          <w:sz w:val="24"/>
          <w:szCs w:val="24"/>
        </w:rPr>
        <w:t>higher acuity needs</w:t>
      </w:r>
      <w:r w:rsidR="00A30D6F">
        <w:rPr>
          <w:rFonts w:ascii="Times New Roman" w:hAnsi="Times New Roman" w:cs="Times New Roman"/>
          <w:sz w:val="24"/>
          <w:szCs w:val="24"/>
        </w:rPr>
        <w:t xml:space="preserve"> </w:t>
      </w:r>
      <w:r w:rsidR="00113067">
        <w:rPr>
          <w:rFonts w:ascii="Times New Roman" w:hAnsi="Times New Roman" w:cs="Times New Roman"/>
          <w:sz w:val="24"/>
          <w:szCs w:val="24"/>
        </w:rPr>
        <w:t>will continue to be transferred to tertiary hospitals consistent with current practice</w:t>
      </w:r>
      <w:r w:rsidR="00A30D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BF171" w14:textId="71E9977C" w:rsidR="00471CCC" w:rsidRDefault="00471CCC" w:rsidP="003813A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38B4C" w14:textId="0179F7E2" w:rsidR="00471CCC" w:rsidRDefault="00471CCC" w:rsidP="00471C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  <w:u w:val="single"/>
        </w:rPr>
        <w:t>Date Set of Discontinuance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3067">
        <w:rPr>
          <w:rFonts w:ascii="Times New Roman" w:hAnsi="Times New Roman" w:cs="Times New Roman"/>
          <w:sz w:val="24"/>
          <w:szCs w:val="24"/>
        </w:rPr>
        <w:t>This n</w:t>
      </w:r>
      <w:r w:rsidR="00A30D6F">
        <w:rPr>
          <w:rFonts w:ascii="Times New Roman" w:hAnsi="Times New Roman" w:cs="Times New Roman"/>
          <w:sz w:val="24"/>
          <w:szCs w:val="24"/>
        </w:rPr>
        <w:t>inety (90) day notice is hereby provided for a target closure date of</w:t>
      </w:r>
      <w:r w:rsidR="003813A2">
        <w:rPr>
          <w:rFonts w:ascii="Times New Roman" w:hAnsi="Times New Roman" w:cs="Times New Roman"/>
          <w:sz w:val="24"/>
          <w:szCs w:val="24"/>
        </w:rPr>
        <w:t xml:space="preserve"> September 24, 2021.</w:t>
      </w:r>
    </w:p>
    <w:p w14:paraId="64C91E75" w14:textId="77777777" w:rsidR="00D67574" w:rsidRDefault="00D67574" w:rsidP="00D6757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9D04BE" w14:textId="6AEBFA8C" w:rsidR="00471CCC" w:rsidRDefault="00471CCC" w:rsidP="00471C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  <w:u w:val="single"/>
        </w:rPr>
        <w:t>Health Care Coalitions and Community Groups</w:t>
      </w:r>
      <w:r w:rsidRPr="00242C82">
        <w:rPr>
          <w:rFonts w:ascii="Times New Roman" w:hAnsi="Times New Roman" w:cs="Times New Roman"/>
          <w:sz w:val="24"/>
          <w:szCs w:val="24"/>
        </w:rPr>
        <w:t xml:space="preserve">. </w:t>
      </w:r>
      <w:r w:rsidR="00242C82" w:rsidRPr="00242C82">
        <w:rPr>
          <w:rFonts w:ascii="Times New Roman" w:hAnsi="Times New Roman" w:cs="Times New Roman"/>
          <w:sz w:val="24"/>
          <w:szCs w:val="24"/>
        </w:rPr>
        <w:t xml:space="preserve">The </w:t>
      </w:r>
      <w:r w:rsidR="00ED5B80">
        <w:rPr>
          <w:rFonts w:ascii="Times New Roman" w:hAnsi="Times New Roman" w:cs="Times New Roman"/>
          <w:sz w:val="24"/>
          <w:szCs w:val="24"/>
        </w:rPr>
        <w:t>Hospital</w:t>
      </w:r>
      <w:r w:rsidR="00242C82" w:rsidRPr="00242C82">
        <w:rPr>
          <w:rFonts w:ascii="Times New Roman" w:hAnsi="Times New Roman" w:cs="Times New Roman"/>
          <w:sz w:val="24"/>
          <w:szCs w:val="24"/>
        </w:rPr>
        <w:t xml:space="preserve"> anticipates that the following community group may have an interest in the discontinuation of the Service</w:t>
      </w:r>
      <w:r w:rsidR="00242C82">
        <w:rPr>
          <w:rFonts w:ascii="Times New Roman" w:hAnsi="Times New Roman" w:cs="Times New Roman"/>
          <w:sz w:val="24"/>
          <w:szCs w:val="24"/>
        </w:rPr>
        <w:t>:</w:t>
      </w:r>
    </w:p>
    <w:p w14:paraId="1ECDC911" w14:textId="57A74BB2" w:rsidR="00242C82" w:rsidRDefault="00242C82" w:rsidP="00242C8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0FC02F" w14:textId="236651DC" w:rsidR="00242C82" w:rsidRPr="00113067" w:rsidRDefault="00B253B1" w:rsidP="0011306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13067">
        <w:rPr>
          <w:rFonts w:ascii="Times New Roman" w:hAnsi="Times New Roman" w:cs="Times New Roman"/>
          <w:sz w:val="24"/>
          <w:szCs w:val="24"/>
        </w:rPr>
        <w:t>Newburyport Youth Services</w:t>
      </w:r>
      <w:r w:rsidRPr="00113067">
        <w:rPr>
          <w:rFonts w:ascii="Times New Roman" w:hAnsi="Times New Roman" w:cs="Times New Roman"/>
          <w:sz w:val="24"/>
          <w:szCs w:val="24"/>
        </w:rPr>
        <w:tab/>
      </w:r>
      <w:r w:rsidRPr="00113067">
        <w:rPr>
          <w:rFonts w:ascii="Times New Roman" w:hAnsi="Times New Roman" w:cs="Times New Roman"/>
          <w:sz w:val="24"/>
          <w:szCs w:val="24"/>
        </w:rPr>
        <w:br/>
        <w:t>40 Milk Street</w:t>
      </w:r>
    </w:p>
    <w:p w14:paraId="275F2C41" w14:textId="4E43B420" w:rsidR="00B253B1" w:rsidRDefault="00B253B1" w:rsidP="00B253B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Newburyport, MA 01950</w:t>
      </w:r>
    </w:p>
    <w:p w14:paraId="63B53CEC" w14:textId="267FC55F" w:rsidR="00B253B1" w:rsidRPr="00B253B1" w:rsidRDefault="00B253B1" w:rsidP="00B253B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978-465-4434</w:t>
      </w:r>
    </w:p>
    <w:p w14:paraId="16620053" w14:textId="2A386FC3" w:rsidR="00B253B1" w:rsidRPr="00242C82" w:rsidRDefault="00B253B1" w:rsidP="00B253B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Andi Egmont, Director</w:t>
      </w:r>
    </w:p>
    <w:p w14:paraId="7A224295" w14:textId="77777777" w:rsidR="00D67574" w:rsidRPr="00471CCC" w:rsidRDefault="00D67574" w:rsidP="00D6757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3CFC74" w14:textId="766D75EE" w:rsidR="00471CCC" w:rsidRDefault="00471CCC" w:rsidP="00471C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  <w:u w:val="single"/>
        </w:rPr>
        <w:t>Community Engagement and Planning Activities Prior to the Notice of Closure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53B1">
        <w:rPr>
          <w:rFonts w:ascii="Times New Roman" w:hAnsi="Times New Roman" w:cs="Times New Roman"/>
          <w:sz w:val="24"/>
          <w:szCs w:val="24"/>
        </w:rPr>
        <w:t>The Hospital has undertaken the following community engagement and planning activities</w:t>
      </w:r>
      <w:r w:rsidR="00113067">
        <w:rPr>
          <w:rFonts w:ascii="Times New Roman" w:hAnsi="Times New Roman" w:cs="Times New Roman"/>
          <w:sz w:val="24"/>
          <w:szCs w:val="24"/>
        </w:rPr>
        <w:t xml:space="preserve"> with respect to the planned closure</w:t>
      </w:r>
      <w:r w:rsidR="00B253B1">
        <w:rPr>
          <w:rFonts w:ascii="Times New Roman" w:hAnsi="Times New Roman" w:cs="Times New Roman"/>
          <w:sz w:val="24"/>
          <w:szCs w:val="24"/>
        </w:rPr>
        <w:t>:</w:t>
      </w:r>
    </w:p>
    <w:p w14:paraId="0234D0CF" w14:textId="3F3B3F3C" w:rsidR="00B253B1" w:rsidRDefault="00B253B1" w:rsidP="00B253B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F5B6D1" w14:textId="42D2004E" w:rsidR="00B253B1" w:rsidRDefault="00B253B1" w:rsidP="00B253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1F14FB">
        <w:rPr>
          <w:rFonts w:ascii="Times New Roman" w:hAnsi="Times New Roman" w:cs="Times New Roman"/>
          <w:sz w:val="24"/>
          <w:szCs w:val="24"/>
        </w:rPr>
        <w:t>25-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14F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2021 </w:t>
      </w:r>
      <w:r w:rsidR="001F14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4FB">
        <w:rPr>
          <w:rFonts w:ascii="Times New Roman" w:hAnsi="Times New Roman" w:cs="Times New Roman"/>
          <w:sz w:val="24"/>
          <w:szCs w:val="24"/>
        </w:rPr>
        <w:t xml:space="preserve">Communicated with state and local representatives and officials, including Senator </w:t>
      </w:r>
      <w:r w:rsidR="00ED5B80">
        <w:rPr>
          <w:rFonts w:ascii="Times New Roman" w:hAnsi="Times New Roman" w:cs="Times New Roman"/>
          <w:sz w:val="24"/>
          <w:szCs w:val="24"/>
        </w:rPr>
        <w:t xml:space="preserve">Diana </w:t>
      </w:r>
      <w:r w:rsidR="001F14FB">
        <w:rPr>
          <w:rFonts w:ascii="Times New Roman" w:hAnsi="Times New Roman" w:cs="Times New Roman"/>
          <w:sz w:val="24"/>
          <w:szCs w:val="24"/>
        </w:rPr>
        <w:t xml:space="preserve">DiZoglio, Representative James Kelcourse, </w:t>
      </w:r>
      <w:r w:rsidR="00817F65">
        <w:rPr>
          <w:rFonts w:ascii="Times New Roman" w:hAnsi="Times New Roman" w:cs="Times New Roman"/>
          <w:sz w:val="24"/>
          <w:szCs w:val="24"/>
        </w:rPr>
        <w:t xml:space="preserve">Representative Lenny Mira, </w:t>
      </w:r>
      <w:r w:rsidR="001F14FB">
        <w:rPr>
          <w:rFonts w:ascii="Times New Roman" w:hAnsi="Times New Roman" w:cs="Times New Roman"/>
          <w:sz w:val="24"/>
          <w:szCs w:val="24"/>
        </w:rPr>
        <w:t>Mayor Donna Holaday</w:t>
      </w:r>
      <w:r w:rsidR="00817F65">
        <w:rPr>
          <w:rFonts w:ascii="Times New Roman" w:hAnsi="Times New Roman" w:cs="Times New Roman"/>
          <w:sz w:val="24"/>
          <w:szCs w:val="24"/>
        </w:rPr>
        <w:t xml:space="preserve"> (Newburyport)</w:t>
      </w:r>
      <w:r w:rsidR="001F14FB">
        <w:rPr>
          <w:rFonts w:ascii="Times New Roman" w:hAnsi="Times New Roman" w:cs="Times New Roman"/>
          <w:sz w:val="24"/>
          <w:szCs w:val="24"/>
        </w:rPr>
        <w:t>, Mayor Kassandra Gove</w:t>
      </w:r>
      <w:r w:rsidR="00817F65">
        <w:rPr>
          <w:rFonts w:ascii="Times New Roman" w:hAnsi="Times New Roman" w:cs="Times New Roman"/>
          <w:sz w:val="24"/>
          <w:szCs w:val="24"/>
        </w:rPr>
        <w:t xml:space="preserve"> (Amesbury), Town Manager Neil Harrington (Salisbury), and Newburyport City Council President Jared Elgerman</w:t>
      </w:r>
      <w:r w:rsidR="007E2DA2" w:rsidRPr="007E2DA2">
        <w:rPr>
          <w:rFonts w:ascii="Times New Roman" w:hAnsi="Times New Roman" w:cs="Times New Roman"/>
          <w:sz w:val="24"/>
          <w:szCs w:val="24"/>
        </w:rPr>
        <w:t xml:space="preserve"> </w:t>
      </w:r>
      <w:r w:rsidR="007E2DA2">
        <w:rPr>
          <w:rFonts w:ascii="Times New Roman" w:hAnsi="Times New Roman" w:cs="Times New Roman"/>
          <w:sz w:val="24"/>
          <w:szCs w:val="24"/>
        </w:rPr>
        <w:t xml:space="preserve">regarding the Hospital’s plans </w:t>
      </w:r>
      <w:r w:rsidR="00113067">
        <w:rPr>
          <w:rFonts w:ascii="Times New Roman" w:hAnsi="Times New Roman" w:cs="Times New Roman"/>
          <w:sz w:val="24"/>
          <w:szCs w:val="24"/>
        </w:rPr>
        <w:t>to close</w:t>
      </w:r>
      <w:r w:rsidR="007E2DA2">
        <w:rPr>
          <w:rFonts w:ascii="Times New Roman" w:hAnsi="Times New Roman" w:cs="Times New Roman"/>
          <w:sz w:val="24"/>
          <w:szCs w:val="24"/>
        </w:rPr>
        <w:t xml:space="preserve"> the Service</w:t>
      </w:r>
      <w:r w:rsidR="00817F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14D2A" w14:textId="77777777" w:rsidR="00817F65" w:rsidRDefault="00817F65" w:rsidP="00817F6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85C179" w14:textId="58C82C46" w:rsidR="00817F65" w:rsidRDefault="00817F65" w:rsidP="00B253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F60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25-27, 2021 – Communicated with the Hospital’s Board of Trustees, </w:t>
      </w:r>
      <w:r w:rsidR="007E2DA2">
        <w:rPr>
          <w:rFonts w:ascii="Times New Roman" w:hAnsi="Times New Roman" w:cs="Times New Roman"/>
          <w:sz w:val="24"/>
          <w:szCs w:val="24"/>
        </w:rPr>
        <w:t xml:space="preserve">Community Benefits Advisory Council, and </w:t>
      </w:r>
      <w:r w:rsidR="00113067">
        <w:rPr>
          <w:rFonts w:ascii="Times New Roman" w:hAnsi="Times New Roman" w:cs="Times New Roman"/>
          <w:sz w:val="24"/>
          <w:szCs w:val="24"/>
        </w:rPr>
        <w:t xml:space="preserve">the </w:t>
      </w:r>
      <w:r w:rsidR="00ED5B80">
        <w:rPr>
          <w:rFonts w:ascii="Times New Roman" w:hAnsi="Times New Roman" w:cs="Times New Roman"/>
          <w:sz w:val="24"/>
          <w:szCs w:val="24"/>
        </w:rPr>
        <w:t>Hospital’s</w:t>
      </w:r>
      <w:r w:rsidR="007E2DA2">
        <w:rPr>
          <w:rFonts w:ascii="Times New Roman" w:hAnsi="Times New Roman" w:cs="Times New Roman"/>
          <w:sz w:val="24"/>
          <w:szCs w:val="24"/>
        </w:rPr>
        <w:t xml:space="preserve"> Community Health Foundation Board regarding the closure of the Service. </w:t>
      </w:r>
    </w:p>
    <w:p w14:paraId="3FCFCC00" w14:textId="77777777" w:rsidR="001F14FB" w:rsidRDefault="001F14FB" w:rsidP="001F14F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8775E1" w14:textId="28EA1F9C" w:rsidR="00B253B1" w:rsidRDefault="00B253B1" w:rsidP="00B253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27, 2021 – Email notice of </w:t>
      </w:r>
      <w:r w:rsidRPr="00B253B1">
        <w:rPr>
          <w:rFonts w:ascii="Times New Roman" w:hAnsi="Times New Roman" w:cs="Times New Roman"/>
          <w:sz w:val="24"/>
          <w:szCs w:val="24"/>
        </w:rPr>
        <w:t>closure provided to the</w:t>
      </w:r>
      <w:r w:rsidR="00113067">
        <w:rPr>
          <w:rFonts w:ascii="Times New Roman" w:hAnsi="Times New Roman" w:cs="Times New Roman"/>
          <w:sz w:val="24"/>
          <w:szCs w:val="24"/>
        </w:rPr>
        <w:t xml:space="preserve"> Hospital’s</w:t>
      </w:r>
      <w:r w:rsidRPr="00B253B1">
        <w:rPr>
          <w:rFonts w:ascii="Times New Roman" w:hAnsi="Times New Roman" w:cs="Times New Roman"/>
          <w:sz w:val="24"/>
          <w:szCs w:val="24"/>
        </w:rPr>
        <w:t xml:space="preserve"> medical staff</w:t>
      </w:r>
      <w:r w:rsidR="00113067">
        <w:rPr>
          <w:rFonts w:ascii="Times New Roman" w:hAnsi="Times New Roman" w:cs="Times New Roman"/>
          <w:sz w:val="24"/>
          <w:szCs w:val="24"/>
        </w:rPr>
        <w:t xml:space="preserve"> and</w:t>
      </w:r>
      <w:r w:rsidRPr="00B253B1">
        <w:rPr>
          <w:rFonts w:ascii="Times New Roman" w:hAnsi="Times New Roman" w:cs="Times New Roman"/>
          <w:sz w:val="24"/>
          <w:szCs w:val="24"/>
        </w:rPr>
        <w:t xml:space="preserve"> employees, Massachusetts Nurses Association (MNA), Massachusetts Senators and Representatives for </w:t>
      </w:r>
      <w:r>
        <w:rPr>
          <w:rFonts w:ascii="Times New Roman" w:hAnsi="Times New Roman" w:cs="Times New Roman"/>
          <w:sz w:val="24"/>
          <w:szCs w:val="24"/>
        </w:rPr>
        <w:t>Newburypo</w:t>
      </w:r>
      <w:r w:rsidR="001F14FB">
        <w:rPr>
          <w:rFonts w:ascii="Times New Roman" w:hAnsi="Times New Roman" w:cs="Times New Roman"/>
          <w:sz w:val="24"/>
          <w:szCs w:val="24"/>
        </w:rPr>
        <w:t>rt</w:t>
      </w:r>
      <w:r w:rsidRPr="00B253B1">
        <w:rPr>
          <w:rFonts w:ascii="Times New Roman" w:hAnsi="Times New Roman" w:cs="Times New Roman"/>
          <w:sz w:val="24"/>
          <w:szCs w:val="24"/>
        </w:rPr>
        <w:t xml:space="preserve">, local officials of </w:t>
      </w:r>
      <w:r>
        <w:rPr>
          <w:rFonts w:ascii="Times New Roman" w:hAnsi="Times New Roman" w:cs="Times New Roman"/>
          <w:sz w:val="24"/>
          <w:szCs w:val="24"/>
        </w:rPr>
        <w:t>Newburyport</w:t>
      </w:r>
      <w:r w:rsidRPr="00B253B1">
        <w:rPr>
          <w:rFonts w:ascii="Times New Roman" w:hAnsi="Times New Roman" w:cs="Times New Roman"/>
          <w:sz w:val="24"/>
          <w:szCs w:val="24"/>
        </w:rPr>
        <w:t xml:space="preserve">, </w:t>
      </w:r>
      <w:r w:rsidR="007E2DA2">
        <w:rPr>
          <w:rFonts w:ascii="Times New Roman" w:hAnsi="Times New Roman" w:cs="Times New Roman"/>
          <w:sz w:val="24"/>
          <w:szCs w:val="24"/>
        </w:rPr>
        <w:t xml:space="preserve">Newburyport City Council members, </w:t>
      </w:r>
      <w:r w:rsidRPr="00B253B1">
        <w:rPr>
          <w:rFonts w:ascii="Times New Roman" w:hAnsi="Times New Roman" w:cs="Times New Roman"/>
          <w:sz w:val="24"/>
          <w:szCs w:val="24"/>
        </w:rPr>
        <w:t xml:space="preserve">and the </w:t>
      </w:r>
      <w:r>
        <w:rPr>
          <w:rFonts w:ascii="Times New Roman" w:hAnsi="Times New Roman" w:cs="Times New Roman"/>
          <w:sz w:val="24"/>
          <w:szCs w:val="24"/>
        </w:rPr>
        <w:t xml:space="preserve">Hospital’s </w:t>
      </w:r>
      <w:r w:rsidRPr="00B253B1">
        <w:rPr>
          <w:rFonts w:ascii="Times New Roman" w:hAnsi="Times New Roman" w:cs="Times New Roman"/>
          <w:sz w:val="24"/>
          <w:szCs w:val="24"/>
        </w:rPr>
        <w:t>Patient Family Advisory Committee (PFAC).</w:t>
      </w:r>
    </w:p>
    <w:p w14:paraId="73AA40B3" w14:textId="77777777" w:rsidR="001F14FB" w:rsidRPr="00B253B1" w:rsidRDefault="001F14FB" w:rsidP="001F14F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0CE238" w14:textId="12A2111B" w:rsidR="008617F6" w:rsidRDefault="008617F6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B14BF" w14:textId="6C6F689B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r</w:t>
      </w:r>
      <w:r w:rsidR="003F15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quire further information with respect to this matter, please </w:t>
      </w:r>
      <w:r w:rsidR="00AD303C">
        <w:rPr>
          <w:rFonts w:ascii="Times New Roman" w:hAnsi="Times New Roman" w:cs="Times New Roman"/>
          <w:sz w:val="24"/>
          <w:szCs w:val="24"/>
        </w:rPr>
        <w:t>contact Andrew S. Levine, Esq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04F3">
        <w:rPr>
          <w:rFonts w:ascii="Times New Roman" w:hAnsi="Times New Roman" w:cs="Times New Roman"/>
          <w:sz w:val="24"/>
          <w:szCs w:val="24"/>
        </w:rPr>
        <w:t xml:space="preserve">at </w:t>
      </w:r>
      <w:r w:rsidR="004050AD" w:rsidRPr="004050AD">
        <w:rPr>
          <w:rFonts w:ascii="Times New Roman" w:hAnsi="Times New Roman" w:cs="Times New Roman"/>
          <w:sz w:val="24"/>
          <w:szCs w:val="24"/>
        </w:rPr>
        <w:t>(781) 898-4379</w:t>
      </w:r>
      <w:r w:rsidR="00405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A3099" w14:textId="77777777" w:rsidR="004050AD" w:rsidRDefault="004050AD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D86F4" w14:textId="02B7CEC0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5266569B" w14:textId="096D64BC" w:rsidR="00471CCC" w:rsidRDefault="00E60432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E3DF7" wp14:editId="7D0CDB63">
            <wp:extent cx="1748413" cy="525065"/>
            <wp:effectExtent l="0" t="0" r="444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dstein, Mar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687" cy="5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3BE0" w14:textId="1F23C603" w:rsidR="00471CCC" w:rsidRDefault="00051003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Goldstein, President</w:t>
      </w:r>
    </w:p>
    <w:p w14:paraId="2DAE7FB3" w14:textId="1A65C06F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318C7" w14:textId="0B7ED5F0" w:rsidR="003F15F5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 w:rsidR="003F15F5">
        <w:rPr>
          <w:rFonts w:ascii="Times New Roman" w:hAnsi="Times New Roman" w:cs="Times New Roman"/>
          <w:sz w:val="24"/>
          <w:szCs w:val="24"/>
        </w:rPr>
        <w:t xml:space="preserve">S. Boyd, </w:t>
      </w:r>
      <w:r w:rsidR="00ED5B80">
        <w:rPr>
          <w:rFonts w:ascii="Times New Roman" w:hAnsi="Times New Roman" w:cs="Times New Roman"/>
          <w:sz w:val="24"/>
          <w:szCs w:val="24"/>
        </w:rPr>
        <w:t xml:space="preserve">Esq., </w:t>
      </w:r>
      <w:r w:rsidR="003F15F5">
        <w:rPr>
          <w:rFonts w:ascii="Times New Roman" w:hAnsi="Times New Roman" w:cs="Times New Roman"/>
          <w:sz w:val="24"/>
          <w:szCs w:val="24"/>
        </w:rPr>
        <w:t>AJH</w:t>
      </w:r>
    </w:p>
    <w:p w14:paraId="1BE2212C" w14:textId="02447BD1" w:rsidR="00BA04F3" w:rsidRDefault="00BA04F3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Carlson, DPH</w:t>
      </w:r>
    </w:p>
    <w:p w14:paraId="4C9423F6" w14:textId="07DD4C41" w:rsidR="00471CCC" w:rsidRDefault="00471CCC" w:rsidP="003F15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Davis, DPH</w:t>
      </w:r>
    </w:p>
    <w:p w14:paraId="4AC2AFBC" w14:textId="10893F74" w:rsidR="003F15F5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Gold, Esq. OAG</w:t>
      </w:r>
    </w:p>
    <w:p w14:paraId="3645CE54" w14:textId="655A7A0C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Kaye, Esq., DPH</w:t>
      </w:r>
    </w:p>
    <w:p w14:paraId="5B09138C" w14:textId="5308EFAD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Kelley, DPH</w:t>
      </w:r>
    </w:p>
    <w:p w14:paraId="18DFA7ED" w14:textId="0F934763" w:rsidR="00AD303C" w:rsidRDefault="00AD303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Levine, Esq.</w:t>
      </w:r>
    </w:p>
    <w:p w14:paraId="10AC5361" w14:textId="0DF90C18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W. Mackie, DPH</w:t>
      </w:r>
    </w:p>
    <w:p w14:paraId="1DF8BE7F" w14:textId="1D0FD26C" w:rsidR="00471CCC" w:rsidRDefault="003F15F5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R. Maki, </w:t>
      </w:r>
      <w:r w:rsidR="0084417D">
        <w:rPr>
          <w:rFonts w:ascii="Times New Roman" w:hAnsi="Times New Roman" w:cs="Times New Roman"/>
          <w:sz w:val="24"/>
          <w:szCs w:val="24"/>
        </w:rPr>
        <w:t>AJH</w:t>
      </w:r>
    </w:p>
    <w:p w14:paraId="6F5C4657" w14:textId="26D68A0E" w:rsidR="003F15F5" w:rsidRDefault="003F15F5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Perry, AJH</w:t>
      </w:r>
    </w:p>
    <w:p w14:paraId="6B5269F6" w14:textId="0F7B06D7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Rodman, Esq., DPH</w:t>
      </w:r>
    </w:p>
    <w:p w14:paraId="7DC23214" w14:textId="41E16C9F" w:rsidR="003F15F5" w:rsidRDefault="003F15F5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M. Schuyler, AJH</w:t>
      </w:r>
    </w:p>
    <w:p w14:paraId="4FD7D377" w14:textId="5B145676" w:rsidR="00471CCC" w:rsidRP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M. Taberner, Esq., AJH</w:t>
      </w:r>
    </w:p>
    <w:p w14:paraId="47072A0B" w14:textId="33236700" w:rsidR="00AE0F93" w:rsidRDefault="00AE0F93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4E69F" w14:textId="77777777" w:rsidR="00471CCC" w:rsidRP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CCC">
        <w:rPr>
          <w:rFonts w:ascii="Times New Roman" w:hAnsi="Times New Roman" w:cs="Times New Roman"/>
          <w:sz w:val="24"/>
          <w:szCs w:val="24"/>
        </w:rPr>
        <w:t>Health Policy Commission</w:t>
      </w:r>
    </w:p>
    <w:p w14:paraId="68201ED3" w14:textId="77777777" w:rsidR="00471CCC" w:rsidRP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</w:rPr>
        <w:tab/>
        <w:t>Office of the Attorney General (Massachusetts)</w:t>
      </w:r>
    </w:p>
    <w:p w14:paraId="334B8648" w14:textId="77777777" w:rsidR="00471CCC" w:rsidRP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</w:rPr>
        <w:tab/>
        <w:t>Center for Health Information and Analysis</w:t>
      </w:r>
    </w:p>
    <w:p w14:paraId="736B34C5" w14:textId="149691E7" w:rsidR="00471CCC" w:rsidRDefault="00471CCC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 w:rsidRPr="00471CCC">
        <w:rPr>
          <w:rFonts w:ascii="Times New Roman" w:hAnsi="Times New Roman" w:cs="Times New Roman"/>
          <w:sz w:val="24"/>
          <w:szCs w:val="24"/>
        </w:rPr>
        <w:tab/>
        <w:t>Executive Office of Labor and Workforce Development</w:t>
      </w:r>
    </w:p>
    <w:p w14:paraId="573D8196" w14:textId="4BF21C90" w:rsidR="007E2DA2" w:rsidRPr="00471CCC" w:rsidRDefault="007E2DA2" w:rsidP="00471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32A50" w14:textId="59A3C908" w:rsidR="00471CCC" w:rsidRPr="00AE0F93" w:rsidRDefault="007E2DA2" w:rsidP="00471C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2DA2">
        <w:rPr>
          <w:rFonts w:ascii="Times New Roman" w:hAnsi="Times New Roman" w:cs="Times New Roman"/>
          <w:sz w:val="24"/>
          <w:szCs w:val="24"/>
        </w:rPr>
        <w:t>Newburyport Youth Services</w:t>
      </w:r>
    </w:p>
    <w:sectPr w:rsidR="00471CCC" w:rsidRPr="00AE0F93" w:rsidSect="00CC2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FD19" w14:textId="77777777" w:rsidR="007858E8" w:rsidRDefault="007858E8" w:rsidP="00D0076D">
      <w:r>
        <w:separator/>
      </w:r>
    </w:p>
  </w:endnote>
  <w:endnote w:type="continuationSeparator" w:id="0">
    <w:p w14:paraId="64AF71DA" w14:textId="77777777" w:rsidR="007858E8" w:rsidRDefault="007858E8" w:rsidP="00D0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EE05" w14:textId="77777777" w:rsidR="00871549" w:rsidRDefault="00871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8FD2" w14:textId="3352198D" w:rsidR="00D0076D" w:rsidRPr="00871549" w:rsidRDefault="007858E8" w:rsidP="00871549">
    <w:pPr>
      <w:pStyle w:val="DocID"/>
    </w:pPr>
    <w:r>
      <w:fldChar w:fldCharType="begin"/>
    </w:r>
    <w:r>
      <w:instrText xml:space="preserve"> DOCPROPERTY "DocID" </w:instrText>
    </w:r>
    <w:r>
      <w:fldChar w:fldCharType="separate"/>
    </w:r>
    <w:r w:rsidR="00871549">
      <w:t>805826.1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7399" w14:textId="10C4E54A" w:rsidR="00CC29F6" w:rsidRPr="00871549" w:rsidRDefault="007858E8" w:rsidP="00871549">
    <w:pPr>
      <w:pStyle w:val="DocID"/>
    </w:pPr>
    <w:r>
      <w:fldChar w:fldCharType="begin"/>
    </w:r>
    <w:r>
      <w:instrText xml:space="preserve"> DOCPROPERTY "DocID" </w:instrText>
    </w:r>
    <w:r>
      <w:fldChar w:fldCharType="separate"/>
    </w:r>
    <w:r w:rsidR="00871549">
      <w:t>805826.1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5FB5" w14:textId="77777777" w:rsidR="007858E8" w:rsidRDefault="007858E8" w:rsidP="00D0076D">
      <w:r>
        <w:separator/>
      </w:r>
    </w:p>
  </w:footnote>
  <w:footnote w:type="continuationSeparator" w:id="0">
    <w:p w14:paraId="1E128083" w14:textId="77777777" w:rsidR="007858E8" w:rsidRDefault="007858E8" w:rsidP="00D0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C801" w14:textId="77777777" w:rsidR="00871549" w:rsidRDefault="00871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3A46" w14:textId="77777777" w:rsidR="00CC29F6" w:rsidRPr="00AE0F93" w:rsidRDefault="00CC29F6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AE0F93">
      <w:rPr>
        <w:rFonts w:ascii="Times New Roman" w:eastAsia="Times New Roman" w:hAnsi="Times New Roman" w:cs="Times New Roman"/>
        <w:sz w:val="24"/>
        <w:szCs w:val="24"/>
      </w:rPr>
      <w:t>Sherman Lohnes, Esq., Director</w:t>
    </w:r>
  </w:p>
  <w:p w14:paraId="03DF5F9B" w14:textId="77777777" w:rsidR="00CC29F6" w:rsidRPr="00AE0F93" w:rsidRDefault="00CC29F6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AE0F93">
      <w:rPr>
        <w:rFonts w:ascii="Times New Roman" w:eastAsia="Times New Roman" w:hAnsi="Times New Roman" w:cs="Times New Roman"/>
        <w:sz w:val="24"/>
        <w:szCs w:val="24"/>
      </w:rPr>
      <w:t>Division of Health Care Facility Licensure and Certification</w:t>
    </w:r>
  </w:p>
  <w:p w14:paraId="2B637E6C" w14:textId="683FFD5B" w:rsidR="00CC29F6" w:rsidRDefault="00CC29F6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AE0F93">
      <w:rPr>
        <w:rFonts w:ascii="Times New Roman" w:eastAsia="Times New Roman" w:hAnsi="Times New Roman" w:cs="Times New Roman"/>
        <w:sz w:val="24"/>
        <w:szCs w:val="24"/>
      </w:rPr>
      <w:t>Massachusetts Department of Public Health</w:t>
    </w:r>
  </w:p>
  <w:p w14:paraId="79E788A9" w14:textId="6F6AE524" w:rsidR="0063234C" w:rsidRDefault="0063234C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June 26, 2021</w:t>
    </w:r>
  </w:p>
  <w:p w14:paraId="3D13A4B4" w14:textId="377110E6" w:rsidR="00CC29F6" w:rsidRPr="00AE0F93" w:rsidRDefault="00CC29F6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CC29F6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CC29F6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Pr="00CC29F6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60432">
      <w:rPr>
        <w:rFonts w:ascii="Times New Roman" w:eastAsia="Times New Roman" w:hAnsi="Times New Roman" w:cs="Times New Roman"/>
        <w:noProof/>
        <w:sz w:val="24"/>
        <w:szCs w:val="24"/>
      </w:rPr>
      <w:t>3</w:t>
    </w:r>
    <w:r w:rsidRPr="00CC29F6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  <w:p w14:paraId="0DE327B3" w14:textId="6DE17353" w:rsidR="00CC29F6" w:rsidRDefault="00CC2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3172" w14:textId="77777777" w:rsidR="00871549" w:rsidRDefault="00871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80A"/>
    <w:multiLevelType w:val="hybridMultilevel"/>
    <w:tmpl w:val="26E69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A61B5"/>
    <w:multiLevelType w:val="hybridMultilevel"/>
    <w:tmpl w:val="5F1AE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Info" w:val="F"/>
  </w:docVars>
  <w:rsids>
    <w:rsidRoot w:val="00AE0F93"/>
    <w:rsid w:val="0004164F"/>
    <w:rsid w:val="00051003"/>
    <w:rsid w:val="00113067"/>
    <w:rsid w:val="001F14FB"/>
    <w:rsid w:val="002352CE"/>
    <w:rsid w:val="00242C82"/>
    <w:rsid w:val="002E3675"/>
    <w:rsid w:val="003813A2"/>
    <w:rsid w:val="003D7FD8"/>
    <w:rsid w:val="003F15F5"/>
    <w:rsid w:val="004050AD"/>
    <w:rsid w:val="00471CCC"/>
    <w:rsid w:val="004E0DB5"/>
    <w:rsid w:val="00514B19"/>
    <w:rsid w:val="0051751E"/>
    <w:rsid w:val="00597904"/>
    <w:rsid w:val="005F00BC"/>
    <w:rsid w:val="005F084A"/>
    <w:rsid w:val="0063234C"/>
    <w:rsid w:val="00755EE6"/>
    <w:rsid w:val="007858E8"/>
    <w:rsid w:val="007E2DA2"/>
    <w:rsid w:val="00817F65"/>
    <w:rsid w:val="0084417D"/>
    <w:rsid w:val="008617F6"/>
    <w:rsid w:val="00871549"/>
    <w:rsid w:val="00887A94"/>
    <w:rsid w:val="00A30D6F"/>
    <w:rsid w:val="00AD303C"/>
    <w:rsid w:val="00AE0F93"/>
    <w:rsid w:val="00B253B1"/>
    <w:rsid w:val="00BA04F3"/>
    <w:rsid w:val="00BF264E"/>
    <w:rsid w:val="00C93BA9"/>
    <w:rsid w:val="00CC29F6"/>
    <w:rsid w:val="00D0076D"/>
    <w:rsid w:val="00D27CE9"/>
    <w:rsid w:val="00D67574"/>
    <w:rsid w:val="00D71DBE"/>
    <w:rsid w:val="00E27283"/>
    <w:rsid w:val="00E41988"/>
    <w:rsid w:val="00E60432"/>
    <w:rsid w:val="00ED5B80"/>
    <w:rsid w:val="00EF1D3C"/>
    <w:rsid w:val="00F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FC79D"/>
  <w15:chartTrackingRefBased/>
  <w15:docId w15:val="{A2A3ED8B-3DDE-45FC-B5FC-737C2B0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0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uiPriority w:val="99"/>
    <w:unhideWhenUsed/>
    <w:rsid w:val="00EF1D3C"/>
    <w:rPr>
      <w:sz w:val="18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EF1D3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F1D3C"/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471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1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F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F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link w:val="DocIDChar"/>
    <w:rsid w:val="00871549"/>
    <w:rPr>
      <w:rFonts w:cs="Arial"/>
      <w:color w:val="000000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871549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6D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D00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6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CB7F-2913-49CF-9007-AF8EEF5A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Smith-Mady</dc:creator>
  <cp:keywords/>
  <dc:description/>
  <cp:lastModifiedBy>Megan Smith-Mady</cp:lastModifiedBy>
  <cp:revision>3</cp:revision>
  <dcterms:created xsi:type="dcterms:W3CDTF">2021-06-17T16:25:00Z</dcterms:created>
  <dcterms:modified xsi:type="dcterms:W3CDTF">2021-06-25T15:22:00Z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805826.1</vt:lpwstr>
  </property>
</Properties>
</file>