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6B081" w14:textId="77777777" w:rsidR="004B2C61" w:rsidRDefault="00E526DE">
      <w:pPr>
        <w:pStyle w:val="BodyText"/>
        <w:rPr>
          <w:sz w:val="20"/>
        </w:rPr>
      </w:pPr>
      <w:r>
        <w:rPr>
          <w:noProof/>
        </w:rPr>
        <w:drawing>
          <wp:anchor distT="0" distB="0" distL="0" distR="0" simplePos="0" relativeHeight="251658240" behindDoc="0" locked="0" layoutInCell="1" allowOverlap="1" wp14:anchorId="45D6AFCB" wp14:editId="5822C7CD">
            <wp:simplePos x="0" y="0"/>
            <wp:positionH relativeFrom="page">
              <wp:posOffset>5924012</wp:posOffset>
            </wp:positionH>
            <wp:positionV relativeFrom="page">
              <wp:posOffset>9020758</wp:posOffset>
            </wp:positionV>
            <wp:extent cx="1399505" cy="74038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99505" cy="740388"/>
                    </a:xfrm>
                    <a:prstGeom prst="rect">
                      <a:avLst/>
                    </a:prstGeom>
                  </pic:spPr>
                </pic:pic>
              </a:graphicData>
            </a:graphic>
          </wp:anchor>
        </w:drawing>
      </w:r>
    </w:p>
    <w:p w14:paraId="281DF1F9" w14:textId="77777777" w:rsidR="004B2C61" w:rsidRDefault="004B2C61">
      <w:pPr>
        <w:pStyle w:val="BodyText"/>
        <w:rPr>
          <w:sz w:val="20"/>
        </w:rPr>
      </w:pPr>
    </w:p>
    <w:p w14:paraId="1FD89E46" w14:textId="77777777" w:rsidR="004B2C61" w:rsidRDefault="004B2C61">
      <w:pPr>
        <w:pStyle w:val="BodyText"/>
        <w:spacing w:before="2"/>
        <w:rPr>
          <w:sz w:val="18"/>
        </w:rPr>
      </w:pPr>
    </w:p>
    <w:p w14:paraId="543C9B7A" w14:textId="77777777" w:rsidR="004B2C61" w:rsidRDefault="00E526DE">
      <w:pPr>
        <w:pStyle w:val="BodyText"/>
        <w:spacing w:before="90"/>
        <w:ind w:left="120"/>
      </w:pPr>
      <w:r>
        <w:rPr>
          <w:noProof/>
        </w:rPr>
        <w:drawing>
          <wp:anchor distT="0" distB="0" distL="0" distR="0" simplePos="0" relativeHeight="251657216" behindDoc="0" locked="0" layoutInCell="1" allowOverlap="1" wp14:anchorId="4957E122" wp14:editId="57D610C6">
            <wp:simplePos x="0" y="0"/>
            <wp:positionH relativeFrom="page">
              <wp:posOffset>5391150</wp:posOffset>
            </wp:positionH>
            <wp:positionV relativeFrom="paragraph">
              <wp:posOffset>-428076</wp:posOffset>
            </wp:positionV>
            <wp:extent cx="1820532" cy="1471929"/>
            <wp:effectExtent l="0" t="0" r="0" b="0"/>
            <wp:wrapNone/>
            <wp:docPr id="3" name="image2.png" descr="A logo with three overlapping rectangles colored red, green, and blue, with the text &quot;Barrett &amp; Singal&quot; written in the center of the overlapping rectang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logo with three overlapping rectangles colored red, green, and blue, with the text &quot;Barrett &amp; Singal&quot; written in the center of the overlapping rectangles. "/>
                    <pic:cNvPicPr/>
                  </pic:nvPicPr>
                  <pic:blipFill>
                    <a:blip r:embed="rId8" cstate="print"/>
                    <a:stretch>
                      <a:fillRect/>
                    </a:stretch>
                  </pic:blipFill>
                  <pic:spPr>
                    <a:xfrm>
                      <a:off x="0" y="0"/>
                      <a:ext cx="1820532" cy="1471929"/>
                    </a:xfrm>
                    <a:prstGeom prst="rect">
                      <a:avLst/>
                    </a:prstGeom>
                  </pic:spPr>
                </pic:pic>
              </a:graphicData>
            </a:graphic>
          </wp:anchor>
        </w:drawing>
      </w:r>
      <w:r>
        <w:t>November 23, 2020</w:t>
      </w:r>
    </w:p>
    <w:p w14:paraId="34256C11" w14:textId="77777777" w:rsidR="004B2C61" w:rsidRDefault="004B2C61">
      <w:pPr>
        <w:pStyle w:val="BodyText"/>
        <w:rPr>
          <w:sz w:val="26"/>
        </w:rPr>
      </w:pPr>
    </w:p>
    <w:p w14:paraId="1AAF8C5D" w14:textId="77777777" w:rsidR="004B2C61" w:rsidRDefault="004B2C61">
      <w:pPr>
        <w:pStyle w:val="BodyText"/>
        <w:rPr>
          <w:sz w:val="22"/>
        </w:rPr>
      </w:pPr>
    </w:p>
    <w:p w14:paraId="5BA88A80" w14:textId="77777777" w:rsidR="004B2C61" w:rsidRDefault="00E526DE">
      <w:pPr>
        <w:pStyle w:val="BodyText"/>
        <w:ind w:left="120"/>
      </w:pPr>
      <w:r>
        <w:rPr>
          <w:u w:val="single"/>
        </w:rPr>
        <w:t>Via E-mail</w:t>
      </w:r>
    </w:p>
    <w:p w14:paraId="6BD62B9C" w14:textId="77777777" w:rsidR="004B2C61" w:rsidRDefault="004B2C61">
      <w:pPr>
        <w:pStyle w:val="BodyText"/>
      </w:pPr>
    </w:p>
    <w:p w14:paraId="1253FB15" w14:textId="77777777" w:rsidR="004B2C61" w:rsidRDefault="00E526DE">
      <w:pPr>
        <w:pStyle w:val="BodyText"/>
        <w:ind w:left="120"/>
      </w:pPr>
      <w:r>
        <w:t>Sherman Lohnes, Esq., Director</w:t>
      </w:r>
    </w:p>
    <w:p w14:paraId="3AD40E66" w14:textId="77777777" w:rsidR="004B2C61" w:rsidRDefault="00E526DE">
      <w:pPr>
        <w:pStyle w:val="BodyText"/>
        <w:ind w:left="120" w:right="4221"/>
      </w:pPr>
      <w:r>
        <w:t>Division of Health Care Facility Licensure and Certification Massachusetts Department of Public Health</w:t>
      </w:r>
    </w:p>
    <w:p w14:paraId="74393A9D" w14:textId="77777777" w:rsidR="004B2C61" w:rsidRDefault="00E526DE">
      <w:pPr>
        <w:pStyle w:val="BodyText"/>
        <w:ind w:left="120"/>
      </w:pPr>
      <w:r>
        <w:t>67 Forest Street</w:t>
      </w:r>
    </w:p>
    <w:p w14:paraId="528A97E3" w14:textId="77777777" w:rsidR="004B2C61" w:rsidRDefault="00E526DE">
      <w:pPr>
        <w:pStyle w:val="BodyText"/>
        <w:ind w:left="120"/>
      </w:pPr>
      <w:r>
        <w:t>Marlborough, MA 01752</w:t>
      </w:r>
    </w:p>
    <w:p w14:paraId="29F1CD3D" w14:textId="77777777" w:rsidR="004B2C61" w:rsidRDefault="004B2C61">
      <w:pPr>
        <w:pStyle w:val="BodyText"/>
        <w:spacing w:before="2"/>
        <w:rPr>
          <w:sz w:val="16"/>
        </w:rPr>
      </w:pPr>
    </w:p>
    <w:p w14:paraId="3C5B549C" w14:textId="77777777" w:rsidR="004B2C61" w:rsidRDefault="00E526DE">
      <w:pPr>
        <w:pStyle w:val="BodyText"/>
        <w:tabs>
          <w:tab w:val="left" w:pos="1559"/>
        </w:tabs>
        <w:spacing w:before="90"/>
        <w:ind w:left="1560" w:right="657" w:hanging="720"/>
      </w:pPr>
      <w:r>
        <w:t>Re:</w:t>
      </w:r>
      <w:r>
        <w:tab/>
      </w:r>
      <w:r>
        <w:rPr>
          <w:u w:val="single"/>
        </w:rPr>
        <w:t>Steward Good Samaritan Medical Center, Inc. – Formal 90-Day Notice of</w:t>
      </w:r>
      <w:r>
        <w:rPr>
          <w:spacing w:val="-22"/>
          <w:u w:val="single"/>
        </w:rPr>
        <w:t xml:space="preserve"> </w:t>
      </w:r>
      <w:r>
        <w:rPr>
          <w:u w:val="single"/>
        </w:rPr>
        <w:t>Closure</w:t>
      </w:r>
      <w:r>
        <w:t xml:space="preserve"> </w:t>
      </w:r>
      <w:r>
        <w:rPr>
          <w:u w:val="single"/>
        </w:rPr>
        <w:t>of Inpatient and Outpatient Sub</w:t>
      </w:r>
      <w:r>
        <w:rPr>
          <w:u w:val="single"/>
        </w:rPr>
        <w:t xml:space="preserve">stance Use Disorder Services at </w:t>
      </w:r>
      <w:proofErr w:type="spellStart"/>
      <w:r>
        <w:rPr>
          <w:u w:val="single"/>
        </w:rPr>
        <w:t>Norcap</w:t>
      </w:r>
      <w:proofErr w:type="spellEnd"/>
      <w:r>
        <w:rPr>
          <w:spacing w:val="-11"/>
          <w:u w:val="single"/>
        </w:rPr>
        <w:t xml:space="preserve"> </w:t>
      </w:r>
      <w:r>
        <w:rPr>
          <w:u w:val="single"/>
        </w:rPr>
        <w:t>Lodge</w:t>
      </w:r>
    </w:p>
    <w:p w14:paraId="16C9A809" w14:textId="77777777" w:rsidR="004B2C61" w:rsidRDefault="004B2C61">
      <w:pPr>
        <w:pStyle w:val="BodyText"/>
        <w:spacing w:before="2"/>
        <w:rPr>
          <w:sz w:val="16"/>
        </w:rPr>
      </w:pPr>
    </w:p>
    <w:p w14:paraId="5140200F" w14:textId="77777777" w:rsidR="004B2C61" w:rsidRDefault="00E526DE">
      <w:pPr>
        <w:pStyle w:val="BodyText"/>
        <w:spacing w:before="90"/>
        <w:ind w:left="120"/>
        <w:jc w:val="both"/>
      </w:pPr>
      <w:r>
        <w:t xml:space="preserve">Dear </w:t>
      </w:r>
      <w:proofErr w:type="gramStart"/>
      <w:r>
        <w:t>Attorney</w:t>
      </w:r>
      <w:proofErr w:type="gramEnd"/>
      <w:r>
        <w:t xml:space="preserve"> Lohnes:</w:t>
      </w:r>
    </w:p>
    <w:p w14:paraId="241AC188" w14:textId="77777777" w:rsidR="004B2C61" w:rsidRDefault="004B2C61">
      <w:pPr>
        <w:pStyle w:val="BodyText"/>
      </w:pPr>
    </w:p>
    <w:p w14:paraId="317F4F54" w14:textId="77777777" w:rsidR="004B2C61" w:rsidRDefault="00E526DE">
      <w:pPr>
        <w:pStyle w:val="BodyText"/>
        <w:ind w:left="119" w:right="655"/>
        <w:jc w:val="both"/>
      </w:pPr>
      <w:r>
        <w:t>We write on behalf of Steward Good Samaritan Medical Center, Inc. (“the Medical Center”) in follow-up to the initial essential service closure notice that the Medical Center filed with th</w:t>
      </w:r>
      <w:r>
        <w:t>e Department of Public Health (the “Department”) and the appropriate parties required by the Department’s regulations on October 23, 2020. Pursuant to 105 CMR 130.122(B), the Medical Center hereby provides formal ninety (90) day notice to the Department of</w:t>
      </w:r>
      <w:r>
        <w:t xml:space="preserve"> its decision to discontinue the operation of the Alcoholism Treatment Service (“ATS”) which includes both inpatient services and the intensive outpatient program (“IOP”) at the Medical Center’s inpatient satellite, </w:t>
      </w:r>
      <w:proofErr w:type="spellStart"/>
      <w:r>
        <w:t>Norcap</w:t>
      </w:r>
      <w:proofErr w:type="spellEnd"/>
      <w:r>
        <w:t xml:space="preserve"> Lodge (“</w:t>
      </w:r>
      <w:proofErr w:type="spellStart"/>
      <w:r>
        <w:t>Norcap</w:t>
      </w:r>
      <w:proofErr w:type="spellEnd"/>
      <w:r>
        <w:t>”), located at 71 W</w:t>
      </w:r>
      <w:r>
        <w:t>alnut Street, Foxborough, MA 02035 (the “Services”). We offer the following comments with respect to this matter.</w:t>
      </w:r>
    </w:p>
    <w:p w14:paraId="7C1329F2" w14:textId="77777777" w:rsidR="004B2C61" w:rsidRDefault="004B2C61">
      <w:pPr>
        <w:pStyle w:val="BodyText"/>
      </w:pPr>
    </w:p>
    <w:p w14:paraId="063D205B" w14:textId="77777777" w:rsidR="004B2C61" w:rsidRDefault="00E526DE">
      <w:pPr>
        <w:pStyle w:val="BodyText"/>
        <w:ind w:left="120" w:right="659"/>
        <w:jc w:val="both"/>
      </w:pPr>
      <w:r>
        <w:t xml:space="preserve">The Medical Center determined that the Services should be discontinued due to a steady decline in admissions over the past several years, indicating a decreased need for the Services at </w:t>
      </w:r>
      <w:proofErr w:type="spellStart"/>
      <w:r>
        <w:t>Norcap</w:t>
      </w:r>
      <w:proofErr w:type="spellEnd"/>
      <w:r>
        <w:t>. In</w:t>
      </w:r>
      <w:r>
        <w:rPr>
          <w:spacing w:val="-10"/>
        </w:rPr>
        <w:t xml:space="preserve"> </w:t>
      </w:r>
      <w:r>
        <w:t>compliance</w:t>
      </w:r>
      <w:r>
        <w:rPr>
          <w:spacing w:val="-12"/>
        </w:rPr>
        <w:t xml:space="preserve"> </w:t>
      </w:r>
      <w:r>
        <w:t>with</w:t>
      </w:r>
      <w:r>
        <w:rPr>
          <w:spacing w:val="-9"/>
        </w:rPr>
        <w:t xml:space="preserve"> </w:t>
      </w:r>
      <w:r>
        <w:t>applicable</w:t>
      </w:r>
      <w:r>
        <w:rPr>
          <w:spacing w:val="-11"/>
        </w:rPr>
        <w:t xml:space="preserve"> </w:t>
      </w:r>
      <w:r>
        <w:t>requirements</w:t>
      </w:r>
      <w:r>
        <w:rPr>
          <w:spacing w:val="-11"/>
        </w:rPr>
        <w:t xml:space="preserve"> </w:t>
      </w:r>
      <w:r>
        <w:t>at</w:t>
      </w:r>
      <w:r>
        <w:rPr>
          <w:spacing w:val="-11"/>
        </w:rPr>
        <w:t xml:space="preserve"> </w:t>
      </w:r>
      <w:r>
        <w:t>105</w:t>
      </w:r>
      <w:r>
        <w:rPr>
          <w:spacing w:val="-10"/>
        </w:rPr>
        <w:t xml:space="preserve"> </w:t>
      </w:r>
      <w:r>
        <w:t>CMR</w:t>
      </w:r>
      <w:r>
        <w:rPr>
          <w:spacing w:val="-10"/>
        </w:rPr>
        <w:t xml:space="preserve"> </w:t>
      </w:r>
      <w:r>
        <w:t>130.122(</w:t>
      </w:r>
      <w:r>
        <w:t>B),</w:t>
      </w:r>
      <w:r>
        <w:rPr>
          <w:spacing w:val="-11"/>
        </w:rPr>
        <w:t xml:space="preserve"> </w:t>
      </w:r>
      <w:r>
        <w:t>the</w:t>
      </w:r>
      <w:r>
        <w:rPr>
          <w:spacing w:val="-12"/>
        </w:rPr>
        <w:t xml:space="preserve"> </w:t>
      </w:r>
      <w:r>
        <w:t>Medical</w:t>
      </w:r>
      <w:r>
        <w:rPr>
          <w:spacing w:val="-12"/>
        </w:rPr>
        <w:t xml:space="preserve"> </w:t>
      </w:r>
      <w:r>
        <w:t>Center</w:t>
      </w:r>
      <w:r>
        <w:rPr>
          <w:spacing w:val="-12"/>
        </w:rPr>
        <w:t xml:space="preserve"> </w:t>
      </w:r>
      <w:r>
        <w:t xml:space="preserve">provides this written notice of the planned discontinuance of the </w:t>
      </w:r>
      <w:proofErr w:type="gramStart"/>
      <w:r>
        <w:t>above described</w:t>
      </w:r>
      <w:proofErr w:type="gramEnd"/>
      <w:r>
        <w:t xml:space="preserve"> Service. The following information regarding the discontinuation is hereby provided for your</w:t>
      </w:r>
      <w:r>
        <w:rPr>
          <w:spacing w:val="-4"/>
        </w:rPr>
        <w:t xml:space="preserve"> </w:t>
      </w:r>
      <w:r>
        <w:t>review.</w:t>
      </w:r>
    </w:p>
    <w:p w14:paraId="720EE4D9" w14:textId="77777777" w:rsidR="004B2C61" w:rsidRDefault="004B2C61">
      <w:pPr>
        <w:pStyle w:val="BodyText"/>
      </w:pPr>
    </w:p>
    <w:p w14:paraId="406E55F6" w14:textId="77777777" w:rsidR="004B2C61" w:rsidRDefault="00E526DE">
      <w:pPr>
        <w:pStyle w:val="ListParagraph"/>
        <w:numPr>
          <w:ilvl w:val="0"/>
          <w:numId w:val="1"/>
        </w:numPr>
        <w:tabs>
          <w:tab w:val="left" w:pos="839"/>
          <w:tab w:val="left" w:pos="840"/>
        </w:tabs>
        <w:spacing w:before="1"/>
        <w:ind w:right="658" w:firstLine="0"/>
        <w:rPr>
          <w:sz w:val="24"/>
        </w:rPr>
      </w:pPr>
      <w:r>
        <w:rPr>
          <w:sz w:val="24"/>
          <w:u w:val="single"/>
        </w:rPr>
        <w:t>Current Utilization Rates</w:t>
      </w:r>
      <w:r>
        <w:rPr>
          <w:sz w:val="24"/>
        </w:rPr>
        <w:t>. The following represen</w:t>
      </w:r>
      <w:r>
        <w:rPr>
          <w:sz w:val="24"/>
        </w:rPr>
        <w:t xml:space="preserve">ts the monthly volume at </w:t>
      </w:r>
      <w:proofErr w:type="spellStart"/>
      <w:r>
        <w:rPr>
          <w:sz w:val="24"/>
        </w:rPr>
        <w:t>Norcap</w:t>
      </w:r>
      <w:proofErr w:type="spellEnd"/>
      <w:r>
        <w:rPr>
          <w:sz w:val="24"/>
        </w:rPr>
        <w:t xml:space="preserve"> over the last year through August</w:t>
      </w:r>
      <w:r>
        <w:rPr>
          <w:spacing w:val="-3"/>
          <w:sz w:val="24"/>
        </w:rPr>
        <w:t xml:space="preserve"> </w:t>
      </w:r>
      <w:r>
        <w:rPr>
          <w:sz w:val="24"/>
        </w:rPr>
        <w:t>2020.</w:t>
      </w:r>
    </w:p>
    <w:p w14:paraId="63E4A564" w14:textId="77777777" w:rsidR="004B2C61" w:rsidRDefault="004B2C61">
      <w:pPr>
        <w:pStyle w:val="BodyText"/>
        <w:spacing w:after="1"/>
      </w:pPr>
    </w:p>
    <w:tbl>
      <w:tblPr>
        <w:tblW w:w="0" w:type="auto"/>
        <w:tblInd w:w="20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1"/>
        <w:gridCol w:w="1366"/>
        <w:gridCol w:w="1328"/>
        <w:gridCol w:w="1484"/>
      </w:tblGrid>
      <w:tr w:rsidR="004B2C61" w14:paraId="71A2FC3E" w14:textId="77777777">
        <w:trPr>
          <w:trHeight w:val="318"/>
        </w:trPr>
        <w:tc>
          <w:tcPr>
            <w:tcW w:w="5479" w:type="dxa"/>
            <w:gridSpan w:val="4"/>
          </w:tcPr>
          <w:p w14:paraId="55A9E42A" w14:textId="77777777" w:rsidR="004B2C61" w:rsidRDefault="00E526DE">
            <w:pPr>
              <w:pStyle w:val="TableParagraph"/>
              <w:spacing w:before="42"/>
              <w:ind w:left="988"/>
              <w:jc w:val="left"/>
              <w:rPr>
                <w:b/>
                <w:sz w:val="24"/>
              </w:rPr>
            </w:pPr>
            <w:proofErr w:type="spellStart"/>
            <w:r>
              <w:rPr>
                <w:b/>
                <w:sz w:val="24"/>
              </w:rPr>
              <w:t>Norcap</w:t>
            </w:r>
            <w:proofErr w:type="spellEnd"/>
            <w:r>
              <w:rPr>
                <w:b/>
                <w:sz w:val="24"/>
              </w:rPr>
              <w:t xml:space="preserve"> ATS Historical Utilization</w:t>
            </w:r>
          </w:p>
        </w:tc>
      </w:tr>
      <w:tr w:rsidR="004B2C61" w14:paraId="07A538A9" w14:textId="77777777">
        <w:trPr>
          <w:trHeight w:val="553"/>
        </w:trPr>
        <w:tc>
          <w:tcPr>
            <w:tcW w:w="1301" w:type="dxa"/>
          </w:tcPr>
          <w:p w14:paraId="14B3C053" w14:textId="77777777" w:rsidR="004B2C61" w:rsidRDefault="004B2C61">
            <w:pPr>
              <w:pStyle w:val="TableParagraph"/>
              <w:spacing w:before="1" w:line="240" w:lineRule="auto"/>
              <w:ind w:left="0"/>
              <w:jc w:val="left"/>
              <w:rPr>
                <w:sz w:val="24"/>
              </w:rPr>
            </w:pPr>
          </w:p>
          <w:p w14:paraId="4EE5F5E9" w14:textId="77777777" w:rsidR="004B2C61" w:rsidRDefault="00E526DE">
            <w:pPr>
              <w:pStyle w:val="TableParagraph"/>
              <w:spacing w:before="0"/>
              <w:jc w:val="left"/>
              <w:rPr>
                <w:b/>
                <w:sz w:val="24"/>
              </w:rPr>
            </w:pPr>
            <w:r>
              <w:rPr>
                <w:b/>
                <w:sz w:val="24"/>
              </w:rPr>
              <w:t>Month</w:t>
            </w:r>
          </w:p>
        </w:tc>
        <w:tc>
          <w:tcPr>
            <w:tcW w:w="1366" w:type="dxa"/>
          </w:tcPr>
          <w:p w14:paraId="6717C99A" w14:textId="77777777" w:rsidR="004B2C61" w:rsidRDefault="00E526DE">
            <w:pPr>
              <w:pStyle w:val="TableParagraph"/>
              <w:spacing w:before="1" w:line="270" w:lineRule="atLeast"/>
              <w:ind w:left="429" w:right="276" w:hanging="113"/>
              <w:jc w:val="left"/>
              <w:rPr>
                <w:b/>
                <w:sz w:val="24"/>
              </w:rPr>
            </w:pPr>
            <w:r>
              <w:rPr>
                <w:b/>
                <w:sz w:val="24"/>
              </w:rPr>
              <w:t>Patient</w:t>
            </w:r>
            <w:r>
              <w:rPr>
                <w:b/>
                <w:w w:val="99"/>
                <w:sz w:val="24"/>
              </w:rPr>
              <w:t xml:space="preserve"> </w:t>
            </w:r>
            <w:r>
              <w:rPr>
                <w:b/>
                <w:sz w:val="24"/>
              </w:rPr>
              <w:t>Days</w:t>
            </w:r>
          </w:p>
        </w:tc>
        <w:tc>
          <w:tcPr>
            <w:tcW w:w="1328" w:type="dxa"/>
          </w:tcPr>
          <w:p w14:paraId="169E109C" w14:textId="77777777" w:rsidR="004B2C61" w:rsidRDefault="004B2C61">
            <w:pPr>
              <w:pStyle w:val="TableParagraph"/>
              <w:spacing w:before="1" w:line="240" w:lineRule="auto"/>
              <w:ind w:left="0"/>
              <w:jc w:val="left"/>
              <w:rPr>
                <w:sz w:val="24"/>
              </w:rPr>
            </w:pPr>
          </w:p>
          <w:p w14:paraId="48EFE738" w14:textId="77777777" w:rsidR="004B2C61" w:rsidRDefault="00E526DE">
            <w:pPr>
              <w:pStyle w:val="TableParagraph"/>
              <w:spacing w:before="0"/>
              <w:ind w:left="381" w:right="367"/>
              <w:rPr>
                <w:b/>
                <w:sz w:val="24"/>
              </w:rPr>
            </w:pPr>
            <w:r>
              <w:rPr>
                <w:b/>
                <w:sz w:val="24"/>
              </w:rPr>
              <w:t>ADC</w:t>
            </w:r>
          </w:p>
        </w:tc>
        <w:tc>
          <w:tcPr>
            <w:tcW w:w="1484" w:type="dxa"/>
          </w:tcPr>
          <w:p w14:paraId="3686322D" w14:textId="77777777" w:rsidR="004B2C61" w:rsidRDefault="004B2C61">
            <w:pPr>
              <w:pStyle w:val="TableParagraph"/>
              <w:spacing w:before="1" w:line="240" w:lineRule="auto"/>
              <w:ind w:left="0"/>
              <w:jc w:val="left"/>
              <w:rPr>
                <w:sz w:val="24"/>
              </w:rPr>
            </w:pPr>
          </w:p>
          <w:p w14:paraId="553FB23A" w14:textId="77777777" w:rsidR="004B2C61" w:rsidRDefault="00E526DE">
            <w:pPr>
              <w:pStyle w:val="TableParagraph"/>
              <w:spacing w:before="0"/>
              <w:ind w:left="86" w:right="71"/>
              <w:rPr>
                <w:b/>
                <w:sz w:val="24"/>
              </w:rPr>
            </w:pPr>
            <w:r>
              <w:rPr>
                <w:b/>
                <w:sz w:val="24"/>
              </w:rPr>
              <w:t>Occupancy*</w:t>
            </w:r>
          </w:p>
        </w:tc>
      </w:tr>
      <w:tr w:rsidR="004B2C61" w14:paraId="07801E0A" w14:textId="77777777">
        <w:trPr>
          <w:trHeight w:val="318"/>
        </w:trPr>
        <w:tc>
          <w:tcPr>
            <w:tcW w:w="1301" w:type="dxa"/>
          </w:tcPr>
          <w:p w14:paraId="687B59D9" w14:textId="77777777" w:rsidR="004B2C61" w:rsidRDefault="00E526DE">
            <w:pPr>
              <w:pStyle w:val="TableParagraph"/>
              <w:spacing w:before="42"/>
              <w:jc w:val="left"/>
              <w:rPr>
                <w:sz w:val="24"/>
              </w:rPr>
            </w:pPr>
            <w:r>
              <w:rPr>
                <w:sz w:val="24"/>
              </w:rPr>
              <w:t>Aug-19</w:t>
            </w:r>
          </w:p>
        </w:tc>
        <w:tc>
          <w:tcPr>
            <w:tcW w:w="1366" w:type="dxa"/>
          </w:tcPr>
          <w:p w14:paraId="5F32CB59" w14:textId="77777777" w:rsidR="004B2C61" w:rsidRDefault="00E526DE">
            <w:pPr>
              <w:pStyle w:val="TableParagraph"/>
              <w:spacing w:before="42"/>
              <w:ind w:left="332" w:right="314"/>
              <w:rPr>
                <w:sz w:val="24"/>
              </w:rPr>
            </w:pPr>
            <w:r>
              <w:rPr>
                <w:sz w:val="24"/>
              </w:rPr>
              <w:t>1,073</w:t>
            </w:r>
          </w:p>
        </w:tc>
        <w:tc>
          <w:tcPr>
            <w:tcW w:w="1328" w:type="dxa"/>
          </w:tcPr>
          <w:p w14:paraId="3AAFF64A" w14:textId="77777777" w:rsidR="004B2C61" w:rsidRDefault="00E526DE">
            <w:pPr>
              <w:pStyle w:val="TableParagraph"/>
              <w:spacing w:before="42"/>
              <w:ind w:left="381" w:right="364"/>
              <w:rPr>
                <w:sz w:val="24"/>
              </w:rPr>
            </w:pPr>
            <w:r>
              <w:rPr>
                <w:sz w:val="24"/>
              </w:rPr>
              <w:t>34.6</w:t>
            </w:r>
          </w:p>
        </w:tc>
        <w:tc>
          <w:tcPr>
            <w:tcW w:w="1484" w:type="dxa"/>
          </w:tcPr>
          <w:p w14:paraId="0B885060" w14:textId="77777777" w:rsidR="004B2C61" w:rsidRDefault="00E526DE">
            <w:pPr>
              <w:pStyle w:val="TableParagraph"/>
              <w:spacing w:before="42"/>
              <w:ind w:left="84" w:right="71"/>
              <w:rPr>
                <w:sz w:val="24"/>
              </w:rPr>
            </w:pPr>
            <w:r>
              <w:rPr>
                <w:sz w:val="24"/>
              </w:rPr>
              <w:t>80%</w:t>
            </w:r>
          </w:p>
        </w:tc>
      </w:tr>
      <w:tr w:rsidR="004B2C61" w14:paraId="71FE8BB5" w14:textId="77777777">
        <w:trPr>
          <w:trHeight w:val="320"/>
        </w:trPr>
        <w:tc>
          <w:tcPr>
            <w:tcW w:w="1301" w:type="dxa"/>
          </w:tcPr>
          <w:p w14:paraId="590D0AB9" w14:textId="77777777" w:rsidR="004B2C61" w:rsidRDefault="00E526DE">
            <w:pPr>
              <w:pStyle w:val="TableParagraph"/>
              <w:jc w:val="left"/>
              <w:rPr>
                <w:sz w:val="24"/>
              </w:rPr>
            </w:pPr>
            <w:r>
              <w:rPr>
                <w:sz w:val="24"/>
              </w:rPr>
              <w:t>Sep-19</w:t>
            </w:r>
          </w:p>
        </w:tc>
        <w:tc>
          <w:tcPr>
            <w:tcW w:w="1366" w:type="dxa"/>
          </w:tcPr>
          <w:p w14:paraId="646131AC" w14:textId="77777777" w:rsidR="004B2C61" w:rsidRDefault="00E526DE">
            <w:pPr>
              <w:pStyle w:val="TableParagraph"/>
              <w:ind w:left="332" w:right="312"/>
              <w:rPr>
                <w:sz w:val="24"/>
              </w:rPr>
            </w:pPr>
            <w:r>
              <w:rPr>
                <w:sz w:val="24"/>
              </w:rPr>
              <w:t>928</w:t>
            </w:r>
          </w:p>
        </w:tc>
        <w:tc>
          <w:tcPr>
            <w:tcW w:w="1328" w:type="dxa"/>
          </w:tcPr>
          <w:p w14:paraId="7FBB84D9" w14:textId="77777777" w:rsidR="004B2C61" w:rsidRDefault="00E526DE">
            <w:pPr>
              <w:pStyle w:val="TableParagraph"/>
              <w:ind w:left="381" w:right="364"/>
              <w:rPr>
                <w:sz w:val="24"/>
              </w:rPr>
            </w:pPr>
            <w:r>
              <w:rPr>
                <w:sz w:val="24"/>
              </w:rPr>
              <w:t>30.9</w:t>
            </w:r>
          </w:p>
        </w:tc>
        <w:tc>
          <w:tcPr>
            <w:tcW w:w="1484" w:type="dxa"/>
          </w:tcPr>
          <w:p w14:paraId="57E47237" w14:textId="77777777" w:rsidR="004B2C61" w:rsidRDefault="00E526DE">
            <w:pPr>
              <w:pStyle w:val="TableParagraph"/>
              <w:ind w:left="84" w:right="71"/>
              <w:rPr>
                <w:sz w:val="24"/>
              </w:rPr>
            </w:pPr>
            <w:r>
              <w:rPr>
                <w:sz w:val="24"/>
              </w:rPr>
              <w:t>72%</w:t>
            </w:r>
          </w:p>
        </w:tc>
      </w:tr>
      <w:tr w:rsidR="004B2C61" w14:paraId="375F7C8D" w14:textId="77777777">
        <w:trPr>
          <w:trHeight w:val="320"/>
        </w:trPr>
        <w:tc>
          <w:tcPr>
            <w:tcW w:w="1301" w:type="dxa"/>
          </w:tcPr>
          <w:p w14:paraId="4D4295E4" w14:textId="77777777" w:rsidR="004B2C61" w:rsidRDefault="00E526DE">
            <w:pPr>
              <w:pStyle w:val="TableParagraph"/>
              <w:jc w:val="left"/>
              <w:rPr>
                <w:sz w:val="24"/>
              </w:rPr>
            </w:pPr>
            <w:r>
              <w:rPr>
                <w:sz w:val="24"/>
              </w:rPr>
              <w:t>Oct-19</w:t>
            </w:r>
          </w:p>
        </w:tc>
        <w:tc>
          <w:tcPr>
            <w:tcW w:w="1366" w:type="dxa"/>
          </w:tcPr>
          <w:p w14:paraId="0E7D1E7A" w14:textId="77777777" w:rsidR="004B2C61" w:rsidRDefault="00E526DE">
            <w:pPr>
              <w:pStyle w:val="TableParagraph"/>
              <w:ind w:left="332" w:right="314"/>
              <w:rPr>
                <w:sz w:val="24"/>
              </w:rPr>
            </w:pPr>
            <w:r>
              <w:rPr>
                <w:sz w:val="24"/>
              </w:rPr>
              <w:t>1,013</w:t>
            </w:r>
          </w:p>
        </w:tc>
        <w:tc>
          <w:tcPr>
            <w:tcW w:w="1328" w:type="dxa"/>
          </w:tcPr>
          <w:p w14:paraId="7106EF35" w14:textId="77777777" w:rsidR="004B2C61" w:rsidRDefault="00E526DE">
            <w:pPr>
              <w:pStyle w:val="TableParagraph"/>
              <w:ind w:left="381" w:right="364"/>
              <w:rPr>
                <w:sz w:val="24"/>
              </w:rPr>
            </w:pPr>
            <w:r>
              <w:rPr>
                <w:sz w:val="24"/>
              </w:rPr>
              <w:t>32.7</w:t>
            </w:r>
          </w:p>
        </w:tc>
        <w:tc>
          <w:tcPr>
            <w:tcW w:w="1484" w:type="dxa"/>
          </w:tcPr>
          <w:p w14:paraId="3213A9A2" w14:textId="77777777" w:rsidR="004B2C61" w:rsidRDefault="00E526DE">
            <w:pPr>
              <w:pStyle w:val="TableParagraph"/>
              <w:ind w:left="84" w:right="71"/>
              <w:rPr>
                <w:sz w:val="24"/>
              </w:rPr>
            </w:pPr>
            <w:r>
              <w:rPr>
                <w:sz w:val="24"/>
              </w:rPr>
              <w:t>76%</w:t>
            </w:r>
          </w:p>
        </w:tc>
      </w:tr>
      <w:tr w:rsidR="004B2C61" w14:paraId="1590931A" w14:textId="77777777">
        <w:trPr>
          <w:trHeight w:val="318"/>
        </w:trPr>
        <w:tc>
          <w:tcPr>
            <w:tcW w:w="1301" w:type="dxa"/>
          </w:tcPr>
          <w:p w14:paraId="6539F8C0" w14:textId="77777777" w:rsidR="004B2C61" w:rsidRDefault="00E526DE">
            <w:pPr>
              <w:pStyle w:val="TableParagraph"/>
              <w:spacing w:before="42"/>
              <w:jc w:val="left"/>
              <w:rPr>
                <w:sz w:val="24"/>
              </w:rPr>
            </w:pPr>
            <w:r>
              <w:rPr>
                <w:sz w:val="24"/>
              </w:rPr>
              <w:t>Nov-19</w:t>
            </w:r>
          </w:p>
        </w:tc>
        <w:tc>
          <w:tcPr>
            <w:tcW w:w="1366" w:type="dxa"/>
          </w:tcPr>
          <w:p w14:paraId="7C08BB2F" w14:textId="77777777" w:rsidR="004B2C61" w:rsidRDefault="00E526DE">
            <w:pPr>
              <w:pStyle w:val="TableParagraph"/>
              <w:spacing w:before="42"/>
              <w:ind w:left="332" w:right="312"/>
              <w:rPr>
                <w:sz w:val="24"/>
              </w:rPr>
            </w:pPr>
            <w:r>
              <w:rPr>
                <w:sz w:val="24"/>
              </w:rPr>
              <w:t>850</w:t>
            </w:r>
          </w:p>
        </w:tc>
        <w:tc>
          <w:tcPr>
            <w:tcW w:w="1328" w:type="dxa"/>
          </w:tcPr>
          <w:p w14:paraId="7601E751" w14:textId="77777777" w:rsidR="004B2C61" w:rsidRDefault="00E526DE">
            <w:pPr>
              <w:pStyle w:val="TableParagraph"/>
              <w:spacing w:before="42"/>
              <w:ind w:left="381" w:right="364"/>
              <w:rPr>
                <w:sz w:val="24"/>
              </w:rPr>
            </w:pPr>
            <w:r>
              <w:rPr>
                <w:sz w:val="24"/>
              </w:rPr>
              <w:t>28.3</w:t>
            </w:r>
          </w:p>
        </w:tc>
        <w:tc>
          <w:tcPr>
            <w:tcW w:w="1484" w:type="dxa"/>
          </w:tcPr>
          <w:p w14:paraId="42140856" w14:textId="77777777" w:rsidR="004B2C61" w:rsidRDefault="00E526DE">
            <w:pPr>
              <w:pStyle w:val="TableParagraph"/>
              <w:spacing w:before="42"/>
              <w:ind w:left="84" w:right="71"/>
              <w:rPr>
                <w:sz w:val="24"/>
              </w:rPr>
            </w:pPr>
            <w:r>
              <w:rPr>
                <w:sz w:val="24"/>
              </w:rPr>
              <w:t>66%</w:t>
            </w:r>
          </w:p>
        </w:tc>
      </w:tr>
      <w:tr w:rsidR="004B2C61" w14:paraId="36E77BE7" w14:textId="77777777">
        <w:trPr>
          <w:trHeight w:val="320"/>
        </w:trPr>
        <w:tc>
          <w:tcPr>
            <w:tcW w:w="1301" w:type="dxa"/>
          </w:tcPr>
          <w:p w14:paraId="66680756" w14:textId="77777777" w:rsidR="004B2C61" w:rsidRDefault="00E526DE">
            <w:pPr>
              <w:pStyle w:val="TableParagraph"/>
              <w:jc w:val="left"/>
              <w:rPr>
                <w:sz w:val="24"/>
              </w:rPr>
            </w:pPr>
            <w:r>
              <w:rPr>
                <w:sz w:val="24"/>
              </w:rPr>
              <w:t>Dec-19</w:t>
            </w:r>
          </w:p>
        </w:tc>
        <w:tc>
          <w:tcPr>
            <w:tcW w:w="1366" w:type="dxa"/>
          </w:tcPr>
          <w:p w14:paraId="3FEE659A" w14:textId="77777777" w:rsidR="004B2C61" w:rsidRDefault="00E526DE">
            <w:pPr>
              <w:pStyle w:val="TableParagraph"/>
              <w:ind w:left="332" w:right="312"/>
              <w:rPr>
                <w:sz w:val="24"/>
              </w:rPr>
            </w:pPr>
            <w:r>
              <w:rPr>
                <w:sz w:val="24"/>
              </w:rPr>
              <w:t>778</w:t>
            </w:r>
          </w:p>
        </w:tc>
        <w:tc>
          <w:tcPr>
            <w:tcW w:w="1328" w:type="dxa"/>
          </w:tcPr>
          <w:p w14:paraId="37BCAC59" w14:textId="77777777" w:rsidR="004B2C61" w:rsidRDefault="00E526DE">
            <w:pPr>
              <w:pStyle w:val="TableParagraph"/>
              <w:ind w:left="381" w:right="364"/>
              <w:rPr>
                <w:sz w:val="24"/>
              </w:rPr>
            </w:pPr>
            <w:r>
              <w:rPr>
                <w:sz w:val="24"/>
              </w:rPr>
              <w:t>25.1</w:t>
            </w:r>
          </w:p>
        </w:tc>
        <w:tc>
          <w:tcPr>
            <w:tcW w:w="1484" w:type="dxa"/>
          </w:tcPr>
          <w:p w14:paraId="5C2C9F48" w14:textId="77777777" w:rsidR="004B2C61" w:rsidRDefault="00E526DE">
            <w:pPr>
              <w:pStyle w:val="TableParagraph"/>
              <w:ind w:left="84" w:right="71"/>
              <w:rPr>
                <w:sz w:val="24"/>
              </w:rPr>
            </w:pPr>
            <w:r>
              <w:rPr>
                <w:sz w:val="24"/>
              </w:rPr>
              <w:t>58%</w:t>
            </w:r>
          </w:p>
        </w:tc>
      </w:tr>
      <w:tr w:rsidR="004B2C61" w14:paraId="48FE7DFA" w14:textId="77777777">
        <w:trPr>
          <w:trHeight w:val="321"/>
        </w:trPr>
        <w:tc>
          <w:tcPr>
            <w:tcW w:w="1301" w:type="dxa"/>
            <w:tcBorders>
              <w:bottom w:val="single" w:sz="4" w:space="0" w:color="000000"/>
            </w:tcBorders>
          </w:tcPr>
          <w:p w14:paraId="69891239" w14:textId="77777777" w:rsidR="004B2C61" w:rsidRDefault="00E526DE">
            <w:pPr>
              <w:pStyle w:val="TableParagraph"/>
              <w:spacing w:line="257" w:lineRule="exact"/>
              <w:jc w:val="left"/>
              <w:rPr>
                <w:sz w:val="24"/>
              </w:rPr>
            </w:pPr>
            <w:r>
              <w:rPr>
                <w:sz w:val="24"/>
              </w:rPr>
              <w:t>Jan-20</w:t>
            </w:r>
          </w:p>
        </w:tc>
        <w:tc>
          <w:tcPr>
            <w:tcW w:w="1366" w:type="dxa"/>
            <w:tcBorders>
              <w:bottom w:val="single" w:sz="4" w:space="0" w:color="000000"/>
            </w:tcBorders>
          </w:tcPr>
          <w:p w14:paraId="4A8D1595" w14:textId="77777777" w:rsidR="004B2C61" w:rsidRDefault="00E526DE">
            <w:pPr>
              <w:pStyle w:val="TableParagraph"/>
              <w:spacing w:line="257" w:lineRule="exact"/>
              <w:ind w:left="332" w:right="312"/>
              <w:rPr>
                <w:sz w:val="24"/>
              </w:rPr>
            </w:pPr>
            <w:r>
              <w:rPr>
                <w:sz w:val="24"/>
              </w:rPr>
              <w:t>913</w:t>
            </w:r>
          </w:p>
        </w:tc>
        <w:tc>
          <w:tcPr>
            <w:tcW w:w="1328" w:type="dxa"/>
            <w:tcBorders>
              <w:bottom w:val="single" w:sz="4" w:space="0" w:color="000000"/>
            </w:tcBorders>
          </w:tcPr>
          <w:p w14:paraId="2181DF28" w14:textId="77777777" w:rsidR="004B2C61" w:rsidRDefault="00E526DE">
            <w:pPr>
              <w:pStyle w:val="TableParagraph"/>
              <w:spacing w:line="257" w:lineRule="exact"/>
              <w:ind w:left="381" w:right="364"/>
              <w:rPr>
                <w:sz w:val="24"/>
              </w:rPr>
            </w:pPr>
            <w:r>
              <w:rPr>
                <w:sz w:val="24"/>
              </w:rPr>
              <w:t>29.5</w:t>
            </w:r>
          </w:p>
        </w:tc>
        <w:tc>
          <w:tcPr>
            <w:tcW w:w="1484" w:type="dxa"/>
            <w:tcBorders>
              <w:bottom w:val="single" w:sz="4" w:space="0" w:color="000000"/>
            </w:tcBorders>
          </w:tcPr>
          <w:p w14:paraId="0E5AB5D6" w14:textId="77777777" w:rsidR="004B2C61" w:rsidRDefault="00E526DE">
            <w:pPr>
              <w:pStyle w:val="TableParagraph"/>
              <w:spacing w:line="257" w:lineRule="exact"/>
              <w:ind w:left="84" w:right="71"/>
              <w:rPr>
                <w:sz w:val="24"/>
              </w:rPr>
            </w:pPr>
            <w:r>
              <w:rPr>
                <w:sz w:val="24"/>
              </w:rPr>
              <w:t>68%</w:t>
            </w:r>
          </w:p>
        </w:tc>
      </w:tr>
    </w:tbl>
    <w:p w14:paraId="6633B23D" w14:textId="77777777" w:rsidR="004B2C61" w:rsidRDefault="004B2C61">
      <w:pPr>
        <w:spacing w:line="257" w:lineRule="exact"/>
        <w:rPr>
          <w:sz w:val="24"/>
        </w:rPr>
        <w:sectPr w:rsidR="004B2C61">
          <w:headerReference w:type="even" r:id="rId9"/>
          <w:headerReference w:type="default" r:id="rId10"/>
          <w:footerReference w:type="even" r:id="rId11"/>
          <w:footerReference w:type="default" r:id="rId12"/>
          <w:headerReference w:type="first" r:id="rId13"/>
          <w:footerReference w:type="first" r:id="rId14"/>
          <w:type w:val="continuous"/>
          <w:pgSz w:w="12240" w:h="15840"/>
          <w:pgMar w:top="680" w:right="780" w:bottom="880" w:left="1320" w:header="720" w:footer="699" w:gutter="0"/>
          <w:cols w:space="720"/>
        </w:sectPr>
      </w:pPr>
    </w:p>
    <w:p w14:paraId="6849C6DE" w14:textId="77777777" w:rsidR="004B2C61" w:rsidRDefault="004B2C61">
      <w:pPr>
        <w:pStyle w:val="BodyText"/>
        <w:rPr>
          <w:sz w:val="20"/>
        </w:rPr>
      </w:pPr>
    </w:p>
    <w:p w14:paraId="715F2463" w14:textId="77777777" w:rsidR="004B2C61" w:rsidRDefault="004B2C61">
      <w:pPr>
        <w:pStyle w:val="BodyText"/>
        <w:spacing w:before="1"/>
      </w:pPr>
    </w:p>
    <w:tbl>
      <w:tblPr>
        <w:tblW w:w="0" w:type="auto"/>
        <w:tblInd w:w="2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1"/>
        <w:gridCol w:w="1366"/>
        <w:gridCol w:w="1328"/>
        <w:gridCol w:w="1484"/>
      </w:tblGrid>
      <w:tr w:rsidR="004B2C61" w14:paraId="14360016" w14:textId="77777777">
        <w:trPr>
          <w:trHeight w:val="318"/>
        </w:trPr>
        <w:tc>
          <w:tcPr>
            <w:tcW w:w="1301" w:type="dxa"/>
            <w:tcBorders>
              <w:left w:val="single" w:sz="8" w:space="0" w:color="000000"/>
              <w:bottom w:val="single" w:sz="8" w:space="0" w:color="000000"/>
              <w:right w:val="single" w:sz="8" w:space="0" w:color="000000"/>
            </w:tcBorders>
          </w:tcPr>
          <w:p w14:paraId="6A03DFD3" w14:textId="77777777" w:rsidR="004B2C61" w:rsidRDefault="00E526DE">
            <w:pPr>
              <w:pStyle w:val="TableParagraph"/>
              <w:spacing w:before="42"/>
              <w:jc w:val="left"/>
              <w:rPr>
                <w:sz w:val="24"/>
              </w:rPr>
            </w:pPr>
            <w:r>
              <w:rPr>
                <w:sz w:val="24"/>
              </w:rPr>
              <w:t>Feb-20</w:t>
            </w:r>
          </w:p>
        </w:tc>
        <w:tc>
          <w:tcPr>
            <w:tcW w:w="1366" w:type="dxa"/>
            <w:tcBorders>
              <w:left w:val="single" w:sz="8" w:space="0" w:color="000000"/>
              <w:bottom w:val="single" w:sz="8" w:space="0" w:color="000000"/>
              <w:right w:val="single" w:sz="8" w:space="0" w:color="000000"/>
            </w:tcBorders>
          </w:tcPr>
          <w:p w14:paraId="31AE9737" w14:textId="77777777" w:rsidR="004B2C61" w:rsidRDefault="00E526DE">
            <w:pPr>
              <w:pStyle w:val="TableParagraph"/>
              <w:spacing w:before="42"/>
              <w:ind w:left="332" w:right="312"/>
              <w:rPr>
                <w:sz w:val="24"/>
              </w:rPr>
            </w:pPr>
            <w:r>
              <w:rPr>
                <w:sz w:val="24"/>
              </w:rPr>
              <w:t>746</w:t>
            </w:r>
          </w:p>
        </w:tc>
        <w:tc>
          <w:tcPr>
            <w:tcW w:w="1328" w:type="dxa"/>
            <w:tcBorders>
              <w:left w:val="single" w:sz="8" w:space="0" w:color="000000"/>
              <w:bottom w:val="single" w:sz="8" w:space="0" w:color="000000"/>
              <w:right w:val="single" w:sz="8" w:space="0" w:color="000000"/>
            </w:tcBorders>
          </w:tcPr>
          <w:p w14:paraId="11EBF299" w14:textId="77777777" w:rsidR="004B2C61" w:rsidRDefault="00E526DE">
            <w:pPr>
              <w:pStyle w:val="TableParagraph"/>
              <w:spacing w:before="42"/>
              <w:ind w:left="381" w:right="364"/>
              <w:rPr>
                <w:sz w:val="24"/>
              </w:rPr>
            </w:pPr>
            <w:r>
              <w:rPr>
                <w:sz w:val="24"/>
              </w:rPr>
              <w:t>25.7</w:t>
            </w:r>
          </w:p>
        </w:tc>
        <w:tc>
          <w:tcPr>
            <w:tcW w:w="1484" w:type="dxa"/>
            <w:tcBorders>
              <w:left w:val="single" w:sz="8" w:space="0" w:color="000000"/>
              <w:bottom w:val="single" w:sz="8" w:space="0" w:color="000000"/>
              <w:right w:val="single" w:sz="8" w:space="0" w:color="000000"/>
            </w:tcBorders>
          </w:tcPr>
          <w:p w14:paraId="23C6945A" w14:textId="77777777" w:rsidR="004B2C61" w:rsidRDefault="00E526DE">
            <w:pPr>
              <w:pStyle w:val="TableParagraph"/>
              <w:spacing w:before="42"/>
              <w:ind w:left="518"/>
              <w:jc w:val="left"/>
              <w:rPr>
                <w:sz w:val="24"/>
              </w:rPr>
            </w:pPr>
            <w:r>
              <w:rPr>
                <w:sz w:val="24"/>
              </w:rPr>
              <w:t>60%</w:t>
            </w:r>
          </w:p>
        </w:tc>
      </w:tr>
      <w:tr w:rsidR="004B2C61" w14:paraId="4C0ADFDD" w14:textId="77777777">
        <w:trPr>
          <w:trHeight w:val="320"/>
        </w:trPr>
        <w:tc>
          <w:tcPr>
            <w:tcW w:w="1301" w:type="dxa"/>
            <w:tcBorders>
              <w:top w:val="single" w:sz="8" w:space="0" w:color="000000"/>
              <w:left w:val="single" w:sz="8" w:space="0" w:color="000000"/>
              <w:bottom w:val="single" w:sz="8" w:space="0" w:color="000000"/>
              <w:right w:val="single" w:sz="8" w:space="0" w:color="000000"/>
            </w:tcBorders>
          </w:tcPr>
          <w:p w14:paraId="76AE1917" w14:textId="77777777" w:rsidR="004B2C61" w:rsidRDefault="00E526DE">
            <w:pPr>
              <w:pStyle w:val="TableParagraph"/>
              <w:jc w:val="left"/>
              <w:rPr>
                <w:sz w:val="24"/>
              </w:rPr>
            </w:pPr>
            <w:r>
              <w:rPr>
                <w:sz w:val="24"/>
              </w:rPr>
              <w:t>Mar-20</w:t>
            </w:r>
          </w:p>
        </w:tc>
        <w:tc>
          <w:tcPr>
            <w:tcW w:w="1366" w:type="dxa"/>
            <w:tcBorders>
              <w:top w:val="single" w:sz="8" w:space="0" w:color="000000"/>
              <w:left w:val="single" w:sz="8" w:space="0" w:color="000000"/>
              <w:bottom w:val="single" w:sz="8" w:space="0" w:color="000000"/>
              <w:right w:val="single" w:sz="8" w:space="0" w:color="000000"/>
            </w:tcBorders>
          </w:tcPr>
          <w:p w14:paraId="1005840A" w14:textId="77777777" w:rsidR="004B2C61" w:rsidRDefault="00E526DE">
            <w:pPr>
              <w:pStyle w:val="TableParagraph"/>
              <w:ind w:left="332" w:right="312"/>
              <w:rPr>
                <w:sz w:val="24"/>
              </w:rPr>
            </w:pPr>
            <w:r>
              <w:rPr>
                <w:sz w:val="24"/>
              </w:rPr>
              <w:t>840</w:t>
            </w:r>
          </w:p>
        </w:tc>
        <w:tc>
          <w:tcPr>
            <w:tcW w:w="1328" w:type="dxa"/>
            <w:tcBorders>
              <w:top w:val="single" w:sz="8" w:space="0" w:color="000000"/>
              <w:left w:val="single" w:sz="8" w:space="0" w:color="000000"/>
              <w:bottom w:val="single" w:sz="8" w:space="0" w:color="000000"/>
              <w:right w:val="single" w:sz="8" w:space="0" w:color="000000"/>
            </w:tcBorders>
          </w:tcPr>
          <w:p w14:paraId="3EA730B3" w14:textId="77777777" w:rsidR="004B2C61" w:rsidRDefault="00E526DE">
            <w:pPr>
              <w:pStyle w:val="TableParagraph"/>
              <w:ind w:left="381" w:right="364"/>
              <w:rPr>
                <w:sz w:val="24"/>
              </w:rPr>
            </w:pPr>
            <w:r>
              <w:rPr>
                <w:sz w:val="24"/>
              </w:rPr>
              <w:t>27.1</w:t>
            </w:r>
          </w:p>
        </w:tc>
        <w:tc>
          <w:tcPr>
            <w:tcW w:w="1484" w:type="dxa"/>
            <w:tcBorders>
              <w:top w:val="single" w:sz="8" w:space="0" w:color="000000"/>
              <w:left w:val="single" w:sz="8" w:space="0" w:color="000000"/>
              <w:bottom w:val="single" w:sz="8" w:space="0" w:color="000000"/>
              <w:right w:val="single" w:sz="8" w:space="0" w:color="000000"/>
            </w:tcBorders>
          </w:tcPr>
          <w:p w14:paraId="2F041E4B" w14:textId="77777777" w:rsidR="004B2C61" w:rsidRDefault="00E526DE">
            <w:pPr>
              <w:pStyle w:val="TableParagraph"/>
              <w:ind w:left="518"/>
              <w:jc w:val="left"/>
              <w:rPr>
                <w:sz w:val="24"/>
              </w:rPr>
            </w:pPr>
            <w:r>
              <w:rPr>
                <w:sz w:val="24"/>
              </w:rPr>
              <w:t>63%</w:t>
            </w:r>
          </w:p>
        </w:tc>
      </w:tr>
      <w:tr w:rsidR="004B2C61" w14:paraId="248E7CDD" w14:textId="77777777">
        <w:trPr>
          <w:trHeight w:val="320"/>
        </w:trPr>
        <w:tc>
          <w:tcPr>
            <w:tcW w:w="1301" w:type="dxa"/>
            <w:tcBorders>
              <w:top w:val="single" w:sz="8" w:space="0" w:color="000000"/>
              <w:left w:val="single" w:sz="8" w:space="0" w:color="000000"/>
              <w:bottom w:val="single" w:sz="8" w:space="0" w:color="000000"/>
              <w:right w:val="single" w:sz="8" w:space="0" w:color="000000"/>
            </w:tcBorders>
          </w:tcPr>
          <w:p w14:paraId="583AF91A" w14:textId="77777777" w:rsidR="004B2C61" w:rsidRDefault="00E526DE">
            <w:pPr>
              <w:pStyle w:val="TableParagraph"/>
              <w:jc w:val="left"/>
              <w:rPr>
                <w:sz w:val="24"/>
              </w:rPr>
            </w:pPr>
            <w:r>
              <w:rPr>
                <w:sz w:val="24"/>
              </w:rPr>
              <w:t>Apr-20</w:t>
            </w:r>
          </w:p>
        </w:tc>
        <w:tc>
          <w:tcPr>
            <w:tcW w:w="1366" w:type="dxa"/>
            <w:tcBorders>
              <w:top w:val="single" w:sz="8" w:space="0" w:color="000000"/>
              <w:left w:val="single" w:sz="8" w:space="0" w:color="000000"/>
              <w:bottom w:val="single" w:sz="8" w:space="0" w:color="000000"/>
              <w:right w:val="single" w:sz="8" w:space="0" w:color="000000"/>
            </w:tcBorders>
          </w:tcPr>
          <w:p w14:paraId="69732FC9" w14:textId="77777777" w:rsidR="004B2C61" w:rsidRDefault="00E526DE">
            <w:pPr>
              <w:pStyle w:val="TableParagraph"/>
              <w:ind w:left="332" w:right="312"/>
              <w:rPr>
                <w:sz w:val="24"/>
              </w:rPr>
            </w:pPr>
            <w:r>
              <w:rPr>
                <w:sz w:val="24"/>
              </w:rPr>
              <w:t>558</w:t>
            </w:r>
          </w:p>
        </w:tc>
        <w:tc>
          <w:tcPr>
            <w:tcW w:w="1328" w:type="dxa"/>
            <w:tcBorders>
              <w:top w:val="single" w:sz="8" w:space="0" w:color="000000"/>
              <w:left w:val="single" w:sz="8" w:space="0" w:color="000000"/>
              <w:bottom w:val="single" w:sz="8" w:space="0" w:color="000000"/>
              <w:right w:val="single" w:sz="8" w:space="0" w:color="000000"/>
            </w:tcBorders>
          </w:tcPr>
          <w:p w14:paraId="02FD2DF4" w14:textId="77777777" w:rsidR="004B2C61" w:rsidRDefault="00E526DE">
            <w:pPr>
              <w:pStyle w:val="TableParagraph"/>
              <w:ind w:left="381" w:right="364"/>
              <w:rPr>
                <w:sz w:val="24"/>
              </w:rPr>
            </w:pPr>
            <w:r>
              <w:rPr>
                <w:sz w:val="24"/>
              </w:rPr>
              <w:t>18.6</w:t>
            </w:r>
          </w:p>
        </w:tc>
        <w:tc>
          <w:tcPr>
            <w:tcW w:w="1484" w:type="dxa"/>
            <w:tcBorders>
              <w:top w:val="single" w:sz="8" w:space="0" w:color="000000"/>
              <w:left w:val="single" w:sz="8" w:space="0" w:color="000000"/>
              <w:bottom w:val="single" w:sz="8" w:space="0" w:color="000000"/>
              <w:right w:val="single" w:sz="8" w:space="0" w:color="000000"/>
            </w:tcBorders>
          </w:tcPr>
          <w:p w14:paraId="45D8ADC0" w14:textId="77777777" w:rsidR="004B2C61" w:rsidRDefault="00E526DE">
            <w:pPr>
              <w:pStyle w:val="TableParagraph"/>
              <w:ind w:left="518"/>
              <w:jc w:val="left"/>
              <w:rPr>
                <w:sz w:val="24"/>
              </w:rPr>
            </w:pPr>
            <w:r>
              <w:rPr>
                <w:sz w:val="24"/>
              </w:rPr>
              <w:t>43%</w:t>
            </w:r>
          </w:p>
        </w:tc>
      </w:tr>
      <w:tr w:rsidR="004B2C61" w14:paraId="3519A8BF" w14:textId="77777777">
        <w:trPr>
          <w:trHeight w:val="318"/>
        </w:trPr>
        <w:tc>
          <w:tcPr>
            <w:tcW w:w="1301" w:type="dxa"/>
            <w:tcBorders>
              <w:top w:val="single" w:sz="8" w:space="0" w:color="000000"/>
              <w:left w:val="single" w:sz="8" w:space="0" w:color="000000"/>
              <w:bottom w:val="single" w:sz="8" w:space="0" w:color="000000"/>
              <w:right w:val="single" w:sz="8" w:space="0" w:color="000000"/>
            </w:tcBorders>
          </w:tcPr>
          <w:p w14:paraId="0958FA2A" w14:textId="77777777" w:rsidR="004B2C61" w:rsidRDefault="00E526DE">
            <w:pPr>
              <w:pStyle w:val="TableParagraph"/>
              <w:spacing w:before="42"/>
              <w:jc w:val="left"/>
              <w:rPr>
                <w:sz w:val="24"/>
              </w:rPr>
            </w:pPr>
            <w:r>
              <w:rPr>
                <w:sz w:val="24"/>
              </w:rPr>
              <w:t>May-20</w:t>
            </w:r>
          </w:p>
        </w:tc>
        <w:tc>
          <w:tcPr>
            <w:tcW w:w="1366" w:type="dxa"/>
            <w:tcBorders>
              <w:top w:val="single" w:sz="8" w:space="0" w:color="000000"/>
              <w:left w:val="single" w:sz="8" w:space="0" w:color="000000"/>
              <w:bottom w:val="single" w:sz="8" w:space="0" w:color="000000"/>
              <w:right w:val="single" w:sz="8" w:space="0" w:color="000000"/>
            </w:tcBorders>
          </w:tcPr>
          <w:p w14:paraId="3581C280" w14:textId="77777777" w:rsidR="004B2C61" w:rsidRDefault="00E526DE">
            <w:pPr>
              <w:pStyle w:val="TableParagraph"/>
              <w:spacing w:before="42"/>
              <w:ind w:left="332" w:right="312"/>
              <w:rPr>
                <w:sz w:val="24"/>
              </w:rPr>
            </w:pPr>
            <w:r>
              <w:rPr>
                <w:sz w:val="24"/>
              </w:rPr>
              <w:t>659</w:t>
            </w:r>
          </w:p>
        </w:tc>
        <w:tc>
          <w:tcPr>
            <w:tcW w:w="1328" w:type="dxa"/>
            <w:tcBorders>
              <w:top w:val="single" w:sz="8" w:space="0" w:color="000000"/>
              <w:left w:val="single" w:sz="8" w:space="0" w:color="000000"/>
              <w:bottom w:val="single" w:sz="8" w:space="0" w:color="000000"/>
              <w:right w:val="single" w:sz="8" w:space="0" w:color="000000"/>
            </w:tcBorders>
          </w:tcPr>
          <w:p w14:paraId="4E0F668A" w14:textId="77777777" w:rsidR="004B2C61" w:rsidRDefault="00E526DE">
            <w:pPr>
              <w:pStyle w:val="TableParagraph"/>
              <w:spacing w:before="42"/>
              <w:ind w:left="381" w:right="364"/>
              <w:rPr>
                <w:sz w:val="24"/>
              </w:rPr>
            </w:pPr>
            <w:r>
              <w:rPr>
                <w:sz w:val="24"/>
              </w:rPr>
              <w:t>21.3</w:t>
            </w:r>
          </w:p>
        </w:tc>
        <w:tc>
          <w:tcPr>
            <w:tcW w:w="1484" w:type="dxa"/>
            <w:tcBorders>
              <w:top w:val="single" w:sz="8" w:space="0" w:color="000000"/>
              <w:left w:val="single" w:sz="8" w:space="0" w:color="000000"/>
              <w:bottom w:val="single" w:sz="8" w:space="0" w:color="000000"/>
              <w:right w:val="single" w:sz="8" w:space="0" w:color="000000"/>
            </w:tcBorders>
          </w:tcPr>
          <w:p w14:paraId="3FDDA542" w14:textId="77777777" w:rsidR="004B2C61" w:rsidRDefault="00E526DE">
            <w:pPr>
              <w:pStyle w:val="TableParagraph"/>
              <w:spacing w:before="42"/>
              <w:ind w:left="518"/>
              <w:jc w:val="left"/>
              <w:rPr>
                <w:sz w:val="24"/>
              </w:rPr>
            </w:pPr>
            <w:r>
              <w:rPr>
                <w:sz w:val="24"/>
              </w:rPr>
              <w:t>49%</w:t>
            </w:r>
          </w:p>
        </w:tc>
      </w:tr>
      <w:tr w:rsidR="004B2C61" w14:paraId="5D371D12" w14:textId="77777777">
        <w:trPr>
          <w:trHeight w:val="320"/>
        </w:trPr>
        <w:tc>
          <w:tcPr>
            <w:tcW w:w="1301" w:type="dxa"/>
            <w:tcBorders>
              <w:top w:val="single" w:sz="8" w:space="0" w:color="000000"/>
              <w:left w:val="single" w:sz="8" w:space="0" w:color="000000"/>
              <w:bottom w:val="single" w:sz="8" w:space="0" w:color="000000"/>
              <w:right w:val="single" w:sz="8" w:space="0" w:color="000000"/>
            </w:tcBorders>
          </w:tcPr>
          <w:p w14:paraId="346B8413" w14:textId="77777777" w:rsidR="004B2C61" w:rsidRDefault="00E526DE">
            <w:pPr>
              <w:pStyle w:val="TableParagraph"/>
              <w:jc w:val="left"/>
              <w:rPr>
                <w:sz w:val="24"/>
              </w:rPr>
            </w:pPr>
            <w:r>
              <w:rPr>
                <w:sz w:val="24"/>
              </w:rPr>
              <w:t>Jun-20</w:t>
            </w:r>
          </w:p>
        </w:tc>
        <w:tc>
          <w:tcPr>
            <w:tcW w:w="1366" w:type="dxa"/>
            <w:tcBorders>
              <w:top w:val="single" w:sz="8" w:space="0" w:color="000000"/>
              <w:left w:val="single" w:sz="8" w:space="0" w:color="000000"/>
              <w:bottom w:val="single" w:sz="8" w:space="0" w:color="000000"/>
              <w:right w:val="single" w:sz="8" w:space="0" w:color="000000"/>
            </w:tcBorders>
          </w:tcPr>
          <w:p w14:paraId="1BB69AD5" w14:textId="77777777" w:rsidR="004B2C61" w:rsidRDefault="00E526DE">
            <w:pPr>
              <w:pStyle w:val="TableParagraph"/>
              <w:ind w:left="332" w:right="312"/>
              <w:rPr>
                <w:sz w:val="24"/>
              </w:rPr>
            </w:pPr>
            <w:r>
              <w:rPr>
                <w:sz w:val="24"/>
              </w:rPr>
              <w:t>584</w:t>
            </w:r>
          </w:p>
        </w:tc>
        <w:tc>
          <w:tcPr>
            <w:tcW w:w="1328" w:type="dxa"/>
            <w:tcBorders>
              <w:top w:val="single" w:sz="8" w:space="0" w:color="000000"/>
              <w:left w:val="single" w:sz="8" w:space="0" w:color="000000"/>
              <w:bottom w:val="single" w:sz="8" w:space="0" w:color="000000"/>
              <w:right w:val="single" w:sz="8" w:space="0" w:color="000000"/>
            </w:tcBorders>
          </w:tcPr>
          <w:p w14:paraId="475E8D42" w14:textId="77777777" w:rsidR="004B2C61" w:rsidRDefault="00E526DE">
            <w:pPr>
              <w:pStyle w:val="TableParagraph"/>
              <w:ind w:left="381" w:right="364"/>
              <w:rPr>
                <w:sz w:val="24"/>
              </w:rPr>
            </w:pPr>
            <w:r>
              <w:rPr>
                <w:sz w:val="24"/>
              </w:rPr>
              <w:t>19.5</w:t>
            </w:r>
          </w:p>
        </w:tc>
        <w:tc>
          <w:tcPr>
            <w:tcW w:w="1484" w:type="dxa"/>
            <w:tcBorders>
              <w:top w:val="single" w:sz="8" w:space="0" w:color="000000"/>
              <w:left w:val="single" w:sz="8" w:space="0" w:color="000000"/>
              <w:bottom w:val="single" w:sz="8" w:space="0" w:color="000000"/>
              <w:right w:val="single" w:sz="8" w:space="0" w:color="000000"/>
            </w:tcBorders>
          </w:tcPr>
          <w:p w14:paraId="115DF971" w14:textId="77777777" w:rsidR="004B2C61" w:rsidRDefault="00E526DE">
            <w:pPr>
              <w:pStyle w:val="TableParagraph"/>
              <w:ind w:left="518"/>
              <w:jc w:val="left"/>
              <w:rPr>
                <w:sz w:val="24"/>
              </w:rPr>
            </w:pPr>
            <w:r>
              <w:rPr>
                <w:sz w:val="24"/>
              </w:rPr>
              <w:t>45%</w:t>
            </w:r>
          </w:p>
        </w:tc>
      </w:tr>
      <w:tr w:rsidR="004B2C61" w14:paraId="50F53810" w14:textId="77777777">
        <w:trPr>
          <w:trHeight w:val="320"/>
        </w:trPr>
        <w:tc>
          <w:tcPr>
            <w:tcW w:w="1301" w:type="dxa"/>
            <w:tcBorders>
              <w:top w:val="single" w:sz="8" w:space="0" w:color="000000"/>
              <w:left w:val="single" w:sz="8" w:space="0" w:color="000000"/>
              <w:bottom w:val="single" w:sz="8" w:space="0" w:color="000000"/>
              <w:right w:val="single" w:sz="8" w:space="0" w:color="000000"/>
            </w:tcBorders>
          </w:tcPr>
          <w:p w14:paraId="26631E26" w14:textId="77777777" w:rsidR="004B2C61" w:rsidRDefault="00E526DE">
            <w:pPr>
              <w:pStyle w:val="TableParagraph"/>
              <w:jc w:val="left"/>
              <w:rPr>
                <w:sz w:val="24"/>
              </w:rPr>
            </w:pPr>
            <w:r>
              <w:rPr>
                <w:sz w:val="24"/>
              </w:rPr>
              <w:t>Jul-20</w:t>
            </w:r>
          </w:p>
        </w:tc>
        <w:tc>
          <w:tcPr>
            <w:tcW w:w="1366" w:type="dxa"/>
            <w:tcBorders>
              <w:top w:val="single" w:sz="8" w:space="0" w:color="000000"/>
              <w:left w:val="single" w:sz="8" w:space="0" w:color="000000"/>
              <w:bottom w:val="single" w:sz="8" w:space="0" w:color="000000"/>
              <w:right w:val="single" w:sz="8" w:space="0" w:color="000000"/>
            </w:tcBorders>
          </w:tcPr>
          <w:p w14:paraId="43884CC7" w14:textId="77777777" w:rsidR="004B2C61" w:rsidRDefault="00E526DE">
            <w:pPr>
              <w:pStyle w:val="TableParagraph"/>
              <w:ind w:left="332" w:right="312"/>
              <w:rPr>
                <w:sz w:val="24"/>
              </w:rPr>
            </w:pPr>
            <w:r>
              <w:rPr>
                <w:sz w:val="24"/>
              </w:rPr>
              <w:t>692</w:t>
            </w:r>
          </w:p>
        </w:tc>
        <w:tc>
          <w:tcPr>
            <w:tcW w:w="1328" w:type="dxa"/>
            <w:tcBorders>
              <w:top w:val="single" w:sz="8" w:space="0" w:color="000000"/>
              <w:left w:val="single" w:sz="8" w:space="0" w:color="000000"/>
              <w:bottom w:val="single" w:sz="8" w:space="0" w:color="000000"/>
              <w:right w:val="single" w:sz="8" w:space="0" w:color="000000"/>
            </w:tcBorders>
          </w:tcPr>
          <w:p w14:paraId="5EF6583D" w14:textId="77777777" w:rsidR="004B2C61" w:rsidRDefault="00E526DE">
            <w:pPr>
              <w:pStyle w:val="TableParagraph"/>
              <w:ind w:left="381" w:right="364"/>
              <w:rPr>
                <w:sz w:val="24"/>
              </w:rPr>
            </w:pPr>
            <w:r>
              <w:rPr>
                <w:sz w:val="24"/>
              </w:rPr>
              <w:t>22.3</w:t>
            </w:r>
          </w:p>
        </w:tc>
        <w:tc>
          <w:tcPr>
            <w:tcW w:w="1484" w:type="dxa"/>
            <w:tcBorders>
              <w:top w:val="single" w:sz="8" w:space="0" w:color="000000"/>
              <w:left w:val="single" w:sz="8" w:space="0" w:color="000000"/>
              <w:bottom w:val="single" w:sz="8" w:space="0" w:color="000000"/>
              <w:right w:val="single" w:sz="8" w:space="0" w:color="000000"/>
            </w:tcBorders>
          </w:tcPr>
          <w:p w14:paraId="2BA41638" w14:textId="77777777" w:rsidR="004B2C61" w:rsidRDefault="00E526DE">
            <w:pPr>
              <w:pStyle w:val="TableParagraph"/>
              <w:ind w:left="518"/>
              <w:jc w:val="left"/>
              <w:rPr>
                <w:sz w:val="24"/>
              </w:rPr>
            </w:pPr>
            <w:r>
              <w:rPr>
                <w:sz w:val="24"/>
              </w:rPr>
              <w:t>52%</w:t>
            </w:r>
          </w:p>
        </w:tc>
      </w:tr>
      <w:tr w:rsidR="004B2C61" w14:paraId="3190D0AA" w14:textId="77777777">
        <w:trPr>
          <w:trHeight w:val="318"/>
        </w:trPr>
        <w:tc>
          <w:tcPr>
            <w:tcW w:w="1301" w:type="dxa"/>
            <w:tcBorders>
              <w:top w:val="single" w:sz="8" w:space="0" w:color="000000"/>
              <w:left w:val="single" w:sz="8" w:space="0" w:color="000000"/>
              <w:bottom w:val="single" w:sz="8" w:space="0" w:color="000000"/>
              <w:right w:val="single" w:sz="8" w:space="0" w:color="000000"/>
            </w:tcBorders>
          </w:tcPr>
          <w:p w14:paraId="6A748FDB" w14:textId="77777777" w:rsidR="004B2C61" w:rsidRDefault="00E526DE">
            <w:pPr>
              <w:pStyle w:val="TableParagraph"/>
              <w:spacing w:before="42"/>
              <w:jc w:val="left"/>
              <w:rPr>
                <w:sz w:val="24"/>
              </w:rPr>
            </w:pPr>
            <w:r>
              <w:rPr>
                <w:sz w:val="24"/>
              </w:rPr>
              <w:t>Aug-20</w:t>
            </w:r>
          </w:p>
        </w:tc>
        <w:tc>
          <w:tcPr>
            <w:tcW w:w="1366" w:type="dxa"/>
            <w:tcBorders>
              <w:top w:val="single" w:sz="8" w:space="0" w:color="000000"/>
              <w:left w:val="single" w:sz="8" w:space="0" w:color="000000"/>
              <w:bottom w:val="single" w:sz="8" w:space="0" w:color="000000"/>
              <w:right w:val="single" w:sz="8" w:space="0" w:color="000000"/>
            </w:tcBorders>
          </w:tcPr>
          <w:p w14:paraId="14BFC0CB" w14:textId="77777777" w:rsidR="004B2C61" w:rsidRDefault="00E526DE">
            <w:pPr>
              <w:pStyle w:val="TableParagraph"/>
              <w:spacing w:before="42"/>
              <w:ind w:left="332" w:right="312"/>
              <w:rPr>
                <w:sz w:val="24"/>
              </w:rPr>
            </w:pPr>
            <w:r>
              <w:rPr>
                <w:sz w:val="24"/>
              </w:rPr>
              <w:t>550</w:t>
            </w:r>
          </w:p>
        </w:tc>
        <w:tc>
          <w:tcPr>
            <w:tcW w:w="1328" w:type="dxa"/>
            <w:tcBorders>
              <w:top w:val="single" w:sz="8" w:space="0" w:color="000000"/>
              <w:left w:val="single" w:sz="8" w:space="0" w:color="000000"/>
              <w:bottom w:val="single" w:sz="8" w:space="0" w:color="000000"/>
              <w:right w:val="single" w:sz="8" w:space="0" w:color="000000"/>
            </w:tcBorders>
          </w:tcPr>
          <w:p w14:paraId="1B53E55E" w14:textId="77777777" w:rsidR="004B2C61" w:rsidRDefault="00E526DE">
            <w:pPr>
              <w:pStyle w:val="TableParagraph"/>
              <w:spacing w:before="42"/>
              <w:ind w:left="381" w:right="364"/>
              <w:rPr>
                <w:sz w:val="24"/>
              </w:rPr>
            </w:pPr>
            <w:r>
              <w:rPr>
                <w:sz w:val="24"/>
              </w:rPr>
              <w:t>22.9</w:t>
            </w:r>
          </w:p>
        </w:tc>
        <w:tc>
          <w:tcPr>
            <w:tcW w:w="1484" w:type="dxa"/>
            <w:tcBorders>
              <w:top w:val="single" w:sz="8" w:space="0" w:color="000000"/>
              <w:left w:val="single" w:sz="8" w:space="0" w:color="000000"/>
              <w:bottom w:val="single" w:sz="8" w:space="0" w:color="000000"/>
              <w:right w:val="single" w:sz="8" w:space="0" w:color="000000"/>
            </w:tcBorders>
          </w:tcPr>
          <w:p w14:paraId="7C9314C5" w14:textId="77777777" w:rsidR="004B2C61" w:rsidRDefault="00E526DE">
            <w:pPr>
              <w:pStyle w:val="TableParagraph"/>
              <w:spacing w:before="42"/>
              <w:ind w:left="518"/>
              <w:jc w:val="left"/>
              <w:rPr>
                <w:sz w:val="24"/>
              </w:rPr>
            </w:pPr>
            <w:r>
              <w:rPr>
                <w:sz w:val="24"/>
              </w:rPr>
              <w:t>53%</w:t>
            </w:r>
          </w:p>
        </w:tc>
      </w:tr>
      <w:tr w:rsidR="004B2C61" w14:paraId="48DA4F25" w14:textId="77777777">
        <w:trPr>
          <w:trHeight w:val="320"/>
        </w:trPr>
        <w:tc>
          <w:tcPr>
            <w:tcW w:w="1301" w:type="dxa"/>
            <w:tcBorders>
              <w:top w:val="single" w:sz="8" w:space="0" w:color="000000"/>
              <w:left w:val="single" w:sz="8" w:space="0" w:color="000000"/>
              <w:bottom w:val="single" w:sz="8" w:space="0" w:color="000000"/>
              <w:right w:val="single" w:sz="8" w:space="0" w:color="000000"/>
            </w:tcBorders>
          </w:tcPr>
          <w:p w14:paraId="1BA1D06B" w14:textId="77777777" w:rsidR="004B2C61" w:rsidRDefault="00E526DE">
            <w:pPr>
              <w:pStyle w:val="TableParagraph"/>
              <w:jc w:val="left"/>
              <w:rPr>
                <w:b/>
                <w:sz w:val="24"/>
              </w:rPr>
            </w:pPr>
            <w:r>
              <w:rPr>
                <w:b/>
                <w:sz w:val="24"/>
              </w:rPr>
              <w:t>TOTAL</w:t>
            </w:r>
          </w:p>
        </w:tc>
        <w:tc>
          <w:tcPr>
            <w:tcW w:w="1366" w:type="dxa"/>
            <w:tcBorders>
              <w:top w:val="single" w:sz="8" w:space="0" w:color="000000"/>
              <w:left w:val="single" w:sz="8" w:space="0" w:color="000000"/>
              <w:bottom w:val="single" w:sz="8" w:space="0" w:color="000000"/>
              <w:right w:val="single" w:sz="8" w:space="0" w:color="000000"/>
            </w:tcBorders>
          </w:tcPr>
          <w:p w14:paraId="29C5575D" w14:textId="77777777" w:rsidR="004B2C61" w:rsidRDefault="00E526DE">
            <w:pPr>
              <w:pStyle w:val="TableParagraph"/>
              <w:ind w:left="332" w:right="314"/>
              <w:rPr>
                <w:b/>
                <w:sz w:val="24"/>
              </w:rPr>
            </w:pPr>
            <w:r>
              <w:rPr>
                <w:b/>
                <w:sz w:val="24"/>
              </w:rPr>
              <w:t>10,184</w:t>
            </w:r>
          </w:p>
        </w:tc>
        <w:tc>
          <w:tcPr>
            <w:tcW w:w="1328" w:type="dxa"/>
            <w:tcBorders>
              <w:top w:val="single" w:sz="8" w:space="0" w:color="000000"/>
              <w:left w:val="single" w:sz="8" w:space="0" w:color="000000"/>
              <w:bottom w:val="single" w:sz="8" w:space="0" w:color="000000"/>
              <w:right w:val="single" w:sz="8" w:space="0" w:color="000000"/>
            </w:tcBorders>
          </w:tcPr>
          <w:p w14:paraId="12B550FF" w14:textId="77777777" w:rsidR="004B2C61" w:rsidRDefault="00E526DE">
            <w:pPr>
              <w:pStyle w:val="TableParagraph"/>
              <w:ind w:left="381" w:right="364"/>
              <w:rPr>
                <w:b/>
                <w:sz w:val="24"/>
              </w:rPr>
            </w:pPr>
            <w:r>
              <w:rPr>
                <w:b/>
                <w:sz w:val="24"/>
              </w:rPr>
              <w:t>26.1</w:t>
            </w:r>
          </w:p>
        </w:tc>
        <w:tc>
          <w:tcPr>
            <w:tcW w:w="1484" w:type="dxa"/>
            <w:tcBorders>
              <w:top w:val="single" w:sz="8" w:space="0" w:color="000000"/>
              <w:left w:val="single" w:sz="8" w:space="0" w:color="000000"/>
              <w:bottom w:val="single" w:sz="8" w:space="0" w:color="000000"/>
              <w:right w:val="single" w:sz="8" w:space="0" w:color="000000"/>
            </w:tcBorders>
          </w:tcPr>
          <w:p w14:paraId="50F101AE" w14:textId="77777777" w:rsidR="004B2C61" w:rsidRDefault="00E526DE">
            <w:pPr>
              <w:pStyle w:val="TableParagraph"/>
              <w:ind w:left="499"/>
              <w:jc w:val="left"/>
              <w:rPr>
                <w:b/>
                <w:sz w:val="24"/>
              </w:rPr>
            </w:pPr>
            <w:r>
              <w:rPr>
                <w:b/>
                <w:sz w:val="24"/>
              </w:rPr>
              <w:t>61%</w:t>
            </w:r>
          </w:p>
        </w:tc>
      </w:tr>
      <w:tr w:rsidR="004B2C61" w14:paraId="7D4B6AA4" w14:textId="77777777">
        <w:trPr>
          <w:trHeight w:val="320"/>
        </w:trPr>
        <w:tc>
          <w:tcPr>
            <w:tcW w:w="5479" w:type="dxa"/>
            <w:gridSpan w:val="4"/>
            <w:tcBorders>
              <w:top w:val="single" w:sz="8" w:space="0" w:color="000000"/>
              <w:left w:val="single" w:sz="8" w:space="0" w:color="000000"/>
              <w:bottom w:val="single" w:sz="8" w:space="0" w:color="000000"/>
              <w:right w:val="single" w:sz="8" w:space="0" w:color="000000"/>
            </w:tcBorders>
          </w:tcPr>
          <w:p w14:paraId="7A1B1D99" w14:textId="77777777" w:rsidR="004B2C61" w:rsidRDefault="00E526DE">
            <w:pPr>
              <w:pStyle w:val="TableParagraph"/>
              <w:jc w:val="left"/>
              <w:rPr>
                <w:b/>
                <w:sz w:val="24"/>
              </w:rPr>
            </w:pPr>
            <w:r>
              <w:rPr>
                <w:b/>
                <w:sz w:val="24"/>
              </w:rPr>
              <w:t>*(based on 43 licensed beds)</w:t>
            </w:r>
          </w:p>
        </w:tc>
      </w:tr>
    </w:tbl>
    <w:p w14:paraId="514723B7" w14:textId="77777777" w:rsidR="004B2C61" w:rsidRDefault="004B2C61">
      <w:pPr>
        <w:pStyle w:val="BodyText"/>
        <w:spacing w:before="1"/>
        <w:rPr>
          <w:sz w:val="16"/>
        </w:rPr>
      </w:pPr>
    </w:p>
    <w:p w14:paraId="3132135A" w14:textId="77777777" w:rsidR="004B2C61" w:rsidRDefault="00E526DE">
      <w:pPr>
        <w:pStyle w:val="BodyText"/>
        <w:spacing w:before="90"/>
        <w:ind w:left="120" w:right="659"/>
        <w:jc w:val="both"/>
      </w:pPr>
      <w:r>
        <w:t>As evidenced by the above utilization data for the inpatient ATS service, there has been a significant</w:t>
      </w:r>
      <w:r>
        <w:rPr>
          <w:spacing w:val="-16"/>
        </w:rPr>
        <w:t xml:space="preserve"> </w:t>
      </w:r>
      <w:r>
        <w:t>decline</w:t>
      </w:r>
      <w:r>
        <w:rPr>
          <w:spacing w:val="-17"/>
        </w:rPr>
        <w:t xml:space="preserve"> </w:t>
      </w:r>
      <w:r>
        <w:t>in</w:t>
      </w:r>
      <w:r>
        <w:rPr>
          <w:spacing w:val="-17"/>
        </w:rPr>
        <w:t xml:space="preserve"> </w:t>
      </w:r>
      <w:r>
        <w:t>admissions</w:t>
      </w:r>
      <w:r>
        <w:rPr>
          <w:spacing w:val="-16"/>
        </w:rPr>
        <w:t xml:space="preserve"> </w:t>
      </w:r>
      <w:r>
        <w:t>at</w:t>
      </w:r>
      <w:r>
        <w:rPr>
          <w:spacing w:val="-15"/>
        </w:rPr>
        <w:t xml:space="preserve"> </w:t>
      </w:r>
      <w:proofErr w:type="spellStart"/>
      <w:r>
        <w:t>Norcap</w:t>
      </w:r>
      <w:proofErr w:type="spellEnd"/>
      <w:r>
        <w:rPr>
          <w:spacing w:val="-17"/>
        </w:rPr>
        <w:t xml:space="preserve"> </w:t>
      </w:r>
      <w:r>
        <w:t>in</w:t>
      </w:r>
      <w:r>
        <w:rPr>
          <w:spacing w:val="-16"/>
        </w:rPr>
        <w:t xml:space="preserve"> </w:t>
      </w:r>
      <w:r>
        <w:t>the</w:t>
      </w:r>
      <w:r>
        <w:rPr>
          <w:spacing w:val="-17"/>
        </w:rPr>
        <w:t xml:space="preserve"> </w:t>
      </w:r>
      <w:r>
        <w:t>past</w:t>
      </w:r>
      <w:r>
        <w:rPr>
          <w:spacing w:val="-16"/>
        </w:rPr>
        <w:t xml:space="preserve"> </w:t>
      </w:r>
      <w:r>
        <w:t>year.</w:t>
      </w:r>
      <w:r>
        <w:rPr>
          <w:spacing w:val="-16"/>
        </w:rPr>
        <w:t xml:space="preserve"> </w:t>
      </w:r>
      <w:r>
        <w:t>The</w:t>
      </w:r>
      <w:r>
        <w:rPr>
          <w:spacing w:val="-18"/>
        </w:rPr>
        <w:t xml:space="preserve"> </w:t>
      </w:r>
      <w:r>
        <w:t>average</w:t>
      </w:r>
      <w:r>
        <w:rPr>
          <w:spacing w:val="-17"/>
        </w:rPr>
        <w:t xml:space="preserve"> </w:t>
      </w:r>
      <w:r>
        <w:t>daily</w:t>
      </w:r>
      <w:r>
        <w:rPr>
          <w:spacing w:val="-16"/>
        </w:rPr>
        <w:t xml:space="preserve"> </w:t>
      </w:r>
      <w:r>
        <w:t>census</w:t>
      </w:r>
      <w:r>
        <w:rPr>
          <w:spacing w:val="-17"/>
        </w:rPr>
        <w:t xml:space="preserve"> </w:t>
      </w:r>
      <w:r>
        <w:t>has</w:t>
      </w:r>
      <w:r>
        <w:rPr>
          <w:spacing w:val="-16"/>
        </w:rPr>
        <w:t xml:space="preserve"> </w:t>
      </w:r>
      <w:r>
        <w:t>decreased from 34.6 in August 2019 to 22.9 in August 2020, representing an occupancy rate decrease of nearly 30%. This decline is evidence of a decreased need for the ATS service at</w:t>
      </w:r>
      <w:r>
        <w:rPr>
          <w:spacing w:val="-11"/>
        </w:rPr>
        <w:t xml:space="preserve"> </w:t>
      </w:r>
      <w:proofErr w:type="spellStart"/>
      <w:r>
        <w:t>Norcap</w:t>
      </w:r>
      <w:proofErr w:type="spellEnd"/>
      <w:r>
        <w:t>.</w:t>
      </w:r>
    </w:p>
    <w:p w14:paraId="691D1E70" w14:textId="77777777" w:rsidR="004B2C61" w:rsidRDefault="004B2C61">
      <w:pPr>
        <w:pStyle w:val="BodyText"/>
      </w:pPr>
    </w:p>
    <w:p w14:paraId="1D25981D" w14:textId="77777777" w:rsidR="004B2C61" w:rsidRDefault="00E526DE">
      <w:pPr>
        <w:pStyle w:val="BodyText"/>
        <w:ind w:left="119" w:right="656"/>
        <w:jc w:val="both"/>
      </w:pPr>
      <w:r>
        <w:t xml:space="preserve">Importantly, </w:t>
      </w:r>
      <w:proofErr w:type="spellStart"/>
      <w:r>
        <w:t>Norcap</w:t>
      </w:r>
      <w:proofErr w:type="spellEnd"/>
      <w:r>
        <w:t xml:space="preserve"> has noticed a shift in the admission diagnosi</w:t>
      </w:r>
      <w:r>
        <w:t>s in terms of severity. In recent years, there has been a shift from primarily opioid dependence admissions to primarily alcohol dependence</w:t>
      </w:r>
      <w:r>
        <w:rPr>
          <w:spacing w:val="-14"/>
        </w:rPr>
        <w:t xml:space="preserve"> </w:t>
      </w:r>
      <w:r>
        <w:t>admissions</w:t>
      </w:r>
      <w:r>
        <w:rPr>
          <w:spacing w:val="-13"/>
        </w:rPr>
        <w:t xml:space="preserve"> </w:t>
      </w:r>
      <w:r>
        <w:t>(70%</w:t>
      </w:r>
      <w:r>
        <w:rPr>
          <w:spacing w:val="-14"/>
        </w:rPr>
        <w:t xml:space="preserve"> </w:t>
      </w:r>
      <w:r>
        <w:t>in</w:t>
      </w:r>
      <w:r>
        <w:rPr>
          <w:spacing w:val="-13"/>
        </w:rPr>
        <w:t xml:space="preserve"> </w:t>
      </w:r>
      <w:r>
        <w:t>2020).</w:t>
      </w:r>
      <w:r>
        <w:rPr>
          <w:spacing w:val="-13"/>
        </w:rPr>
        <w:t xml:space="preserve"> </w:t>
      </w:r>
      <w:r>
        <w:t>Alcohol</w:t>
      </w:r>
      <w:r>
        <w:rPr>
          <w:spacing w:val="-13"/>
        </w:rPr>
        <w:t xml:space="preserve"> </w:t>
      </w:r>
      <w:r>
        <w:t>dependence</w:t>
      </w:r>
      <w:r>
        <w:rPr>
          <w:spacing w:val="-14"/>
        </w:rPr>
        <w:t xml:space="preserve"> </w:t>
      </w:r>
      <w:r>
        <w:t>requires</w:t>
      </w:r>
      <w:r>
        <w:rPr>
          <w:spacing w:val="-13"/>
        </w:rPr>
        <w:t xml:space="preserve"> </w:t>
      </w:r>
      <w:r>
        <w:t>a</w:t>
      </w:r>
      <w:r>
        <w:rPr>
          <w:spacing w:val="-14"/>
        </w:rPr>
        <w:t xml:space="preserve"> </w:t>
      </w:r>
      <w:r>
        <w:t>significantly</w:t>
      </w:r>
      <w:r>
        <w:rPr>
          <w:spacing w:val="-13"/>
        </w:rPr>
        <w:t xml:space="preserve"> </w:t>
      </w:r>
      <w:r>
        <w:t>more</w:t>
      </w:r>
      <w:r>
        <w:rPr>
          <w:spacing w:val="-14"/>
        </w:rPr>
        <w:t xml:space="preserve"> </w:t>
      </w:r>
      <w:r>
        <w:t>complex treatment program due to the high</w:t>
      </w:r>
      <w:r>
        <w:t>er mortality risk associated with alcohol withdrawal. As such,</w:t>
      </w:r>
      <w:r>
        <w:rPr>
          <w:spacing w:val="-29"/>
        </w:rPr>
        <w:t xml:space="preserve"> </w:t>
      </w:r>
      <w:r>
        <w:t xml:space="preserve">a significant proportion of </w:t>
      </w:r>
      <w:proofErr w:type="spellStart"/>
      <w:r>
        <w:t>Norcap’s</w:t>
      </w:r>
      <w:proofErr w:type="spellEnd"/>
      <w:r>
        <w:t xml:space="preserve"> existing patient population will benefit from a facility that can offer a higher level of</w:t>
      </w:r>
      <w:r>
        <w:rPr>
          <w:spacing w:val="-3"/>
        </w:rPr>
        <w:t xml:space="preserve"> </w:t>
      </w:r>
      <w:r>
        <w:t>care.</w:t>
      </w:r>
    </w:p>
    <w:p w14:paraId="464959D1" w14:textId="77777777" w:rsidR="004B2C61" w:rsidRDefault="004B2C61">
      <w:pPr>
        <w:pStyle w:val="BodyText"/>
      </w:pPr>
    </w:p>
    <w:p w14:paraId="07077322" w14:textId="77777777" w:rsidR="004B2C61" w:rsidRDefault="00E526DE">
      <w:pPr>
        <w:pStyle w:val="BodyText"/>
        <w:ind w:left="120" w:right="661"/>
        <w:jc w:val="both"/>
      </w:pPr>
      <w:proofErr w:type="spellStart"/>
      <w:r>
        <w:t>Norcap</w:t>
      </w:r>
      <w:proofErr w:type="spellEnd"/>
      <w:r>
        <w:t xml:space="preserve"> also has experienced a decline in average daily cens</w:t>
      </w:r>
      <w:r>
        <w:t>us of its IOP service for both its daytime and evening programs.</w:t>
      </w:r>
    </w:p>
    <w:p w14:paraId="43D8886A" w14:textId="77777777" w:rsidR="004B2C61" w:rsidRDefault="004B2C61">
      <w:pPr>
        <w:pStyle w:val="BodyText"/>
        <w:rPr>
          <w:sz w:val="20"/>
        </w:rPr>
      </w:pPr>
    </w:p>
    <w:p w14:paraId="64F612A9" w14:textId="77777777" w:rsidR="004B2C61" w:rsidRDefault="004B2C61">
      <w:pPr>
        <w:pStyle w:val="BodyText"/>
        <w:spacing w:before="1"/>
        <w:rPr>
          <w:sz w:val="28"/>
        </w:rPr>
      </w:pPr>
    </w:p>
    <w:tbl>
      <w:tblPr>
        <w:tblW w:w="0" w:type="auto"/>
        <w:tblInd w:w="1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2"/>
        <w:gridCol w:w="1399"/>
        <w:gridCol w:w="1440"/>
        <w:gridCol w:w="1529"/>
      </w:tblGrid>
      <w:tr w:rsidR="004B2C61" w14:paraId="066A2D8F" w14:textId="77777777">
        <w:trPr>
          <w:trHeight w:val="306"/>
        </w:trPr>
        <w:tc>
          <w:tcPr>
            <w:tcW w:w="6300" w:type="dxa"/>
            <w:gridSpan w:val="4"/>
          </w:tcPr>
          <w:p w14:paraId="4F36DA86" w14:textId="77777777" w:rsidR="004B2C61" w:rsidRDefault="00E526DE">
            <w:pPr>
              <w:pStyle w:val="TableParagraph"/>
              <w:spacing w:before="0" w:line="275" w:lineRule="exact"/>
              <w:ind w:left="1418"/>
              <w:jc w:val="left"/>
              <w:rPr>
                <w:b/>
                <w:sz w:val="24"/>
              </w:rPr>
            </w:pPr>
            <w:proofErr w:type="spellStart"/>
            <w:r>
              <w:rPr>
                <w:b/>
                <w:sz w:val="24"/>
              </w:rPr>
              <w:t>Norcap</w:t>
            </w:r>
            <w:proofErr w:type="spellEnd"/>
            <w:r>
              <w:rPr>
                <w:b/>
                <w:sz w:val="24"/>
              </w:rPr>
              <w:t xml:space="preserve"> IOP Historical Utilization</w:t>
            </w:r>
          </w:p>
        </w:tc>
      </w:tr>
      <w:tr w:rsidR="004B2C61" w14:paraId="526535DA" w14:textId="77777777">
        <w:trPr>
          <w:trHeight w:val="309"/>
        </w:trPr>
        <w:tc>
          <w:tcPr>
            <w:tcW w:w="1932" w:type="dxa"/>
          </w:tcPr>
          <w:p w14:paraId="3262897D" w14:textId="77777777" w:rsidR="004B2C61" w:rsidRDefault="004B2C61">
            <w:pPr>
              <w:pStyle w:val="TableParagraph"/>
              <w:spacing w:before="0" w:line="240" w:lineRule="auto"/>
              <w:ind w:left="0"/>
              <w:jc w:val="left"/>
            </w:pPr>
          </w:p>
        </w:tc>
        <w:tc>
          <w:tcPr>
            <w:tcW w:w="1399" w:type="dxa"/>
          </w:tcPr>
          <w:p w14:paraId="09413F47" w14:textId="77777777" w:rsidR="004B2C61" w:rsidRDefault="00E526DE">
            <w:pPr>
              <w:pStyle w:val="TableParagraph"/>
              <w:spacing w:before="15" w:line="273" w:lineRule="exact"/>
              <w:ind w:left="438" w:right="431"/>
              <w:rPr>
                <w:b/>
                <w:sz w:val="24"/>
              </w:rPr>
            </w:pPr>
            <w:r>
              <w:rPr>
                <w:b/>
                <w:sz w:val="24"/>
              </w:rPr>
              <w:t>2018</w:t>
            </w:r>
          </w:p>
        </w:tc>
        <w:tc>
          <w:tcPr>
            <w:tcW w:w="1440" w:type="dxa"/>
          </w:tcPr>
          <w:p w14:paraId="2725497B" w14:textId="77777777" w:rsidR="004B2C61" w:rsidRDefault="00E526DE">
            <w:pPr>
              <w:pStyle w:val="TableParagraph"/>
              <w:spacing w:before="15" w:line="273" w:lineRule="exact"/>
              <w:ind w:left="460" w:right="450"/>
              <w:rPr>
                <w:b/>
                <w:sz w:val="24"/>
              </w:rPr>
            </w:pPr>
            <w:r>
              <w:rPr>
                <w:b/>
                <w:sz w:val="24"/>
              </w:rPr>
              <w:t>2019</w:t>
            </w:r>
          </w:p>
        </w:tc>
        <w:tc>
          <w:tcPr>
            <w:tcW w:w="1529" w:type="dxa"/>
          </w:tcPr>
          <w:p w14:paraId="5C80C07C" w14:textId="77777777" w:rsidR="004B2C61" w:rsidRDefault="00E526DE">
            <w:pPr>
              <w:pStyle w:val="TableParagraph"/>
              <w:spacing w:before="10" w:line="279" w:lineRule="exact"/>
              <w:ind w:left="179" w:right="173"/>
              <w:rPr>
                <w:b/>
                <w:sz w:val="16"/>
              </w:rPr>
            </w:pPr>
            <w:r>
              <w:rPr>
                <w:b/>
                <w:sz w:val="24"/>
              </w:rPr>
              <w:t>2020 YTD</w:t>
            </w:r>
            <w:hyperlink w:anchor="_bookmark0" w:history="1">
              <w:r>
                <w:rPr>
                  <w:b/>
                  <w:position w:val="8"/>
                  <w:sz w:val="16"/>
                </w:rPr>
                <w:t>1</w:t>
              </w:r>
            </w:hyperlink>
          </w:p>
        </w:tc>
      </w:tr>
      <w:tr w:rsidR="004B2C61" w14:paraId="41E75F75" w14:textId="77777777">
        <w:trPr>
          <w:trHeight w:val="633"/>
        </w:trPr>
        <w:tc>
          <w:tcPr>
            <w:tcW w:w="1932" w:type="dxa"/>
          </w:tcPr>
          <w:p w14:paraId="0FCFE01D" w14:textId="77777777" w:rsidR="004B2C61" w:rsidRDefault="00E526DE">
            <w:pPr>
              <w:pStyle w:val="TableParagraph"/>
              <w:spacing w:before="0" w:line="275" w:lineRule="exact"/>
              <w:jc w:val="left"/>
              <w:rPr>
                <w:sz w:val="24"/>
              </w:rPr>
            </w:pPr>
            <w:r>
              <w:rPr>
                <w:sz w:val="24"/>
              </w:rPr>
              <w:t>Daytime ADC</w:t>
            </w:r>
          </w:p>
        </w:tc>
        <w:tc>
          <w:tcPr>
            <w:tcW w:w="1399" w:type="dxa"/>
          </w:tcPr>
          <w:p w14:paraId="34D56BF0" w14:textId="77777777" w:rsidR="004B2C61" w:rsidRDefault="00E526DE">
            <w:pPr>
              <w:pStyle w:val="TableParagraph"/>
              <w:spacing w:before="176" w:line="240" w:lineRule="auto"/>
              <w:ind w:left="438" w:right="429"/>
              <w:rPr>
                <w:sz w:val="24"/>
              </w:rPr>
            </w:pPr>
            <w:r>
              <w:rPr>
                <w:sz w:val="24"/>
              </w:rPr>
              <w:t>7.9</w:t>
            </w:r>
          </w:p>
        </w:tc>
        <w:tc>
          <w:tcPr>
            <w:tcW w:w="1440" w:type="dxa"/>
          </w:tcPr>
          <w:p w14:paraId="7A9AA0E3" w14:textId="77777777" w:rsidR="004B2C61" w:rsidRDefault="00E526DE">
            <w:pPr>
              <w:pStyle w:val="TableParagraph"/>
              <w:spacing w:before="176" w:line="240" w:lineRule="auto"/>
              <w:ind w:left="457" w:right="450"/>
              <w:rPr>
                <w:sz w:val="24"/>
              </w:rPr>
            </w:pPr>
            <w:r>
              <w:rPr>
                <w:sz w:val="24"/>
              </w:rPr>
              <w:t>8.0</w:t>
            </w:r>
          </w:p>
        </w:tc>
        <w:tc>
          <w:tcPr>
            <w:tcW w:w="1529" w:type="dxa"/>
          </w:tcPr>
          <w:p w14:paraId="191B2857" w14:textId="77777777" w:rsidR="004B2C61" w:rsidRDefault="00E526DE">
            <w:pPr>
              <w:pStyle w:val="TableParagraph"/>
              <w:spacing w:before="176" w:line="240" w:lineRule="auto"/>
              <w:ind w:left="179" w:right="170"/>
              <w:rPr>
                <w:sz w:val="24"/>
              </w:rPr>
            </w:pPr>
            <w:r>
              <w:rPr>
                <w:sz w:val="24"/>
              </w:rPr>
              <w:t>7.0</w:t>
            </w:r>
          </w:p>
        </w:tc>
      </w:tr>
      <w:tr w:rsidR="004B2C61" w14:paraId="0D145484" w14:textId="77777777">
        <w:trPr>
          <w:trHeight w:val="616"/>
        </w:trPr>
        <w:tc>
          <w:tcPr>
            <w:tcW w:w="1932" w:type="dxa"/>
          </w:tcPr>
          <w:p w14:paraId="6445DAC7" w14:textId="77777777" w:rsidR="004B2C61" w:rsidRDefault="00E526DE">
            <w:pPr>
              <w:pStyle w:val="TableParagraph"/>
              <w:spacing w:before="0" w:line="275" w:lineRule="exact"/>
              <w:jc w:val="left"/>
              <w:rPr>
                <w:sz w:val="24"/>
              </w:rPr>
            </w:pPr>
            <w:r>
              <w:rPr>
                <w:sz w:val="24"/>
              </w:rPr>
              <w:t>Evening ADC</w:t>
            </w:r>
          </w:p>
        </w:tc>
        <w:tc>
          <w:tcPr>
            <w:tcW w:w="1399" w:type="dxa"/>
          </w:tcPr>
          <w:p w14:paraId="66E6E4E0" w14:textId="77777777" w:rsidR="004B2C61" w:rsidRDefault="00E526DE">
            <w:pPr>
              <w:pStyle w:val="TableParagraph"/>
              <w:spacing w:before="169" w:line="240" w:lineRule="auto"/>
              <w:ind w:left="438" w:right="429"/>
              <w:rPr>
                <w:sz w:val="24"/>
              </w:rPr>
            </w:pPr>
            <w:r>
              <w:rPr>
                <w:sz w:val="24"/>
              </w:rPr>
              <w:t>6.9</w:t>
            </w:r>
          </w:p>
        </w:tc>
        <w:tc>
          <w:tcPr>
            <w:tcW w:w="1440" w:type="dxa"/>
          </w:tcPr>
          <w:p w14:paraId="42E74462" w14:textId="77777777" w:rsidR="004B2C61" w:rsidRDefault="00E526DE">
            <w:pPr>
              <w:pStyle w:val="TableParagraph"/>
              <w:spacing w:before="169" w:line="240" w:lineRule="auto"/>
              <w:ind w:left="457" w:right="450"/>
              <w:rPr>
                <w:sz w:val="24"/>
              </w:rPr>
            </w:pPr>
            <w:r>
              <w:rPr>
                <w:sz w:val="24"/>
              </w:rPr>
              <w:t>5.8</w:t>
            </w:r>
          </w:p>
        </w:tc>
        <w:tc>
          <w:tcPr>
            <w:tcW w:w="1529" w:type="dxa"/>
          </w:tcPr>
          <w:p w14:paraId="3D3749BB" w14:textId="77777777" w:rsidR="004B2C61" w:rsidRDefault="00E526DE">
            <w:pPr>
              <w:pStyle w:val="TableParagraph"/>
              <w:spacing w:before="169" w:line="240" w:lineRule="auto"/>
              <w:ind w:left="179" w:right="170"/>
              <w:rPr>
                <w:sz w:val="24"/>
              </w:rPr>
            </w:pPr>
            <w:r>
              <w:rPr>
                <w:sz w:val="24"/>
              </w:rPr>
              <w:t>5.8</w:t>
            </w:r>
          </w:p>
        </w:tc>
      </w:tr>
    </w:tbl>
    <w:p w14:paraId="5FFB0DAA" w14:textId="77777777" w:rsidR="004B2C61" w:rsidRDefault="004B2C61">
      <w:pPr>
        <w:pStyle w:val="BodyText"/>
        <w:spacing w:before="1"/>
        <w:rPr>
          <w:sz w:val="16"/>
        </w:rPr>
      </w:pPr>
    </w:p>
    <w:p w14:paraId="3D481810" w14:textId="77777777" w:rsidR="004B2C61" w:rsidRDefault="00E526DE">
      <w:pPr>
        <w:pStyle w:val="BodyText"/>
        <w:spacing w:before="90"/>
        <w:ind w:left="120"/>
      </w:pPr>
      <w:r>
        <w:t xml:space="preserve">Accordingly, the IOP at </w:t>
      </w:r>
      <w:proofErr w:type="spellStart"/>
      <w:r>
        <w:t>Norcap</w:t>
      </w:r>
      <w:proofErr w:type="spellEnd"/>
      <w:r>
        <w:t xml:space="preserve"> will be discontinued when the inpatient services close.</w:t>
      </w:r>
    </w:p>
    <w:p w14:paraId="11CFE778" w14:textId="77777777" w:rsidR="004B2C61" w:rsidRDefault="004B2C61">
      <w:pPr>
        <w:pStyle w:val="BodyText"/>
      </w:pPr>
    </w:p>
    <w:p w14:paraId="6FEFAF46" w14:textId="77777777" w:rsidR="004B2C61" w:rsidRDefault="00E526DE">
      <w:pPr>
        <w:pStyle w:val="ListParagraph"/>
        <w:numPr>
          <w:ilvl w:val="0"/>
          <w:numId w:val="1"/>
        </w:numPr>
        <w:tabs>
          <w:tab w:val="left" w:pos="839"/>
          <w:tab w:val="left" w:pos="840"/>
        </w:tabs>
        <w:ind w:right="658" w:firstLine="0"/>
        <w:rPr>
          <w:sz w:val="24"/>
        </w:rPr>
      </w:pPr>
      <w:r>
        <w:rPr>
          <w:sz w:val="24"/>
          <w:u w:val="single"/>
        </w:rPr>
        <w:t>Impact</w:t>
      </w:r>
      <w:r>
        <w:rPr>
          <w:spacing w:val="-8"/>
          <w:sz w:val="24"/>
          <w:u w:val="single"/>
        </w:rPr>
        <w:t xml:space="preserve"> </w:t>
      </w:r>
      <w:r>
        <w:rPr>
          <w:sz w:val="24"/>
          <w:u w:val="single"/>
        </w:rPr>
        <w:t>of</w:t>
      </w:r>
      <w:r>
        <w:rPr>
          <w:spacing w:val="-9"/>
          <w:sz w:val="24"/>
          <w:u w:val="single"/>
        </w:rPr>
        <w:t xml:space="preserve"> </w:t>
      </w:r>
      <w:r>
        <w:rPr>
          <w:sz w:val="24"/>
          <w:u w:val="single"/>
        </w:rPr>
        <w:t>Discontinuance</w:t>
      </w:r>
      <w:r>
        <w:rPr>
          <w:sz w:val="24"/>
        </w:rPr>
        <w:t>.</w:t>
      </w:r>
      <w:r>
        <w:rPr>
          <w:spacing w:val="43"/>
          <w:sz w:val="24"/>
        </w:rPr>
        <w:t xml:space="preserve"> </w:t>
      </w:r>
      <w:r>
        <w:rPr>
          <w:sz w:val="24"/>
        </w:rPr>
        <w:t>The</w:t>
      </w:r>
      <w:r>
        <w:rPr>
          <w:spacing w:val="-10"/>
          <w:sz w:val="24"/>
        </w:rPr>
        <w:t xml:space="preserve"> </w:t>
      </w:r>
      <w:r>
        <w:rPr>
          <w:sz w:val="24"/>
        </w:rPr>
        <w:t>Medical</w:t>
      </w:r>
      <w:r>
        <w:rPr>
          <w:spacing w:val="-8"/>
          <w:sz w:val="24"/>
        </w:rPr>
        <w:t xml:space="preserve"> </w:t>
      </w:r>
      <w:r>
        <w:rPr>
          <w:sz w:val="24"/>
        </w:rPr>
        <w:t>Center</w:t>
      </w:r>
      <w:r>
        <w:rPr>
          <w:spacing w:val="-9"/>
          <w:sz w:val="24"/>
        </w:rPr>
        <w:t xml:space="preserve"> </w:t>
      </w:r>
      <w:r>
        <w:rPr>
          <w:sz w:val="24"/>
        </w:rPr>
        <w:t>does</w:t>
      </w:r>
      <w:r>
        <w:rPr>
          <w:spacing w:val="-8"/>
          <w:sz w:val="24"/>
        </w:rPr>
        <w:t xml:space="preserve"> </w:t>
      </w:r>
      <w:r>
        <w:rPr>
          <w:sz w:val="24"/>
        </w:rPr>
        <w:t>not</w:t>
      </w:r>
      <w:r>
        <w:rPr>
          <w:spacing w:val="-8"/>
          <w:sz w:val="24"/>
        </w:rPr>
        <w:t xml:space="preserve"> </w:t>
      </w:r>
      <w:r>
        <w:rPr>
          <w:sz w:val="24"/>
        </w:rPr>
        <w:t>anticipate</w:t>
      </w:r>
      <w:r>
        <w:rPr>
          <w:spacing w:val="-7"/>
          <w:sz w:val="24"/>
        </w:rPr>
        <w:t xml:space="preserve"> </w:t>
      </w:r>
      <w:r>
        <w:rPr>
          <w:sz w:val="24"/>
        </w:rPr>
        <w:t>any</w:t>
      </w:r>
      <w:r>
        <w:rPr>
          <w:spacing w:val="-8"/>
          <w:sz w:val="24"/>
        </w:rPr>
        <w:t xml:space="preserve"> </w:t>
      </w:r>
      <w:r>
        <w:rPr>
          <w:sz w:val="24"/>
        </w:rPr>
        <w:t>negative</w:t>
      </w:r>
      <w:r>
        <w:rPr>
          <w:spacing w:val="-10"/>
          <w:sz w:val="24"/>
        </w:rPr>
        <w:t xml:space="preserve"> </w:t>
      </w:r>
      <w:r>
        <w:rPr>
          <w:sz w:val="24"/>
        </w:rPr>
        <w:t>impact</w:t>
      </w:r>
      <w:r>
        <w:rPr>
          <w:spacing w:val="-8"/>
          <w:sz w:val="24"/>
        </w:rPr>
        <w:t xml:space="preserve"> </w:t>
      </w:r>
      <w:r>
        <w:rPr>
          <w:sz w:val="24"/>
        </w:rPr>
        <w:t>on patient access following the closure of the</w:t>
      </w:r>
      <w:r>
        <w:rPr>
          <w:spacing w:val="-5"/>
          <w:sz w:val="24"/>
        </w:rPr>
        <w:t xml:space="preserve"> </w:t>
      </w:r>
      <w:r>
        <w:rPr>
          <w:sz w:val="24"/>
        </w:rPr>
        <w:t>Services.</w:t>
      </w:r>
    </w:p>
    <w:p w14:paraId="5923F19C" w14:textId="77777777" w:rsidR="004B2C61" w:rsidRDefault="004B2C61">
      <w:pPr>
        <w:pStyle w:val="BodyText"/>
        <w:rPr>
          <w:sz w:val="20"/>
        </w:rPr>
      </w:pPr>
    </w:p>
    <w:p w14:paraId="52F8DE23" w14:textId="77777777" w:rsidR="004B2C61" w:rsidRDefault="00E526DE">
      <w:pPr>
        <w:pStyle w:val="BodyText"/>
        <w:spacing w:before="10"/>
        <w:rPr>
          <w:sz w:val="20"/>
        </w:rPr>
      </w:pPr>
      <w:r>
        <w:pict w14:anchorId="70EC791C">
          <v:shape id="_x0000_s1026" style="position:absolute;margin-left:1in;margin-top:14.3pt;width:2in;height:.1pt;z-index:-251657216;mso-wrap-distance-left:0;mso-wrap-distance-right:0;mso-position-horizontal-relative:page" coordorigin="1440,286" coordsize="2880,0" path="m1440,286r2880,e" filled="f" strokeweight=".21131mm">
            <v:path arrowok="t"/>
            <w10:wrap type="topAndBottom" anchorx="page"/>
          </v:shape>
        </w:pict>
      </w:r>
    </w:p>
    <w:p w14:paraId="306ED735" w14:textId="77777777" w:rsidR="004B2C61" w:rsidRDefault="00E526DE">
      <w:pPr>
        <w:spacing w:before="60"/>
        <w:ind w:left="120"/>
        <w:rPr>
          <w:rFonts w:ascii="Arial"/>
          <w:sz w:val="18"/>
        </w:rPr>
      </w:pPr>
      <w:bookmarkStart w:id="0" w:name="_bookmark0"/>
      <w:bookmarkEnd w:id="0"/>
      <w:r>
        <w:rPr>
          <w:rFonts w:ascii="Arial"/>
          <w:position w:val="6"/>
          <w:sz w:val="12"/>
        </w:rPr>
        <w:t xml:space="preserve">1 </w:t>
      </w:r>
      <w:r>
        <w:rPr>
          <w:rFonts w:ascii="Arial"/>
          <w:sz w:val="18"/>
        </w:rPr>
        <w:t>Year-to-date includes data through September 2020.</w:t>
      </w:r>
    </w:p>
    <w:p w14:paraId="2742D4B6" w14:textId="77777777" w:rsidR="004B2C61" w:rsidRDefault="004B2C61">
      <w:pPr>
        <w:rPr>
          <w:rFonts w:ascii="Arial"/>
          <w:sz w:val="18"/>
        </w:rPr>
        <w:sectPr w:rsidR="004B2C61">
          <w:headerReference w:type="default" r:id="rId15"/>
          <w:footerReference w:type="default" r:id="rId16"/>
          <w:pgSz w:w="12240" w:h="15840"/>
          <w:pgMar w:top="2360" w:right="780" w:bottom="880" w:left="1320" w:header="735" w:footer="699" w:gutter="0"/>
          <w:pgNumType w:start="2"/>
          <w:cols w:space="720"/>
        </w:sectPr>
      </w:pPr>
    </w:p>
    <w:p w14:paraId="49E71665" w14:textId="77777777" w:rsidR="004B2C61" w:rsidRDefault="004B2C61">
      <w:pPr>
        <w:pStyle w:val="BodyText"/>
        <w:rPr>
          <w:rFonts w:ascii="Arial"/>
          <w:sz w:val="20"/>
        </w:rPr>
      </w:pPr>
    </w:p>
    <w:p w14:paraId="4152F715" w14:textId="77777777" w:rsidR="004B2C61" w:rsidRDefault="004B2C61">
      <w:pPr>
        <w:pStyle w:val="BodyText"/>
        <w:spacing w:before="2"/>
        <w:rPr>
          <w:rFonts w:ascii="Arial"/>
          <w:sz w:val="16"/>
        </w:rPr>
      </w:pPr>
    </w:p>
    <w:p w14:paraId="26DDCB07" w14:textId="77777777" w:rsidR="004B2C61" w:rsidRDefault="00E526DE">
      <w:pPr>
        <w:pStyle w:val="BodyText"/>
        <w:spacing w:before="90"/>
        <w:ind w:left="119" w:right="655"/>
        <w:jc w:val="both"/>
      </w:pPr>
      <w:r>
        <w:t>There are numerous Level 3.7 programs in the geographic area that provide suffic</w:t>
      </w:r>
      <w:r>
        <w:t xml:space="preserve">ient access to meet current demand for the services currently offered at </w:t>
      </w:r>
      <w:proofErr w:type="spellStart"/>
      <w:r>
        <w:t>Norcap</w:t>
      </w:r>
      <w:proofErr w:type="spellEnd"/>
      <w:r>
        <w:t xml:space="preserve">. This is evidenced by the fact that utilization at </w:t>
      </w:r>
      <w:proofErr w:type="spellStart"/>
      <w:r>
        <w:t>Norcap</w:t>
      </w:r>
      <w:proofErr w:type="spellEnd"/>
      <w:r>
        <w:t xml:space="preserve"> has steadily declined. However, there are no Level 4 beds in the region. Level 4 beds provide medically managed inpati</w:t>
      </w:r>
      <w:r>
        <w:t xml:space="preserve">ent intensive substance use treatment. </w:t>
      </w:r>
      <w:r>
        <w:rPr>
          <w:spacing w:val="-4"/>
        </w:rPr>
        <w:t xml:space="preserve">In </w:t>
      </w:r>
      <w:r>
        <w:t>accordance with these findings, on October 23, 2020, Steward Health Care System LLC filed a Determination of Need application for Morton Hospital (“Morton”) to open a 32-bed Level IV Medically</w:t>
      </w:r>
      <w:r>
        <w:rPr>
          <w:spacing w:val="-13"/>
        </w:rPr>
        <w:t xml:space="preserve"> </w:t>
      </w:r>
      <w:r>
        <w:t>Managed</w:t>
      </w:r>
      <w:r>
        <w:rPr>
          <w:spacing w:val="-10"/>
        </w:rPr>
        <w:t xml:space="preserve"> </w:t>
      </w:r>
      <w:r>
        <w:t>Intensive</w:t>
      </w:r>
      <w:r>
        <w:rPr>
          <w:spacing w:val="-13"/>
        </w:rPr>
        <w:t xml:space="preserve"> </w:t>
      </w:r>
      <w:r>
        <w:t>Inp</w:t>
      </w:r>
      <w:r>
        <w:t>atient</w:t>
      </w:r>
      <w:r>
        <w:rPr>
          <w:spacing w:val="-12"/>
        </w:rPr>
        <w:t xml:space="preserve"> </w:t>
      </w:r>
      <w:r>
        <w:t>Unit.</w:t>
      </w:r>
      <w:r>
        <w:rPr>
          <w:spacing w:val="-12"/>
        </w:rPr>
        <w:t xml:space="preserve"> </w:t>
      </w:r>
      <w:r>
        <w:t>In</w:t>
      </w:r>
      <w:r>
        <w:rPr>
          <w:spacing w:val="-12"/>
        </w:rPr>
        <w:t xml:space="preserve"> </w:t>
      </w:r>
      <w:r>
        <w:t>addition</w:t>
      </w:r>
      <w:r>
        <w:rPr>
          <w:spacing w:val="-12"/>
        </w:rPr>
        <w:t xml:space="preserve"> </w:t>
      </w:r>
      <w:r>
        <w:t>to</w:t>
      </w:r>
      <w:r>
        <w:rPr>
          <w:spacing w:val="-14"/>
        </w:rPr>
        <w:t xml:space="preserve"> </w:t>
      </w:r>
      <w:r>
        <w:t>the</w:t>
      </w:r>
      <w:r>
        <w:rPr>
          <w:spacing w:val="-13"/>
        </w:rPr>
        <w:t xml:space="preserve"> </w:t>
      </w:r>
      <w:r>
        <w:t>inpatient</w:t>
      </w:r>
      <w:r>
        <w:rPr>
          <w:spacing w:val="-12"/>
        </w:rPr>
        <w:t xml:space="preserve"> </w:t>
      </w:r>
      <w:r>
        <w:t>beds,</w:t>
      </w:r>
      <w:r>
        <w:rPr>
          <w:spacing w:val="-12"/>
        </w:rPr>
        <w:t xml:space="preserve"> </w:t>
      </w:r>
      <w:r>
        <w:t>Morton</w:t>
      </w:r>
      <w:r>
        <w:rPr>
          <w:spacing w:val="-13"/>
        </w:rPr>
        <w:t xml:space="preserve"> </w:t>
      </w:r>
      <w:r>
        <w:t>will</w:t>
      </w:r>
      <w:r>
        <w:rPr>
          <w:spacing w:val="-14"/>
        </w:rPr>
        <w:t xml:space="preserve"> </w:t>
      </w:r>
      <w:r>
        <w:t>provide a robust outpatient substance use disorder (“SUD”) service. Therefore, it is anticipated that the outpatient SUD services at Morton will serve as a replacement to the services currently of</w:t>
      </w:r>
      <w:r>
        <w:t xml:space="preserve">fered at </w:t>
      </w:r>
      <w:proofErr w:type="spellStart"/>
      <w:r>
        <w:t>Norcap</w:t>
      </w:r>
      <w:proofErr w:type="spellEnd"/>
      <w:r>
        <w:t>, while also providing a more intensive level of inpatient care for those who require such treatment.</w:t>
      </w:r>
      <w:r>
        <w:rPr>
          <w:spacing w:val="-14"/>
        </w:rPr>
        <w:t xml:space="preserve"> </w:t>
      </w:r>
      <w:r>
        <w:t>Accordingly,</w:t>
      </w:r>
      <w:r>
        <w:rPr>
          <w:spacing w:val="-14"/>
        </w:rPr>
        <w:t xml:space="preserve"> </w:t>
      </w:r>
      <w:r>
        <w:t>as</w:t>
      </w:r>
      <w:r>
        <w:rPr>
          <w:spacing w:val="-14"/>
        </w:rPr>
        <w:t xml:space="preserve"> </w:t>
      </w:r>
      <w:r>
        <w:t>a</w:t>
      </w:r>
      <w:r>
        <w:rPr>
          <w:spacing w:val="-14"/>
        </w:rPr>
        <w:t xml:space="preserve"> </w:t>
      </w:r>
      <w:r>
        <w:t>coordinated</w:t>
      </w:r>
      <w:r>
        <w:rPr>
          <w:spacing w:val="-14"/>
        </w:rPr>
        <w:t xml:space="preserve"> </w:t>
      </w:r>
      <w:r>
        <w:t>effort</w:t>
      </w:r>
      <w:r>
        <w:rPr>
          <w:spacing w:val="-14"/>
        </w:rPr>
        <w:t xml:space="preserve"> </w:t>
      </w:r>
      <w:r>
        <w:t>to</w:t>
      </w:r>
      <w:r>
        <w:rPr>
          <w:spacing w:val="-13"/>
        </w:rPr>
        <w:t xml:space="preserve"> </w:t>
      </w:r>
      <w:r>
        <w:t>meet</w:t>
      </w:r>
      <w:r>
        <w:rPr>
          <w:spacing w:val="-14"/>
        </w:rPr>
        <w:t xml:space="preserve"> </w:t>
      </w:r>
      <w:r>
        <w:t>the</w:t>
      </w:r>
      <w:r>
        <w:rPr>
          <w:spacing w:val="-15"/>
        </w:rPr>
        <w:t xml:space="preserve"> </w:t>
      </w:r>
      <w:r>
        <w:t>demands</w:t>
      </w:r>
      <w:r>
        <w:rPr>
          <w:spacing w:val="-13"/>
        </w:rPr>
        <w:t xml:space="preserve"> </w:t>
      </w:r>
      <w:r>
        <w:t>of</w:t>
      </w:r>
      <w:r>
        <w:rPr>
          <w:spacing w:val="-15"/>
        </w:rPr>
        <w:t xml:space="preserve"> </w:t>
      </w:r>
      <w:r>
        <w:t>its</w:t>
      </w:r>
      <w:r>
        <w:rPr>
          <w:spacing w:val="-13"/>
        </w:rPr>
        <w:t xml:space="preserve"> </w:t>
      </w:r>
      <w:r>
        <w:t>patient</w:t>
      </w:r>
      <w:r>
        <w:rPr>
          <w:spacing w:val="-14"/>
        </w:rPr>
        <w:t xml:space="preserve"> </w:t>
      </w:r>
      <w:r>
        <w:t>population,</w:t>
      </w:r>
      <w:r>
        <w:rPr>
          <w:spacing w:val="-14"/>
        </w:rPr>
        <w:t xml:space="preserve"> </w:t>
      </w:r>
      <w:r>
        <w:t xml:space="preserve">while ensuring efficiencies across Steward family hospitals, the Medical Center has decided to discontinue SUD services at </w:t>
      </w:r>
      <w:proofErr w:type="spellStart"/>
      <w:r>
        <w:t>Norcap</w:t>
      </w:r>
      <w:proofErr w:type="spellEnd"/>
      <w:r>
        <w:rPr>
          <w:spacing w:val="-3"/>
        </w:rPr>
        <w:t xml:space="preserve"> </w:t>
      </w:r>
      <w:r>
        <w:t>Lodge.</w:t>
      </w:r>
    </w:p>
    <w:p w14:paraId="25C2A2B0" w14:textId="77777777" w:rsidR="004B2C61" w:rsidRDefault="004B2C61">
      <w:pPr>
        <w:pStyle w:val="BodyText"/>
      </w:pPr>
    </w:p>
    <w:p w14:paraId="36E7F6EE" w14:textId="77777777" w:rsidR="004B2C61" w:rsidRDefault="00E526DE">
      <w:pPr>
        <w:pStyle w:val="BodyText"/>
        <w:ind w:left="119" w:right="657"/>
        <w:jc w:val="both"/>
      </w:pPr>
      <w:r>
        <w:t>Further, the Medical Center anticipates the new facility at Morton will increase access to SUD services</w:t>
      </w:r>
      <w:r>
        <w:rPr>
          <w:spacing w:val="-12"/>
        </w:rPr>
        <w:t xml:space="preserve"> </w:t>
      </w:r>
      <w:r>
        <w:t>due</w:t>
      </w:r>
      <w:r>
        <w:rPr>
          <w:spacing w:val="-12"/>
        </w:rPr>
        <w:t xml:space="preserve"> </w:t>
      </w:r>
      <w:r>
        <w:t>to</w:t>
      </w:r>
      <w:r>
        <w:rPr>
          <w:spacing w:val="-11"/>
        </w:rPr>
        <w:t xml:space="preserve"> </w:t>
      </w:r>
      <w:r>
        <w:t>its</w:t>
      </w:r>
      <w:r>
        <w:rPr>
          <w:spacing w:val="-11"/>
        </w:rPr>
        <w:t xml:space="preserve"> </w:t>
      </w:r>
      <w:r>
        <w:t>pro</w:t>
      </w:r>
      <w:r>
        <w:t>ximity</w:t>
      </w:r>
      <w:r>
        <w:rPr>
          <w:spacing w:val="-12"/>
        </w:rPr>
        <w:t xml:space="preserve"> </w:t>
      </w:r>
      <w:r>
        <w:t>to</w:t>
      </w:r>
      <w:r>
        <w:rPr>
          <w:spacing w:val="-11"/>
        </w:rPr>
        <w:t xml:space="preserve"> </w:t>
      </w:r>
      <w:r>
        <w:t>public</w:t>
      </w:r>
      <w:r>
        <w:rPr>
          <w:spacing w:val="-12"/>
        </w:rPr>
        <w:t xml:space="preserve"> </w:t>
      </w:r>
      <w:r>
        <w:t>transportation.</w:t>
      </w:r>
      <w:r>
        <w:rPr>
          <w:spacing w:val="-11"/>
        </w:rPr>
        <w:t xml:space="preserve"> </w:t>
      </w:r>
      <w:proofErr w:type="spellStart"/>
      <w:r>
        <w:t>Norcap</w:t>
      </w:r>
      <w:proofErr w:type="spellEnd"/>
      <w:r>
        <w:rPr>
          <w:spacing w:val="-12"/>
        </w:rPr>
        <w:t xml:space="preserve"> </w:t>
      </w:r>
      <w:proofErr w:type="gramStart"/>
      <w:r>
        <w:t>is</w:t>
      </w:r>
      <w:r>
        <w:rPr>
          <w:spacing w:val="-11"/>
        </w:rPr>
        <w:t xml:space="preserve"> </w:t>
      </w:r>
      <w:r>
        <w:t>located</w:t>
      </w:r>
      <w:r>
        <w:rPr>
          <w:spacing w:val="-11"/>
        </w:rPr>
        <w:t xml:space="preserve"> </w:t>
      </w:r>
      <w:r>
        <w:t>in</w:t>
      </w:r>
      <w:proofErr w:type="gramEnd"/>
      <w:r>
        <w:rPr>
          <w:spacing w:val="-11"/>
        </w:rPr>
        <w:t xml:space="preserve"> </w:t>
      </w:r>
      <w:r>
        <w:t>Foxborough</w:t>
      </w:r>
      <w:r>
        <w:rPr>
          <w:spacing w:val="-12"/>
        </w:rPr>
        <w:t xml:space="preserve"> </w:t>
      </w:r>
      <w:r>
        <w:t>and</w:t>
      </w:r>
      <w:r>
        <w:rPr>
          <w:spacing w:val="-11"/>
        </w:rPr>
        <w:t xml:space="preserve"> </w:t>
      </w:r>
      <w:r>
        <w:t>the</w:t>
      </w:r>
      <w:r>
        <w:rPr>
          <w:spacing w:val="-10"/>
        </w:rPr>
        <w:t xml:space="preserve"> </w:t>
      </w:r>
      <w:r>
        <w:t>IOP can be difficult to access for an individual without reliable access to an automobile for transportation. Morton Hospital, located in Taunton, provides a more comprehensive public</w:t>
      </w:r>
      <w:r>
        <w:t xml:space="preserve"> transportation option for individuals in need of care. Therefore, the Medical Center anticipates a positive effect on access to the IOP following the transition to Morton</w:t>
      </w:r>
      <w:r>
        <w:rPr>
          <w:spacing w:val="-3"/>
        </w:rPr>
        <w:t xml:space="preserve"> </w:t>
      </w:r>
      <w:r>
        <w:t>Hospital.</w:t>
      </w:r>
    </w:p>
    <w:p w14:paraId="7BF8DCC0" w14:textId="77777777" w:rsidR="004B2C61" w:rsidRDefault="004B2C61">
      <w:pPr>
        <w:pStyle w:val="BodyText"/>
      </w:pPr>
    </w:p>
    <w:p w14:paraId="1539BF38" w14:textId="77777777" w:rsidR="004B2C61" w:rsidRDefault="00E526DE">
      <w:pPr>
        <w:pStyle w:val="ListParagraph"/>
        <w:numPr>
          <w:ilvl w:val="0"/>
          <w:numId w:val="1"/>
        </w:numPr>
        <w:tabs>
          <w:tab w:val="left" w:pos="840"/>
        </w:tabs>
        <w:spacing w:before="1"/>
        <w:ind w:firstLine="0"/>
        <w:jc w:val="both"/>
        <w:rPr>
          <w:sz w:val="24"/>
        </w:rPr>
      </w:pPr>
      <w:r>
        <w:rPr>
          <w:sz w:val="24"/>
          <w:u w:val="single"/>
        </w:rPr>
        <w:t>Date Set of Discontinuance</w:t>
      </w:r>
      <w:r>
        <w:rPr>
          <w:sz w:val="24"/>
        </w:rPr>
        <w:t>. Notice is hereby given for a target closure d</w:t>
      </w:r>
      <w:r>
        <w:rPr>
          <w:sz w:val="24"/>
        </w:rPr>
        <w:t>ate of</w:t>
      </w:r>
      <w:r>
        <w:rPr>
          <w:spacing w:val="-26"/>
          <w:sz w:val="24"/>
        </w:rPr>
        <w:t xml:space="preserve"> </w:t>
      </w:r>
      <w:r>
        <w:rPr>
          <w:sz w:val="24"/>
        </w:rPr>
        <w:t xml:space="preserve">September 1, 2021. Specifically, discontinuance of the Services at </w:t>
      </w:r>
      <w:proofErr w:type="spellStart"/>
      <w:r>
        <w:rPr>
          <w:sz w:val="24"/>
        </w:rPr>
        <w:t>Norcap</w:t>
      </w:r>
      <w:proofErr w:type="spellEnd"/>
      <w:r>
        <w:rPr>
          <w:sz w:val="24"/>
        </w:rPr>
        <w:t xml:space="preserve"> is anticipated to coincide with the opening of SUD services at Morton pursuant to </w:t>
      </w:r>
      <w:proofErr w:type="spellStart"/>
      <w:r>
        <w:rPr>
          <w:sz w:val="24"/>
        </w:rPr>
        <w:t>DoN</w:t>
      </w:r>
      <w:proofErr w:type="spellEnd"/>
      <w:r>
        <w:rPr>
          <w:sz w:val="24"/>
        </w:rPr>
        <w:t xml:space="preserve"> approval for the proposed</w:t>
      </w:r>
      <w:r>
        <w:rPr>
          <w:spacing w:val="-9"/>
          <w:sz w:val="24"/>
        </w:rPr>
        <w:t xml:space="preserve"> </w:t>
      </w:r>
      <w:r>
        <w:rPr>
          <w:sz w:val="24"/>
        </w:rPr>
        <w:t>project.</w:t>
      </w:r>
    </w:p>
    <w:p w14:paraId="6369786C" w14:textId="77777777" w:rsidR="004B2C61" w:rsidRDefault="004B2C61">
      <w:pPr>
        <w:pStyle w:val="BodyText"/>
        <w:spacing w:before="2"/>
      </w:pPr>
    </w:p>
    <w:p w14:paraId="603DA019" w14:textId="77777777" w:rsidR="004B2C61" w:rsidRDefault="00E526DE">
      <w:pPr>
        <w:pStyle w:val="ListParagraph"/>
        <w:numPr>
          <w:ilvl w:val="0"/>
          <w:numId w:val="1"/>
        </w:numPr>
        <w:tabs>
          <w:tab w:val="left" w:pos="840"/>
        </w:tabs>
        <w:spacing w:line="237" w:lineRule="auto"/>
        <w:ind w:right="655" w:firstLine="0"/>
        <w:jc w:val="both"/>
        <w:rPr>
          <w:sz w:val="24"/>
        </w:rPr>
      </w:pPr>
      <w:r>
        <w:rPr>
          <w:sz w:val="24"/>
          <w:u w:val="single"/>
        </w:rPr>
        <w:t>Health Care Coalitions and Community Groups</w:t>
      </w:r>
      <w:r>
        <w:rPr>
          <w:sz w:val="24"/>
        </w:rPr>
        <w:t>. The Medical Center anticipates that the following community groups may have an interest in the discontinuation of the</w:t>
      </w:r>
      <w:r>
        <w:rPr>
          <w:spacing w:val="-11"/>
          <w:sz w:val="24"/>
        </w:rPr>
        <w:t xml:space="preserve"> </w:t>
      </w:r>
      <w:r>
        <w:rPr>
          <w:sz w:val="24"/>
        </w:rPr>
        <w:t>Services:</w:t>
      </w:r>
    </w:p>
    <w:p w14:paraId="3733C942" w14:textId="77777777" w:rsidR="004B2C61" w:rsidRDefault="004B2C61">
      <w:pPr>
        <w:pStyle w:val="BodyText"/>
      </w:pPr>
    </w:p>
    <w:p w14:paraId="58BCAB36" w14:textId="77777777" w:rsidR="004B2C61" w:rsidRDefault="00E526DE">
      <w:pPr>
        <w:pStyle w:val="ListParagraph"/>
        <w:numPr>
          <w:ilvl w:val="1"/>
          <w:numId w:val="1"/>
        </w:numPr>
        <w:tabs>
          <w:tab w:val="left" w:pos="839"/>
          <w:tab w:val="left" w:pos="840"/>
        </w:tabs>
        <w:spacing w:before="1"/>
        <w:ind w:right="1206"/>
        <w:jc w:val="left"/>
        <w:rPr>
          <w:sz w:val="24"/>
        </w:rPr>
      </w:pPr>
      <w:r>
        <w:rPr>
          <w:sz w:val="24"/>
        </w:rPr>
        <w:t>Shatterproof™ – is a newly founded non-profit agency focused on opioid addiction recovery. They founded Atlas™ which is a quality data collection group (like</w:t>
      </w:r>
      <w:r>
        <w:rPr>
          <w:spacing w:val="-17"/>
          <w:sz w:val="24"/>
        </w:rPr>
        <w:t xml:space="preserve"> </w:t>
      </w:r>
      <w:r>
        <w:rPr>
          <w:sz w:val="24"/>
        </w:rPr>
        <w:t>Press- Ganey). NORCAP has participated in the patient/family satisfaction survey pilot as directed</w:t>
      </w:r>
      <w:r>
        <w:rPr>
          <w:sz w:val="24"/>
        </w:rPr>
        <w:t xml:space="preserve"> by</w:t>
      </w:r>
      <w:r>
        <w:rPr>
          <w:spacing w:val="-1"/>
          <w:sz w:val="24"/>
        </w:rPr>
        <w:t xml:space="preserve"> </w:t>
      </w:r>
      <w:r>
        <w:rPr>
          <w:sz w:val="24"/>
        </w:rPr>
        <w:t>BSAS.</w:t>
      </w:r>
    </w:p>
    <w:p w14:paraId="59012656" w14:textId="77777777" w:rsidR="004B2C61" w:rsidRDefault="00E526DE">
      <w:pPr>
        <w:pStyle w:val="ListParagraph"/>
        <w:numPr>
          <w:ilvl w:val="1"/>
          <w:numId w:val="1"/>
        </w:numPr>
        <w:tabs>
          <w:tab w:val="left" w:pos="839"/>
          <w:tab w:val="left" w:pos="840"/>
        </w:tabs>
        <w:spacing w:before="1"/>
        <w:ind w:right="0"/>
        <w:jc w:val="left"/>
        <w:rPr>
          <w:sz w:val="24"/>
        </w:rPr>
      </w:pPr>
      <w:r>
        <w:rPr>
          <w:sz w:val="24"/>
        </w:rPr>
        <w:t>The Friends of NORCAP, a non-profit group for NORCAP</w:t>
      </w:r>
      <w:r>
        <w:rPr>
          <w:spacing w:val="-4"/>
          <w:sz w:val="24"/>
        </w:rPr>
        <w:t xml:space="preserve"> </w:t>
      </w:r>
      <w:r>
        <w:rPr>
          <w:sz w:val="24"/>
        </w:rPr>
        <w:t>alumni.</w:t>
      </w:r>
    </w:p>
    <w:p w14:paraId="1C28846A" w14:textId="77777777" w:rsidR="004B2C61" w:rsidRDefault="004B2C61">
      <w:pPr>
        <w:pStyle w:val="BodyText"/>
        <w:spacing w:before="10"/>
        <w:rPr>
          <w:sz w:val="23"/>
        </w:rPr>
      </w:pPr>
    </w:p>
    <w:p w14:paraId="596CA1CF" w14:textId="77777777" w:rsidR="004B2C61" w:rsidRDefault="00E526DE">
      <w:pPr>
        <w:pStyle w:val="ListParagraph"/>
        <w:numPr>
          <w:ilvl w:val="0"/>
          <w:numId w:val="1"/>
        </w:numPr>
        <w:tabs>
          <w:tab w:val="left" w:pos="840"/>
        </w:tabs>
        <w:ind w:firstLine="0"/>
        <w:jc w:val="both"/>
        <w:rPr>
          <w:sz w:val="24"/>
        </w:rPr>
      </w:pPr>
      <w:r>
        <w:rPr>
          <w:sz w:val="24"/>
          <w:u w:val="single"/>
        </w:rPr>
        <w:t>Community Engagement and Planning Activities Prior to the Notice of Closure</w:t>
      </w:r>
      <w:r>
        <w:rPr>
          <w:sz w:val="24"/>
        </w:rPr>
        <w:t>. The Medical Center has undertaken the following community engagement and planning</w:t>
      </w:r>
      <w:r>
        <w:rPr>
          <w:spacing w:val="-11"/>
          <w:sz w:val="24"/>
        </w:rPr>
        <w:t xml:space="preserve"> </w:t>
      </w:r>
      <w:r>
        <w:rPr>
          <w:sz w:val="24"/>
        </w:rPr>
        <w:t>activities:</w:t>
      </w:r>
    </w:p>
    <w:p w14:paraId="37887118" w14:textId="77777777" w:rsidR="004B2C61" w:rsidRDefault="004B2C61">
      <w:pPr>
        <w:pStyle w:val="BodyText"/>
      </w:pPr>
    </w:p>
    <w:p w14:paraId="086778F8" w14:textId="77777777" w:rsidR="004B2C61" w:rsidRDefault="00E526DE">
      <w:pPr>
        <w:pStyle w:val="ListParagraph"/>
        <w:numPr>
          <w:ilvl w:val="1"/>
          <w:numId w:val="1"/>
        </w:numPr>
        <w:tabs>
          <w:tab w:val="left" w:pos="840"/>
        </w:tabs>
        <w:ind w:right="659"/>
        <w:rPr>
          <w:sz w:val="24"/>
        </w:rPr>
      </w:pPr>
      <w:r>
        <w:rPr>
          <w:sz w:val="24"/>
        </w:rPr>
        <w:t>August 12, 2</w:t>
      </w:r>
      <w:r>
        <w:rPr>
          <w:sz w:val="24"/>
        </w:rPr>
        <w:t xml:space="preserve">020, 3:00PM- </w:t>
      </w:r>
      <w:proofErr w:type="spellStart"/>
      <w:r>
        <w:rPr>
          <w:sz w:val="24"/>
        </w:rPr>
        <w:t>Norcap</w:t>
      </w:r>
      <w:proofErr w:type="spellEnd"/>
      <w:r>
        <w:rPr>
          <w:sz w:val="24"/>
        </w:rPr>
        <w:t xml:space="preserve"> staff meeting. All employees were invited and representatives from the Massachusetts Nurses Association (MNA) and Service Employees International Union (SEIU) were in</w:t>
      </w:r>
      <w:r>
        <w:rPr>
          <w:spacing w:val="-2"/>
          <w:sz w:val="24"/>
        </w:rPr>
        <w:t xml:space="preserve"> </w:t>
      </w:r>
      <w:r>
        <w:rPr>
          <w:sz w:val="24"/>
        </w:rPr>
        <w:t>attendance.</w:t>
      </w:r>
    </w:p>
    <w:p w14:paraId="04986E01" w14:textId="77777777" w:rsidR="004B2C61" w:rsidRDefault="004B2C61">
      <w:pPr>
        <w:jc w:val="both"/>
        <w:rPr>
          <w:sz w:val="24"/>
        </w:rPr>
        <w:sectPr w:rsidR="004B2C61">
          <w:pgSz w:w="12240" w:h="15840"/>
          <w:pgMar w:top="2360" w:right="780" w:bottom="880" w:left="1320" w:header="735" w:footer="699" w:gutter="0"/>
          <w:cols w:space="720"/>
        </w:sectPr>
      </w:pPr>
    </w:p>
    <w:p w14:paraId="66C0E0C5" w14:textId="77777777" w:rsidR="004B2C61" w:rsidRDefault="004B2C61">
      <w:pPr>
        <w:pStyle w:val="BodyText"/>
        <w:rPr>
          <w:sz w:val="20"/>
        </w:rPr>
      </w:pPr>
    </w:p>
    <w:p w14:paraId="107BDF8E" w14:textId="77777777" w:rsidR="004B2C61" w:rsidRDefault="004B2C61">
      <w:pPr>
        <w:pStyle w:val="BodyText"/>
      </w:pPr>
    </w:p>
    <w:p w14:paraId="7B3BF2F8" w14:textId="77777777" w:rsidR="004B2C61" w:rsidRDefault="00E526DE">
      <w:pPr>
        <w:pStyle w:val="ListParagraph"/>
        <w:numPr>
          <w:ilvl w:val="1"/>
          <w:numId w:val="1"/>
        </w:numPr>
        <w:tabs>
          <w:tab w:val="left" w:pos="840"/>
        </w:tabs>
        <w:rPr>
          <w:sz w:val="24"/>
        </w:rPr>
      </w:pPr>
      <w:r>
        <w:rPr>
          <w:sz w:val="24"/>
        </w:rPr>
        <w:t xml:space="preserve">August 13, 2020, 7:00AM- </w:t>
      </w:r>
      <w:proofErr w:type="spellStart"/>
      <w:r>
        <w:rPr>
          <w:sz w:val="24"/>
        </w:rPr>
        <w:t>Norcap</w:t>
      </w:r>
      <w:proofErr w:type="spellEnd"/>
      <w:r>
        <w:rPr>
          <w:sz w:val="24"/>
        </w:rPr>
        <w:t xml:space="preserve"> staff mee</w:t>
      </w:r>
      <w:r>
        <w:rPr>
          <w:sz w:val="24"/>
        </w:rPr>
        <w:t xml:space="preserve">ting. All employees invited, </w:t>
      </w:r>
      <w:proofErr w:type="gramStart"/>
      <w:r>
        <w:rPr>
          <w:sz w:val="24"/>
        </w:rPr>
        <w:t>in particular the</w:t>
      </w:r>
      <w:proofErr w:type="gramEnd"/>
      <w:r>
        <w:rPr>
          <w:sz w:val="24"/>
        </w:rPr>
        <w:t xml:space="preserve"> nighttime staff who could not attend on the previous date. Labor unions were invited as well but did not</w:t>
      </w:r>
      <w:r>
        <w:rPr>
          <w:spacing w:val="-1"/>
          <w:sz w:val="24"/>
        </w:rPr>
        <w:t xml:space="preserve"> </w:t>
      </w:r>
      <w:r>
        <w:rPr>
          <w:sz w:val="24"/>
        </w:rPr>
        <w:t>attend.</w:t>
      </w:r>
    </w:p>
    <w:p w14:paraId="45E510A0" w14:textId="77777777" w:rsidR="004B2C61" w:rsidRDefault="00E526DE">
      <w:pPr>
        <w:pStyle w:val="ListParagraph"/>
        <w:numPr>
          <w:ilvl w:val="1"/>
          <w:numId w:val="1"/>
        </w:numPr>
        <w:tabs>
          <w:tab w:val="left" w:pos="840"/>
        </w:tabs>
        <w:spacing w:line="292" w:lineRule="exact"/>
        <w:ind w:right="0"/>
        <w:rPr>
          <w:sz w:val="24"/>
        </w:rPr>
      </w:pPr>
      <w:r>
        <w:rPr>
          <w:sz w:val="24"/>
        </w:rPr>
        <w:t>October 23,</w:t>
      </w:r>
      <w:r>
        <w:rPr>
          <w:spacing w:val="-2"/>
          <w:sz w:val="24"/>
        </w:rPr>
        <w:t xml:space="preserve"> </w:t>
      </w:r>
      <w:r>
        <w:rPr>
          <w:sz w:val="24"/>
        </w:rPr>
        <w:t>2020,</w:t>
      </w:r>
    </w:p>
    <w:p w14:paraId="7FBB9FC4" w14:textId="77777777" w:rsidR="004B2C61" w:rsidRDefault="00E526DE">
      <w:pPr>
        <w:pStyle w:val="ListParagraph"/>
        <w:numPr>
          <w:ilvl w:val="2"/>
          <w:numId w:val="1"/>
        </w:numPr>
        <w:tabs>
          <w:tab w:val="left" w:pos="1560"/>
        </w:tabs>
        <w:spacing w:before="14" w:line="223" w:lineRule="auto"/>
        <w:rPr>
          <w:sz w:val="24"/>
        </w:rPr>
      </w:pPr>
      <w:r>
        <w:rPr>
          <w:sz w:val="24"/>
        </w:rPr>
        <w:t xml:space="preserve">9:00AM- </w:t>
      </w:r>
      <w:proofErr w:type="spellStart"/>
      <w:r>
        <w:rPr>
          <w:sz w:val="24"/>
        </w:rPr>
        <w:t>Norcap</w:t>
      </w:r>
      <w:proofErr w:type="spellEnd"/>
      <w:r>
        <w:rPr>
          <w:sz w:val="24"/>
        </w:rPr>
        <w:t xml:space="preserve"> Staff Meeting. All </w:t>
      </w:r>
      <w:proofErr w:type="spellStart"/>
      <w:r>
        <w:rPr>
          <w:sz w:val="24"/>
        </w:rPr>
        <w:t>Norcap</w:t>
      </w:r>
      <w:proofErr w:type="spellEnd"/>
      <w:r>
        <w:rPr>
          <w:sz w:val="24"/>
        </w:rPr>
        <w:t xml:space="preserve"> employees were informed that notice of the closure was provided to the</w:t>
      </w:r>
      <w:r>
        <w:rPr>
          <w:spacing w:val="-3"/>
          <w:sz w:val="24"/>
        </w:rPr>
        <w:t xml:space="preserve"> </w:t>
      </w:r>
      <w:r>
        <w:rPr>
          <w:sz w:val="24"/>
        </w:rPr>
        <w:t>Department.</w:t>
      </w:r>
    </w:p>
    <w:p w14:paraId="5BED13A5" w14:textId="77777777" w:rsidR="004B2C61" w:rsidRDefault="00E526DE">
      <w:pPr>
        <w:pStyle w:val="ListParagraph"/>
        <w:numPr>
          <w:ilvl w:val="2"/>
          <w:numId w:val="1"/>
        </w:numPr>
        <w:tabs>
          <w:tab w:val="left" w:pos="1560"/>
        </w:tabs>
        <w:spacing w:before="8" w:line="235" w:lineRule="auto"/>
        <w:rPr>
          <w:sz w:val="24"/>
        </w:rPr>
      </w:pPr>
      <w:r>
        <w:rPr>
          <w:sz w:val="24"/>
        </w:rPr>
        <w:t>Email</w:t>
      </w:r>
      <w:r>
        <w:rPr>
          <w:spacing w:val="-7"/>
          <w:sz w:val="24"/>
        </w:rPr>
        <w:t xml:space="preserve"> </w:t>
      </w:r>
      <w:r>
        <w:rPr>
          <w:sz w:val="24"/>
        </w:rPr>
        <w:t>notice</w:t>
      </w:r>
      <w:r>
        <w:rPr>
          <w:spacing w:val="-8"/>
          <w:sz w:val="24"/>
        </w:rPr>
        <w:t xml:space="preserve"> </w:t>
      </w:r>
      <w:r>
        <w:rPr>
          <w:sz w:val="24"/>
        </w:rPr>
        <w:t>of</w:t>
      </w:r>
      <w:r>
        <w:rPr>
          <w:spacing w:val="-7"/>
          <w:sz w:val="24"/>
        </w:rPr>
        <w:t xml:space="preserve"> </w:t>
      </w:r>
      <w:r>
        <w:rPr>
          <w:sz w:val="24"/>
        </w:rPr>
        <w:t>closure</w:t>
      </w:r>
      <w:r>
        <w:rPr>
          <w:spacing w:val="-7"/>
          <w:sz w:val="24"/>
        </w:rPr>
        <w:t xml:space="preserve"> </w:t>
      </w:r>
      <w:r>
        <w:rPr>
          <w:sz w:val="24"/>
        </w:rPr>
        <w:t>provided</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Medical</w:t>
      </w:r>
      <w:r>
        <w:rPr>
          <w:spacing w:val="-7"/>
          <w:sz w:val="24"/>
        </w:rPr>
        <w:t xml:space="preserve"> </w:t>
      </w:r>
      <w:r>
        <w:rPr>
          <w:sz w:val="24"/>
        </w:rPr>
        <w:t>Center’s</w:t>
      </w:r>
      <w:r>
        <w:rPr>
          <w:spacing w:val="-6"/>
          <w:sz w:val="24"/>
        </w:rPr>
        <w:t xml:space="preserve"> </w:t>
      </w:r>
      <w:r>
        <w:rPr>
          <w:sz w:val="24"/>
        </w:rPr>
        <w:t>medical</w:t>
      </w:r>
      <w:r>
        <w:rPr>
          <w:spacing w:val="-7"/>
          <w:sz w:val="24"/>
        </w:rPr>
        <w:t xml:space="preserve"> </w:t>
      </w:r>
      <w:r>
        <w:rPr>
          <w:sz w:val="24"/>
        </w:rPr>
        <w:t>staff,</w:t>
      </w:r>
      <w:r>
        <w:rPr>
          <w:spacing w:val="-6"/>
          <w:sz w:val="24"/>
        </w:rPr>
        <w:t xml:space="preserve"> </w:t>
      </w:r>
      <w:r>
        <w:rPr>
          <w:sz w:val="24"/>
        </w:rPr>
        <w:t>employees, Massachusetts</w:t>
      </w:r>
      <w:r>
        <w:rPr>
          <w:spacing w:val="-15"/>
          <w:sz w:val="24"/>
        </w:rPr>
        <w:t xml:space="preserve"> </w:t>
      </w:r>
      <w:r>
        <w:rPr>
          <w:sz w:val="24"/>
        </w:rPr>
        <w:t>Nurses</w:t>
      </w:r>
      <w:r>
        <w:rPr>
          <w:spacing w:val="-14"/>
          <w:sz w:val="24"/>
        </w:rPr>
        <w:t xml:space="preserve"> </w:t>
      </w:r>
      <w:r>
        <w:rPr>
          <w:sz w:val="24"/>
        </w:rPr>
        <w:t>Association</w:t>
      </w:r>
      <w:r>
        <w:rPr>
          <w:spacing w:val="-14"/>
          <w:sz w:val="24"/>
        </w:rPr>
        <w:t xml:space="preserve"> </w:t>
      </w:r>
      <w:r>
        <w:rPr>
          <w:sz w:val="24"/>
        </w:rPr>
        <w:t>(MNA),</w:t>
      </w:r>
      <w:r>
        <w:rPr>
          <w:spacing w:val="-12"/>
          <w:sz w:val="24"/>
        </w:rPr>
        <w:t xml:space="preserve"> </w:t>
      </w:r>
      <w:r>
        <w:rPr>
          <w:sz w:val="24"/>
        </w:rPr>
        <w:t>Service</w:t>
      </w:r>
      <w:r>
        <w:rPr>
          <w:spacing w:val="-16"/>
          <w:sz w:val="24"/>
        </w:rPr>
        <w:t xml:space="preserve"> </w:t>
      </w:r>
      <w:r>
        <w:rPr>
          <w:sz w:val="24"/>
        </w:rPr>
        <w:t>Employees</w:t>
      </w:r>
      <w:r>
        <w:rPr>
          <w:spacing w:val="-12"/>
          <w:sz w:val="24"/>
        </w:rPr>
        <w:t xml:space="preserve"> </w:t>
      </w:r>
      <w:r>
        <w:rPr>
          <w:sz w:val="24"/>
        </w:rPr>
        <w:t>International</w:t>
      </w:r>
      <w:r>
        <w:rPr>
          <w:spacing w:val="-14"/>
          <w:sz w:val="24"/>
        </w:rPr>
        <w:t xml:space="preserve"> </w:t>
      </w:r>
      <w:r>
        <w:rPr>
          <w:sz w:val="24"/>
        </w:rPr>
        <w:t>Union (SEIU), Massachusetts Senators and Representatives for Brockton and Foxborough, local officials of Brockton and Foxborough, Advisory Board, and</w:t>
      </w:r>
      <w:r>
        <w:rPr>
          <w:spacing w:val="-33"/>
          <w:sz w:val="24"/>
        </w:rPr>
        <w:t xml:space="preserve"> </w:t>
      </w:r>
      <w:r>
        <w:rPr>
          <w:sz w:val="24"/>
        </w:rPr>
        <w:t>the Patient Family Advisory Committee</w:t>
      </w:r>
      <w:r>
        <w:rPr>
          <w:spacing w:val="-2"/>
          <w:sz w:val="24"/>
        </w:rPr>
        <w:t xml:space="preserve"> </w:t>
      </w:r>
      <w:r>
        <w:rPr>
          <w:sz w:val="24"/>
        </w:rPr>
        <w:t>(PFAC).</w:t>
      </w:r>
    </w:p>
    <w:p w14:paraId="31177B15" w14:textId="77777777" w:rsidR="004B2C61" w:rsidRDefault="00E526DE">
      <w:pPr>
        <w:pStyle w:val="ListParagraph"/>
        <w:numPr>
          <w:ilvl w:val="1"/>
          <w:numId w:val="1"/>
        </w:numPr>
        <w:tabs>
          <w:tab w:val="left" w:pos="840"/>
        </w:tabs>
        <w:spacing w:before="3"/>
        <w:ind w:right="656"/>
        <w:rPr>
          <w:sz w:val="24"/>
        </w:rPr>
      </w:pPr>
      <w:r>
        <w:rPr>
          <w:sz w:val="24"/>
        </w:rPr>
        <w:t>November 9, 2020, Virtual Meeting wi</w:t>
      </w:r>
      <w:r>
        <w:rPr>
          <w:sz w:val="24"/>
        </w:rPr>
        <w:t xml:space="preserve">th Senator Feeney and </w:t>
      </w:r>
      <w:proofErr w:type="spellStart"/>
      <w:r>
        <w:rPr>
          <w:sz w:val="24"/>
        </w:rPr>
        <w:t>Norcap</w:t>
      </w:r>
      <w:proofErr w:type="spellEnd"/>
      <w:r>
        <w:rPr>
          <w:sz w:val="24"/>
        </w:rPr>
        <w:t xml:space="preserve"> and Morton leadership to review comprehensive plan for closure of </w:t>
      </w:r>
      <w:proofErr w:type="spellStart"/>
      <w:r>
        <w:rPr>
          <w:sz w:val="24"/>
        </w:rPr>
        <w:t>Norcap</w:t>
      </w:r>
      <w:proofErr w:type="spellEnd"/>
      <w:r>
        <w:rPr>
          <w:sz w:val="24"/>
        </w:rPr>
        <w:t xml:space="preserve"> and new Level 4 unit and outpatient services at</w:t>
      </w:r>
      <w:r>
        <w:rPr>
          <w:spacing w:val="-1"/>
          <w:sz w:val="24"/>
        </w:rPr>
        <w:t xml:space="preserve"> </w:t>
      </w:r>
      <w:r>
        <w:rPr>
          <w:sz w:val="24"/>
        </w:rPr>
        <w:t>Morton.</w:t>
      </w:r>
    </w:p>
    <w:p w14:paraId="6CD99BCF" w14:textId="77777777" w:rsidR="004B2C61" w:rsidRDefault="00E526DE">
      <w:pPr>
        <w:pStyle w:val="ListParagraph"/>
        <w:numPr>
          <w:ilvl w:val="1"/>
          <w:numId w:val="1"/>
        </w:numPr>
        <w:tabs>
          <w:tab w:val="left" w:pos="840"/>
        </w:tabs>
        <w:rPr>
          <w:sz w:val="24"/>
        </w:rPr>
      </w:pPr>
      <w:r>
        <w:rPr>
          <w:sz w:val="24"/>
        </w:rPr>
        <w:t>As the date of discontinuance approaches, the Medical Center will make the appropriate filings wit</w:t>
      </w:r>
      <w:r>
        <w:rPr>
          <w:sz w:val="24"/>
        </w:rPr>
        <w:t>h the DPH Bureau of Substance Abuse Services in accordance with applicable regulatory</w:t>
      </w:r>
      <w:r>
        <w:rPr>
          <w:spacing w:val="-1"/>
          <w:sz w:val="24"/>
        </w:rPr>
        <w:t xml:space="preserve"> </w:t>
      </w:r>
      <w:r>
        <w:rPr>
          <w:sz w:val="24"/>
        </w:rPr>
        <w:t>requirements.</w:t>
      </w:r>
    </w:p>
    <w:p w14:paraId="733B4377" w14:textId="77777777" w:rsidR="004B2C61" w:rsidRDefault="004B2C61">
      <w:pPr>
        <w:pStyle w:val="BodyText"/>
        <w:spacing w:before="9"/>
        <w:rPr>
          <w:sz w:val="23"/>
        </w:rPr>
      </w:pPr>
    </w:p>
    <w:p w14:paraId="43982264" w14:textId="77777777" w:rsidR="004B2C61" w:rsidRDefault="00E526DE">
      <w:pPr>
        <w:pStyle w:val="BodyText"/>
        <w:spacing w:before="1"/>
        <w:ind w:left="120" w:right="56"/>
      </w:pPr>
      <w:r>
        <w:t>If you require further information with respect to this matter, please do not hesitate to contact me. Thank you.</w:t>
      </w:r>
    </w:p>
    <w:p w14:paraId="3E6C4167" w14:textId="77777777" w:rsidR="004B2C61" w:rsidRDefault="004B2C61">
      <w:pPr>
        <w:pStyle w:val="BodyText"/>
        <w:spacing w:before="11"/>
        <w:rPr>
          <w:sz w:val="23"/>
        </w:rPr>
      </w:pPr>
    </w:p>
    <w:p w14:paraId="5A15D58C" w14:textId="77777777" w:rsidR="004B2C61" w:rsidRDefault="00E526DE">
      <w:pPr>
        <w:pStyle w:val="BodyText"/>
        <w:ind w:left="120"/>
      </w:pPr>
      <w:r>
        <w:rPr>
          <w:noProof/>
        </w:rPr>
        <w:drawing>
          <wp:anchor distT="0" distB="0" distL="0" distR="0" simplePos="0" relativeHeight="251656192" behindDoc="0" locked="0" layoutInCell="1" allowOverlap="1" wp14:anchorId="3AEF0881" wp14:editId="7F2614E7">
            <wp:simplePos x="0" y="0"/>
            <wp:positionH relativeFrom="page">
              <wp:posOffset>914400</wp:posOffset>
            </wp:positionH>
            <wp:positionV relativeFrom="paragraph">
              <wp:posOffset>247946</wp:posOffset>
            </wp:positionV>
            <wp:extent cx="1201177" cy="438912"/>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1201177" cy="438912"/>
                    </a:xfrm>
                    <a:prstGeom prst="rect">
                      <a:avLst/>
                    </a:prstGeom>
                  </pic:spPr>
                </pic:pic>
              </a:graphicData>
            </a:graphic>
          </wp:anchor>
        </w:drawing>
      </w:r>
      <w:r>
        <w:t>Sincerely,</w:t>
      </w:r>
    </w:p>
    <w:p w14:paraId="12AE407E" w14:textId="77777777" w:rsidR="004B2C61" w:rsidRDefault="00E526DE">
      <w:pPr>
        <w:pStyle w:val="BodyText"/>
        <w:ind w:left="120"/>
      </w:pPr>
      <w:r>
        <w:t>Andrew S. Levine</w:t>
      </w:r>
    </w:p>
    <w:p w14:paraId="41ECD314" w14:textId="77777777" w:rsidR="004B2C61" w:rsidRDefault="004B2C61">
      <w:pPr>
        <w:pStyle w:val="BodyText"/>
      </w:pPr>
    </w:p>
    <w:p w14:paraId="356A6DAC" w14:textId="77777777" w:rsidR="004B2C61" w:rsidRDefault="00E526DE">
      <w:pPr>
        <w:pStyle w:val="BodyText"/>
        <w:tabs>
          <w:tab w:val="left" w:pos="839"/>
        </w:tabs>
        <w:ind w:left="120"/>
      </w:pPr>
      <w:r>
        <w:t>cc:</w:t>
      </w:r>
      <w:r>
        <w:tab/>
        <w:t>D. Calv</w:t>
      </w:r>
      <w:r>
        <w:t>ert,</w:t>
      </w:r>
      <w:r>
        <w:rPr>
          <w:spacing w:val="-1"/>
        </w:rPr>
        <w:t xml:space="preserve"> </w:t>
      </w:r>
      <w:r>
        <w:t>BSAS</w:t>
      </w:r>
    </w:p>
    <w:p w14:paraId="4EFE3D4B" w14:textId="77777777" w:rsidR="004B2C61" w:rsidRDefault="00E526DE">
      <w:pPr>
        <w:pStyle w:val="BodyText"/>
        <w:ind w:left="840"/>
      </w:pPr>
      <w:r>
        <w:t>S. Davis,</w:t>
      </w:r>
      <w:r>
        <w:rPr>
          <w:spacing w:val="-4"/>
        </w:rPr>
        <w:t xml:space="preserve"> </w:t>
      </w:r>
      <w:r>
        <w:t>DPH</w:t>
      </w:r>
    </w:p>
    <w:p w14:paraId="0A824FF9" w14:textId="77777777" w:rsidR="004B2C61" w:rsidRDefault="00E526DE">
      <w:pPr>
        <w:pStyle w:val="BodyText"/>
        <w:ind w:left="840"/>
      </w:pPr>
      <w:r>
        <w:t>E. Gold,</w:t>
      </w:r>
      <w:r>
        <w:rPr>
          <w:spacing w:val="-5"/>
        </w:rPr>
        <w:t xml:space="preserve"> </w:t>
      </w:r>
      <w:r>
        <w:t>OAG</w:t>
      </w:r>
    </w:p>
    <w:p w14:paraId="4442C23F" w14:textId="77777777" w:rsidR="004B2C61" w:rsidRDefault="00E526DE">
      <w:pPr>
        <w:pStyle w:val="BodyText"/>
        <w:ind w:left="840"/>
      </w:pPr>
      <w:r>
        <w:t xml:space="preserve">N. </w:t>
      </w:r>
      <w:proofErr w:type="spellStart"/>
      <w:r>
        <w:t>Hibble</w:t>
      </w:r>
      <w:proofErr w:type="spellEnd"/>
      <w:r>
        <w:t>, Esq., SHCS</w:t>
      </w:r>
    </w:p>
    <w:p w14:paraId="5022CCF8" w14:textId="77777777" w:rsidR="004B2C61" w:rsidRDefault="00E526DE">
      <w:pPr>
        <w:pStyle w:val="BodyText"/>
        <w:ind w:left="840"/>
      </w:pPr>
      <w:r>
        <w:t>W. Mackie, DPH</w:t>
      </w:r>
    </w:p>
    <w:p w14:paraId="621E1704" w14:textId="77777777" w:rsidR="004B2C61" w:rsidRDefault="00E526DE">
      <w:pPr>
        <w:pStyle w:val="BodyText"/>
        <w:ind w:left="840"/>
      </w:pPr>
      <w:r>
        <w:t>M. Marrero, M.D., GSMC</w:t>
      </w:r>
    </w:p>
    <w:p w14:paraId="3765D4E3" w14:textId="77777777" w:rsidR="004B2C61" w:rsidRDefault="00E526DE">
      <w:pPr>
        <w:pStyle w:val="BodyText"/>
        <w:ind w:left="840"/>
      </w:pPr>
      <w:r>
        <w:t>B. McLaughlin, Esq., BSAS</w:t>
      </w:r>
    </w:p>
    <w:p w14:paraId="58A4D989" w14:textId="77777777" w:rsidR="004B2C61" w:rsidRDefault="00E526DE">
      <w:pPr>
        <w:pStyle w:val="BodyText"/>
        <w:ind w:left="840"/>
      </w:pPr>
      <w:r>
        <w:t>A. Nardone, DPH</w:t>
      </w:r>
    </w:p>
    <w:p w14:paraId="473A4B24" w14:textId="77777777" w:rsidR="004B2C61" w:rsidRDefault="00E526DE">
      <w:pPr>
        <w:pStyle w:val="BodyText"/>
        <w:ind w:left="840" w:right="6693"/>
      </w:pPr>
      <w:r>
        <w:t>R. Rodman, Esq., DPH Health Policy Commission</w:t>
      </w:r>
    </w:p>
    <w:p w14:paraId="22616CE9" w14:textId="77777777" w:rsidR="004B2C61" w:rsidRDefault="00E526DE">
      <w:pPr>
        <w:pStyle w:val="BodyText"/>
        <w:ind w:left="840" w:right="4715"/>
      </w:pPr>
      <w:r>
        <w:t>Office of the Attorney General (Massachusetts) Center for Health Information and Analysis</w:t>
      </w:r>
    </w:p>
    <w:p w14:paraId="0E9BEF67" w14:textId="77777777" w:rsidR="004B2C61" w:rsidRDefault="00E526DE">
      <w:pPr>
        <w:pStyle w:val="BodyText"/>
        <w:ind w:left="840"/>
      </w:pPr>
      <w:r>
        <w:t>Executive Office of Labor and Workforce Development</w:t>
      </w:r>
    </w:p>
    <w:p w14:paraId="0F3C0435" w14:textId="77777777" w:rsidR="004B2C61" w:rsidRDefault="00E526DE">
      <w:pPr>
        <w:pStyle w:val="BodyText"/>
        <w:ind w:left="840"/>
      </w:pPr>
      <w:r>
        <w:t>C. Davidson, Shatterproof</w:t>
      </w:r>
    </w:p>
    <w:p w14:paraId="0C7A2B2A" w14:textId="77777777" w:rsidR="004B2C61" w:rsidRDefault="00E526DE">
      <w:pPr>
        <w:pStyle w:val="BodyText"/>
        <w:ind w:left="840"/>
      </w:pPr>
      <w:r>
        <w:t xml:space="preserve">E. Collins, Friends of </w:t>
      </w:r>
      <w:proofErr w:type="spellStart"/>
      <w:r>
        <w:t>Norcap</w:t>
      </w:r>
      <w:proofErr w:type="spellEnd"/>
    </w:p>
    <w:sectPr w:rsidR="004B2C61">
      <w:pgSz w:w="12240" w:h="15840"/>
      <w:pgMar w:top="2360" w:right="780" w:bottom="880" w:left="1320" w:header="735"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21FFA" w14:textId="77777777" w:rsidR="00E526DE" w:rsidRDefault="00E526DE">
      <w:r>
        <w:separator/>
      </w:r>
    </w:p>
  </w:endnote>
  <w:endnote w:type="continuationSeparator" w:id="0">
    <w:p w14:paraId="41945EC0" w14:textId="77777777" w:rsidR="00E526DE" w:rsidRDefault="00E5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0A7D5" w14:textId="77777777" w:rsidR="00B233D1" w:rsidRDefault="00B23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8E7E5" w14:textId="77777777" w:rsidR="004B2C61" w:rsidRDefault="00E526DE">
    <w:pPr>
      <w:pStyle w:val="BodyText"/>
      <w:spacing w:line="14" w:lineRule="auto"/>
      <w:rPr>
        <w:sz w:val="20"/>
      </w:rPr>
    </w:pPr>
    <w:r>
      <w:pict w14:anchorId="34B6BCE6">
        <v:shapetype id="_x0000_t202" coordsize="21600,21600" o:spt="202" path="m,l,21600r21600,l21600,xe">
          <v:stroke joinstyle="miter"/>
          <v:path gradientshapeok="t" o:connecttype="rect"/>
        </v:shapetype>
        <v:shape id="_x0000_s2051" type="#_x0000_t202" style="position:absolute;margin-left:71pt;margin-top:746.05pt;width:35.4pt;height:11pt;z-index:-252066816;mso-position-horizontal-relative:page;mso-position-vertical-relative:page" filled="f" stroked="f">
          <v:textbox inset="0,0,0,0">
            <w:txbxContent>
              <w:p w14:paraId="478B8598" w14:textId="77777777" w:rsidR="004B2C61" w:rsidRDefault="00E526DE">
                <w:pPr>
                  <w:spacing w:before="15"/>
                  <w:ind w:left="20"/>
                  <w:rPr>
                    <w:rFonts w:ascii="Arial"/>
                    <w:sz w:val="16"/>
                  </w:rPr>
                </w:pPr>
                <w:r>
                  <w:rPr>
                    <w:rFonts w:ascii="Arial"/>
                    <w:sz w:val="16"/>
                  </w:rPr>
                  <w:t>764087.1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41D3B" w14:textId="77777777" w:rsidR="00B233D1" w:rsidRDefault="00B233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56C34" w14:textId="77777777" w:rsidR="004B2C61" w:rsidRDefault="00E526DE">
    <w:pPr>
      <w:pStyle w:val="BodyText"/>
      <w:spacing w:line="14" w:lineRule="auto"/>
      <w:rPr>
        <w:sz w:val="20"/>
      </w:rPr>
    </w:pPr>
    <w:r>
      <w:pict w14:anchorId="1D00ECDC">
        <v:shapetype id="_x0000_t202" coordsize="21600,21600" o:spt="202" path="m,l,21600r21600,l21600,xe">
          <v:stroke joinstyle="miter"/>
          <v:path gradientshapeok="t" o:connecttype="rect"/>
        </v:shapetype>
        <v:shape id="_x0000_s2049" type="#_x0000_t202" style="position:absolute;margin-left:71pt;margin-top:746.05pt;width:35.4pt;height:11pt;z-index:-252063744;mso-position-horizontal-relative:page;mso-position-vertical-relative:page" filled="f" stroked="f">
          <v:textbox inset="0,0,0,0">
            <w:txbxContent>
              <w:p w14:paraId="6FF55AC8" w14:textId="77777777" w:rsidR="004B2C61" w:rsidRDefault="00E526DE">
                <w:pPr>
                  <w:spacing w:before="15"/>
                  <w:ind w:left="20"/>
                  <w:rPr>
                    <w:rFonts w:ascii="Arial"/>
                    <w:sz w:val="16"/>
                  </w:rPr>
                </w:pPr>
                <w:r>
                  <w:rPr>
                    <w:rFonts w:ascii="Arial"/>
                    <w:sz w:val="16"/>
                  </w:rPr>
                  <w:t>764087.1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E99E9" w14:textId="77777777" w:rsidR="00E526DE" w:rsidRDefault="00E526DE">
      <w:r>
        <w:separator/>
      </w:r>
    </w:p>
  </w:footnote>
  <w:footnote w:type="continuationSeparator" w:id="0">
    <w:p w14:paraId="12012589" w14:textId="77777777" w:rsidR="00E526DE" w:rsidRDefault="00E5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5FD36" w14:textId="77777777" w:rsidR="00B233D1" w:rsidRDefault="00B23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34AD4" w14:textId="77777777" w:rsidR="00B233D1" w:rsidRDefault="00B233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12E7E" w14:textId="77777777" w:rsidR="00B233D1" w:rsidRDefault="00B233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096CE" w14:textId="77777777" w:rsidR="004B2C61" w:rsidRDefault="00E526DE">
    <w:pPr>
      <w:pStyle w:val="BodyText"/>
      <w:spacing w:line="14" w:lineRule="auto"/>
      <w:rPr>
        <w:sz w:val="20"/>
      </w:rPr>
    </w:pPr>
    <w:r>
      <w:rPr>
        <w:noProof/>
      </w:rPr>
      <w:drawing>
        <wp:anchor distT="0" distB="0" distL="0" distR="0" simplePos="0" relativeHeight="251250688" behindDoc="1" locked="0" layoutInCell="1" allowOverlap="1" wp14:anchorId="61799FB7" wp14:editId="19AC2B23">
          <wp:simplePos x="0" y="0"/>
          <wp:positionH relativeFrom="page">
            <wp:posOffset>5905500</wp:posOffset>
          </wp:positionH>
          <wp:positionV relativeFrom="page">
            <wp:posOffset>466725</wp:posOffset>
          </wp:positionV>
          <wp:extent cx="1239520" cy="956944"/>
          <wp:effectExtent l="0" t="0" r="0" b="0"/>
          <wp:wrapNone/>
          <wp:docPr id="5" name="image3.png" descr="A logo with three overlapping rectangles colored red, green, and blue, with the text &quot;Barrett &amp; Singal&quot; written in the center of the overlapping rectang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A logo with three overlapping rectangles colored red, green, and blue, with the text &quot;Barrett &amp; Singal&quot; written in the center of the overlapping rectangles. "/>
                  <pic:cNvPicPr/>
                </pic:nvPicPr>
                <pic:blipFill>
                  <a:blip r:embed="rId1" cstate="print"/>
                  <a:stretch>
                    <a:fillRect/>
                  </a:stretch>
                </pic:blipFill>
                <pic:spPr>
                  <a:xfrm>
                    <a:off x="0" y="0"/>
                    <a:ext cx="1239520" cy="956944"/>
                  </a:xfrm>
                  <a:prstGeom prst="rect">
                    <a:avLst/>
                  </a:prstGeom>
                </pic:spPr>
              </pic:pic>
            </a:graphicData>
          </a:graphic>
        </wp:anchor>
      </w:drawing>
    </w:r>
    <w:r>
      <w:pict w14:anchorId="696684C8">
        <v:shapetype id="_x0000_t202" coordsize="21600,21600" o:spt="202" path="m,l,21600r21600,l21600,xe">
          <v:stroke joinstyle="miter"/>
          <v:path gradientshapeok="t" o:connecttype="rect"/>
        </v:shapetype>
        <v:shape id="_x0000_s2050" type="#_x0000_t202" style="position:absolute;margin-left:71pt;margin-top:49.25pt;width:290.85pt;height:70.5pt;z-index:-252064768;mso-position-horizontal-relative:page;mso-position-vertical-relative:page" filled="f" stroked="f">
          <v:textbox inset="0,0,0,0">
            <w:txbxContent>
              <w:p w14:paraId="2991BBE6" w14:textId="77777777" w:rsidR="004B2C61" w:rsidRDefault="00E526DE">
                <w:pPr>
                  <w:pStyle w:val="BodyText"/>
                  <w:spacing w:before="10"/>
                  <w:ind w:left="20"/>
                </w:pPr>
                <w:r>
                  <w:t>Sherman Lohnes, Esq., Director</w:t>
                </w:r>
              </w:p>
              <w:p w14:paraId="56E2324E" w14:textId="77777777" w:rsidR="004B2C61" w:rsidRDefault="00E526DE">
                <w:pPr>
                  <w:pStyle w:val="BodyText"/>
                  <w:ind w:left="20" w:right="-2"/>
                </w:pPr>
                <w:r>
                  <w:t>Division of Health Care Facility Licensure and Certification Massachusetts Department of Public Health</w:t>
                </w:r>
              </w:p>
              <w:p w14:paraId="3EB0CCAD" w14:textId="77777777" w:rsidR="004B2C61" w:rsidRDefault="00E526DE">
                <w:pPr>
                  <w:pStyle w:val="BodyText"/>
                  <w:ind w:left="20"/>
                </w:pPr>
                <w:r>
                  <w:t>November 23, 2020</w:t>
                </w:r>
              </w:p>
              <w:p w14:paraId="1FA8E9BB" w14:textId="77777777" w:rsidR="004B2C61" w:rsidRDefault="00E526DE">
                <w:pPr>
                  <w:pStyle w:val="BodyText"/>
                  <w:ind w:left="20"/>
                </w:pPr>
                <w:r>
                  <w:t xml:space="preserve">Page </w:t>
                </w:r>
                <w:r>
                  <w:fldChar w:fldCharType="begin"/>
                </w:r>
                <w:r>
                  <w:instrText xml:space="preserve"> PAGE </w:instrText>
                </w:r>
                <w:r>
                  <w:fldChar w:fldCharType="separate"/>
                </w:r>
                <w: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525A5"/>
    <w:multiLevelType w:val="hybridMultilevel"/>
    <w:tmpl w:val="AF9C75C8"/>
    <w:lvl w:ilvl="0" w:tplc="186C511C">
      <w:start w:val="1"/>
      <w:numFmt w:val="decimal"/>
      <w:lvlText w:val="%1."/>
      <w:lvlJc w:val="left"/>
      <w:pPr>
        <w:ind w:left="120" w:hanging="720"/>
        <w:jc w:val="left"/>
      </w:pPr>
      <w:rPr>
        <w:rFonts w:ascii="Times New Roman" w:eastAsia="Times New Roman" w:hAnsi="Times New Roman" w:cs="Times New Roman" w:hint="default"/>
        <w:spacing w:val="-3"/>
        <w:w w:val="99"/>
        <w:sz w:val="24"/>
        <w:szCs w:val="24"/>
        <w:lang w:val="en-US" w:eastAsia="en-US" w:bidi="en-US"/>
      </w:rPr>
    </w:lvl>
    <w:lvl w:ilvl="1" w:tplc="24F8C2C0">
      <w:numFmt w:val="bullet"/>
      <w:lvlText w:val=""/>
      <w:lvlJc w:val="left"/>
      <w:pPr>
        <w:ind w:left="840" w:hanging="360"/>
      </w:pPr>
      <w:rPr>
        <w:rFonts w:ascii="Symbol" w:eastAsia="Symbol" w:hAnsi="Symbol" w:cs="Symbol" w:hint="default"/>
        <w:w w:val="100"/>
        <w:sz w:val="24"/>
        <w:szCs w:val="24"/>
        <w:lang w:val="en-US" w:eastAsia="en-US" w:bidi="en-US"/>
      </w:rPr>
    </w:lvl>
    <w:lvl w:ilvl="2" w:tplc="E66C58CC">
      <w:numFmt w:val="bullet"/>
      <w:lvlText w:val="o"/>
      <w:lvlJc w:val="left"/>
      <w:pPr>
        <w:ind w:left="1560" w:hanging="360"/>
      </w:pPr>
      <w:rPr>
        <w:rFonts w:ascii="Courier New" w:eastAsia="Courier New" w:hAnsi="Courier New" w:cs="Courier New" w:hint="default"/>
        <w:w w:val="99"/>
        <w:sz w:val="24"/>
        <w:szCs w:val="24"/>
        <w:lang w:val="en-US" w:eastAsia="en-US" w:bidi="en-US"/>
      </w:rPr>
    </w:lvl>
    <w:lvl w:ilvl="3" w:tplc="F6F844D0">
      <w:numFmt w:val="bullet"/>
      <w:lvlText w:val="•"/>
      <w:lvlJc w:val="left"/>
      <w:pPr>
        <w:ind w:left="2632" w:hanging="360"/>
      </w:pPr>
      <w:rPr>
        <w:rFonts w:hint="default"/>
        <w:lang w:val="en-US" w:eastAsia="en-US" w:bidi="en-US"/>
      </w:rPr>
    </w:lvl>
    <w:lvl w:ilvl="4" w:tplc="68C6E310">
      <w:numFmt w:val="bullet"/>
      <w:lvlText w:val="•"/>
      <w:lvlJc w:val="left"/>
      <w:pPr>
        <w:ind w:left="3705" w:hanging="360"/>
      </w:pPr>
      <w:rPr>
        <w:rFonts w:hint="default"/>
        <w:lang w:val="en-US" w:eastAsia="en-US" w:bidi="en-US"/>
      </w:rPr>
    </w:lvl>
    <w:lvl w:ilvl="5" w:tplc="94B0AACA">
      <w:numFmt w:val="bullet"/>
      <w:lvlText w:val="•"/>
      <w:lvlJc w:val="left"/>
      <w:pPr>
        <w:ind w:left="4777" w:hanging="360"/>
      </w:pPr>
      <w:rPr>
        <w:rFonts w:hint="default"/>
        <w:lang w:val="en-US" w:eastAsia="en-US" w:bidi="en-US"/>
      </w:rPr>
    </w:lvl>
    <w:lvl w:ilvl="6" w:tplc="B380AA8A">
      <w:numFmt w:val="bullet"/>
      <w:lvlText w:val="•"/>
      <w:lvlJc w:val="left"/>
      <w:pPr>
        <w:ind w:left="5850" w:hanging="360"/>
      </w:pPr>
      <w:rPr>
        <w:rFonts w:hint="default"/>
        <w:lang w:val="en-US" w:eastAsia="en-US" w:bidi="en-US"/>
      </w:rPr>
    </w:lvl>
    <w:lvl w:ilvl="7" w:tplc="DAEADD90">
      <w:numFmt w:val="bullet"/>
      <w:lvlText w:val="•"/>
      <w:lvlJc w:val="left"/>
      <w:pPr>
        <w:ind w:left="6922" w:hanging="360"/>
      </w:pPr>
      <w:rPr>
        <w:rFonts w:hint="default"/>
        <w:lang w:val="en-US" w:eastAsia="en-US" w:bidi="en-US"/>
      </w:rPr>
    </w:lvl>
    <w:lvl w:ilvl="8" w:tplc="6728F66E">
      <w:numFmt w:val="bullet"/>
      <w:lvlText w:val="•"/>
      <w:lvlJc w:val="left"/>
      <w:pPr>
        <w:ind w:left="7995"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B2C61"/>
    <w:rsid w:val="004B2C61"/>
    <w:rsid w:val="00B233D1"/>
    <w:rsid w:val="00E5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1B8DBD"/>
  <w15:docId w15:val="{EDC61112-EB4C-42DD-8E13-BB0B414E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right="657" w:hanging="360"/>
      <w:jc w:val="both"/>
    </w:pPr>
  </w:style>
  <w:style w:type="paragraph" w:customStyle="1" w:styleId="TableParagraph">
    <w:name w:val="Table Paragraph"/>
    <w:basedOn w:val="Normal"/>
    <w:uiPriority w:val="1"/>
    <w:qFormat/>
    <w:pPr>
      <w:spacing w:before="44" w:line="256" w:lineRule="exact"/>
      <w:ind w:left="107"/>
      <w:jc w:val="center"/>
    </w:pPr>
  </w:style>
  <w:style w:type="paragraph" w:styleId="Header">
    <w:name w:val="header"/>
    <w:basedOn w:val="Normal"/>
    <w:link w:val="HeaderChar"/>
    <w:uiPriority w:val="99"/>
    <w:unhideWhenUsed/>
    <w:rsid w:val="00B233D1"/>
    <w:pPr>
      <w:tabs>
        <w:tab w:val="center" w:pos="4680"/>
        <w:tab w:val="right" w:pos="9360"/>
      </w:tabs>
    </w:pPr>
  </w:style>
  <w:style w:type="character" w:customStyle="1" w:styleId="HeaderChar">
    <w:name w:val="Header Char"/>
    <w:basedOn w:val="DefaultParagraphFont"/>
    <w:link w:val="Header"/>
    <w:uiPriority w:val="99"/>
    <w:rsid w:val="00B233D1"/>
    <w:rPr>
      <w:rFonts w:ascii="Times New Roman" w:eastAsia="Times New Roman" w:hAnsi="Times New Roman" w:cs="Times New Roman"/>
      <w:lang w:bidi="en-US"/>
    </w:rPr>
  </w:style>
  <w:style w:type="paragraph" w:styleId="Footer">
    <w:name w:val="footer"/>
    <w:basedOn w:val="Normal"/>
    <w:link w:val="FooterChar"/>
    <w:uiPriority w:val="99"/>
    <w:unhideWhenUsed/>
    <w:rsid w:val="00B233D1"/>
    <w:pPr>
      <w:tabs>
        <w:tab w:val="center" w:pos="4680"/>
        <w:tab w:val="right" w:pos="9360"/>
      </w:tabs>
    </w:pPr>
  </w:style>
  <w:style w:type="character" w:customStyle="1" w:styleId="FooterChar">
    <w:name w:val="Footer Char"/>
    <w:basedOn w:val="DefaultParagraphFont"/>
    <w:link w:val="Footer"/>
    <w:uiPriority w:val="99"/>
    <w:rsid w:val="00B233D1"/>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6956</Characters>
  <Application>Microsoft Office Word</Application>
  <DocSecurity>0</DocSecurity>
  <Lines>57</Lines>
  <Paragraphs>16</Paragraphs>
  <ScaleCrop>false</ScaleCrop>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Smith-Mady</dc:creator>
  <cp:lastModifiedBy>Bichelman, Jamie E (DPH)</cp:lastModifiedBy>
  <cp:revision>2</cp:revision>
  <dcterms:created xsi:type="dcterms:W3CDTF">2021-06-03T18:06:00Z</dcterms:created>
  <dcterms:modified xsi:type="dcterms:W3CDTF">2021-06-03T18:07:00Z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2020-11-23T00:00:00Z</vt:filetime>
  </property>
  <property fmtid="{D5CDD505-2E9C-101B-9397-08002B2CF9AE}" pid="3" name="Creator">
    <vt:lpwstr>Acrobat PDFMaker 11 for Word</vt:lpwstr>
  </property>
  <property fmtid="{D5CDD505-2E9C-101B-9397-08002B2CF9AE}" pid="4" name="LastSaved">
    <vt:filetime>2021-06-03T00:00:00Z</vt:filetime>
  </property>
</Properties>
</file>