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4F" w:rsidRPr="00130204" w:rsidRDefault="00643F4F" w:rsidP="00643F4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April 1</w:t>
      </w:r>
      <w:r w:rsidRPr="00130204">
        <w:rPr>
          <w:rFonts w:ascii="Times New Roman" w:hAnsi="Times New Roman" w:cs="Times New Roman"/>
        </w:rPr>
        <w:t>, 2022</w:t>
      </w:r>
    </w:p>
    <w:p w:rsidR="00643F4F" w:rsidRPr="00130204" w:rsidRDefault="00643F4F" w:rsidP="00643F4F">
      <w:pPr>
        <w:rPr>
          <w:rFonts w:ascii="Times New Roman" w:hAnsi="Times New Roman" w:cs="Times New Roman"/>
        </w:rPr>
      </w:pPr>
    </w:p>
    <w:p w:rsidR="00643F4F" w:rsidRPr="00130204" w:rsidRDefault="00643F4F" w:rsidP="00643F4F">
      <w:pPr>
        <w:rPr>
          <w:rFonts w:ascii="Times New Roman" w:hAnsi="Times New Roman" w:cs="Times New Roman"/>
        </w:rPr>
      </w:pPr>
    </w:p>
    <w:p w:rsidR="00643F4F" w:rsidRPr="00130204" w:rsidRDefault="00643F4F" w:rsidP="00643F4F">
      <w:pPr>
        <w:rPr>
          <w:rFonts w:ascii="Times New Roman" w:hAnsi="Times New Roman" w:cs="Times New Roman"/>
          <w:u w:val="single"/>
        </w:rPr>
      </w:pPr>
      <w:r w:rsidRPr="00130204">
        <w:rPr>
          <w:rFonts w:ascii="Times New Roman" w:hAnsi="Times New Roman" w:cs="Times New Roman"/>
          <w:u w:val="single"/>
        </w:rPr>
        <w:t>Via Email</w:t>
      </w:r>
    </w:p>
    <w:p w:rsidR="00643F4F" w:rsidRPr="00130204" w:rsidRDefault="00643F4F" w:rsidP="00643F4F">
      <w:pPr>
        <w:rPr>
          <w:rFonts w:ascii="Times New Roman" w:hAnsi="Times New Roman" w:cs="Times New Roman"/>
        </w:rPr>
      </w:pPr>
    </w:p>
    <w:p w:rsidR="00643F4F" w:rsidRPr="00130204" w:rsidRDefault="00643F4F" w:rsidP="00643F4F">
      <w:pPr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>Stephen Davis, Director</w:t>
      </w:r>
    </w:p>
    <w:p w:rsidR="00643F4F" w:rsidRPr="00130204" w:rsidRDefault="00643F4F" w:rsidP="00643F4F">
      <w:pPr>
        <w:rPr>
          <w:rFonts w:ascii="Times New Roman" w:hAnsi="Times New Roman" w:cs="Times New Roman"/>
          <w:iCs/>
        </w:rPr>
      </w:pPr>
      <w:r w:rsidRPr="00130204">
        <w:rPr>
          <w:rFonts w:ascii="Times New Roman" w:hAnsi="Times New Roman" w:cs="Times New Roman"/>
        </w:rPr>
        <w:t>Division of Health Care Facility Licensure and Certification</w:t>
      </w:r>
    </w:p>
    <w:p w:rsidR="00643F4F" w:rsidRPr="00130204" w:rsidRDefault="00643F4F" w:rsidP="00643F4F">
      <w:pPr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>Department of Public Health</w:t>
      </w:r>
    </w:p>
    <w:p w:rsidR="00643F4F" w:rsidRPr="00130204" w:rsidRDefault="00643F4F" w:rsidP="00643F4F">
      <w:pPr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  <w:color w:val="141414"/>
        </w:rPr>
        <w:t>67 Forest Street, Marlborough, MA 01752</w:t>
      </w:r>
    </w:p>
    <w:p w:rsidR="00643F4F" w:rsidRPr="00130204" w:rsidRDefault="00643F4F" w:rsidP="00643F4F">
      <w:pPr>
        <w:tabs>
          <w:tab w:val="left" w:pos="720"/>
          <w:tab w:val="left" w:pos="1440"/>
          <w:tab w:val="left" w:pos="4320"/>
          <w:tab w:val="left" w:pos="5040"/>
        </w:tabs>
        <w:rPr>
          <w:rFonts w:ascii="Times New Roman" w:eastAsia="Times New Roman" w:hAnsi="Times New Roman" w:cs="Times New Roman"/>
          <w:kern w:val="2"/>
        </w:rPr>
      </w:pPr>
    </w:p>
    <w:p w:rsidR="00643F4F" w:rsidRPr="00057A82" w:rsidRDefault="00643F4F" w:rsidP="00643F4F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rFonts w:ascii="Times New Roman" w:hAnsi="Times New Roman" w:cs="Times New Roman"/>
          <w:u w:val="single"/>
        </w:rPr>
      </w:pPr>
      <w:r w:rsidRPr="00130204">
        <w:rPr>
          <w:rFonts w:ascii="Times New Roman" w:eastAsia="Times New Roman" w:hAnsi="Times New Roman" w:cs="Times New Roman"/>
          <w:kern w:val="2"/>
        </w:rPr>
        <w:tab/>
        <w:t>Re:</w:t>
      </w:r>
      <w:r w:rsidRPr="00130204">
        <w:rPr>
          <w:rFonts w:ascii="Times New Roman" w:eastAsia="Times New Roman" w:hAnsi="Times New Roman" w:cs="Times New Roman"/>
          <w:kern w:val="2"/>
        </w:rPr>
        <w:tab/>
      </w:r>
      <w:r w:rsidRPr="00057A82">
        <w:rPr>
          <w:rFonts w:ascii="Times New Roman" w:hAnsi="Times New Roman" w:cs="Times New Roman"/>
          <w:u w:val="single"/>
        </w:rPr>
        <w:t xml:space="preserve">Tufts Medical Center, Inc. – Tufts Medical Center– Closure of Pediatric Intensive Care Unit Beds and Pediatric Medical Surgical Beds  </w:t>
      </w:r>
    </w:p>
    <w:p w:rsidR="00643F4F" w:rsidRPr="00057A82" w:rsidRDefault="00643F4F" w:rsidP="00643F4F">
      <w:pPr>
        <w:pStyle w:val="Foot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643F4F" w:rsidRPr="00130204" w:rsidRDefault="00643F4F" w:rsidP="00643F4F">
      <w:pPr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>Dear Mr. Davis:</w:t>
      </w:r>
    </w:p>
    <w:p w:rsidR="00643F4F" w:rsidRPr="00130204" w:rsidRDefault="00643F4F" w:rsidP="00643F4F">
      <w:pPr>
        <w:rPr>
          <w:rFonts w:ascii="Times New Roman" w:hAnsi="Times New Roman" w:cs="Times New Roman"/>
        </w:rPr>
      </w:pPr>
    </w:p>
    <w:p w:rsidR="00643F4F" w:rsidRDefault="00643F4F" w:rsidP="00643F4F">
      <w:pPr>
        <w:pStyle w:val="BodyText"/>
      </w:pPr>
      <w:proofErr w:type="gramStart"/>
      <w:r w:rsidRPr="00057A82">
        <w:t>This letter is submitted on behalf of Tufts Medical Center, Inc. (the “Medical Center”), which owns and operates Tufts Medical Center, located at 800 Washington St., Boston Massachusetts 02111</w:t>
      </w:r>
      <w:r>
        <w:t xml:space="preserve">, </w:t>
      </w:r>
      <w:r w:rsidRPr="00057A82">
        <w:t xml:space="preserve">in follow-up to the initial essential services closure notice that the </w:t>
      </w:r>
      <w:r>
        <w:t>Medical Center</w:t>
      </w:r>
      <w:r w:rsidRPr="00057A82">
        <w:t xml:space="preserve"> filed on </w:t>
      </w:r>
      <w:r>
        <w:t>February 18, 2022</w:t>
      </w:r>
      <w:r w:rsidRPr="00057A82">
        <w:t xml:space="preserve"> with the Department of Public Health (the “Department”) and the appropriate parties required by the Department’s regulations.</w:t>
      </w:r>
      <w:proofErr w:type="gramEnd"/>
      <w:r w:rsidRPr="00057A82">
        <w:t xml:space="preserve"> Pursuant to 105 CMR 130.122(B), the </w:t>
      </w:r>
      <w:r>
        <w:t>Medical Center</w:t>
      </w:r>
      <w:r w:rsidRPr="00057A82">
        <w:t xml:space="preserve"> hereby provides the required ninety (90) day notice</w:t>
      </w:r>
      <w:r w:rsidRPr="00130204">
        <w:t xml:space="preserve"> to the Department of the proposed closure of </w:t>
      </w:r>
      <w:r>
        <w:t xml:space="preserve">ten (10) licensed pediatric intensive care unit (“PICU”) beds and fifty-seven (57) licensed inpatient pediatric medical surgical (“Pediatric Unit”) beds. As you may be aware, due to the level of patient demand, the Pediatric Unit has operated at thirty-one (31) beds. Included in the closure are the Pediatric Unit bone marrow transplant (“BMT”) beds, </w:t>
      </w:r>
      <w:r w:rsidRPr="004D77FA">
        <w:t>which are a subset of the Pediatric Unit</w:t>
      </w:r>
      <w:r>
        <w:t>.</w:t>
      </w:r>
      <w:r w:rsidRPr="004D77FA">
        <w:t xml:space="preserve">  </w:t>
      </w:r>
      <w:r w:rsidRPr="00692ED5">
        <w:t xml:space="preserve">In addition, when the Pediatric Unit closes, the Medical Center will no longer provide </w:t>
      </w:r>
      <w:r>
        <w:t xml:space="preserve">outpatient </w:t>
      </w:r>
      <w:r w:rsidRPr="00692ED5">
        <w:t xml:space="preserve">chemotherapy services to pediatric oncology patients.  This active treatment component of the pediatric oncology service </w:t>
      </w:r>
      <w:r>
        <w:t xml:space="preserve">treats on average 35 patients annually and </w:t>
      </w:r>
      <w:proofErr w:type="gramStart"/>
      <w:r w:rsidRPr="00692ED5">
        <w:t>is inextricably related</w:t>
      </w:r>
      <w:proofErr w:type="gramEnd"/>
      <w:r w:rsidRPr="00692ED5">
        <w:t xml:space="preserve"> to the operation of Pedi</w:t>
      </w:r>
      <w:r>
        <w:t xml:space="preserve">atric Unit. </w:t>
      </w:r>
      <w:r w:rsidRPr="004D77FA">
        <w:t xml:space="preserve">All services will remain open to new and existing patients throughout the closure process.  During this </w:t>
      </w:r>
      <w:proofErr w:type="gramStart"/>
      <w:r w:rsidRPr="004D77FA">
        <w:t>period</w:t>
      </w:r>
      <w:proofErr w:type="gramEnd"/>
      <w:r w:rsidRPr="004D77FA">
        <w:t xml:space="preserve"> the Medical Center will actively work with patient families to facilitate each patient’s transition to the alternative providers that are available.</w:t>
      </w:r>
      <w:r>
        <w:t xml:space="preserve"> </w:t>
      </w:r>
    </w:p>
    <w:p w:rsidR="00643F4F" w:rsidRDefault="00643F4F" w:rsidP="00643F4F">
      <w:pPr>
        <w:pStyle w:val="BodyText"/>
      </w:pPr>
    </w:p>
    <w:p w:rsidR="00643F4F" w:rsidRPr="00272CC2" w:rsidRDefault="00643F4F" w:rsidP="00643F4F">
      <w:pPr>
        <w:jc w:val="both"/>
        <w:rPr>
          <w:rFonts w:ascii="Times New Roman" w:eastAsia="Times New Roman" w:hAnsi="Times New Roman" w:cs="Times New Roman"/>
          <w:bCs/>
        </w:rPr>
      </w:pPr>
      <w:r w:rsidRPr="00272CC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00272CC2">
        <w:rPr>
          <w:rFonts w:ascii="Times New Roman" w:hAnsi="Times New Roman" w:cs="Times New Roman"/>
        </w:rPr>
        <w:t xml:space="preserve">ICU and </w:t>
      </w:r>
      <w:r>
        <w:rPr>
          <w:rFonts w:ascii="Times New Roman" w:hAnsi="Times New Roman" w:cs="Times New Roman"/>
        </w:rPr>
        <w:t>Pediatric Unit (collectively, the “Service”),</w:t>
      </w:r>
      <w:r w:rsidRPr="00272CC2">
        <w:rPr>
          <w:rFonts w:ascii="Times New Roman" w:hAnsi="Times New Roman" w:cs="Times New Roman"/>
        </w:rPr>
        <w:t xml:space="preserve"> are underutilized at the Medical Center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72CC2">
        <w:rPr>
          <w:rFonts w:ascii="Times New Roman" w:hAnsi="Times New Roman" w:cs="Times New Roman"/>
        </w:rPr>
        <w:t xml:space="preserve">In compliance with 105 CMR 130.122(B), the following information regarding the discontinuation is provided for the Department’s review. 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Pr="00CF6C75" w:rsidRDefault="00643F4F" w:rsidP="00643F4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  <w:u w:val="single"/>
        </w:rPr>
        <w:t>Current Utilization Rates</w:t>
      </w:r>
      <w:r w:rsidRPr="00130204">
        <w:rPr>
          <w:rFonts w:ascii="Times New Roman" w:hAnsi="Times New Roman" w:cs="Times New Roman"/>
        </w:rPr>
        <w:t xml:space="preserve">. The following table details the Service for the last three </w:t>
      </w:r>
      <w:r>
        <w:rPr>
          <w:rFonts w:ascii="Times New Roman" w:hAnsi="Times New Roman" w:cs="Times New Roman"/>
        </w:rPr>
        <w:t xml:space="preserve">fiscal </w:t>
      </w:r>
      <w:r w:rsidRPr="00130204">
        <w:rPr>
          <w:rFonts w:ascii="Times New Roman" w:hAnsi="Times New Roman" w:cs="Times New Roman"/>
        </w:rPr>
        <w:t>years (“</w:t>
      </w:r>
      <w:r>
        <w:rPr>
          <w:rFonts w:ascii="Times New Roman" w:hAnsi="Times New Roman" w:cs="Times New Roman"/>
        </w:rPr>
        <w:t>F</w:t>
      </w:r>
      <w:r w:rsidRPr="00130204">
        <w:rPr>
          <w:rFonts w:ascii="Times New Roman" w:hAnsi="Times New Roman" w:cs="Times New Roman"/>
        </w:rPr>
        <w:t>Y”)</w:t>
      </w:r>
      <w:r>
        <w:rPr>
          <w:rFonts w:ascii="Times New Roman" w:hAnsi="Times New Roman" w:cs="Times New Roman"/>
        </w:rPr>
        <w:t xml:space="preserve">, including FY22 through February. </w:t>
      </w:r>
    </w:p>
    <w:p w:rsidR="00643F4F" w:rsidRPr="00130204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  <w:u w:val="single"/>
        </w:rPr>
      </w:pPr>
    </w:p>
    <w:p w:rsidR="00643F4F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Default="00643F4F" w:rsidP="00643F4F">
      <w:pPr>
        <w:pStyle w:val="BodyTextIndent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70"/>
        <w:gridCol w:w="1533"/>
        <w:gridCol w:w="1533"/>
        <w:gridCol w:w="1533"/>
        <w:gridCol w:w="1583"/>
      </w:tblGrid>
      <w:tr w:rsidR="00643F4F" w:rsidTr="00F80A79">
        <w:tc>
          <w:tcPr>
            <w:tcW w:w="1831" w:type="dxa"/>
          </w:tcPr>
          <w:p w:rsidR="00643F4F" w:rsidRPr="00F31DE6" w:rsidRDefault="00643F4F" w:rsidP="00F80A79">
            <w:pPr>
              <w:pStyle w:val="BodyTextIndent"/>
              <w:ind w:left="0"/>
              <w:rPr>
                <w:b/>
                <w:sz w:val="28"/>
                <w:szCs w:val="28"/>
              </w:rPr>
            </w:pPr>
            <w:r w:rsidRPr="00F31DE6">
              <w:rPr>
                <w:b/>
                <w:sz w:val="28"/>
                <w:szCs w:val="28"/>
              </w:rPr>
              <w:t>PICU</w:t>
            </w:r>
          </w:p>
        </w:tc>
        <w:tc>
          <w:tcPr>
            <w:tcW w:w="1825" w:type="dxa"/>
          </w:tcPr>
          <w:p w:rsidR="00643F4F" w:rsidRPr="00F31DE6" w:rsidRDefault="00643F4F" w:rsidP="00F80A79">
            <w:pPr>
              <w:pStyle w:val="BodyTextIndent"/>
              <w:ind w:left="0"/>
              <w:rPr>
                <w:b/>
                <w:sz w:val="28"/>
                <w:szCs w:val="28"/>
              </w:rPr>
            </w:pPr>
            <w:r w:rsidRPr="00F31DE6">
              <w:rPr>
                <w:b/>
                <w:sz w:val="28"/>
                <w:szCs w:val="28"/>
              </w:rPr>
              <w:t>FY19</w:t>
            </w:r>
          </w:p>
        </w:tc>
        <w:tc>
          <w:tcPr>
            <w:tcW w:w="1825" w:type="dxa"/>
          </w:tcPr>
          <w:p w:rsidR="00643F4F" w:rsidRPr="00F31DE6" w:rsidRDefault="00643F4F" w:rsidP="00F80A79">
            <w:pPr>
              <w:pStyle w:val="BodyTextIndent"/>
              <w:ind w:left="0"/>
              <w:rPr>
                <w:b/>
                <w:sz w:val="28"/>
                <w:szCs w:val="28"/>
              </w:rPr>
            </w:pPr>
            <w:r w:rsidRPr="00F31DE6">
              <w:rPr>
                <w:b/>
                <w:sz w:val="28"/>
                <w:szCs w:val="28"/>
              </w:rPr>
              <w:t>FY20</w:t>
            </w:r>
          </w:p>
        </w:tc>
        <w:tc>
          <w:tcPr>
            <w:tcW w:w="1825" w:type="dxa"/>
          </w:tcPr>
          <w:p w:rsidR="00643F4F" w:rsidRPr="00F31DE6" w:rsidRDefault="00643F4F" w:rsidP="00F80A79">
            <w:pPr>
              <w:pStyle w:val="BodyTextIndent"/>
              <w:ind w:left="0"/>
              <w:rPr>
                <w:b/>
                <w:sz w:val="28"/>
                <w:szCs w:val="28"/>
              </w:rPr>
            </w:pPr>
            <w:r w:rsidRPr="00F31DE6">
              <w:rPr>
                <w:b/>
                <w:sz w:val="28"/>
                <w:szCs w:val="28"/>
              </w:rPr>
              <w:t>FY21</w:t>
            </w:r>
          </w:p>
        </w:tc>
        <w:tc>
          <w:tcPr>
            <w:tcW w:w="1684" w:type="dxa"/>
          </w:tcPr>
          <w:p w:rsidR="00643F4F" w:rsidRPr="00F31DE6" w:rsidRDefault="00643F4F" w:rsidP="00F80A79">
            <w:pPr>
              <w:pStyle w:val="BodyTextIndent"/>
              <w:ind w:left="0"/>
              <w:rPr>
                <w:b/>
                <w:sz w:val="28"/>
                <w:szCs w:val="28"/>
              </w:rPr>
            </w:pPr>
            <w:r w:rsidRPr="00F31DE6">
              <w:rPr>
                <w:b/>
                <w:sz w:val="28"/>
                <w:szCs w:val="28"/>
              </w:rPr>
              <w:t>FY22 through February</w:t>
            </w:r>
          </w:p>
        </w:tc>
      </w:tr>
      <w:tr w:rsidR="00643F4F" w:rsidTr="00F80A79">
        <w:tc>
          <w:tcPr>
            <w:tcW w:w="1831" w:type="dxa"/>
          </w:tcPr>
          <w:p w:rsidR="00643F4F" w:rsidRDefault="00643F4F" w:rsidP="00F80A79">
            <w:pPr>
              <w:pStyle w:val="BodyTextIndent"/>
              <w:ind w:left="0"/>
            </w:pPr>
            <w:r w:rsidRPr="00CF6C75">
              <w:t>Number of</w:t>
            </w:r>
            <w:r>
              <w:t xml:space="preserve"> </w:t>
            </w:r>
            <w:r w:rsidRPr="00CF6C75">
              <w:t>Cases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676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536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683</w:t>
            </w:r>
          </w:p>
        </w:tc>
        <w:tc>
          <w:tcPr>
            <w:tcW w:w="1684" w:type="dxa"/>
          </w:tcPr>
          <w:p w:rsidR="00643F4F" w:rsidRDefault="00643F4F" w:rsidP="00F80A79">
            <w:pPr>
              <w:pStyle w:val="BodyTextIndent"/>
              <w:ind w:left="0"/>
            </w:pPr>
            <w:r>
              <w:t>368</w:t>
            </w:r>
          </w:p>
        </w:tc>
      </w:tr>
      <w:tr w:rsidR="00643F4F" w:rsidTr="00F80A79">
        <w:tc>
          <w:tcPr>
            <w:tcW w:w="1831" w:type="dxa"/>
          </w:tcPr>
          <w:p w:rsidR="00643F4F" w:rsidRDefault="00643F4F" w:rsidP="00F80A79">
            <w:pPr>
              <w:pStyle w:val="BodyTextIndent"/>
              <w:ind w:left="0"/>
            </w:pPr>
            <w:r>
              <w:t xml:space="preserve">Patient Days 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2,070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1,532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1,998</w:t>
            </w:r>
          </w:p>
        </w:tc>
        <w:tc>
          <w:tcPr>
            <w:tcW w:w="1684" w:type="dxa"/>
          </w:tcPr>
          <w:p w:rsidR="00643F4F" w:rsidRDefault="00643F4F" w:rsidP="00F80A79">
            <w:pPr>
              <w:pStyle w:val="BodyTextIndent"/>
              <w:ind w:left="0"/>
            </w:pPr>
            <w:r>
              <w:t>792</w:t>
            </w:r>
          </w:p>
        </w:tc>
      </w:tr>
      <w:tr w:rsidR="00643F4F" w:rsidTr="00F80A79">
        <w:tc>
          <w:tcPr>
            <w:tcW w:w="1831" w:type="dxa"/>
          </w:tcPr>
          <w:p w:rsidR="00643F4F" w:rsidRDefault="00643F4F" w:rsidP="00F80A79">
            <w:pPr>
              <w:pStyle w:val="BodyTextIndent"/>
              <w:ind w:left="0"/>
            </w:pPr>
            <w:r>
              <w:t>Average Daily Census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6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4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5</w:t>
            </w:r>
          </w:p>
        </w:tc>
        <w:tc>
          <w:tcPr>
            <w:tcW w:w="1684" w:type="dxa"/>
          </w:tcPr>
          <w:p w:rsidR="00643F4F" w:rsidRDefault="00643F4F" w:rsidP="00F80A79">
            <w:pPr>
              <w:pStyle w:val="BodyTextIndent"/>
              <w:ind w:left="0"/>
            </w:pPr>
            <w:r>
              <w:t>5</w:t>
            </w:r>
          </w:p>
        </w:tc>
      </w:tr>
      <w:tr w:rsidR="00643F4F" w:rsidTr="00F80A79">
        <w:tc>
          <w:tcPr>
            <w:tcW w:w="1831" w:type="dxa"/>
          </w:tcPr>
          <w:p w:rsidR="00643F4F" w:rsidRDefault="00643F4F" w:rsidP="00F80A79">
            <w:pPr>
              <w:pStyle w:val="BodyTextIndent"/>
              <w:ind w:left="0"/>
            </w:pPr>
            <w:r>
              <w:rPr>
                <w:b/>
                <w:sz w:val="28"/>
                <w:szCs w:val="28"/>
              </w:rPr>
              <w:t>Pediatric Unit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 w:rsidRPr="00F31DE6">
              <w:rPr>
                <w:b/>
                <w:sz w:val="28"/>
                <w:szCs w:val="28"/>
              </w:rPr>
              <w:t>FY19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 w:rsidRPr="00F31DE6">
              <w:rPr>
                <w:b/>
                <w:sz w:val="28"/>
                <w:szCs w:val="28"/>
              </w:rPr>
              <w:t>FY20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 w:rsidRPr="00F31DE6">
              <w:rPr>
                <w:b/>
                <w:sz w:val="28"/>
                <w:szCs w:val="28"/>
              </w:rPr>
              <w:t>FY21</w:t>
            </w:r>
          </w:p>
        </w:tc>
        <w:tc>
          <w:tcPr>
            <w:tcW w:w="1684" w:type="dxa"/>
          </w:tcPr>
          <w:p w:rsidR="00643F4F" w:rsidRDefault="00643F4F" w:rsidP="00F80A79">
            <w:pPr>
              <w:pStyle w:val="BodyTextIndent"/>
              <w:ind w:left="0"/>
            </w:pPr>
            <w:r w:rsidRPr="00F31DE6">
              <w:rPr>
                <w:b/>
                <w:sz w:val="28"/>
                <w:szCs w:val="28"/>
              </w:rPr>
              <w:t>FY22 through February</w:t>
            </w:r>
          </w:p>
        </w:tc>
      </w:tr>
      <w:tr w:rsidR="00643F4F" w:rsidTr="00F80A79">
        <w:tc>
          <w:tcPr>
            <w:tcW w:w="1831" w:type="dxa"/>
          </w:tcPr>
          <w:p w:rsidR="00643F4F" w:rsidRDefault="00643F4F" w:rsidP="00F80A79">
            <w:pPr>
              <w:pStyle w:val="BodyTextIndent"/>
              <w:ind w:left="0"/>
            </w:pPr>
            <w:r w:rsidRPr="00CF6C75">
              <w:t>Number of</w:t>
            </w:r>
            <w:r>
              <w:t xml:space="preserve"> </w:t>
            </w:r>
            <w:r w:rsidRPr="00CF6C75">
              <w:t>Cases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2,103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1,859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2,289</w:t>
            </w:r>
          </w:p>
        </w:tc>
        <w:tc>
          <w:tcPr>
            <w:tcW w:w="1684" w:type="dxa"/>
          </w:tcPr>
          <w:p w:rsidR="00643F4F" w:rsidRDefault="00643F4F" w:rsidP="00F80A79">
            <w:pPr>
              <w:pStyle w:val="BodyTextIndent"/>
              <w:ind w:left="0"/>
            </w:pPr>
            <w:r>
              <w:t>1102</w:t>
            </w:r>
          </w:p>
        </w:tc>
      </w:tr>
      <w:tr w:rsidR="00643F4F" w:rsidTr="00F80A79">
        <w:tc>
          <w:tcPr>
            <w:tcW w:w="1831" w:type="dxa"/>
          </w:tcPr>
          <w:p w:rsidR="00643F4F" w:rsidRDefault="00643F4F" w:rsidP="00F80A79">
            <w:pPr>
              <w:pStyle w:val="BodyTextIndent"/>
              <w:ind w:left="0"/>
            </w:pPr>
            <w:r>
              <w:t>Patient Days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5,616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5,200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7,363</w:t>
            </w:r>
          </w:p>
        </w:tc>
        <w:tc>
          <w:tcPr>
            <w:tcW w:w="1684" w:type="dxa"/>
          </w:tcPr>
          <w:p w:rsidR="00643F4F" w:rsidRDefault="00643F4F" w:rsidP="00F80A79">
            <w:pPr>
              <w:pStyle w:val="BodyTextIndent"/>
              <w:ind w:left="0"/>
            </w:pPr>
            <w:r>
              <w:t>3262</w:t>
            </w:r>
          </w:p>
        </w:tc>
      </w:tr>
      <w:tr w:rsidR="00643F4F" w:rsidTr="00F80A79">
        <w:tc>
          <w:tcPr>
            <w:tcW w:w="1831" w:type="dxa"/>
          </w:tcPr>
          <w:p w:rsidR="00643F4F" w:rsidRDefault="00643F4F" w:rsidP="00F80A79">
            <w:pPr>
              <w:pStyle w:val="BodyTextIndent"/>
              <w:ind w:left="0"/>
            </w:pPr>
            <w:r>
              <w:t>Average Daily Census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15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14</w:t>
            </w:r>
          </w:p>
        </w:tc>
        <w:tc>
          <w:tcPr>
            <w:tcW w:w="1825" w:type="dxa"/>
          </w:tcPr>
          <w:p w:rsidR="00643F4F" w:rsidRDefault="00643F4F" w:rsidP="00F80A79">
            <w:pPr>
              <w:pStyle w:val="BodyTextIndent"/>
              <w:ind w:left="0"/>
            </w:pPr>
            <w:r>
              <w:t>20</w:t>
            </w:r>
          </w:p>
        </w:tc>
        <w:tc>
          <w:tcPr>
            <w:tcW w:w="1684" w:type="dxa"/>
          </w:tcPr>
          <w:p w:rsidR="00643F4F" w:rsidRDefault="00643F4F" w:rsidP="00F80A79">
            <w:pPr>
              <w:pStyle w:val="BodyTextIndent"/>
              <w:ind w:left="0"/>
            </w:pPr>
            <w:r>
              <w:t>21</w:t>
            </w:r>
          </w:p>
        </w:tc>
      </w:tr>
      <w:tr w:rsidR="00643F4F" w:rsidTr="00F80A79">
        <w:tc>
          <w:tcPr>
            <w:tcW w:w="8990" w:type="dxa"/>
            <w:gridSpan w:val="5"/>
          </w:tcPr>
          <w:p w:rsidR="00643F4F" w:rsidRDefault="00643F4F" w:rsidP="002F03E6">
            <w:pPr>
              <w:pStyle w:val="BodyTextIndent"/>
              <w:ind w:left="0"/>
            </w:pPr>
            <w:r w:rsidRPr="00D04707">
              <w:t>As illustrated in the table above, the Average Daily Census (“ADC”</w:t>
            </w:r>
            <w:proofErr w:type="gramStart"/>
            <w:r w:rsidRPr="00D04707">
              <w:t>)  in</w:t>
            </w:r>
            <w:proofErr w:type="gramEnd"/>
            <w:r w:rsidRPr="00D04707">
              <w:t xml:space="preserve"> the PICU ranges between 40-60% of available capacity and ADC in the Pediatric Unit ranges between 45-67% of available capacity. Utilization rates for FY21 and FY22 </w:t>
            </w:r>
            <w:proofErr w:type="gramStart"/>
            <w:r w:rsidRPr="00D04707">
              <w:t>are impacted</w:t>
            </w:r>
            <w:proofErr w:type="gramEnd"/>
            <w:r w:rsidRPr="00D04707">
              <w:t xml:space="preserve"> by the COVID-19 pandemic, which explains the increase in bed use.  Additionally, these data include adult patients in the PICU and Pediatric Unit during FY20, FY 21, and FY22.  During FY21 and FY22</w:t>
            </w:r>
            <w:r w:rsidR="00423985" w:rsidRPr="00D04707">
              <w:t>, 8</w:t>
            </w:r>
            <w:r w:rsidRPr="00D04707">
              <w:t xml:space="preserve">% of utilization in the units was for adults, and in FY 20, 11% of utilization was for adults. </w:t>
            </w:r>
            <w:proofErr w:type="gramStart"/>
            <w:r w:rsidRPr="00D04707">
              <w:t>Also</w:t>
            </w:r>
            <w:proofErr w:type="gramEnd"/>
            <w:r w:rsidRPr="00D04707">
              <w:t xml:space="preserve"> note that a single admission </w:t>
            </w:r>
            <w:r w:rsidRPr="00D04707">
              <w:lastRenderedPageBreak/>
              <w:t>may result in multiple Cases in the event that the patient occupies beds in multiple units during the course of the admission.</w:t>
            </w:r>
          </w:p>
        </w:tc>
      </w:tr>
    </w:tbl>
    <w:p w:rsidR="00643F4F" w:rsidRDefault="00643F4F" w:rsidP="00643F4F">
      <w:pPr>
        <w:pStyle w:val="BodyTextIndent"/>
      </w:pPr>
    </w:p>
    <w:p w:rsidR="00643F4F" w:rsidRPr="00E601A2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Pr="00E601A2" w:rsidRDefault="00643F4F" w:rsidP="00643F4F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/>
          <w:color w:val="212121"/>
        </w:rPr>
      </w:pPr>
      <w:r w:rsidRPr="00E601A2">
        <w:rPr>
          <w:rFonts w:ascii="Times New Roman" w:hAnsi="Times New Roman" w:cs="Times New Roman"/>
          <w:u w:val="single"/>
        </w:rPr>
        <w:t>Impact of Discontinuance</w:t>
      </w:r>
      <w:r w:rsidRPr="00E601A2">
        <w:rPr>
          <w:rFonts w:ascii="Times New Roman" w:hAnsi="Times New Roman" w:cs="Times New Roman"/>
        </w:rPr>
        <w:t xml:space="preserve">. The </w:t>
      </w:r>
      <w:r>
        <w:rPr>
          <w:rFonts w:ascii="Times New Roman" w:hAnsi="Times New Roman" w:cs="Times New Roman"/>
        </w:rPr>
        <w:t>Medical Center</w:t>
      </w:r>
      <w:r w:rsidRPr="00E601A2">
        <w:rPr>
          <w:rFonts w:ascii="Times New Roman" w:hAnsi="Times New Roman" w:cs="Times New Roman"/>
        </w:rPr>
        <w:t xml:space="preserve"> </w:t>
      </w:r>
      <w:r w:rsidRPr="00F52203">
        <w:rPr>
          <w:rFonts w:ascii="Times New Roman" w:hAnsi="Times New Roman" w:cs="Times New Roman"/>
        </w:rPr>
        <w:t>understands the concern and inconvenience it creates for some patients and their families</w:t>
      </w:r>
      <w:r>
        <w:rPr>
          <w:rFonts w:ascii="Times New Roman" w:hAnsi="Times New Roman" w:cs="Times New Roman"/>
        </w:rPr>
        <w:t xml:space="preserve">, however it </w:t>
      </w:r>
      <w:r w:rsidRPr="00E601A2">
        <w:rPr>
          <w:rFonts w:ascii="Times New Roman" w:hAnsi="Times New Roman" w:cs="Times New Roman"/>
        </w:rPr>
        <w:t xml:space="preserve">does not anticipate significant impact. </w:t>
      </w:r>
      <w:r>
        <w:rPr>
          <w:rFonts w:ascii="Times New Roman" w:hAnsi="Times New Roman" w:cs="Times New Roman"/>
        </w:rPr>
        <w:t xml:space="preserve">Comparable services are </w:t>
      </w:r>
      <w:r w:rsidRPr="00E601A2">
        <w:rPr>
          <w:rFonts w:ascii="Times New Roman" w:hAnsi="Times New Roman" w:cs="Times New Roman"/>
        </w:rPr>
        <w:t xml:space="preserve">available at other </w:t>
      </w:r>
      <w:r>
        <w:rPr>
          <w:rFonts w:ascii="Times New Roman" w:hAnsi="Times New Roman" w:cs="Times New Roman"/>
        </w:rPr>
        <w:t xml:space="preserve">hospitals, including but not limited to, </w:t>
      </w:r>
      <w:r w:rsidRPr="00E601A2">
        <w:rPr>
          <w:rFonts w:ascii="Times New Roman" w:eastAsia="Times New Roman" w:hAnsi="Times New Roman"/>
          <w:color w:val="212121"/>
        </w:rPr>
        <w:t>Boston Children’s Hospital</w:t>
      </w:r>
      <w:r>
        <w:rPr>
          <w:rFonts w:ascii="Times New Roman" w:eastAsia="Times New Roman" w:hAnsi="Times New Roman"/>
          <w:color w:val="212121"/>
        </w:rPr>
        <w:t xml:space="preserve">. Boston Children’s Hospital is </w:t>
      </w:r>
      <w:r w:rsidRPr="00E601A2">
        <w:rPr>
          <w:rFonts w:ascii="Times New Roman" w:eastAsia="Times New Roman" w:hAnsi="Times New Roman"/>
          <w:color w:val="212121"/>
        </w:rPr>
        <w:t xml:space="preserve">located </w:t>
      </w:r>
      <w:r>
        <w:rPr>
          <w:rFonts w:ascii="Times New Roman" w:eastAsia="Times New Roman" w:hAnsi="Times New Roman"/>
          <w:color w:val="212121"/>
        </w:rPr>
        <w:t>approximately 2.7</w:t>
      </w:r>
      <w:r w:rsidRPr="00E601A2">
        <w:rPr>
          <w:rFonts w:ascii="Times New Roman" w:eastAsia="Times New Roman" w:hAnsi="Times New Roman"/>
          <w:color w:val="212121"/>
        </w:rPr>
        <w:t xml:space="preserve"> miles away </w:t>
      </w:r>
      <w:r>
        <w:rPr>
          <w:rFonts w:ascii="Times New Roman" w:eastAsia="Times New Roman" w:hAnsi="Times New Roman"/>
          <w:color w:val="212121"/>
        </w:rPr>
        <w:t xml:space="preserve">from the Medical Center and </w:t>
      </w:r>
      <w:proofErr w:type="gramStart"/>
      <w:r>
        <w:rPr>
          <w:rFonts w:ascii="Times New Roman" w:eastAsia="Times New Roman" w:hAnsi="Times New Roman"/>
          <w:color w:val="212121"/>
        </w:rPr>
        <w:t>is</w:t>
      </w:r>
      <w:r w:rsidRPr="00E601A2">
        <w:rPr>
          <w:rFonts w:ascii="Times New Roman" w:eastAsia="Times New Roman" w:hAnsi="Times New Roman"/>
          <w:color w:val="212121"/>
        </w:rPr>
        <w:t xml:space="preserve"> scheduled</w:t>
      </w:r>
      <w:proofErr w:type="gramEnd"/>
      <w:r w:rsidRPr="00E601A2">
        <w:rPr>
          <w:rFonts w:ascii="Times New Roman" w:eastAsia="Times New Roman" w:hAnsi="Times New Roman"/>
          <w:color w:val="212121"/>
        </w:rPr>
        <w:t xml:space="preserve"> to open additional inpatient services in 2022.</w:t>
      </w:r>
      <w:r>
        <w:rPr>
          <w:rFonts w:ascii="Times New Roman" w:eastAsia="Times New Roman" w:hAnsi="Times New Roman"/>
          <w:color w:val="212121"/>
        </w:rPr>
        <w:t xml:space="preserve"> In recent years, the neighborhood in which the Medical Center is located, Chinatown in Boston, accounts for on average only 15 inpatient discharges per year. </w:t>
      </w:r>
    </w:p>
    <w:p w:rsidR="00643F4F" w:rsidRPr="00E601A2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Pr="00130204" w:rsidRDefault="00643F4F" w:rsidP="00643F4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  <w:u w:val="single"/>
        </w:rPr>
        <w:t>Date Set of Discontinuance</w:t>
      </w:r>
      <w:r w:rsidRPr="00130204">
        <w:rPr>
          <w:rFonts w:ascii="Times New Roman" w:hAnsi="Times New Roman" w:cs="Times New Roman"/>
        </w:rPr>
        <w:t xml:space="preserve">. This </w:t>
      </w:r>
      <w:proofErr w:type="gramStart"/>
      <w:r w:rsidRPr="00130204">
        <w:rPr>
          <w:rFonts w:ascii="Times New Roman" w:hAnsi="Times New Roman" w:cs="Times New Roman"/>
        </w:rPr>
        <w:t>ninety (90) day</w:t>
      </w:r>
      <w:proofErr w:type="gramEnd"/>
      <w:r w:rsidRPr="00130204">
        <w:rPr>
          <w:rFonts w:ascii="Times New Roman" w:hAnsi="Times New Roman" w:cs="Times New Roman"/>
        </w:rPr>
        <w:t xml:space="preserve"> notice is hereby provided for a target closure date of </w:t>
      </w:r>
      <w:r>
        <w:rPr>
          <w:rFonts w:ascii="Times New Roman" w:hAnsi="Times New Roman" w:cs="Times New Roman"/>
        </w:rPr>
        <w:t>July 1</w:t>
      </w:r>
      <w:r w:rsidRPr="002542AF">
        <w:rPr>
          <w:rFonts w:ascii="Times New Roman" w:hAnsi="Times New Roman" w:cs="Times New Roman"/>
        </w:rPr>
        <w:t>, 2022.</w:t>
      </w:r>
    </w:p>
    <w:p w:rsidR="00643F4F" w:rsidRPr="00130204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643F4F" w:rsidRPr="00130204" w:rsidRDefault="00643F4F" w:rsidP="00643F4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  <w:u w:val="single"/>
        </w:rPr>
        <w:t>Health Care Coalitions and Community Groups</w:t>
      </w:r>
      <w:r w:rsidRPr="00130204">
        <w:rPr>
          <w:rFonts w:ascii="Times New Roman" w:hAnsi="Times New Roman" w:cs="Times New Roman"/>
        </w:rPr>
        <w:t xml:space="preserve">. </w:t>
      </w:r>
    </w:p>
    <w:p w:rsidR="00643F4F" w:rsidRPr="00CF6C75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>The following community group</w:t>
      </w:r>
      <w:r>
        <w:rPr>
          <w:rFonts w:ascii="Times New Roman" w:hAnsi="Times New Roman" w:cs="Times New Roman"/>
        </w:rPr>
        <w:t>s</w:t>
      </w:r>
      <w:r w:rsidRPr="00CF6C75">
        <w:rPr>
          <w:rFonts w:ascii="Times New Roman" w:hAnsi="Times New Roman" w:cs="Times New Roman"/>
        </w:rPr>
        <w:t xml:space="preserve"> may have an interest in the discontinuation of the Service:</w:t>
      </w:r>
    </w:p>
    <w:p w:rsidR="00643F4F" w:rsidRPr="00CF6C75" w:rsidRDefault="00643F4F" w:rsidP="00643F4F">
      <w:pPr>
        <w:pStyle w:val="ListParagraph"/>
        <w:rPr>
          <w:rFonts w:ascii="Times New Roman" w:hAnsi="Times New Roman" w:cs="Times New Roman"/>
        </w:rPr>
      </w:pP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Gavin Foundation, 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675 E 4th St, South Boston, MA 02127 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Josiah Quincy Elementary School, 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>885 Washington St, Boston, MA 02111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Chinese Progressive Association, 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>28 Ash St, Boston, MA 02111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Asian Community Development </w:t>
      </w:r>
      <w:r>
        <w:rPr>
          <w:rFonts w:ascii="Times New Roman" w:hAnsi="Times New Roman" w:cs="Times New Roman"/>
        </w:rPr>
        <w:t>Corporation</w:t>
      </w:r>
      <w:r w:rsidRPr="00CF6C75">
        <w:rPr>
          <w:rFonts w:ascii="Times New Roman" w:hAnsi="Times New Roman" w:cs="Times New Roman"/>
        </w:rPr>
        <w:t xml:space="preserve">, 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>38 Oak St, Boston, MA 02111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Boston Chinatown Neighborhood Center, 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>38 Ash St, Boston, MA 02111</w:t>
      </w: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</w:p>
    <w:p w:rsidR="00643F4F" w:rsidRPr="00CF6C75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Boston Center for Youth and Families - Quincy School site. </w:t>
      </w:r>
    </w:p>
    <w:p w:rsidR="00643F4F" w:rsidRDefault="00643F4F" w:rsidP="00643F4F">
      <w:pPr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>885 Washington St, Boston, MA 02111</w:t>
      </w:r>
    </w:p>
    <w:p w:rsidR="00643F4F" w:rsidRPr="00F96E1A" w:rsidRDefault="00643F4F" w:rsidP="00643F4F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643F4F" w:rsidRPr="00CF6C75" w:rsidRDefault="00643F4F" w:rsidP="00643F4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  <w:u w:val="single"/>
        </w:rPr>
        <w:t>Community Engagement and Planning Activities</w:t>
      </w:r>
      <w:r>
        <w:rPr>
          <w:rFonts w:ascii="Times New Roman" w:hAnsi="Times New Roman" w:cs="Times New Roman"/>
        </w:rPr>
        <w:t xml:space="preserve">. </w:t>
      </w:r>
      <w:r w:rsidRPr="00CF6C75">
        <w:rPr>
          <w:rFonts w:ascii="Times New Roman" w:hAnsi="Times New Roman" w:cs="Times New Roman"/>
        </w:rPr>
        <w:t xml:space="preserve">Tufts Medical Center conducted the following community engagement and planning activities with respect to the closure of the Service.  </w:t>
      </w:r>
    </w:p>
    <w:p w:rsidR="00643F4F" w:rsidRPr="00CF6C75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CF6C75">
        <w:rPr>
          <w:rFonts w:ascii="Times New Roman" w:hAnsi="Times New Roman" w:cs="Times New Roman"/>
        </w:rPr>
        <w:t xml:space="preserve">Communicated with representatives of the following coalitions and community groups regarding the inpatient closure: Gavin Foundation, Josiah Quincy Elementary School, Chinese Progressive Association, Asian Community Development Association, Boston Chinatown Neighborhood Center, </w:t>
      </w:r>
      <w:proofErr w:type="gramStart"/>
      <w:r w:rsidRPr="00CF6C75">
        <w:rPr>
          <w:rFonts w:ascii="Times New Roman" w:hAnsi="Times New Roman" w:cs="Times New Roman"/>
        </w:rPr>
        <w:t>Boston</w:t>
      </w:r>
      <w:proofErr w:type="gramEnd"/>
      <w:r w:rsidRPr="00CF6C75">
        <w:rPr>
          <w:rFonts w:ascii="Times New Roman" w:hAnsi="Times New Roman" w:cs="Times New Roman"/>
        </w:rPr>
        <w:t xml:space="preserve"> Center for Youth and Families - Quincy School site, South Boston Community Health Center, South Cove Community Health Center.  </w:t>
      </w: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Tufts Medical Center sent direct communication to approximately 140 local community members and groups, including bilingual information. </w:t>
      </w: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multiple occasions, Tufts Medical Center sent email notices to pediatric patients regarding the closure of the Service.  The emails </w:t>
      </w:r>
      <w:proofErr w:type="gramStart"/>
      <w:r>
        <w:rPr>
          <w:rFonts w:ascii="Times New Roman" w:hAnsi="Times New Roman" w:cs="Times New Roman"/>
        </w:rPr>
        <w:t>were sent</w:t>
      </w:r>
      <w:proofErr w:type="gramEnd"/>
      <w:r>
        <w:rPr>
          <w:rFonts w:ascii="Times New Roman" w:hAnsi="Times New Roman" w:cs="Times New Roman"/>
        </w:rPr>
        <w:t xml:space="preserve"> to nearly 27,000 patient addresses. </w:t>
      </w: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Communicated with Sampan community newspaper. </w:t>
      </w: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643F4F" w:rsidRPr="00D117AC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Communicated with</w:t>
      </w:r>
      <w:r w:rsidRPr="00D117AC">
        <w:rPr>
          <w:rFonts w:ascii="Times New Roman" w:hAnsi="Times New Roman" w:cs="Times New Roman"/>
        </w:rPr>
        <w:t xml:space="preserve"> elected and appointed statewide </w:t>
      </w:r>
      <w:r w:rsidR="00423985">
        <w:rPr>
          <w:rFonts w:ascii="Times New Roman" w:hAnsi="Times New Roman" w:cs="Times New Roman"/>
        </w:rPr>
        <w:t>leaders</w:t>
      </w:r>
    </w:p>
    <w:p w:rsidR="00643F4F" w:rsidRPr="00D117AC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Communicated with</w:t>
      </w:r>
      <w:r w:rsidRPr="00D117AC">
        <w:rPr>
          <w:rFonts w:ascii="Times New Roman" w:hAnsi="Times New Roman" w:cs="Times New Roman"/>
        </w:rPr>
        <w:t xml:space="preserve"> Boston </w:t>
      </w:r>
      <w:r>
        <w:rPr>
          <w:rFonts w:ascii="Times New Roman" w:hAnsi="Times New Roman" w:cs="Times New Roman"/>
        </w:rPr>
        <w:t xml:space="preserve">elected officials </w:t>
      </w:r>
      <w:r w:rsidRPr="00D117AC">
        <w:rPr>
          <w:rFonts w:ascii="Times New Roman" w:hAnsi="Times New Roman" w:cs="Times New Roman"/>
        </w:rPr>
        <w:t>including city council, state legislators and congressional delegation</w:t>
      </w:r>
    </w:p>
    <w:p w:rsidR="00643F4F" w:rsidRPr="00D117AC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Communicated with </w:t>
      </w:r>
      <w:r w:rsidRPr="00D117AC">
        <w:rPr>
          <w:rFonts w:ascii="Times New Roman" w:hAnsi="Times New Roman" w:cs="Times New Roman"/>
        </w:rPr>
        <w:t xml:space="preserve">legislative </w:t>
      </w:r>
      <w:r w:rsidR="00423985">
        <w:rPr>
          <w:rFonts w:ascii="Times New Roman" w:hAnsi="Times New Roman" w:cs="Times New Roman"/>
        </w:rPr>
        <w:t>officials</w:t>
      </w:r>
      <w:r>
        <w:rPr>
          <w:rFonts w:ascii="Times New Roman" w:hAnsi="Times New Roman" w:cs="Times New Roman"/>
        </w:rPr>
        <w:t xml:space="preserve"> representing area of </w:t>
      </w:r>
      <w:proofErr w:type="spellStart"/>
      <w:r>
        <w:rPr>
          <w:rFonts w:ascii="Times New Roman" w:hAnsi="Times New Roman" w:cs="Times New Roman"/>
        </w:rPr>
        <w:t>MelroseWakefield</w:t>
      </w:r>
      <w:proofErr w:type="spellEnd"/>
      <w:r>
        <w:rPr>
          <w:rFonts w:ascii="Times New Roman" w:hAnsi="Times New Roman" w:cs="Times New Roman"/>
        </w:rPr>
        <w:t xml:space="preserve"> Hospital</w:t>
      </w: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Communicated with </w:t>
      </w:r>
      <w:r w:rsidRPr="00D117AC">
        <w:rPr>
          <w:rFonts w:ascii="Times New Roman" w:hAnsi="Times New Roman" w:cs="Times New Roman"/>
        </w:rPr>
        <w:t xml:space="preserve">legislative </w:t>
      </w:r>
      <w:r w:rsidR="00423985">
        <w:rPr>
          <w:rFonts w:ascii="Times New Roman" w:hAnsi="Times New Roman" w:cs="Times New Roman"/>
        </w:rPr>
        <w:t xml:space="preserve">officials </w:t>
      </w:r>
      <w:r>
        <w:rPr>
          <w:rFonts w:ascii="Times New Roman" w:hAnsi="Times New Roman" w:cs="Times New Roman"/>
        </w:rPr>
        <w:t>representing area of Lowell General Hospital</w:t>
      </w: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FF4DE9">
        <w:rPr>
          <w:rFonts w:ascii="Times New Roman" w:hAnsi="Times New Roman" w:cs="Times New Roman"/>
        </w:rPr>
        <w:t>Met with staff from members of M</w:t>
      </w:r>
      <w:r>
        <w:rPr>
          <w:rFonts w:ascii="Times New Roman" w:hAnsi="Times New Roman" w:cs="Times New Roman"/>
        </w:rPr>
        <w:t>assachusetts</w:t>
      </w:r>
      <w:r w:rsidRPr="00FF4DE9">
        <w:rPr>
          <w:rFonts w:ascii="Times New Roman" w:hAnsi="Times New Roman" w:cs="Times New Roman"/>
        </w:rPr>
        <w:t xml:space="preserve"> Congressional delegation</w:t>
      </w:r>
    </w:p>
    <w:p w:rsidR="00643F4F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643F4F" w:rsidRPr="00FF4DE9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Tufts Medical Center established a dedicated phone line for questions related to the Service closure.  Questions about the service closure </w:t>
      </w:r>
      <w:proofErr w:type="gramStart"/>
      <w:r>
        <w:rPr>
          <w:rFonts w:ascii="Times New Roman" w:hAnsi="Times New Roman" w:cs="Times New Roman"/>
        </w:rPr>
        <w:t>can be directed</w:t>
      </w:r>
      <w:proofErr w:type="gramEnd"/>
      <w:r>
        <w:rPr>
          <w:rFonts w:ascii="Times New Roman" w:hAnsi="Times New Roman" w:cs="Times New Roman"/>
        </w:rPr>
        <w:t xml:space="preserve"> to (866) 978-2399.</w:t>
      </w:r>
    </w:p>
    <w:p w:rsidR="00643F4F" w:rsidRPr="00F96E1A" w:rsidRDefault="00643F4F" w:rsidP="00643F4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attention to this matter. </w:t>
      </w:r>
      <w:r w:rsidRPr="00130204">
        <w:rPr>
          <w:rFonts w:ascii="Times New Roman" w:hAnsi="Times New Roman" w:cs="Times New Roman"/>
        </w:rPr>
        <w:t xml:space="preserve">If you </w:t>
      </w:r>
      <w:r>
        <w:rPr>
          <w:rFonts w:ascii="Times New Roman" w:hAnsi="Times New Roman" w:cs="Times New Roman"/>
        </w:rPr>
        <w:t>have any questions, please contact</w:t>
      </w:r>
      <w:r w:rsidRPr="001302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Zachary Redmond, SVP and Deputy General Counsel </w:t>
      </w:r>
      <w:r w:rsidRPr="00130204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Pr="0013020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617</w:t>
      </w:r>
      <w:r w:rsidRPr="0013020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636-8058. 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 xml:space="preserve">Sincerely, </w:t>
      </w:r>
    </w:p>
    <w:p w:rsidR="00643F4F" w:rsidRPr="00130204" w:rsidRDefault="00D01CF5" w:rsidP="00643F4F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D771B9F" wp14:editId="7D6B61D9">
            <wp:extent cx="1362075" cy="419100"/>
            <wp:effectExtent l="0" t="0" r="9525" b="0"/>
            <wp:docPr id="2" name="Picture 2" descr="cid:image001.jpg@01D735EB.306E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735EB.306E71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F4F" w:rsidRPr="00130204" w:rsidRDefault="00643F4F" w:rsidP="00643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Tarnoff, M.D.</w:t>
      </w:r>
    </w:p>
    <w:p w:rsidR="00643F4F" w:rsidRPr="00130204" w:rsidRDefault="00643F4F" w:rsidP="00643F4F">
      <w:pPr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>President</w:t>
      </w:r>
      <w:r>
        <w:rPr>
          <w:rFonts w:ascii="Times New Roman" w:hAnsi="Times New Roman" w:cs="Times New Roman"/>
        </w:rPr>
        <w:t xml:space="preserve"> and CEO</w:t>
      </w:r>
      <w:r w:rsidRPr="001302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Tufts Medical Center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Pr="00130204" w:rsidRDefault="00643F4F" w:rsidP="00643F4F">
      <w:pPr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>cc:</w:t>
      </w:r>
      <w:r w:rsidRPr="00130204">
        <w:rPr>
          <w:rFonts w:ascii="Times New Roman" w:hAnsi="Times New Roman" w:cs="Times New Roman"/>
        </w:rPr>
        <w:tab/>
        <w:t>E. Kelley, DPH</w:t>
      </w:r>
    </w:p>
    <w:p w:rsidR="00643F4F" w:rsidRDefault="00643F4F" w:rsidP="00643F4F">
      <w:pPr>
        <w:ind w:firstLine="720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>W. Mackie, Esq.</w:t>
      </w:r>
      <w:r>
        <w:rPr>
          <w:rFonts w:ascii="Times New Roman" w:hAnsi="Times New Roman" w:cs="Times New Roman"/>
        </w:rPr>
        <w:t>,</w:t>
      </w:r>
      <w:r w:rsidRPr="00130204">
        <w:rPr>
          <w:rFonts w:ascii="Times New Roman" w:hAnsi="Times New Roman" w:cs="Times New Roman"/>
        </w:rPr>
        <w:t xml:space="preserve"> DPH  </w:t>
      </w:r>
    </w:p>
    <w:p w:rsidR="00643F4F" w:rsidRDefault="00643F4F" w:rsidP="00643F4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Rodman, Esq., DPH</w:t>
      </w:r>
    </w:p>
    <w:p w:rsidR="00643F4F" w:rsidRPr="00130204" w:rsidRDefault="00643F4F" w:rsidP="00643F4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Fillo, DPH</w:t>
      </w:r>
      <w:r w:rsidRPr="00130204">
        <w:rPr>
          <w:rFonts w:ascii="Times New Roman" w:hAnsi="Times New Roman" w:cs="Times New Roman"/>
        </w:rPr>
        <w:t xml:space="preserve"> 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ab/>
        <w:t>Health Policy Commission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ab/>
        <w:t>Office of the Attorney General (Massachusetts)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ab/>
        <w:t>Center for Health Information and Analysis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ab/>
        <w:t>Executive Office of Labor and Workforce Development</w:t>
      </w:r>
    </w:p>
    <w:p w:rsidR="00643F4F" w:rsidRPr="00130204" w:rsidRDefault="00643F4F" w:rsidP="00643F4F">
      <w:pPr>
        <w:jc w:val="both"/>
        <w:rPr>
          <w:rFonts w:ascii="Times New Roman" w:hAnsi="Times New Roman" w:cs="Times New Roman"/>
          <w:highlight w:val="yellow"/>
        </w:rPr>
      </w:pPr>
    </w:p>
    <w:p w:rsidR="00643F4F" w:rsidRPr="00130204" w:rsidRDefault="00643F4F" w:rsidP="00643F4F">
      <w:p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ab/>
      </w:r>
    </w:p>
    <w:p w:rsidR="002D5803" w:rsidRPr="00643F4F" w:rsidRDefault="002D5803" w:rsidP="00643F4F"/>
    <w:sectPr w:rsidR="002D5803" w:rsidRPr="00643F4F" w:rsidSect="00C82B3F">
      <w:footerReference w:type="default" r:id="rId13"/>
      <w:headerReference w:type="first" r:id="rId14"/>
      <w:footerReference w:type="first" r:id="rId15"/>
      <w:pgSz w:w="12240" w:h="15840"/>
      <w:pgMar w:top="2880" w:right="2938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4F" w:rsidRDefault="00643F4F" w:rsidP="009B17AE">
      <w:r>
        <w:separator/>
      </w:r>
    </w:p>
  </w:endnote>
  <w:endnote w:type="continuationSeparator" w:id="0">
    <w:p w:rsidR="00643F4F" w:rsidRDefault="00643F4F" w:rsidP="009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96" w:rsidRDefault="00993C96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8B5E55E" wp14:editId="052D2D34">
          <wp:simplePos x="0" y="0"/>
          <wp:positionH relativeFrom="column">
            <wp:posOffset>0</wp:posOffset>
          </wp:positionH>
          <wp:positionV relativeFrom="page">
            <wp:posOffset>9347200</wp:posOffset>
          </wp:positionV>
          <wp:extent cx="355600" cy="3556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1E" w:rsidRDefault="00F92D1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995FD5" wp14:editId="67FE23F3">
          <wp:simplePos x="0" y="0"/>
          <wp:positionH relativeFrom="column">
            <wp:posOffset>0</wp:posOffset>
          </wp:positionH>
          <wp:positionV relativeFrom="page">
            <wp:posOffset>9347200</wp:posOffset>
          </wp:positionV>
          <wp:extent cx="355600" cy="3556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4F" w:rsidRDefault="00643F4F" w:rsidP="009B17AE">
      <w:r>
        <w:separator/>
      </w:r>
    </w:p>
  </w:footnote>
  <w:footnote w:type="continuationSeparator" w:id="0">
    <w:p w:rsidR="00643F4F" w:rsidRDefault="00643F4F" w:rsidP="009B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AE" w:rsidRDefault="003C66A9">
    <w:pPr>
      <w:pStyle w:val="Header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12BE681" wp14:editId="118E5F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5917" cy="1170432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917" cy="117043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02E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29997" wp14:editId="10FB2979">
              <wp:simplePos x="0" y="0"/>
              <wp:positionH relativeFrom="page">
                <wp:posOffset>6176682</wp:posOffset>
              </wp:positionH>
              <wp:positionV relativeFrom="paragraph">
                <wp:posOffset>-1</wp:posOffset>
              </wp:positionV>
              <wp:extent cx="1143000" cy="8686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868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3356" w:rsidRDefault="00643F4F" w:rsidP="00B13356">
                          <w:pPr>
                            <w:pStyle w:val="Bodysmall"/>
                          </w:pPr>
                          <w:r>
                            <w:t>800 Washington St. #451</w:t>
                          </w:r>
                        </w:p>
                        <w:p w:rsidR="00F92D1E" w:rsidRPr="00D22A3F" w:rsidRDefault="00643F4F" w:rsidP="00B13356">
                          <w:pPr>
                            <w:pStyle w:val="Bodysmall"/>
                          </w:pPr>
                          <w:r>
                            <w:t>Boston</w:t>
                          </w:r>
                          <w:r w:rsidR="00B13356">
                            <w:t xml:space="preserve">, MA </w:t>
                          </w:r>
                          <w:r>
                            <w:t>02111</w:t>
                          </w:r>
                        </w:p>
                        <w:p w:rsidR="00F92D1E" w:rsidRPr="002B4377" w:rsidRDefault="00F92D1E" w:rsidP="002B4377">
                          <w:pPr>
                            <w:pStyle w:val="Phone"/>
                          </w:pPr>
                          <w:r w:rsidRPr="002B4377">
                            <w:rPr>
                              <w:rStyle w:val="Bluebold"/>
                              <w:b/>
                              <w:bCs/>
                            </w:rPr>
                            <w:t>T</w:t>
                          </w:r>
                          <w:r w:rsidRPr="002B4377">
                            <w:rPr>
                              <w:color w:val="418FEC" w:themeColor="accent1"/>
                            </w:rPr>
                            <w:t xml:space="preserve"> </w:t>
                          </w:r>
                          <w:r w:rsidR="00643F4F">
                            <w:t>617.636.4433</w:t>
                          </w:r>
                        </w:p>
                        <w:p w:rsidR="00F92D1E" w:rsidRDefault="00F92D1E" w:rsidP="00F92D1E">
                          <w:pPr>
                            <w:pStyle w:val="Bodysmall"/>
                          </w:pPr>
                        </w:p>
                        <w:p w:rsidR="00F64B20" w:rsidRPr="00F92D1E" w:rsidRDefault="00F64B20" w:rsidP="001758B6">
                          <w:pPr>
                            <w:pStyle w:val="Bodysmal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6985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F299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6.35pt;margin-top:0;width:90pt;height:684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" filled="f" stroked="f" strokeweight=".5pt">
              <v:textbox style="mso-fit-shape-to-text:t" inset="0,5.5pt,0,0">
                <w:txbxContent>
                  <w:p w:rsidR="00B13356" w:rsidRDefault="00643F4F" w:rsidP="00B13356">
                    <w:pPr>
                      <w:pStyle w:val="Bodysmall"/>
                    </w:pPr>
                    <w:r>
                      <w:t>800 Washington St. #451</w:t>
                    </w:r>
                  </w:p>
                  <w:p w:rsidR="00F92D1E" w:rsidRPr="00D22A3F" w:rsidRDefault="00643F4F" w:rsidP="00B13356">
                    <w:pPr>
                      <w:pStyle w:val="Bodysmall"/>
                    </w:pPr>
                    <w:r>
                      <w:t>Boston</w:t>
                    </w:r>
                    <w:r w:rsidR="00B13356">
                      <w:t xml:space="preserve">, MA </w:t>
                    </w:r>
                    <w:r>
                      <w:t>02111</w:t>
                    </w:r>
                  </w:p>
                  <w:p w:rsidR="00F92D1E" w:rsidRPr="002B4377" w:rsidRDefault="00F92D1E" w:rsidP="002B4377">
                    <w:pPr>
                      <w:pStyle w:val="Phone"/>
                    </w:pPr>
                    <w:r w:rsidRPr="002B4377">
                      <w:rPr>
                        <w:rStyle w:val="Bluebold"/>
                        <w:b/>
                        <w:bCs/>
                      </w:rPr>
                      <w:t>T</w:t>
                    </w:r>
                    <w:r w:rsidRPr="002B4377">
                      <w:rPr>
                        <w:color w:val="418FEC" w:themeColor="accent1"/>
                      </w:rPr>
                      <w:t xml:space="preserve"> </w:t>
                    </w:r>
                    <w:r w:rsidR="00643F4F">
                      <w:t>617.636.4433</w:t>
                    </w:r>
                  </w:p>
                  <w:p w:rsidR="00F92D1E" w:rsidRDefault="00F92D1E" w:rsidP="00F92D1E">
                    <w:pPr>
                      <w:pStyle w:val="Bodysmall"/>
                    </w:pPr>
                  </w:p>
                  <w:p w:rsidR="00F64B20" w:rsidRPr="00F92D1E" w:rsidRDefault="00F64B20" w:rsidP="001758B6">
                    <w:pPr>
                      <w:pStyle w:val="Bodysmall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505AE">
      <w:rPr>
        <w:noProof/>
      </w:rPr>
      <w:drawing>
        <wp:anchor distT="0" distB="0" distL="0" distR="0" simplePos="0" relativeHeight="251667456" behindDoc="0" locked="0" layoutInCell="1" allowOverlap="1" wp14:anchorId="0E72C4DA" wp14:editId="63F69405">
          <wp:simplePos x="0" y="0"/>
          <wp:positionH relativeFrom="column">
            <wp:posOffset>0</wp:posOffset>
          </wp:positionH>
          <wp:positionV relativeFrom="paragraph">
            <wp:posOffset>-648970</wp:posOffset>
          </wp:positionV>
          <wp:extent cx="0" cy="0"/>
          <wp:effectExtent l="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3235"/>
    <w:multiLevelType w:val="hybridMultilevel"/>
    <w:tmpl w:val="DAEAD1CE"/>
    <w:lvl w:ilvl="0" w:tplc="0C7C33C6">
      <w:start w:val="1"/>
      <w:numFmt w:val="bullet"/>
      <w:pStyle w:val="Bodybullets"/>
      <w:lvlText w:val=""/>
      <w:lvlJc w:val="left"/>
      <w:pPr>
        <w:ind w:left="240" w:hanging="240"/>
      </w:pPr>
      <w:rPr>
        <w:rFonts w:ascii="Symbol" w:hAnsi="Symbol" w:hint="default"/>
      </w:rPr>
    </w:lvl>
    <w:lvl w:ilvl="1" w:tplc="761A2CAE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 w:tplc="7ADCC862">
      <w:start w:val="1"/>
      <w:numFmt w:val="bullet"/>
      <w:lvlText w:val=""/>
      <w:lvlJc w:val="left"/>
      <w:pPr>
        <w:ind w:left="720" w:hanging="240"/>
      </w:pPr>
      <w:rPr>
        <w:rFonts w:ascii="Wingdings" w:hAnsi="Wingdings" w:hint="default"/>
      </w:rPr>
    </w:lvl>
    <w:lvl w:ilvl="3" w:tplc="872AD460">
      <w:start w:val="1"/>
      <w:numFmt w:val="bullet"/>
      <w:lvlText w:val=""/>
      <w:lvlJc w:val="left"/>
      <w:pPr>
        <w:ind w:left="960" w:hanging="240"/>
      </w:pPr>
      <w:rPr>
        <w:rFonts w:ascii="Symbol" w:hAnsi="Symbol" w:hint="default"/>
      </w:rPr>
    </w:lvl>
    <w:lvl w:ilvl="4" w:tplc="07302DFE">
      <w:start w:val="1"/>
      <w:numFmt w:val="bullet"/>
      <w:lvlText w:val="o"/>
      <w:lvlJc w:val="left"/>
      <w:pPr>
        <w:ind w:left="1200" w:hanging="240"/>
      </w:pPr>
      <w:rPr>
        <w:rFonts w:ascii="Courier New" w:hAnsi="Courier New" w:hint="default"/>
      </w:rPr>
    </w:lvl>
    <w:lvl w:ilvl="5" w:tplc="D03E6EDE">
      <w:start w:val="1"/>
      <w:numFmt w:val="bullet"/>
      <w:lvlText w:val=""/>
      <w:lvlJc w:val="left"/>
      <w:pPr>
        <w:ind w:left="1440" w:hanging="240"/>
      </w:pPr>
      <w:rPr>
        <w:rFonts w:ascii="Wingdings" w:hAnsi="Wingdings" w:hint="default"/>
      </w:rPr>
    </w:lvl>
    <w:lvl w:ilvl="6" w:tplc="86AE6224">
      <w:start w:val="1"/>
      <w:numFmt w:val="bullet"/>
      <w:lvlText w:val=""/>
      <w:lvlJc w:val="left"/>
      <w:pPr>
        <w:ind w:left="1680" w:hanging="240"/>
      </w:pPr>
      <w:rPr>
        <w:rFonts w:ascii="Symbol" w:hAnsi="Symbol" w:hint="default"/>
      </w:rPr>
    </w:lvl>
    <w:lvl w:ilvl="7" w:tplc="AC304A16">
      <w:start w:val="1"/>
      <w:numFmt w:val="bullet"/>
      <w:lvlText w:val="o"/>
      <w:lvlJc w:val="left"/>
      <w:pPr>
        <w:ind w:left="1920" w:hanging="240"/>
      </w:pPr>
      <w:rPr>
        <w:rFonts w:ascii="Courier New" w:hAnsi="Courier New" w:hint="default"/>
      </w:rPr>
    </w:lvl>
    <w:lvl w:ilvl="8" w:tplc="50C63378">
      <w:start w:val="1"/>
      <w:numFmt w:val="bullet"/>
      <w:lvlText w:val=""/>
      <w:lvlJc w:val="left"/>
      <w:pPr>
        <w:ind w:left="2160" w:hanging="240"/>
      </w:pPr>
      <w:rPr>
        <w:rFonts w:ascii="Wingdings" w:hAnsi="Wingdings" w:hint="default"/>
      </w:rPr>
    </w:lvl>
  </w:abstractNum>
  <w:abstractNum w:abstractNumId="1" w15:restartNumberingAfterBreak="0">
    <w:nsid w:val="0D4B32C0"/>
    <w:multiLevelType w:val="multilevel"/>
    <w:tmpl w:val="4726CB84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35536"/>
    <w:multiLevelType w:val="multilevel"/>
    <w:tmpl w:val="1F5A1936"/>
    <w:styleLink w:val="CurrentList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3" w15:restartNumberingAfterBreak="0">
    <w:nsid w:val="0F2E7E2C"/>
    <w:multiLevelType w:val="multilevel"/>
    <w:tmpl w:val="A184E300"/>
    <w:numStyleLink w:val="CurrentList1"/>
  </w:abstractNum>
  <w:abstractNum w:abstractNumId="4" w15:restartNumberingAfterBreak="0">
    <w:nsid w:val="135028D9"/>
    <w:multiLevelType w:val="multilevel"/>
    <w:tmpl w:val="A184E300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4845AC"/>
    <w:multiLevelType w:val="multilevel"/>
    <w:tmpl w:val="A184E300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D1BBA"/>
    <w:multiLevelType w:val="multilevel"/>
    <w:tmpl w:val="813AEBD6"/>
    <w:styleLink w:val="CurrentList21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0" w:hanging="2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00" w:hanging="2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440" w:hanging="2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80" w:hanging="2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7" w15:restartNumberingAfterBreak="0">
    <w:nsid w:val="29EC06B2"/>
    <w:multiLevelType w:val="multilevel"/>
    <w:tmpl w:val="F9921D6A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9225D"/>
    <w:multiLevelType w:val="multilevel"/>
    <w:tmpl w:val="165E7314"/>
    <w:styleLink w:val="CurrentList18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0" w:hanging="2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9" w15:restartNumberingAfterBreak="0">
    <w:nsid w:val="338E0796"/>
    <w:multiLevelType w:val="multilevel"/>
    <w:tmpl w:val="B6FC8DA8"/>
    <w:styleLink w:val="CurrentList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F55E0"/>
    <w:multiLevelType w:val="multilevel"/>
    <w:tmpl w:val="B6C8B36A"/>
    <w:styleLink w:val="CurrentList22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0" w:hanging="2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00" w:hanging="2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440" w:hanging="2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80" w:hanging="2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20" w:hanging="2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11" w15:restartNumberingAfterBreak="0">
    <w:nsid w:val="37822A8B"/>
    <w:multiLevelType w:val="multilevel"/>
    <w:tmpl w:val="1F5A1936"/>
    <w:styleLink w:val="CurrentList1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12" w15:restartNumberingAfterBreak="0">
    <w:nsid w:val="38F83BE3"/>
    <w:multiLevelType w:val="multilevel"/>
    <w:tmpl w:val="4D9E15F6"/>
    <w:styleLink w:val="CurrentList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C510AF"/>
    <w:multiLevelType w:val="multilevel"/>
    <w:tmpl w:val="A184E3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1229F2"/>
    <w:multiLevelType w:val="multilevel"/>
    <w:tmpl w:val="B57CF8C6"/>
    <w:styleLink w:val="CurrentList19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0" w:hanging="2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00" w:hanging="2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15" w15:restartNumberingAfterBreak="0">
    <w:nsid w:val="4ABA0834"/>
    <w:multiLevelType w:val="multilevel"/>
    <w:tmpl w:val="A184E300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6C2997"/>
    <w:multiLevelType w:val="multilevel"/>
    <w:tmpl w:val="E54E6BB6"/>
    <w:styleLink w:val="CurrentList17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17" w15:restartNumberingAfterBreak="0">
    <w:nsid w:val="52B127E8"/>
    <w:multiLevelType w:val="multilevel"/>
    <w:tmpl w:val="93801DFE"/>
    <w:styleLink w:val="CurrentList15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18" w15:restartNumberingAfterBreak="0">
    <w:nsid w:val="53BE6B6E"/>
    <w:multiLevelType w:val="multilevel"/>
    <w:tmpl w:val="2C947534"/>
    <w:styleLink w:val="CurrentList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D3442F"/>
    <w:multiLevelType w:val="multilevel"/>
    <w:tmpl w:val="8020D650"/>
    <w:styleLink w:val="CurrentList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FA61B5"/>
    <w:multiLevelType w:val="hybridMultilevel"/>
    <w:tmpl w:val="5F1AE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E535D1"/>
    <w:multiLevelType w:val="multilevel"/>
    <w:tmpl w:val="AE8470CC"/>
    <w:styleLink w:val="CurrentList20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0" w:hanging="2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00" w:hanging="2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440" w:hanging="2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22" w15:restartNumberingAfterBreak="0">
    <w:nsid w:val="760A27D1"/>
    <w:multiLevelType w:val="multilevel"/>
    <w:tmpl w:val="734245F2"/>
    <w:styleLink w:val="CurrentList16"/>
    <w:lvl w:ilvl="0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0" w:hanging="2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abstractNum w:abstractNumId="23" w15:restartNumberingAfterBreak="0">
    <w:nsid w:val="772C37D1"/>
    <w:multiLevelType w:val="multilevel"/>
    <w:tmpl w:val="A184E30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95492F"/>
    <w:multiLevelType w:val="multilevel"/>
    <w:tmpl w:val="395606EA"/>
    <w:styleLink w:val="CurrentList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92910"/>
    <w:multiLevelType w:val="multilevel"/>
    <w:tmpl w:val="189469DA"/>
    <w:styleLink w:val="CurrentList14"/>
    <w:lvl w:ilvl="0">
      <w:start w:val="1"/>
      <w:numFmt w:val="bullet"/>
      <w:lvlText w:val=""/>
      <w:lvlJc w:val="left"/>
      <w:pPr>
        <w:ind w:left="280" w:hanging="2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0" w:hanging="2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40" w:hanging="2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20" w:hanging="2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00" w:hanging="2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680" w:hanging="2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60" w:hanging="2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40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20" w:hanging="28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4"/>
  </w:num>
  <w:num w:numId="5">
    <w:abstractNumId w:val="15"/>
  </w:num>
  <w:num w:numId="6">
    <w:abstractNumId w:val="1"/>
  </w:num>
  <w:num w:numId="7">
    <w:abstractNumId w:val="19"/>
  </w:num>
  <w:num w:numId="8">
    <w:abstractNumId w:val="24"/>
  </w:num>
  <w:num w:numId="9">
    <w:abstractNumId w:val="9"/>
  </w:num>
  <w:num w:numId="10">
    <w:abstractNumId w:val="7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2"/>
  </w:num>
  <w:num w:numId="16">
    <w:abstractNumId w:val="11"/>
  </w:num>
  <w:num w:numId="17">
    <w:abstractNumId w:val="0"/>
    <w:lvlOverride w:ilvl="0">
      <w:startOverride w:val="1"/>
    </w:lvlOverride>
  </w:num>
  <w:num w:numId="18">
    <w:abstractNumId w:val="25"/>
  </w:num>
  <w:num w:numId="19">
    <w:abstractNumId w:val="0"/>
    <w:lvlOverride w:ilvl="0">
      <w:startOverride w:val="1"/>
    </w:lvlOverride>
  </w:num>
  <w:num w:numId="20">
    <w:abstractNumId w:val="17"/>
  </w:num>
  <w:num w:numId="21">
    <w:abstractNumId w:val="22"/>
  </w:num>
  <w:num w:numId="22">
    <w:abstractNumId w:val="16"/>
  </w:num>
  <w:num w:numId="23">
    <w:abstractNumId w:val="8"/>
  </w:num>
  <w:num w:numId="24">
    <w:abstractNumId w:val="14"/>
  </w:num>
  <w:num w:numId="25">
    <w:abstractNumId w:val="21"/>
  </w:num>
  <w:num w:numId="26">
    <w:abstractNumId w:val="6"/>
  </w:num>
  <w:num w:numId="27">
    <w:abstractNumId w:val="1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4F"/>
    <w:rsid w:val="00026963"/>
    <w:rsid w:val="0008702C"/>
    <w:rsid w:val="000A4FF4"/>
    <w:rsid w:val="000B3A87"/>
    <w:rsid w:val="000B484F"/>
    <w:rsid w:val="000C5C4E"/>
    <w:rsid w:val="000E1450"/>
    <w:rsid w:val="00112523"/>
    <w:rsid w:val="001623F9"/>
    <w:rsid w:val="001758B6"/>
    <w:rsid w:val="001D13B7"/>
    <w:rsid w:val="002505AE"/>
    <w:rsid w:val="0027265D"/>
    <w:rsid w:val="002B4377"/>
    <w:rsid w:val="002C50FA"/>
    <w:rsid w:val="002D3383"/>
    <w:rsid w:val="002D5803"/>
    <w:rsid w:val="002F03E6"/>
    <w:rsid w:val="003604F0"/>
    <w:rsid w:val="00370513"/>
    <w:rsid w:val="003C66A9"/>
    <w:rsid w:val="00423985"/>
    <w:rsid w:val="00423B8F"/>
    <w:rsid w:val="0042651C"/>
    <w:rsid w:val="00462FDE"/>
    <w:rsid w:val="004F04B1"/>
    <w:rsid w:val="00522051"/>
    <w:rsid w:val="0055024C"/>
    <w:rsid w:val="005539C5"/>
    <w:rsid w:val="00596925"/>
    <w:rsid w:val="00643F4F"/>
    <w:rsid w:val="006730DB"/>
    <w:rsid w:val="00677B46"/>
    <w:rsid w:val="006F3FCC"/>
    <w:rsid w:val="0071657B"/>
    <w:rsid w:val="007D284B"/>
    <w:rsid w:val="008702E6"/>
    <w:rsid w:val="008A5025"/>
    <w:rsid w:val="008C608F"/>
    <w:rsid w:val="008F758D"/>
    <w:rsid w:val="00993C96"/>
    <w:rsid w:val="009B17AE"/>
    <w:rsid w:val="009D5655"/>
    <w:rsid w:val="00A21404"/>
    <w:rsid w:val="00AC7126"/>
    <w:rsid w:val="00B13356"/>
    <w:rsid w:val="00BA607D"/>
    <w:rsid w:val="00C519EC"/>
    <w:rsid w:val="00C56C90"/>
    <w:rsid w:val="00C7699F"/>
    <w:rsid w:val="00C82B3F"/>
    <w:rsid w:val="00C92120"/>
    <w:rsid w:val="00D01CF5"/>
    <w:rsid w:val="00D165CC"/>
    <w:rsid w:val="00D22A3F"/>
    <w:rsid w:val="00D85B41"/>
    <w:rsid w:val="00DD614F"/>
    <w:rsid w:val="00E544AC"/>
    <w:rsid w:val="00ED1C2F"/>
    <w:rsid w:val="00EF52BD"/>
    <w:rsid w:val="00F42D45"/>
    <w:rsid w:val="00F42EDD"/>
    <w:rsid w:val="00F47C7B"/>
    <w:rsid w:val="00F50DE6"/>
    <w:rsid w:val="00F64B20"/>
    <w:rsid w:val="00F92D1E"/>
    <w:rsid w:val="00F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24E5A6D-5B7E-4422-8D83-76D3B2E1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F4F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7AE"/>
  </w:style>
  <w:style w:type="paragraph" w:styleId="Footer">
    <w:name w:val="footer"/>
    <w:basedOn w:val="Normal"/>
    <w:link w:val="FooterChar"/>
    <w:uiPriority w:val="99"/>
    <w:unhideWhenUsed/>
    <w:rsid w:val="009B1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7AE"/>
  </w:style>
  <w:style w:type="paragraph" w:customStyle="1" w:styleId="H1">
    <w:name w:val="H1"/>
    <w:basedOn w:val="Normal"/>
    <w:next w:val="Normal"/>
    <w:qFormat/>
    <w:rsid w:val="00AC7126"/>
    <w:pPr>
      <w:spacing w:after="600" w:line="1120" w:lineRule="exact"/>
    </w:pPr>
    <w:rPr>
      <w:rFonts w:ascii="Rockwell" w:hAnsi="Rockwell"/>
      <w:color w:val="418FEC" w:themeColor="accent1"/>
      <w:sz w:val="120"/>
      <w:szCs w:val="120"/>
    </w:rPr>
  </w:style>
  <w:style w:type="paragraph" w:customStyle="1" w:styleId="Body">
    <w:name w:val="Body"/>
    <w:basedOn w:val="Normal"/>
    <w:qFormat/>
    <w:rsid w:val="00112523"/>
  </w:style>
  <w:style w:type="paragraph" w:customStyle="1" w:styleId="Bodysubhead">
    <w:name w:val="Body subhead"/>
    <w:basedOn w:val="Body"/>
    <w:qFormat/>
    <w:rsid w:val="00C519EC"/>
    <w:pPr>
      <w:spacing w:after="70"/>
    </w:pPr>
    <w:rPr>
      <w:b/>
      <w:bCs/>
    </w:rPr>
  </w:style>
  <w:style w:type="paragraph" w:customStyle="1" w:styleId="BodyCTAURL">
    <w:name w:val="Body CTA/URL"/>
    <w:basedOn w:val="Body"/>
    <w:qFormat/>
    <w:rsid w:val="00C92120"/>
    <w:rPr>
      <w:b/>
      <w:bCs/>
      <w:color w:val="418FEC" w:themeColor="accent1"/>
    </w:rPr>
  </w:style>
  <w:style w:type="paragraph" w:customStyle="1" w:styleId="H2">
    <w:name w:val="H2"/>
    <w:basedOn w:val="Normal"/>
    <w:qFormat/>
    <w:rsid w:val="007D284B"/>
    <w:pPr>
      <w:spacing w:after="100" w:line="560" w:lineRule="exact"/>
    </w:pPr>
    <w:rPr>
      <w:rFonts w:ascii="Rockwell" w:hAnsi="Rockwell"/>
      <w:color w:val="00308C" w:themeColor="accent6"/>
      <w:sz w:val="55"/>
      <w:szCs w:val="55"/>
    </w:rPr>
  </w:style>
  <w:style w:type="paragraph" w:customStyle="1" w:styleId="Bodysmall">
    <w:name w:val="Body small"/>
    <w:basedOn w:val="Body"/>
    <w:qFormat/>
    <w:rsid w:val="00FA494E"/>
    <w:pPr>
      <w:spacing w:after="70" w:line="200" w:lineRule="exact"/>
      <w:contextualSpacing/>
    </w:pPr>
    <w:rPr>
      <w:rFonts w:cs="Times New Roman (Body CS)"/>
      <w:spacing w:val="-6"/>
      <w:sz w:val="16"/>
      <w:szCs w:val="16"/>
    </w:rPr>
  </w:style>
  <w:style w:type="paragraph" w:customStyle="1" w:styleId="Phone">
    <w:name w:val="Phone"/>
    <w:basedOn w:val="Body"/>
    <w:qFormat/>
    <w:rsid w:val="00F50DE6"/>
    <w:pPr>
      <w:spacing w:line="200" w:lineRule="exact"/>
      <w:contextualSpacing/>
    </w:pPr>
    <w:rPr>
      <w:rFonts w:cs="Times New Roman (Body CS)"/>
      <w:b/>
      <w:bCs/>
      <w:spacing w:val="6"/>
      <w:sz w:val="16"/>
      <w:szCs w:val="16"/>
    </w:rPr>
  </w:style>
  <w:style w:type="paragraph" w:customStyle="1" w:styleId="Bodysmallbold">
    <w:name w:val="Body small bold"/>
    <w:basedOn w:val="Bodysmall"/>
    <w:qFormat/>
    <w:rsid w:val="002B4377"/>
    <w:pPr>
      <w:spacing w:after="0"/>
    </w:pPr>
    <w:rPr>
      <w:b/>
      <w:bCs/>
    </w:rPr>
  </w:style>
  <w:style w:type="paragraph" w:customStyle="1" w:styleId="BodysmallURL">
    <w:name w:val="Body small URL"/>
    <w:basedOn w:val="Bodysmall"/>
    <w:qFormat/>
    <w:rsid w:val="00F50DE6"/>
    <w:pPr>
      <w:spacing w:before="70" w:after="0"/>
    </w:pPr>
    <w:rPr>
      <w:b/>
      <w:bCs/>
      <w:color w:val="418FEC" w:themeColor="accent1"/>
    </w:rPr>
  </w:style>
  <w:style w:type="numbering" w:customStyle="1" w:styleId="CurrentList1">
    <w:name w:val="Current List1"/>
    <w:uiPriority w:val="99"/>
    <w:rsid w:val="00462FDE"/>
    <w:pPr>
      <w:numPr>
        <w:numId w:val="2"/>
      </w:numPr>
    </w:pPr>
  </w:style>
  <w:style w:type="numbering" w:customStyle="1" w:styleId="CurrentList2">
    <w:name w:val="Current List2"/>
    <w:uiPriority w:val="99"/>
    <w:rsid w:val="00462FDE"/>
    <w:pPr>
      <w:numPr>
        <w:numId w:val="3"/>
      </w:numPr>
    </w:pPr>
  </w:style>
  <w:style w:type="numbering" w:customStyle="1" w:styleId="CurrentList3">
    <w:name w:val="Current List3"/>
    <w:uiPriority w:val="99"/>
    <w:rsid w:val="00462FDE"/>
    <w:pPr>
      <w:numPr>
        <w:numId w:val="4"/>
      </w:numPr>
    </w:pPr>
  </w:style>
  <w:style w:type="numbering" w:customStyle="1" w:styleId="CurrentList4">
    <w:name w:val="Current List4"/>
    <w:uiPriority w:val="99"/>
    <w:rsid w:val="00462FDE"/>
    <w:pPr>
      <w:numPr>
        <w:numId w:val="5"/>
      </w:numPr>
    </w:pPr>
  </w:style>
  <w:style w:type="paragraph" w:customStyle="1" w:styleId="Bodybullets">
    <w:name w:val="Body bullets"/>
    <w:basedOn w:val="Body"/>
    <w:qFormat/>
    <w:rsid w:val="00026963"/>
    <w:pPr>
      <w:numPr>
        <w:numId w:val="1"/>
      </w:numPr>
    </w:pPr>
  </w:style>
  <w:style w:type="numbering" w:customStyle="1" w:styleId="CurrentList5">
    <w:name w:val="Current List5"/>
    <w:uiPriority w:val="99"/>
    <w:rsid w:val="00026963"/>
    <w:pPr>
      <w:numPr>
        <w:numId w:val="6"/>
      </w:numPr>
    </w:pPr>
  </w:style>
  <w:style w:type="numbering" w:customStyle="1" w:styleId="CurrentList6">
    <w:name w:val="Current List6"/>
    <w:uiPriority w:val="99"/>
    <w:rsid w:val="00026963"/>
    <w:pPr>
      <w:numPr>
        <w:numId w:val="7"/>
      </w:numPr>
    </w:pPr>
  </w:style>
  <w:style w:type="numbering" w:customStyle="1" w:styleId="CurrentList7">
    <w:name w:val="Current List7"/>
    <w:uiPriority w:val="99"/>
    <w:rsid w:val="00026963"/>
    <w:pPr>
      <w:numPr>
        <w:numId w:val="8"/>
      </w:numPr>
    </w:pPr>
  </w:style>
  <w:style w:type="numbering" w:customStyle="1" w:styleId="CurrentList8">
    <w:name w:val="Current List8"/>
    <w:uiPriority w:val="99"/>
    <w:rsid w:val="00026963"/>
    <w:pPr>
      <w:numPr>
        <w:numId w:val="9"/>
      </w:numPr>
    </w:pPr>
  </w:style>
  <w:style w:type="numbering" w:customStyle="1" w:styleId="CurrentList9">
    <w:name w:val="Current List9"/>
    <w:uiPriority w:val="99"/>
    <w:rsid w:val="00026963"/>
    <w:pPr>
      <w:numPr>
        <w:numId w:val="10"/>
      </w:numPr>
    </w:pPr>
  </w:style>
  <w:style w:type="numbering" w:customStyle="1" w:styleId="CurrentList10">
    <w:name w:val="Current List10"/>
    <w:uiPriority w:val="99"/>
    <w:rsid w:val="00026963"/>
    <w:pPr>
      <w:numPr>
        <w:numId w:val="11"/>
      </w:numPr>
    </w:pPr>
  </w:style>
  <w:style w:type="numbering" w:customStyle="1" w:styleId="CurrentList11">
    <w:name w:val="Current List11"/>
    <w:uiPriority w:val="99"/>
    <w:rsid w:val="00026963"/>
    <w:pPr>
      <w:numPr>
        <w:numId w:val="12"/>
      </w:numPr>
    </w:pPr>
  </w:style>
  <w:style w:type="numbering" w:customStyle="1" w:styleId="CurrentList12">
    <w:name w:val="Current List12"/>
    <w:uiPriority w:val="99"/>
    <w:rsid w:val="00993C96"/>
    <w:pPr>
      <w:numPr>
        <w:numId w:val="15"/>
      </w:numPr>
    </w:pPr>
  </w:style>
  <w:style w:type="numbering" w:customStyle="1" w:styleId="CurrentList13">
    <w:name w:val="Current List13"/>
    <w:uiPriority w:val="99"/>
    <w:rsid w:val="00993C96"/>
    <w:pPr>
      <w:numPr>
        <w:numId w:val="16"/>
      </w:numPr>
    </w:pPr>
  </w:style>
  <w:style w:type="numbering" w:customStyle="1" w:styleId="CurrentList14">
    <w:name w:val="Current List14"/>
    <w:uiPriority w:val="99"/>
    <w:rsid w:val="00993C96"/>
    <w:pPr>
      <w:numPr>
        <w:numId w:val="18"/>
      </w:numPr>
    </w:pPr>
  </w:style>
  <w:style w:type="numbering" w:customStyle="1" w:styleId="CurrentList15">
    <w:name w:val="Current List15"/>
    <w:uiPriority w:val="99"/>
    <w:rsid w:val="00993C96"/>
    <w:pPr>
      <w:numPr>
        <w:numId w:val="20"/>
      </w:numPr>
    </w:pPr>
  </w:style>
  <w:style w:type="numbering" w:customStyle="1" w:styleId="CurrentList16">
    <w:name w:val="Current List16"/>
    <w:uiPriority w:val="99"/>
    <w:rsid w:val="00993C96"/>
    <w:pPr>
      <w:numPr>
        <w:numId w:val="21"/>
      </w:numPr>
    </w:pPr>
  </w:style>
  <w:style w:type="numbering" w:customStyle="1" w:styleId="CurrentList17">
    <w:name w:val="Current List17"/>
    <w:uiPriority w:val="99"/>
    <w:rsid w:val="00993C96"/>
    <w:pPr>
      <w:numPr>
        <w:numId w:val="22"/>
      </w:numPr>
    </w:pPr>
  </w:style>
  <w:style w:type="numbering" w:customStyle="1" w:styleId="CurrentList18">
    <w:name w:val="Current List18"/>
    <w:uiPriority w:val="99"/>
    <w:rsid w:val="00993C96"/>
    <w:pPr>
      <w:numPr>
        <w:numId w:val="23"/>
      </w:numPr>
    </w:pPr>
  </w:style>
  <w:style w:type="numbering" w:customStyle="1" w:styleId="CurrentList19">
    <w:name w:val="Current List19"/>
    <w:uiPriority w:val="99"/>
    <w:rsid w:val="00993C96"/>
    <w:pPr>
      <w:numPr>
        <w:numId w:val="24"/>
      </w:numPr>
    </w:pPr>
  </w:style>
  <w:style w:type="numbering" w:customStyle="1" w:styleId="CurrentList20">
    <w:name w:val="Current List20"/>
    <w:uiPriority w:val="99"/>
    <w:rsid w:val="00993C96"/>
    <w:pPr>
      <w:numPr>
        <w:numId w:val="25"/>
      </w:numPr>
    </w:pPr>
  </w:style>
  <w:style w:type="numbering" w:customStyle="1" w:styleId="CurrentList21">
    <w:name w:val="Current List21"/>
    <w:uiPriority w:val="99"/>
    <w:rsid w:val="00993C96"/>
    <w:pPr>
      <w:numPr>
        <w:numId w:val="26"/>
      </w:numPr>
    </w:pPr>
  </w:style>
  <w:style w:type="numbering" w:customStyle="1" w:styleId="CurrentList22">
    <w:name w:val="Current List22"/>
    <w:uiPriority w:val="99"/>
    <w:rsid w:val="00993C96"/>
    <w:pPr>
      <w:numPr>
        <w:numId w:val="27"/>
      </w:numPr>
    </w:pPr>
  </w:style>
  <w:style w:type="paragraph" w:customStyle="1" w:styleId="Intro">
    <w:name w:val="Intro"/>
    <w:basedOn w:val="Normal"/>
    <w:qFormat/>
    <w:rsid w:val="00522051"/>
    <w:pPr>
      <w:spacing w:after="560" w:line="350" w:lineRule="exact"/>
      <w:contextualSpacing/>
    </w:pPr>
    <w:rPr>
      <w:sz w:val="27"/>
      <w:szCs w:val="27"/>
    </w:rPr>
  </w:style>
  <w:style w:type="character" w:customStyle="1" w:styleId="Bluebold">
    <w:name w:val="Blue bold"/>
    <w:basedOn w:val="DefaultParagraphFont"/>
    <w:uiPriority w:val="1"/>
    <w:qFormat/>
    <w:rsid w:val="00522051"/>
    <w:rPr>
      <w:b/>
      <w:bCs/>
      <w:color w:val="418FEC" w:themeColor="accent1"/>
    </w:rPr>
  </w:style>
  <w:style w:type="paragraph" w:customStyle="1" w:styleId="H2white">
    <w:name w:val="H2 white"/>
    <w:basedOn w:val="H2"/>
    <w:qFormat/>
    <w:rsid w:val="0055024C"/>
    <w:rPr>
      <w:color w:val="FFFFFF" w:themeColor="background1"/>
    </w:rPr>
  </w:style>
  <w:style w:type="paragraph" w:customStyle="1" w:styleId="Subhead">
    <w:name w:val="Subhead"/>
    <w:basedOn w:val="Normal"/>
    <w:qFormat/>
    <w:rsid w:val="0055024C"/>
    <w:pPr>
      <w:spacing w:after="540" w:line="420" w:lineRule="exact"/>
    </w:pPr>
    <w:rPr>
      <w:sz w:val="35"/>
      <w:szCs w:val="35"/>
    </w:rPr>
  </w:style>
  <w:style w:type="paragraph" w:customStyle="1" w:styleId="Subheadwhite">
    <w:name w:val="Subhead white"/>
    <w:basedOn w:val="Subhead"/>
    <w:qFormat/>
    <w:rsid w:val="006730DB"/>
    <w:pPr>
      <w:spacing w:after="0"/>
    </w:pPr>
    <w:rPr>
      <w:color w:val="FFFFFF" w:themeColor="background1"/>
    </w:rPr>
  </w:style>
  <w:style w:type="paragraph" w:customStyle="1" w:styleId="H1white">
    <w:name w:val="H1 white"/>
    <w:basedOn w:val="H1"/>
    <w:qFormat/>
    <w:rsid w:val="00F42EDD"/>
    <w:pPr>
      <w:spacing w:after="240"/>
    </w:pPr>
    <w:rPr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643F4F"/>
    <w:pPr>
      <w:ind w:left="720"/>
      <w:contextualSpacing/>
    </w:pPr>
  </w:style>
  <w:style w:type="table" w:styleId="TableGrid">
    <w:name w:val="Table Grid"/>
    <w:basedOn w:val="TableNormal"/>
    <w:uiPriority w:val="39"/>
    <w:rsid w:val="00643F4F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43F4F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43F4F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643F4F"/>
    <w:pPr>
      <w:ind w:left="360"/>
      <w:jc w:val="both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43F4F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735EB.306E715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redmond\AppData\Local\Temp\Temp1_TuftsMed_TMC_Word_Templates.zip\TuftsMed_TMC_Word_Templates\TuftsMed_TMC_Letterhead.dotx" TargetMode="External"/></Relationships>
</file>

<file path=word/theme/theme1.xml><?xml version="1.0" encoding="utf-8"?>
<a:theme xmlns:a="http://schemas.openxmlformats.org/drawingml/2006/main" name="Office Theme">
  <a:themeElements>
    <a:clrScheme name="Tuf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18FEC"/>
      </a:accent1>
      <a:accent2>
        <a:srgbClr val="70D34B"/>
      </a:accent2>
      <a:accent3>
        <a:srgbClr val="773CBD"/>
      </a:accent3>
      <a:accent4>
        <a:srgbClr val="FF6C37"/>
      </a:accent4>
      <a:accent5>
        <a:srgbClr val="E3D2C5"/>
      </a:accent5>
      <a:accent6>
        <a:srgbClr val="00308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6985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831103556A4C82E3A7654D34510C" ma:contentTypeVersion="12" ma:contentTypeDescription="Create a new document." ma:contentTypeScope="" ma:versionID="4add9a5a8d57c572969878431236b9ca">
  <xsd:schema xmlns:xsd="http://www.w3.org/2001/XMLSchema" xmlns:xs="http://www.w3.org/2001/XMLSchema" xmlns:p="http://schemas.microsoft.com/office/2006/metadata/properties" xmlns:ns2="44d2f64b-3a04-4fca-af6e-cb741b75d1ab" xmlns:ns3="9b659bd6-51d5-42b6-b55f-e04191542a82" targetNamespace="http://schemas.microsoft.com/office/2006/metadata/properties" ma:root="true" ma:fieldsID="e9d2e2b2623cd7d415f1e1d5517f663e" ns2:_="" ns3:_="">
    <xsd:import namespace="44d2f64b-3a04-4fca-af6e-cb741b75d1ab"/>
    <xsd:import namespace="9b659bd6-51d5-42b6-b55f-e04191542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f64b-3a04-4fca-af6e-cb741b75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9bd6-51d5-42b6-b55f-e04191542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5518D-CDE5-42D8-AB3E-A9C92CF51E88}">
  <ds:schemaRefs>
    <ds:schemaRef ds:uri="http://purl.org/dc/elements/1.1/"/>
    <ds:schemaRef ds:uri="http://schemas.microsoft.com/office/2006/metadata/properties"/>
    <ds:schemaRef ds:uri="http://purl.org/dc/terms/"/>
    <ds:schemaRef ds:uri="9b659bd6-51d5-42b6-b55f-e04191542a82"/>
    <ds:schemaRef ds:uri="http://schemas.microsoft.com/office/2006/documentManagement/types"/>
    <ds:schemaRef ds:uri="44d2f64b-3a04-4fca-af6e-cb741b75d1a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D2F365-D485-425A-AF2A-10C6BD2ED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D0688-26D5-4FFF-899E-13798327B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2f64b-3a04-4fca-af6e-cb741b75d1ab"/>
    <ds:schemaRef ds:uri="9b659bd6-51d5-42b6-b55f-e04191542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CB25B-220C-43FB-9D60-CAAF9A46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TuftsMed_TMC_Letterhead</Template>
  <TotalTime>1</TotalTime>
  <Pages>4</Pages>
  <Words>991</Words>
  <Characters>5649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Redmond, Zachary</dc:creator>
  <cp:keywords/>
  <dc:description/>
  <cp:lastModifiedBy>Redmond, Zachary</cp:lastModifiedBy>
  <cp:revision>2</cp:revision>
  <dcterms:created xsi:type="dcterms:W3CDTF">2022-04-01T20:15:00Z</dcterms:created>
  <dcterms:modified xsi:type="dcterms:W3CDTF">2022-04-01T20:15:00Z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0x0101004A82831103556A4C82E3A7654D34510C</vt:lpwstr>
  </property>
</Properties>
</file>