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F8D0E" w14:textId="77777777" w:rsidR="00EA1D79" w:rsidRDefault="00EA1D79" w:rsidP="00853C5F">
      <w:pPr>
        <w:jc w:val="center"/>
        <w:rPr>
          <w:noProof/>
        </w:rPr>
      </w:pPr>
    </w:p>
    <w:p w14:paraId="22AB9C14" w14:textId="193D79E4" w:rsidR="00853C5F" w:rsidRDefault="009331E7" w:rsidP="00473677">
      <w:pPr>
        <w:ind w:left="1440" w:firstLine="720"/>
        <w:jc w:val="center"/>
        <w:rPr>
          <w:noProof/>
        </w:rPr>
      </w:pPr>
      <w:r>
        <w:rPr>
          <w:noProof/>
        </w:rPr>
        <w:t>June 2</w:t>
      </w:r>
      <w:r w:rsidR="00A67B25">
        <w:rPr>
          <w:noProof/>
        </w:rPr>
        <w:t>7</w:t>
      </w:r>
      <w:r>
        <w:rPr>
          <w:noProof/>
        </w:rPr>
        <w:t>, 2025</w:t>
      </w:r>
    </w:p>
    <w:p w14:paraId="2C8F6D5B" w14:textId="77777777" w:rsidR="00853C5F" w:rsidRDefault="00853C5F" w:rsidP="00853C5F"/>
    <w:p w14:paraId="1562F77B" w14:textId="77777777" w:rsidR="00853C5F" w:rsidRDefault="00853C5F" w:rsidP="00853C5F">
      <w:pPr>
        <w:rPr>
          <w:b/>
          <w:i/>
          <w:u w:val="single"/>
        </w:rPr>
      </w:pPr>
      <w:r>
        <w:rPr>
          <w:b/>
          <w:i/>
          <w:u w:val="single"/>
        </w:rPr>
        <w:t>VIA EMAIL</w:t>
      </w:r>
    </w:p>
    <w:p w14:paraId="5D5F348A" w14:textId="77777777" w:rsidR="00EA1D79" w:rsidRDefault="00EA1D79" w:rsidP="00853C5F"/>
    <w:p w14:paraId="10BCDEBC" w14:textId="1355CB26" w:rsidR="00853C5F" w:rsidRDefault="00853C5F" w:rsidP="00853C5F">
      <w:r>
        <w:t>Stephen Davis, Director</w:t>
      </w:r>
    </w:p>
    <w:p w14:paraId="38B99CDA" w14:textId="77777777" w:rsidR="00853C5F" w:rsidRDefault="00853C5F" w:rsidP="00853C5F">
      <w:pPr>
        <w:rPr>
          <w:b/>
          <w:i/>
        </w:rPr>
      </w:pPr>
      <w:r>
        <w:t>Division of Health Care Facility Licensure and Certification</w:t>
      </w:r>
      <w:r>
        <w:br/>
        <w:t>Bureau of Health Care Safety and Quality</w:t>
      </w:r>
      <w:r>
        <w:br/>
        <w:t>Department of Public Health</w:t>
      </w:r>
    </w:p>
    <w:p w14:paraId="43C326C5" w14:textId="77777777" w:rsidR="00853C5F" w:rsidRDefault="00853C5F" w:rsidP="00853C5F">
      <w:pPr>
        <w:rPr>
          <w:i/>
        </w:rPr>
      </w:pPr>
      <w:r>
        <w:t>67 Forest Street</w:t>
      </w:r>
      <w:r>
        <w:br/>
        <w:t>Marlborough, MA 01752</w:t>
      </w:r>
    </w:p>
    <w:p w14:paraId="30B329A9" w14:textId="77777777" w:rsidR="00853C5F" w:rsidRDefault="00853C5F" w:rsidP="00853C5F">
      <w:pPr>
        <w:pStyle w:val="Default"/>
        <w:rPr>
          <w:color w:val="auto"/>
        </w:rPr>
      </w:pPr>
    </w:p>
    <w:p w14:paraId="645206EB" w14:textId="51D125C8" w:rsidR="00853C5F" w:rsidRPr="009331E7" w:rsidRDefault="00853C5F" w:rsidP="00853C5F">
      <w:pPr>
        <w:pStyle w:val="Default"/>
        <w:ind w:left="720" w:hanging="720"/>
        <w:rPr>
          <w:color w:val="auto"/>
          <w:u w:val="single"/>
        </w:rPr>
      </w:pPr>
      <w:r>
        <w:rPr>
          <w:color w:val="auto"/>
        </w:rPr>
        <w:t>Re:</w:t>
      </w:r>
      <w:r>
        <w:rPr>
          <w:color w:val="auto"/>
        </w:rPr>
        <w:tab/>
      </w:r>
      <w:r w:rsidR="009331E7" w:rsidRPr="009331E7">
        <w:rPr>
          <w:color w:val="auto"/>
          <w:u w:val="single"/>
        </w:rPr>
        <w:t>Holy Family</w:t>
      </w:r>
      <w:r w:rsidR="006F4EB4" w:rsidRPr="009331E7">
        <w:rPr>
          <w:color w:val="auto"/>
          <w:u w:val="single"/>
        </w:rPr>
        <w:t xml:space="preserve"> Hospital </w:t>
      </w:r>
      <w:r w:rsidRPr="009331E7">
        <w:rPr>
          <w:color w:val="auto"/>
          <w:u w:val="single"/>
        </w:rPr>
        <w:t xml:space="preserve">– 90 Day Notice of Closure of </w:t>
      </w:r>
      <w:r w:rsidR="00D77ABD" w:rsidRPr="009331E7">
        <w:rPr>
          <w:color w:val="auto"/>
          <w:u w:val="single"/>
        </w:rPr>
        <w:t xml:space="preserve">Certain Services </w:t>
      </w:r>
    </w:p>
    <w:p w14:paraId="39E04CFF" w14:textId="77777777" w:rsidR="00853C5F" w:rsidRDefault="00853C5F" w:rsidP="00853C5F">
      <w:pPr>
        <w:pStyle w:val="Default"/>
        <w:rPr>
          <w:color w:val="auto"/>
        </w:rPr>
      </w:pPr>
    </w:p>
    <w:p w14:paraId="6CF6B47E" w14:textId="77777777" w:rsidR="00853C5F" w:rsidRDefault="00853C5F" w:rsidP="00853C5F">
      <w:pPr>
        <w:pStyle w:val="Default"/>
      </w:pPr>
      <w:r>
        <w:rPr>
          <w:color w:val="auto"/>
        </w:rPr>
        <w:t>Dear Mr. Davis:</w:t>
      </w:r>
    </w:p>
    <w:p w14:paraId="4F772827" w14:textId="77777777" w:rsidR="00853C5F" w:rsidRDefault="00853C5F" w:rsidP="00853C5F">
      <w:pPr>
        <w:pStyle w:val="Default"/>
      </w:pPr>
    </w:p>
    <w:p w14:paraId="3E64CD90" w14:textId="5E48DC87" w:rsidR="00D77ABD" w:rsidRDefault="00853C5F" w:rsidP="00EF2487">
      <w:pPr>
        <w:suppressAutoHyphens w:val="0"/>
        <w:spacing w:after="120"/>
        <w:jc w:val="both"/>
        <w:rPr>
          <w:kern w:val="24"/>
        </w:rPr>
      </w:pPr>
      <w:r>
        <w:t xml:space="preserve">We write on behalf of </w:t>
      </w:r>
      <w:r w:rsidR="009331E7">
        <w:rPr>
          <w:kern w:val="24"/>
        </w:rPr>
        <w:t>Holy Family Hospital (“Hospital”) with respect to its campus located at</w:t>
      </w:r>
      <w:r w:rsidR="009331E7" w:rsidRPr="00ED6AE2">
        <w:rPr>
          <w:kern w:val="24"/>
        </w:rPr>
        <w:t xml:space="preserve"> </w:t>
      </w:r>
      <w:r w:rsidR="009331E7">
        <w:rPr>
          <w:kern w:val="24"/>
        </w:rPr>
        <w:t xml:space="preserve">140 Lincoln Street, Haverhill, MA 01830 </w:t>
      </w:r>
      <w:r w:rsidR="009331E7" w:rsidRPr="001D5BCE">
        <w:rPr>
          <w:kern w:val="24"/>
        </w:rPr>
        <w:t>(“</w:t>
      </w:r>
      <w:r w:rsidR="009331E7">
        <w:rPr>
          <w:kern w:val="24"/>
        </w:rPr>
        <w:t>Haverhill Campus</w:t>
      </w:r>
      <w:r w:rsidR="009331E7" w:rsidRPr="001D5BCE">
        <w:rPr>
          <w:kern w:val="24"/>
        </w:rPr>
        <w:t>”)</w:t>
      </w:r>
      <w:r w:rsidR="00D77ABD" w:rsidRPr="001D5BCE">
        <w:rPr>
          <w:kern w:val="24"/>
        </w:rPr>
        <w:t>. Pursuant to 105 CMR 130.122</w:t>
      </w:r>
      <w:r w:rsidR="00D77ABD">
        <w:rPr>
          <w:kern w:val="24"/>
        </w:rPr>
        <w:t>(B)</w:t>
      </w:r>
      <w:r w:rsidR="00D77ABD" w:rsidRPr="001D5BCE">
        <w:rPr>
          <w:kern w:val="24"/>
        </w:rPr>
        <w:t xml:space="preserve">, the </w:t>
      </w:r>
      <w:r w:rsidR="00D77ABD">
        <w:rPr>
          <w:kern w:val="24"/>
        </w:rPr>
        <w:t>Hospital</w:t>
      </w:r>
      <w:r w:rsidR="00D77ABD" w:rsidRPr="001D5BCE">
        <w:rPr>
          <w:kern w:val="24"/>
        </w:rPr>
        <w:t xml:space="preserve"> hereby </w:t>
      </w:r>
      <w:r w:rsidR="00D77ABD">
        <w:rPr>
          <w:kern w:val="24"/>
        </w:rPr>
        <w:t>provides ninety (90) day</w:t>
      </w:r>
      <w:r w:rsidR="00647E13">
        <w:rPr>
          <w:kern w:val="24"/>
        </w:rPr>
        <w:t>s’</w:t>
      </w:r>
      <w:r w:rsidR="00D77ABD">
        <w:rPr>
          <w:kern w:val="24"/>
        </w:rPr>
        <w:t xml:space="preserve"> notice to </w:t>
      </w:r>
      <w:r w:rsidR="00D77ABD" w:rsidRPr="001D5BCE">
        <w:rPr>
          <w:kern w:val="24"/>
        </w:rPr>
        <w:t xml:space="preserve">the Department of Public Health (“Department”) </w:t>
      </w:r>
      <w:r w:rsidR="00D77ABD">
        <w:rPr>
          <w:kern w:val="24"/>
        </w:rPr>
        <w:t xml:space="preserve">of its decision to discontinue </w:t>
      </w:r>
      <w:r w:rsidR="00F45D12">
        <w:rPr>
          <w:kern w:val="24"/>
        </w:rPr>
        <w:t xml:space="preserve">the Hospital’s </w:t>
      </w:r>
      <w:r w:rsidR="009331E7">
        <w:rPr>
          <w:kern w:val="24"/>
        </w:rPr>
        <w:t>59-bed inpatient medical/surgical service, 10-bed intensive care unit</w:t>
      </w:r>
      <w:r w:rsidR="003127D9">
        <w:rPr>
          <w:kern w:val="24"/>
        </w:rPr>
        <w:t xml:space="preserve"> (ICU)</w:t>
      </w:r>
      <w:r w:rsidR="009331E7">
        <w:rPr>
          <w:kern w:val="24"/>
        </w:rPr>
        <w:t xml:space="preserve">, and emergency department </w:t>
      </w:r>
      <w:r w:rsidR="00C9622F">
        <w:rPr>
          <w:kern w:val="24"/>
        </w:rPr>
        <w:t xml:space="preserve">(ED) </w:t>
      </w:r>
      <w:r w:rsidR="009331E7">
        <w:rPr>
          <w:kern w:val="24"/>
        </w:rPr>
        <w:t>at</w:t>
      </w:r>
      <w:r w:rsidR="00D117BF">
        <w:rPr>
          <w:kern w:val="24"/>
        </w:rPr>
        <w:t xml:space="preserve"> </w:t>
      </w:r>
      <w:r w:rsidR="009331E7">
        <w:rPr>
          <w:kern w:val="24"/>
        </w:rPr>
        <w:t>Haverhill Campus</w:t>
      </w:r>
      <w:r w:rsidR="00C9622F">
        <w:rPr>
          <w:kern w:val="24"/>
        </w:rPr>
        <w:t xml:space="preserve"> (the “Notice”)</w:t>
      </w:r>
      <w:r w:rsidR="009331E7">
        <w:rPr>
          <w:kern w:val="24"/>
        </w:rPr>
        <w:t xml:space="preserve">. </w:t>
      </w:r>
      <w:r w:rsidR="003127D9">
        <w:rPr>
          <w:kern w:val="24"/>
        </w:rPr>
        <w:t xml:space="preserve">The inpatient psychiatric beds at Haverhill </w:t>
      </w:r>
      <w:r w:rsidR="008E02A0">
        <w:rPr>
          <w:kern w:val="24"/>
        </w:rPr>
        <w:t>C</w:t>
      </w:r>
      <w:r w:rsidR="003127D9">
        <w:rPr>
          <w:kern w:val="24"/>
        </w:rPr>
        <w:t xml:space="preserve">ampus will remain in service and are not impacted by this </w:t>
      </w:r>
      <w:r w:rsidR="00C9622F">
        <w:rPr>
          <w:kern w:val="24"/>
        </w:rPr>
        <w:t>N</w:t>
      </w:r>
      <w:r w:rsidR="003127D9">
        <w:rPr>
          <w:kern w:val="24"/>
        </w:rPr>
        <w:t>otice.</w:t>
      </w:r>
    </w:p>
    <w:p w14:paraId="1849C1E7" w14:textId="411FE4FF" w:rsidR="00113758" w:rsidRDefault="009331E7" w:rsidP="00EF2487">
      <w:pPr>
        <w:suppressAutoHyphens w:val="0"/>
        <w:spacing w:after="120"/>
        <w:jc w:val="both"/>
        <w:rPr>
          <w:kern w:val="24"/>
        </w:rPr>
      </w:pPr>
      <w:r>
        <w:rPr>
          <w:kern w:val="24"/>
        </w:rPr>
        <w:t xml:space="preserve">As </w:t>
      </w:r>
      <w:r w:rsidR="003127D9">
        <w:rPr>
          <w:kern w:val="24"/>
        </w:rPr>
        <w:t>the Hospital</w:t>
      </w:r>
      <w:r>
        <w:rPr>
          <w:kern w:val="24"/>
        </w:rPr>
        <w:t xml:space="preserve"> is integrating</w:t>
      </w:r>
      <w:r w:rsidR="008E02A0">
        <w:rPr>
          <w:kern w:val="24"/>
        </w:rPr>
        <w:t xml:space="preserve"> fully</w:t>
      </w:r>
      <w:r>
        <w:rPr>
          <w:kern w:val="24"/>
        </w:rPr>
        <w:t xml:space="preserve"> into a new system that includes </w:t>
      </w:r>
      <w:r w:rsidR="001138AC">
        <w:rPr>
          <w:kern w:val="24"/>
        </w:rPr>
        <w:t>Lawrence General Hospital (</w:t>
      </w:r>
      <w:r>
        <w:rPr>
          <w:kern w:val="24"/>
        </w:rPr>
        <w:t>LGH</w:t>
      </w:r>
      <w:r w:rsidR="001138AC">
        <w:rPr>
          <w:kern w:val="24"/>
        </w:rPr>
        <w:t>)</w:t>
      </w:r>
      <w:r>
        <w:rPr>
          <w:kern w:val="24"/>
        </w:rPr>
        <w:t xml:space="preserve">, </w:t>
      </w:r>
      <w:r w:rsidR="003127D9">
        <w:rPr>
          <w:kern w:val="24"/>
        </w:rPr>
        <w:t xml:space="preserve">the hospitals are </w:t>
      </w:r>
      <w:r>
        <w:rPr>
          <w:kern w:val="24"/>
        </w:rPr>
        <w:t>working strategically to invest in and redeploy care and resources in a more thoughtful</w:t>
      </w:r>
      <w:r w:rsidR="008E02A0">
        <w:rPr>
          <w:kern w:val="24"/>
        </w:rPr>
        <w:t>,</w:t>
      </w:r>
      <w:r>
        <w:rPr>
          <w:kern w:val="24"/>
        </w:rPr>
        <w:t xml:space="preserve"> </w:t>
      </w:r>
      <w:r w:rsidR="008E02A0">
        <w:rPr>
          <w:kern w:val="24"/>
        </w:rPr>
        <w:t>unified</w:t>
      </w:r>
      <w:r>
        <w:rPr>
          <w:kern w:val="24"/>
        </w:rPr>
        <w:t xml:space="preserve"> manner that better meets the needs of </w:t>
      </w:r>
      <w:r w:rsidR="00C9622F">
        <w:rPr>
          <w:kern w:val="24"/>
        </w:rPr>
        <w:t>the</w:t>
      </w:r>
      <w:r>
        <w:rPr>
          <w:kern w:val="24"/>
        </w:rPr>
        <w:t xml:space="preserve"> communities</w:t>
      </w:r>
      <w:r w:rsidR="00C9622F">
        <w:rPr>
          <w:kern w:val="24"/>
        </w:rPr>
        <w:t xml:space="preserve"> they serve</w:t>
      </w:r>
      <w:r>
        <w:rPr>
          <w:kern w:val="24"/>
        </w:rPr>
        <w:t xml:space="preserve">. Planning related to this </w:t>
      </w:r>
      <w:r w:rsidR="00C9622F">
        <w:rPr>
          <w:kern w:val="24"/>
        </w:rPr>
        <w:t>N</w:t>
      </w:r>
      <w:r>
        <w:rPr>
          <w:kern w:val="24"/>
        </w:rPr>
        <w:t>otice has further been informed</w:t>
      </w:r>
      <w:r w:rsidRPr="00985ED9">
        <w:t xml:space="preserve"> </w:t>
      </w:r>
      <w:r w:rsidRPr="00985ED9">
        <w:rPr>
          <w:kern w:val="24"/>
        </w:rPr>
        <w:t xml:space="preserve">by </w:t>
      </w:r>
      <w:r w:rsidR="00113758">
        <w:rPr>
          <w:kern w:val="24"/>
        </w:rPr>
        <w:t>state, regional, and local leaders.</w:t>
      </w:r>
    </w:p>
    <w:p w14:paraId="30A59698" w14:textId="5F1F9839" w:rsidR="00745079" w:rsidRDefault="001138AC" w:rsidP="00EF2487">
      <w:pPr>
        <w:spacing w:after="120"/>
        <w:jc w:val="both"/>
      </w:pPr>
      <w:r>
        <w:t>To that end, t</w:t>
      </w:r>
      <w:r w:rsidR="00113758">
        <w:t xml:space="preserve">he </w:t>
      </w:r>
      <w:r w:rsidR="00113758" w:rsidRPr="00113758">
        <w:t xml:space="preserve">hospitals have determined that the community will be better served by the consolidation of acute medical inpatient services at the Hospital’s Methuen campus and at LGH. </w:t>
      </w:r>
      <w:r>
        <w:t>Accordingly</w:t>
      </w:r>
      <w:r w:rsidR="00113758" w:rsidRPr="00113758">
        <w:t xml:space="preserve">, Haverhill Campus will close the underutilized inpatient medical/surgical service consisting of 59 beds, as well as the 10-bed ICU service which has been out of service since January 2024. The medical/surgical service’s current average daily census of nine (9) patients can be absorbed by the Hospital’s Methuen </w:t>
      </w:r>
      <w:r w:rsidR="008E02A0">
        <w:t>c</w:t>
      </w:r>
      <w:r w:rsidR="00113758" w:rsidRPr="00113758">
        <w:t xml:space="preserve">ampus or by LGH. With the closure of the medical/surgical service, Haverhill Campus’s ED will be converted to a </w:t>
      </w:r>
      <w:r>
        <w:t>Satellite Emergency Facility (</w:t>
      </w:r>
      <w:r w:rsidR="00113758" w:rsidRPr="00113758">
        <w:t>SEF</w:t>
      </w:r>
      <w:r>
        <w:t xml:space="preserve">) </w:t>
      </w:r>
      <w:r w:rsidR="00113758" w:rsidRPr="00113758">
        <w:t xml:space="preserve">of the Hospital’s Methuen </w:t>
      </w:r>
      <w:r w:rsidR="008E02A0">
        <w:t>c</w:t>
      </w:r>
      <w:r w:rsidR="00113758" w:rsidRPr="00113758">
        <w:t>ampus</w:t>
      </w:r>
      <w:r w:rsidR="008E02A0">
        <w:t xml:space="preserve">. The SEF </w:t>
      </w:r>
      <w:r w:rsidR="00113758" w:rsidRPr="00113758">
        <w:t>will offer the same emergen</w:t>
      </w:r>
      <w:r w:rsidR="00751890">
        <w:t>cy</w:t>
      </w:r>
      <w:r w:rsidR="00113758" w:rsidRPr="00113758">
        <w:t xml:space="preserve"> care services </w:t>
      </w:r>
      <w:r w:rsidR="008E02A0">
        <w:t>to</w:t>
      </w:r>
      <w:r w:rsidR="00113758" w:rsidRPr="00113758">
        <w:t xml:space="preserve"> patients as the existing ED</w:t>
      </w:r>
      <w:r w:rsidR="008E02A0">
        <w:t xml:space="preserve"> does currently</w:t>
      </w:r>
      <w:r w:rsidR="00113758" w:rsidRPr="00113758">
        <w:t>. The Hospital’s SEF Application was submitted to the Department on May 29, 2025</w:t>
      </w:r>
      <w:r w:rsidR="008E02A0">
        <w:t>.</w:t>
      </w:r>
    </w:p>
    <w:p w14:paraId="5C9CEE81" w14:textId="388162C2" w:rsidR="00EA1D79" w:rsidRDefault="00853C5F" w:rsidP="00EF2487">
      <w:pPr>
        <w:pStyle w:val="Default"/>
        <w:spacing w:after="120"/>
        <w:jc w:val="both"/>
        <w:rPr>
          <w:color w:val="191919"/>
        </w:rPr>
      </w:pPr>
      <w:r>
        <w:rPr>
          <w:color w:val="191919"/>
        </w:rPr>
        <w:lastRenderedPageBreak/>
        <w:t xml:space="preserve">In compliance with applicable requirements at 105 CMR 130.122(B), the </w:t>
      </w:r>
      <w:r w:rsidR="007C78B1">
        <w:rPr>
          <w:color w:val="191919"/>
        </w:rPr>
        <w:t>Hospital</w:t>
      </w:r>
      <w:r>
        <w:rPr>
          <w:color w:val="191919"/>
        </w:rPr>
        <w:t xml:space="preserve"> provides this written notice of the planned discontinuance of the </w:t>
      </w:r>
      <w:r w:rsidR="008E02A0">
        <w:rPr>
          <w:color w:val="191919"/>
        </w:rPr>
        <w:t>s</w:t>
      </w:r>
      <w:r>
        <w:rPr>
          <w:color w:val="191919"/>
        </w:rPr>
        <w:t>ervice</w:t>
      </w:r>
      <w:r w:rsidR="006F4EB4">
        <w:rPr>
          <w:color w:val="191919"/>
        </w:rPr>
        <w:t>s</w:t>
      </w:r>
      <w:r w:rsidR="008E02A0">
        <w:rPr>
          <w:color w:val="191919"/>
        </w:rPr>
        <w:t xml:space="preserve"> noted above</w:t>
      </w:r>
      <w:r>
        <w:rPr>
          <w:color w:val="191919"/>
        </w:rPr>
        <w:t xml:space="preserve">. The following information regarding the discontinuation is hereby provided for your review: </w:t>
      </w:r>
    </w:p>
    <w:p w14:paraId="1531333E" w14:textId="0B76B2B8" w:rsidR="00853C5F" w:rsidRDefault="00853C5F" w:rsidP="00853C5F">
      <w:pPr>
        <w:pStyle w:val="Default"/>
        <w:numPr>
          <w:ilvl w:val="0"/>
          <w:numId w:val="3"/>
        </w:numPr>
      </w:pPr>
      <w:r>
        <w:rPr>
          <w:b/>
          <w:bCs/>
        </w:rPr>
        <w:t>Current and historical utilization rates (volume) for the Service</w:t>
      </w:r>
      <w:r w:rsidR="00E7354B">
        <w:rPr>
          <w:b/>
          <w:bCs/>
        </w:rPr>
        <w:t xml:space="preserve"> </w:t>
      </w:r>
      <w:r>
        <w:rPr>
          <w:b/>
          <w:bCs/>
        </w:rPr>
        <w:t>(</w:t>
      </w:r>
      <w:r w:rsidR="00E83AC0">
        <w:rPr>
          <w:b/>
          <w:bCs/>
        </w:rPr>
        <w:t xml:space="preserve">Fiscal Year </w:t>
      </w:r>
      <w:r>
        <w:rPr>
          <w:b/>
          <w:bCs/>
        </w:rPr>
        <w:t xml:space="preserve">YTD and last </w:t>
      </w:r>
      <w:r w:rsidR="00E7354B">
        <w:rPr>
          <w:b/>
          <w:bCs/>
        </w:rPr>
        <w:t xml:space="preserve">full </w:t>
      </w:r>
      <w:r w:rsidR="00E83AC0">
        <w:rPr>
          <w:b/>
          <w:bCs/>
        </w:rPr>
        <w:t>Fiscal Year</w:t>
      </w:r>
      <w:r>
        <w:rPr>
          <w:b/>
          <w:bCs/>
        </w:rPr>
        <w:t xml:space="preserve">). </w:t>
      </w:r>
    </w:p>
    <w:p w14:paraId="25C18417" w14:textId="77777777" w:rsidR="00A67B25" w:rsidRDefault="00A67B25" w:rsidP="00A67B25">
      <w:pPr>
        <w:pStyle w:val="ListParagraph"/>
        <w:rPr>
          <w:rFonts w:asciiTheme="minorHAnsi" w:hAnsiTheme="minorHAnsi"/>
          <w:sz w:val="20"/>
          <w:szCs w:val="20"/>
        </w:rPr>
      </w:pPr>
    </w:p>
    <w:p w14:paraId="23CB3A8E" w14:textId="45D78EE4" w:rsidR="002430CB" w:rsidRPr="00F40561" w:rsidRDefault="002430CB" w:rsidP="00F40561">
      <w:pPr>
        <w:pStyle w:val="ListParagraph"/>
        <w:ind w:hanging="720"/>
        <w:rPr>
          <w:b/>
          <w:bCs/>
        </w:rPr>
      </w:pPr>
      <w:r w:rsidRPr="00F40561">
        <w:rPr>
          <w:b/>
          <w:bCs/>
        </w:rPr>
        <w:t xml:space="preserve">Table 1: </w:t>
      </w:r>
      <w:r w:rsidR="001138AC">
        <w:rPr>
          <w:b/>
          <w:bCs/>
        </w:rPr>
        <w:t xml:space="preserve">HFH Haverhill </w:t>
      </w:r>
      <w:r w:rsidRPr="00F40561">
        <w:rPr>
          <w:b/>
          <w:bCs/>
        </w:rPr>
        <w:t xml:space="preserve">Discharges </w:t>
      </w:r>
    </w:p>
    <w:tbl>
      <w:tblPr>
        <w:tblStyle w:val="TableGrid"/>
        <w:tblW w:w="0" w:type="auto"/>
        <w:tblInd w:w="-5" w:type="dxa"/>
        <w:tblLook w:val="04A0" w:firstRow="1" w:lastRow="0" w:firstColumn="1" w:lastColumn="0" w:noHBand="0" w:noVBand="1"/>
      </w:tblPr>
      <w:tblGrid>
        <w:gridCol w:w="2610"/>
        <w:gridCol w:w="3150"/>
        <w:gridCol w:w="3595"/>
      </w:tblGrid>
      <w:tr w:rsidR="00A67B25" w:rsidRPr="00F40561" w14:paraId="395AF9E8" w14:textId="77777777" w:rsidTr="00F40561">
        <w:tc>
          <w:tcPr>
            <w:tcW w:w="261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BF53363" w14:textId="4CE59898" w:rsidR="00A67B25" w:rsidRPr="00F40561" w:rsidRDefault="002430CB" w:rsidP="00641D39">
            <w:pPr>
              <w:rPr>
                <w:b/>
                <w:bCs/>
              </w:rPr>
            </w:pPr>
            <w:r w:rsidRPr="00F40561">
              <w:rPr>
                <w:b/>
                <w:bCs/>
              </w:rPr>
              <w:t xml:space="preserve">Service </w:t>
            </w:r>
          </w:p>
        </w:tc>
        <w:tc>
          <w:tcPr>
            <w:tcW w:w="31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8C105F3" w14:textId="77777777" w:rsidR="00A67B25" w:rsidRPr="00F40561" w:rsidRDefault="00A67B25" w:rsidP="00641D39">
            <w:pPr>
              <w:rPr>
                <w:b/>
                <w:bCs/>
              </w:rPr>
            </w:pPr>
            <w:r w:rsidRPr="00F40561">
              <w:rPr>
                <w:b/>
                <w:bCs/>
              </w:rPr>
              <w:t>FY2024    (10/1/23 – 9/30/24)</w:t>
            </w:r>
          </w:p>
        </w:tc>
        <w:tc>
          <w:tcPr>
            <w:tcW w:w="359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00E22D5" w14:textId="77777777" w:rsidR="00A67B25" w:rsidRPr="00F40561" w:rsidRDefault="00A67B25" w:rsidP="00641D39">
            <w:pPr>
              <w:rPr>
                <w:b/>
                <w:bCs/>
              </w:rPr>
            </w:pPr>
            <w:r w:rsidRPr="00F40561">
              <w:rPr>
                <w:b/>
                <w:bCs/>
              </w:rPr>
              <w:t>FY2025 YTD  (10/1/24 – 5/31/25)</w:t>
            </w:r>
          </w:p>
        </w:tc>
      </w:tr>
      <w:tr w:rsidR="00A67B25" w:rsidRPr="00F40561" w14:paraId="617785A1" w14:textId="77777777" w:rsidTr="00F40561">
        <w:tc>
          <w:tcPr>
            <w:tcW w:w="2610" w:type="dxa"/>
            <w:tcBorders>
              <w:top w:val="single" w:sz="4" w:space="0" w:color="auto"/>
              <w:left w:val="single" w:sz="4" w:space="0" w:color="auto"/>
              <w:bottom w:val="single" w:sz="4" w:space="0" w:color="auto"/>
              <w:right w:val="single" w:sz="4" w:space="0" w:color="auto"/>
            </w:tcBorders>
            <w:hideMark/>
          </w:tcPr>
          <w:p w14:paraId="7231F96B" w14:textId="77777777" w:rsidR="00A67B25" w:rsidRPr="00F40561" w:rsidRDefault="00A67B25" w:rsidP="00641D39">
            <w:pPr>
              <w:rPr>
                <w:b/>
                <w:bCs/>
              </w:rPr>
            </w:pPr>
            <w:r w:rsidRPr="00F40561">
              <w:rPr>
                <w:b/>
                <w:bCs/>
              </w:rPr>
              <w:t>Med/Surg Beds</w:t>
            </w:r>
          </w:p>
        </w:tc>
        <w:tc>
          <w:tcPr>
            <w:tcW w:w="3150" w:type="dxa"/>
            <w:tcBorders>
              <w:top w:val="single" w:sz="4" w:space="0" w:color="auto"/>
              <w:left w:val="single" w:sz="4" w:space="0" w:color="auto"/>
              <w:bottom w:val="single" w:sz="4" w:space="0" w:color="auto"/>
              <w:right w:val="single" w:sz="4" w:space="0" w:color="auto"/>
            </w:tcBorders>
          </w:tcPr>
          <w:p w14:paraId="023A77EF" w14:textId="77777777" w:rsidR="00A67B25" w:rsidRPr="00F40561" w:rsidRDefault="00A67B25" w:rsidP="00641D39">
            <w:r w:rsidRPr="00F40561">
              <w:t>1,321</w:t>
            </w:r>
          </w:p>
        </w:tc>
        <w:tc>
          <w:tcPr>
            <w:tcW w:w="3595" w:type="dxa"/>
            <w:tcBorders>
              <w:top w:val="single" w:sz="4" w:space="0" w:color="auto"/>
              <w:left w:val="single" w:sz="4" w:space="0" w:color="auto"/>
              <w:bottom w:val="single" w:sz="4" w:space="0" w:color="auto"/>
              <w:right w:val="single" w:sz="4" w:space="0" w:color="auto"/>
            </w:tcBorders>
          </w:tcPr>
          <w:p w14:paraId="1817BB42" w14:textId="7F7E4329" w:rsidR="00A67B25" w:rsidRPr="00F40561" w:rsidRDefault="00A67B25" w:rsidP="00641D39">
            <w:r w:rsidRPr="00F40561">
              <w:t>830</w:t>
            </w:r>
            <w:r w:rsidR="002430CB" w:rsidRPr="00F40561">
              <w:t xml:space="preserve"> </w:t>
            </w:r>
            <w:r w:rsidR="002430CB" w:rsidRPr="00F40561">
              <w:rPr>
                <w:i/>
                <w:iCs/>
              </w:rPr>
              <w:t>(1,245 annualized)</w:t>
            </w:r>
          </w:p>
        </w:tc>
      </w:tr>
      <w:tr w:rsidR="00A67B25" w:rsidRPr="00F40561" w14:paraId="5E1CAC97" w14:textId="77777777" w:rsidTr="00F40561">
        <w:tc>
          <w:tcPr>
            <w:tcW w:w="2610" w:type="dxa"/>
            <w:tcBorders>
              <w:top w:val="single" w:sz="4" w:space="0" w:color="auto"/>
              <w:left w:val="single" w:sz="4" w:space="0" w:color="auto"/>
              <w:bottom w:val="single" w:sz="4" w:space="0" w:color="auto"/>
              <w:right w:val="single" w:sz="4" w:space="0" w:color="auto"/>
            </w:tcBorders>
            <w:hideMark/>
          </w:tcPr>
          <w:p w14:paraId="414E5A3D" w14:textId="77777777" w:rsidR="00A67B25" w:rsidRPr="00F40561" w:rsidRDefault="00A67B25" w:rsidP="00641D39">
            <w:pPr>
              <w:rPr>
                <w:b/>
                <w:bCs/>
              </w:rPr>
            </w:pPr>
            <w:r w:rsidRPr="00F40561">
              <w:rPr>
                <w:b/>
                <w:bCs/>
              </w:rPr>
              <w:t>ICU Beds</w:t>
            </w:r>
          </w:p>
        </w:tc>
        <w:tc>
          <w:tcPr>
            <w:tcW w:w="3150" w:type="dxa"/>
            <w:tcBorders>
              <w:top w:val="single" w:sz="4" w:space="0" w:color="auto"/>
              <w:left w:val="single" w:sz="4" w:space="0" w:color="auto"/>
              <w:bottom w:val="single" w:sz="4" w:space="0" w:color="auto"/>
              <w:right w:val="single" w:sz="4" w:space="0" w:color="auto"/>
            </w:tcBorders>
          </w:tcPr>
          <w:p w14:paraId="75E8AD73" w14:textId="2FB41606" w:rsidR="00A67B25" w:rsidRPr="00F40561" w:rsidRDefault="00A67B25" w:rsidP="00641D39">
            <w:r w:rsidRPr="00F40561">
              <w:t>50 (closed 1/1/2024)</w:t>
            </w:r>
          </w:p>
        </w:tc>
        <w:tc>
          <w:tcPr>
            <w:tcW w:w="3595" w:type="dxa"/>
            <w:tcBorders>
              <w:top w:val="single" w:sz="4" w:space="0" w:color="auto"/>
              <w:left w:val="single" w:sz="4" w:space="0" w:color="auto"/>
              <w:bottom w:val="single" w:sz="4" w:space="0" w:color="auto"/>
              <w:right w:val="single" w:sz="4" w:space="0" w:color="auto"/>
            </w:tcBorders>
          </w:tcPr>
          <w:p w14:paraId="7A530611" w14:textId="77777777" w:rsidR="00A67B25" w:rsidRPr="00F40561" w:rsidRDefault="00A67B25" w:rsidP="00641D39">
            <w:r w:rsidRPr="00F40561">
              <w:t xml:space="preserve"> n/a - closed</w:t>
            </w:r>
          </w:p>
        </w:tc>
      </w:tr>
      <w:tr w:rsidR="00A67B25" w:rsidRPr="00F40561" w14:paraId="59170332" w14:textId="77777777" w:rsidTr="00F40561">
        <w:tc>
          <w:tcPr>
            <w:tcW w:w="2610" w:type="dxa"/>
            <w:tcBorders>
              <w:top w:val="single" w:sz="4" w:space="0" w:color="auto"/>
              <w:left w:val="single" w:sz="4" w:space="0" w:color="auto"/>
              <w:bottom w:val="single" w:sz="4" w:space="0" w:color="auto"/>
              <w:right w:val="single" w:sz="4" w:space="0" w:color="auto"/>
            </w:tcBorders>
            <w:hideMark/>
          </w:tcPr>
          <w:p w14:paraId="0D1604C9" w14:textId="77777777" w:rsidR="00A67B25" w:rsidRPr="00F40561" w:rsidRDefault="00A67B25" w:rsidP="00641D39">
            <w:pPr>
              <w:rPr>
                <w:b/>
                <w:bCs/>
              </w:rPr>
            </w:pPr>
            <w:r w:rsidRPr="00F40561">
              <w:rPr>
                <w:b/>
                <w:bCs/>
              </w:rPr>
              <w:t>ED (Annual Visits)</w:t>
            </w:r>
          </w:p>
        </w:tc>
        <w:tc>
          <w:tcPr>
            <w:tcW w:w="3150" w:type="dxa"/>
            <w:tcBorders>
              <w:top w:val="single" w:sz="4" w:space="0" w:color="auto"/>
              <w:left w:val="single" w:sz="4" w:space="0" w:color="auto"/>
              <w:bottom w:val="single" w:sz="4" w:space="0" w:color="auto"/>
              <w:right w:val="single" w:sz="4" w:space="0" w:color="auto"/>
            </w:tcBorders>
          </w:tcPr>
          <w:p w14:paraId="20C24406" w14:textId="77777777" w:rsidR="00A67B25" w:rsidRPr="00F40561" w:rsidRDefault="00A67B25" w:rsidP="00641D39">
            <w:r w:rsidRPr="00F40561">
              <w:t>20,246</w:t>
            </w:r>
          </w:p>
        </w:tc>
        <w:tc>
          <w:tcPr>
            <w:tcW w:w="3595" w:type="dxa"/>
            <w:tcBorders>
              <w:top w:val="single" w:sz="4" w:space="0" w:color="auto"/>
              <w:left w:val="single" w:sz="4" w:space="0" w:color="auto"/>
              <w:bottom w:val="single" w:sz="4" w:space="0" w:color="auto"/>
              <w:right w:val="single" w:sz="4" w:space="0" w:color="auto"/>
            </w:tcBorders>
          </w:tcPr>
          <w:p w14:paraId="57B86C13" w14:textId="5CB09659" w:rsidR="00A67B25" w:rsidRPr="00F40561" w:rsidRDefault="00A67B25" w:rsidP="00641D39">
            <w:pPr>
              <w:rPr>
                <w:i/>
                <w:iCs/>
              </w:rPr>
            </w:pPr>
            <w:r w:rsidRPr="00F40561">
              <w:t>12,647</w:t>
            </w:r>
            <w:r w:rsidR="002430CB" w:rsidRPr="00F40561">
              <w:t xml:space="preserve"> </w:t>
            </w:r>
            <w:r w:rsidR="002430CB" w:rsidRPr="00F40561">
              <w:rPr>
                <w:i/>
                <w:iCs/>
              </w:rPr>
              <w:t>(18,970 annualized)</w:t>
            </w:r>
          </w:p>
        </w:tc>
      </w:tr>
    </w:tbl>
    <w:p w14:paraId="0A4067AD" w14:textId="77777777" w:rsidR="002430CB" w:rsidRPr="00F40561" w:rsidRDefault="002430CB" w:rsidP="002430CB"/>
    <w:p w14:paraId="27156E76" w14:textId="0404A74C" w:rsidR="002430CB" w:rsidRPr="00F40561" w:rsidRDefault="002430CB" w:rsidP="00F40561">
      <w:pPr>
        <w:pStyle w:val="ListParagraph"/>
        <w:ind w:hanging="720"/>
        <w:rPr>
          <w:b/>
          <w:bCs/>
        </w:rPr>
      </w:pPr>
      <w:bookmarkStart w:id="0" w:name="_Hlk201840082"/>
      <w:r w:rsidRPr="00F40561">
        <w:rPr>
          <w:b/>
          <w:bCs/>
        </w:rPr>
        <w:t xml:space="preserve">Table 2: </w:t>
      </w:r>
      <w:r w:rsidR="001138AC">
        <w:rPr>
          <w:b/>
          <w:bCs/>
        </w:rPr>
        <w:t xml:space="preserve">HFH Haverhill </w:t>
      </w:r>
      <w:r w:rsidRPr="00F40561">
        <w:rPr>
          <w:b/>
          <w:bCs/>
        </w:rPr>
        <w:t xml:space="preserve">Average Daily Census </w:t>
      </w:r>
    </w:p>
    <w:tbl>
      <w:tblPr>
        <w:tblStyle w:val="TableGrid"/>
        <w:tblW w:w="0" w:type="auto"/>
        <w:tblInd w:w="-5" w:type="dxa"/>
        <w:tblLook w:val="04A0" w:firstRow="1" w:lastRow="0" w:firstColumn="1" w:lastColumn="0" w:noHBand="0" w:noVBand="1"/>
      </w:tblPr>
      <w:tblGrid>
        <w:gridCol w:w="2610"/>
        <w:gridCol w:w="3150"/>
        <w:gridCol w:w="3595"/>
      </w:tblGrid>
      <w:tr w:rsidR="00A67B25" w:rsidRPr="00F40561" w14:paraId="671BDC5C" w14:textId="77777777" w:rsidTr="00F40561">
        <w:tc>
          <w:tcPr>
            <w:tcW w:w="261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5F13235" w14:textId="4C4E8550" w:rsidR="00A67B25" w:rsidRPr="00F40561" w:rsidRDefault="002430CB" w:rsidP="00641D39">
            <w:pPr>
              <w:rPr>
                <w:b/>
                <w:bCs/>
              </w:rPr>
            </w:pPr>
            <w:r w:rsidRPr="00F40561">
              <w:rPr>
                <w:b/>
                <w:bCs/>
              </w:rPr>
              <w:t xml:space="preserve">Service </w:t>
            </w:r>
          </w:p>
        </w:tc>
        <w:tc>
          <w:tcPr>
            <w:tcW w:w="315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11FDCAB" w14:textId="77777777" w:rsidR="00A67B25" w:rsidRPr="00F40561" w:rsidRDefault="00A67B25" w:rsidP="00641D39">
            <w:pPr>
              <w:rPr>
                <w:b/>
                <w:bCs/>
              </w:rPr>
            </w:pPr>
            <w:r w:rsidRPr="00F40561">
              <w:rPr>
                <w:b/>
                <w:bCs/>
              </w:rPr>
              <w:t>FY2024  (10/1/23 – 9/30/24)</w:t>
            </w:r>
          </w:p>
        </w:tc>
        <w:tc>
          <w:tcPr>
            <w:tcW w:w="3595"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E61558D" w14:textId="77777777" w:rsidR="00A67B25" w:rsidRPr="00F40561" w:rsidRDefault="00A67B25" w:rsidP="00641D39">
            <w:pPr>
              <w:rPr>
                <w:b/>
                <w:bCs/>
              </w:rPr>
            </w:pPr>
            <w:r w:rsidRPr="00F40561">
              <w:rPr>
                <w:b/>
                <w:bCs/>
              </w:rPr>
              <w:t xml:space="preserve">FY2025 YTD (10/1/24 – 5/31/25)      </w:t>
            </w:r>
          </w:p>
        </w:tc>
      </w:tr>
      <w:tr w:rsidR="00A67B25" w:rsidRPr="00F40561" w14:paraId="2820C53D" w14:textId="77777777" w:rsidTr="00F40561">
        <w:tc>
          <w:tcPr>
            <w:tcW w:w="2610" w:type="dxa"/>
            <w:tcBorders>
              <w:top w:val="single" w:sz="4" w:space="0" w:color="auto"/>
              <w:left w:val="single" w:sz="4" w:space="0" w:color="auto"/>
              <w:bottom w:val="single" w:sz="4" w:space="0" w:color="auto"/>
              <w:right w:val="single" w:sz="4" w:space="0" w:color="auto"/>
            </w:tcBorders>
            <w:hideMark/>
          </w:tcPr>
          <w:p w14:paraId="32E1A2F8" w14:textId="77777777" w:rsidR="00A67B25" w:rsidRPr="00F40561" w:rsidRDefault="00A67B25" w:rsidP="00641D39">
            <w:pPr>
              <w:rPr>
                <w:b/>
                <w:bCs/>
              </w:rPr>
            </w:pPr>
            <w:r w:rsidRPr="00F40561">
              <w:rPr>
                <w:b/>
                <w:bCs/>
              </w:rPr>
              <w:t>Med/Surg Beds</w:t>
            </w:r>
          </w:p>
        </w:tc>
        <w:tc>
          <w:tcPr>
            <w:tcW w:w="3150" w:type="dxa"/>
            <w:tcBorders>
              <w:top w:val="single" w:sz="4" w:space="0" w:color="auto"/>
              <w:left w:val="single" w:sz="4" w:space="0" w:color="auto"/>
              <w:bottom w:val="single" w:sz="4" w:space="0" w:color="auto"/>
              <w:right w:val="single" w:sz="4" w:space="0" w:color="auto"/>
            </w:tcBorders>
          </w:tcPr>
          <w:p w14:paraId="1535CD00" w14:textId="77777777" w:rsidR="00A67B25" w:rsidRPr="00F40561" w:rsidRDefault="00A67B25" w:rsidP="00641D39">
            <w:r w:rsidRPr="00F40561">
              <w:t>15.17</w:t>
            </w:r>
          </w:p>
        </w:tc>
        <w:tc>
          <w:tcPr>
            <w:tcW w:w="3595" w:type="dxa"/>
            <w:tcBorders>
              <w:top w:val="single" w:sz="4" w:space="0" w:color="auto"/>
              <w:left w:val="single" w:sz="4" w:space="0" w:color="auto"/>
              <w:bottom w:val="single" w:sz="4" w:space="0" w:color="auto"/>
              <w:right w:val="single" w:sz="4" w:space="0" w:color="auto"/>
            </w:tcBorders>
          </w:tcPr>
          <w:p w14:paraId="4C0648B9" w14:textId="77777777" w:rsidR="00A67B25" w:rsidRPr="00F40561" w:rsidRDefault="00A67B25" w:rsidP="00641D39">
            <w:r w:rsidRPr="00F40561">
              <w:t>13.45</w:t>
            </w:r>
          </w:p>
        </w:tc>
      </w:tr>
      <w:tr w:rsidR="00A67B25" w:rsidRPr="00F40561" w14:paraId="1B4141AE" w14:textId="77777777" w:rsidTr="00F40561">
        <w:tc>
          <w:tcPr>
            <w:tcW w:w="2610" w:type="dxa"/>
            <w:tcBorders>
              <w:top w:val="single" w:sz="4" w:space="0" w:color="auto"/>
              <w:left w:val="single" w:sz="4" w:space="0" w:color="auto"/>
              <w:bottom w:val="single" w:sz="4" w:space="0" w:color="auto"/>
              <w:right w:val="single" w:sz="4" w:space="0" w:color="auto"/>
            </w:tcBorders>
            <w:hideMark/>
          </w:tcPr>
          <w:p w14:paraId="0C3B7B72" w14:textId="77777777" w:rsidR="00A67B25" w:rsidRPr="00F40561" w:rsidRDefault="00A67B25" w:rsidP="00641D39">
            <w:pPr>
              <w:rPr>
                <w:b/>
                <w:bCs/>
              </w:rPr>
            </w:pPr>
            <w:r w:rsidRPr="00F40561">
              <w:rPr>
                <w:b/>
                <w:bCs/>
              </w:rPr>
              <w:t>ICU Beds</w:t>
            </w:r>
          </w:p>
        </w:tc>
        <w:tc>
          <w:tcPr>
            <w:tcW w:w="3150" w:type="dxa"/>
            <w:tcBorders>
              <w:top w:val="single" w:sz="4" w:space="0" w:color="auto"/>
              <w:left w:val="single" w:sz="4" w:space="0" w:color="auto"/>
              <w:bottom w:val="single" w:sz="4" w:space="0" w:color="auto"/>
              <w:right w:val="single" w:sz="4" w:space="0" w:color="auto"/>
            </w:tcBorders>
          </w:tcPr>
          <w:p w14:paraId="60FB866D" w14:textId="3B724718" w:rsidR="00A67B25" w:rsidRPr="00F40561" w:rsidRDefault="00A67B25" w:rsidP="00641D39">
            <w:r w:rsidRPr="00F40561">
              <w:t>3.4 (closed 1/1/2024)</w:t>
            </w:r>
          </w:p>
        </w:tc>
        <w:tc>
          <w:tcPr>
            <w:tcW w:w="3595" w:type="dxa"/>
            <w:tcBorders>
              <w:top w:val="single" w:sz="4" w:space="0" w:color="auto"/>
              <w:left w:val="single" w:sz="4" w:space="0" w:color="auto"/>
              <w:bottom w:val="single" w:sz="4" w:space="0" w:color="auto"/>
              <w:right w:val="single" w:sz="4" w:space="0" w:color="auto"/>
            </w:tcBorders>
          </w:tcPr>
          <w:p w14:paraId="2C60DE6A" w14:textId="77777777" w:rsidR="00A67B25" w:rsidRPr="00F40561" w:rsidRDefault="00A67B25" w:rsidP="00641D39">
            <w:r w:rsidRPr="00F40561">
              <w:t>n/a - closed</w:t>
            </w:r>
          </w:p>
        </w:tc>
      </w:tr>
      <w:bookmarkEnd w:id="0"/>
    </w:tbl>
    <w:p w14:paraId="4D5C2DB4" w14:textId="69E2F43E" w:rsidR="002430CB" w:rsidRPr="00F40561" w:rsidRDefault="002430CB" w:rsidP="00853C5F"/>
    <w:p w14:paraId="74DB5587" w14:textId="1E59E2B5" w:rsidR="00113758" w:rsidRPr="00F40561" w:rsidRDefault="00113758" w:rsidP="00113758">
      <w:pPr>
        <w:pStyle w:val="ListParagraph"/>
        <w:ind w:hanging="720"/>
        <w:rPr>
          <w:b/>
          <w:bCs/>
        </w:rPr>
      </w:pPr>
      <w:r w:rsidRPr="00F40561">
        <w:rPr>
          <w:b/>
          <w:bCs/>
        </w:rPr>
        <w:t xml:space="preserve">Table </w:t>
      </w:r>
      <w:r>
        <w:rPr>
          <w:b/>
          <w:bCs/>
        </w:rPr>
        <w:t>3: FY2025 Occupancy (10/1/24 – 5/31/25)</w:t>
      </w:r>
    </w:p>
    <w:tbl>
      <w:tblPr>
        <w:tblStyle w:val="TableGrid"/>
        <w:tblW w:w="0" w:type="auto"/>
        <w:tblInd w:w="-5" w:type="dxa"/>
        <w:tblLook w:val="04A0" w:firstRow="1" w:lastRow="0" w:firstColumn="1" w:lastColumn="0" w:noHBand="0" w:noVBand="1"/>
      </w:tblPr>
      <w:tblGrid>
        <w:gridCol w:w="2610"/>
        <w:gridCol w:w="2248"/>
        <w:gridCol w:w="2248"/>
        <w:gridCol w:w="2249"/>
      </w:tblGrid>
      <w:tr w:rsidR="00113758" w:rsidRPr="00F40561" w14:paraId="642146FE" w14:textId="77777777" w:rsidTr="001138AC">
        <w:tc>
          <w:tcPr>
            <w:tcW w:w="261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D6D1D12" w14:textId="77777777" w:rsidR="00113758" w:rsidRPr="00F40561" w:rsidRDefault="00113758" w:rsidP="00D35896">
            <w:pPr>
              <w:rPr>
                <w:b/>
                <w:bCs/>
              </w:rPr>
            </w:pPr>
            <w:r w:rsidRPr="00F40561">
              <w:rPr>
                <w:b/>
                <w:bCs/>
              </w:rPr>
              <w:t xml:space="preserve">Service </w:t>
            </w:r>
          </w:p>
        </w:tc>
        <w:tc>
          <w:tcPr>
            <w:tcW w:w="224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7E010D48" w14:textId="2A5EA184" w:rsidR="00113758" w:rsidRPr="00F40561" w:rsidRDefault="00113758" w:rsidP="00D35896">
            <w:pPr>
              <w:rPr>
                <w:b/>
                <w:bCs/>
              </w:rPr>
            </w:pPr>
            <w:r>
              <w:rPr>
                <w:b/>
                <w:bCs/>
              </w:rPr>
              <w:t>Haverhill</w:t>
            </w:r>
          </w:p>
        </w:tc>
        <w:tc>
          <w:tcPr>
            <w:tcW w:w="224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8ACAE8" w14:textId="6B8C2A3A" w:rsidR="00113758" w:rsidRPr="00F40561" w:rsidRDefault="00113758" w:rsidP="00D35896">
            <w:pPr>
              <w:rPr>
                <w:b/>
                <w:bCs/>
              </w:rPr>
            </w:pPr>
            <w:r>
              <w:rPr>
                <w:b/>
                <w:bCs/>
              </w:rPr>
              <w:t>Methuen</w:t>
            </w:r>
          </w:p>
        </w:tc>
        <w:tc>
          <w:tcPr>
            <w:tcW w:w="2249"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96789E2" w14:textId="3C34F575" w:rsidR="00113758" w:rsidRPr="00F40561" w:rsidRDefault="00113758" w:rsidP="00D35896">
            <w:pPr>
              <w:rPr>
                <w:b/>
                <w:bCs/>
              </w:rPr>
            </w:pPr>
            <w:r>
              <w:rPr>
                <w:b/>
                <w:bCs/>
              </w:rPr>
              <w:t>Lawrence</w:t>
            </w:r>
          </w:p>
        </w:tc>
      </w:tr>
      <w:tr w:rsidR="00113758" w:rsidRPr="00F40561" w14:paraId="63356CB8" w14:textId="77777777" w:rsidTr="001138AC">
        <w:tc>
          <w:tcPr>
            <w:tcW w:w="2610" w:type="dxa"/>
            <w:tcBorders>
              <w:top w:val="single" w:sz="4" w:space="0" w:color="auto"/>
              <w:left w:val="single" w:sz="4" w:space="0" w:color="auto"/>
              <w:bottom w:val="single" w:sz="4" w:space="0" w:color="auto"/>
              <w:right w:val="single" w:sz="4" w:space="0" w:color="auto"/>
            </w:tcBorders>
            <w:hideMark/>
          </w:tcPr>
          <w:p w14:paraId="6BAD5856" w14:textId="77777777" w:rsidR="00113758" w:rsidRPr="00F40561" w:rsidRDefault="00113758" w:rsidP="00D35896">
            <w:pPr>
              <w:rPr>
                <w:b/>
                <w:bCs/>
              </w:rPr>
            </w:pPr>
            <w:r w:rsidRPr="00F40561">
              <w:rPr>
                <w:b/>
                <w:bCs/>
              </w:rPr>
              <w:t>Med/Surg Beds</w:t>
            </w:r>
          </w:p>
        </w:tc>
        <w:tc>
          <w:tcPr>
            <w:tcW w:w="2248" w:type="dxa"/>
            <w:tcBorders>
              <w:top w:val="single" w:sz="4" w:space="0" w:color="auto"/>
              <w:left w:val="single" w:sz="4" w:space="0" w:color="auto"/>
              <w:bottom w:val="single" w:sz="4" w:space="0" w:color="auto"/>
              <w:right w:val="single" w:sz="4" w:space="0" w:color="auto"/>
            </w:tcBorders>
          </w:tcPr>
          <w:p w14:paraId="7422C1D1" w14:textId="4CBDEC3F" w:rsidR="00113758" w:rsidRPr="00F40561" w:rsidRDefault="00113758" w:rsidP="00D35896">
            <w:r w:rsidRPr="00F40561">
              <w:t>15</w:t>
            </w:r>
            <w:r>
              <w:t>%</w:t>
            </w:r>
          </w:p>
        </w:tc>
        <w:tc>
          <w:tcPr>
            <w:tcW w:w="2248" w:type="dxa"/>
            <w:tcBorders>
              <w:top w:val="single" w:sz="4" w:space="0" w:color="auto"/>
              <w:left w:val="single" w:sz="4" w:space="0" w:color="auto"/>
              <w:bottom w:val="single" w:sz="4" w:space="0" w:color="auto"/>
              <w:right w:val="single" w:sz="4" w:space="0" w:color="auto"/>
            </w:tcBorders>
          </w:tcPr>
          <w:p w14:paraId="44A293D9" w14:textId="13C00B09" w:rsidR="00113758" w:rsidRPr="00F40561" w:rsidRDefault="00113758" w:rsidP="00D35896">
            <w:r>
              <w:t>49%</w:t>
            </w:r>
          </w:p>
        </w:tc>
        <w:tc>
          <w:tcPr>
            <w:tcW w:w="2249" w:type="dxa"/>
            <w:tcBorders>
              <w:top w:val="single" w:sz="4" w:space="0" w:color="auto"/>
              <w:left w:val="single" w:sz="4" w:space="0" w:color="auto"/>
              <w:bottom w:val="single" w:sz="4" w:space="0" w:color="auto"/>
              <w:right w:val="single" w:sz="4" w:space="0" w:color="auto"/>
            </w:tcBorders>
          </w:tcPr>
          <w:p w14:paraId="74726263" w14:textId="68D7B3FD" w:rsidR="00113758" w:rsidRPr="00F40561" w:rsidRDefault="00113758" w:rsidP="00D35896">
            <w:r>
              <w:t>90%</w:t>
            </w:r>
          </w:p>
        </w:tc>
      </w:tr>
      <w:tr w:rsidR="00113758" w:rsidRPr="00F40561" w14:paraId="145BCC09" w14:textId="77777777" w:rsidTr="001138AC">
        <w:tc>
          <w:tcPr>
            <w:tcW w:w="2610" w:type="dxa"/>
            <w:tcBorders>
              <w:top w:val="single" w:sz="4" w:space="0" w:color="auto"/>
              <w:left w:val="single" w:sz="4" w:space="0" w:color="auto"/>
              <w:bottom w:val="single" w:sz="4" w:space="0" w:color="auto"/>
              <w:right w:val="single" w:sz="4" w:space="0" w:color="auto"/>
            </w:tcBorders>
            <w:hideMark/>
          </w:tcPr>
          <w:p w14:paraId="1398B952" w14:textId="77777777" w:rsidR="00113758" w:rsidRPr="00F40561" w:rsidRDefault="00113758" w:rsidP="00D35896">
            <w:pPr>
              <w:rPr>
                <w:b/>
                <w:bCs/>
              </w:rPr>
            </w:pPr>
            <w:r w:rsidRPr="00F40561">
              <w:rPr>
                <w:b/>
                <w:bCs/>
              </w:rPr>
              <w:t>ICU Beds</w:t>
            </w:r>
          </w:p>
        </w:tc>
        <w:tc>
          <w:tcPr>
            <w:tcW w:w="2248" w:type="dxa"/>
            <w:tcBorders>
              <w:top w:val="single" w:sz="4" w:space="0" w:color="auto"/>
              <w:left w:val="single" w:sz="4" w:space="0" w:color="auto"/>
              <w:bottom w:val="single" w:sz="4" w:space="0" w:color="auto"/>
              <w:right w:val="single" w:sz="4" w:space="0" w:color="auto"/>
            </w:tcBorders>
          </w:tcPr>
          <w:p w14:paraId="650A3689" w14:textId="3A4E9EB8" w:rsidR="00113758" w:rsidRPr="00F40561" w:rsidRDefault="00113758" w:rsidP="00D35896">
            <w:r>
              <w:t>0%</w:t>
            </w:r>
          </w:p>
        </w:tc>
        <w:tc>
          <w:tcPr>
            <w:tcW w:w="2248" w:type="dxa"/>
            <w:tcBorders>
              <w:top w:val="single" w:sz="4" w:space="0" w:color="auto"/>
              <w:left w:val="single" w:sz="4" w:space="0" w:color="auto"/>
              <w:bottom w:val="single" w:sz="4" w:space="0" w:color="auto"/>
              <w:right w:val="single" w:sz="4" w:space="0" w:color="auto"/>
            </w:tcBorders>
          </w:tcPr>
          <w:p w14:paraId="4B5DE4B4" w14:textId="434126BE" w:rsidR="00113758" w:rsidRPr="00F40561" w:rsidRDefault="00113758" w:rsidP="00D35896">
            <w:r>
              <w:t>81%</w:t>
            </w:r>
          </w:p>
        </w:tc>
        <w:tc>
          <w:tcPr>
            <w:tcW w:w="2249" w:type="dxa"/>
            <w:tcBorders>
              <w:top w:val="single" w:sz="4" w:space="0" w:color="auto"/>
              <w:left w:val="single" w:sz="4" w:space="0" w:color="auto"/>
              <w:bottom w:val="single" w:sz="4" w:space="0" w:color="auto"/>
              <w:right w:val="single" w:sz="4" w:space="0" w:color="auto"/>
            </w:tcBorders>
          </w:tcPr>
          <w:p w14:paraId="53DB0501" w14:textId="73DC8BFD" w:rsidR="00113758" w:rsidRPr="00F40561" w:rsidRDefault="00113758" w:rsidP="00D35896">
            <w:r>
              <w:t>64%</w:t>
            </w:r>
          </w:p>
        </w:tc>
      </w:tr>
    </w:tbl>
    <w:p w14:paraId="6DB423C3" w14:textId="77777777" w:rsidR="00D117BF" w:rsidRDefault="00D117BF" w:rsidP="00853C5F"/>
    <w:p w14:paraId="0009EA15" w14:textId="7900E891" w:rsidR="00113758" w:rsidRPr="00EF2487" w:rsidRDefault="00113758" w:rsidP="00EF2487">
      <w:pPr>
        <w:pStyle w:val="ListParagraph"/>
        <w:numPr>
          <w:ilvl w:val="0"/>
          <w:numId w:val="3"/>
        </w:numPr>
        <w:spacing w:after="120"/>
        <w:contextualSpacing w:val="0"/>
        <w:rPr>
          <w:b/>
          <w:bCs/>
        </w:rPr>
      </w:pPr>
      <w:r>
        <w:rPr>
          <w:b/>
          <w:bCs/>
        </w:rPr>
        <w:t>A description of the anticipated impact on individuals in the Hospital’s service area following the closure of the Services.</w:t>
      </w:r>
    </w:p>
    <w:p w14:paraId="45A1AA5F" w14:textId="3BD6BAA5" w:rsidR="00113758" w:rsidRDefault="00113758" w:rsidP="00113758">
      <w:pPr>
        <w:pStyle w:val="ListParagraph"/>
        <w:ind w:left="0"/>
        <w:jc w:val="both"/>
      </w:pPr>
      <w:r w:rsidRPr="002430CB">
        <w:t>With the</w:t>
      </w:r>
      <w:r>
        <w:t xml:space="preserve"> simultaneous opening of the proposed SEF, coupled with the availability of inpatient medical services at the </w:t>
      </w:r>
      <w:r w:rsidR="008E02A0">
        <w:t xml:space="preserve">Hospital’s </w:t>
      </w:r>
      <w:r>
        <w:t xml:space="preserve">Methuen </w:t>
      </w:r>
      <w:r w:rsidR="008E02A0">
        <w:t>c</w:t>
      </w:r>
      <w:r>
        <w:t xml:space="preserve">ampus, the Hospital does not anticipate any negative impact on individuals. The Methuen </w:t>
      </w:r>
      <w:r w:rsidR="008E02A0">
        <w:t>c</w:t>
      </w:r>
      <w:r>
        <w:t xml:space="preserve">ampus, as well as LGH, will be able to provide a near seamless transition of care delivery. Currently, </w:t>
      </w:r>
      <w:proofErr w:type="gramStart"/>
      <w:r>
        <w:t>the majority of</w:t>
      </w:r>
      <w:proofErr w:type="gramEnd"/>
      <w:r>
        <w:t xml:space="preserve"> inpatients at Haverhill Campus are admitted through the ED. Patients will continue to receive emergency services at the SEF and may be transported to </w:t>
      </w:r>
      <w:r w:rsidR="008E02A0">
        <w:t xml:space="preserve">the </w:t>
      </w:r>
      <w:r>
        <w:t xml:space="preserve">Methuen </w:t>
      </w:r>
      <w:r w:rsidR="008E02A0">
        <w:t>c</w:t>
      </w:r>
      <w:r>
        <w:t>ampus</w:t>
      </w:r>
      <w:r w:rsidR="008E02A0">
        <w:t xml:space="preserve">, </w:t>
      </w:r>
      <w:r>
        <w:t xml:space="preserve">LGH, or a tertiary facility if a higher level of care or inpatient admission is needed. As noted in </w:t>
      </w:r>
      <w:r w:rsidR="00971BF2">
        <w:t>Table 3 above</w:t>
      </w:r>
      <w:r>
        <w:t xml:space="preserve">, the Methuen </w:t>
      </w:r>
      <w:r w:rsidR="008E02A0">
        <w:t>c</w:t>
      </w:r>
      <w:r>
        <w:t xml:space="preserve">ampus has significant capacity to accept the current average daily census of </w:t>
      </w:r>
      <w:r w:rsidR="00971BF2">
        <w:t>nine (</w:t>
      </w:r>
      <w:r>
        <w:t>9</w:t>
      </w:r>
      <w:r w:rsidR="00971BF2">
        <w:t>)</w:t>
      </w:r>
      <w:r>
        <w:t xml:space="preserve"> patients from Haverhill Campus requiring an inpatient admission.</w:t>
      </w:r>
    </w:p>
    <w:p w14:paraId="23F87568" w14:textId="77777777" w:rsidR="00113758" w:rsidRDefault="00113758" w:rsidP="00853C5F"/>
    <w:p w14:paraId="129B76AA" w14:textId="77777777" w:rsidR="00C9168E" w:rsidRDefault="00853C5F" w:rsidP="00113758">
      <w:pPr>
        <w:pStyle w:val="ListParagraph"/>
        <w:numPr>
          <w:ilvl w:val="0"/>
          <w:numId w:val="3"/>
        </w:numPr>
        <w:spacing w:after="120"/>
        <w:contextualSpacing w:val="0"/>
        <w:rPr>
          <w:b/>
          <w:bCs/>
        </w:rPr>
      </w:pPr>
      <w:r>
        <w:rPr>
          <w:b/>
          <w:bCs/>
        </w:rPr>
        <w:t>Date for the closure of the Service</w:t>
      </w:r>
      <w:r w:rsidR="006F4EB4">
        <w:rPr>
          <w:b/>
          <w:bCs/>
        </w:rPr>
        <w:t>s</w:t>
      </w:r>
      <w:r>
        <w:rPr>
          <w:b/>
          <w:bCs/>
        </w:rPr>
        <w:t>.</w:t>
      </w:r>
    </w:p>
    <w:p w14:paraId="599F8F2A" w14:textId="73657E4F" w:rsidR="002A1398" w:rsidRPr="00C9168E" w:rsidRDefault="00C9168E" w:rsidP="00716655">
      <w:pPr>
        <w:pStyle w:val="ListParagraph"/>
        <w:ind w:left="1440" w:hanging="720"/>
        <w:rPr>
          <w:b/>
          <w:bCs/>
        </w:rPr>
      </w:pPr>
      <w:r>
        <w:t xml:space="preserve">The date of the closure is October 1, </w:t>
      </w:r>
      <w:r w:rsidR="00166F19">
        <w:t>2025</w:t>
      </w:r>
      <w:r>
        <w:t>.</w:t>
      </w:r>
    </w:p>
    <w:p w14:paraId="69D29BAB" w14:textId="77777777" w:rsidR="00EA1D79" w:rsidRDefault="00EA1D79" w:rsidP="00853C5F"/>
    <w:p w14:paraId="1EC84B54" w14:textId="727038EF" w:rsidR="00853C5F" w:rsidRPr="00302442" w:rsidRDefault="00853C5F" w:rsidP="00113758">
      <w:pPr>
        <w:pStyle w:val="ListParagraph"/>
        <w:numPr>
          <w:ilvl w:val="0"/>
          <w:numId w:val="3"/>
        </w:numPr>
        <w:rPr>
          <w:b/>
          <w:bCs/>
        </w:rPr>
      </w:pPr>
      <w:r w:rsidRPr="00302442">
        <w:rPr>
          <w:b/>
          <w:bCs/>
        </w:rPr>
        <w:lastRenderedPageBreak/>
        <w:t>Names and addresses of any organized health care coalitions and community groups known to the Hospital when the notice is issued to DPH that would have an interest in the closure of the Services. (Please list).</w:t>
      </w:r>
    </w:p>
    <w:p w14:paraId="30DD1BF8" w14:textId="77777777" w:rsidR="006C5DFC" w:rsidRDefault="006C5DFC" w:rsidP="00751890"/>
    <w:p w14:paraId="53189039" w14:textId="77777777" w:rsidR="00473677" w:rsidRDefault="00473677" w:rsidP="00473677">
      <w:pPr>
        <w:ind w:left="720"/>
      </w:pPr>
      <w:r w:rsidRPr="00631CEB">
        <w:t>Benchmark at Haverhill Crossings</w:t>
      </w:r>
    </w:p>
    <w:p w14:paraId="07D9FED0" w14:textId="5B2FC800" w:rsidR="00473677" w:rsidRDefault="00473677" w:rsidP="00473677">
      <w:pPr>
        <w:ind w:left="720"/>
      </w:pPr>
      <w:r w:rsidRPr="00631CEB">
        <w:t>254 Amesbury Road – Rt. 110, Haverhill, Massachusetts 01830</w:t>
      </w:r>
    </w:p>
    <w:p w14:paraId="19B58315" w14:textId="77777777" w:rsidR="00473677" w:rsidRDefault="00473677" w:rsidP="00507790"/>
    <w:p w14:paraId="495D65F9" w14:textId="51112497" w:rsidR="001138AC" w:rsidRDefault="006C5DFC" w:rsidP="00716655">
      <w:pPr>
        <w:ind w:left="1440" w:hanging="720"/>
      </w:pPr>
      <w:r w:rsidRPr="006C5DFC">
        <w:t>Bethany Community Services</w:t>
      </w:r>
      <w:r w:rsidRPr="006C5DFC">
        <w:tab/>
        <w:t xml:space="preserve"> </w:t>
      </w:r>
    </w:p>
    <w:p w14:paraId="04054834" w14:textId="7586A463" w:rsidR="006C5DFC" w:rsidRDefault="006C5DFC" w:rsidP="00716655">
      <w:pPr>
        <w:ind w:left="1440" w:hanging="720"/>
      </w:pPr>
      <w:r w:rsidRPr="006C5DFC">
        <w:t>10 Phoenix Row, 4th Floor, Haverhill, MA  01832</w:t>
      </w:r>
    </w:p>
    <w:p w14:paraId="406EEE43" w14:textId="77777777" w:rsidR="006C5DFC" w:rsidRDefault="006C5DFC" w:rsidP="00716655">
      <w:pPr>
        <w:ind w:left="1440" w:hanging="720"/>
      </w:pPr>
    </w:p>
    <w:p w14:paraId="553F5DA1" w14:textId="0E4C7C58" w:rsidR="001138AC" w:rsidRDefault="006C5DFC" w:rsidP="00716655">
      <w:pPr>
        <w:ind w:left="1440" w:hanging="720"/>
      </w:pPr>
      <w:r w:rsidRPr="006C5DFC">
        <w:t xml:space="preserve">Council on Aging </w:t>
      </w:r>
    </w:p>
    <w:p w14:paraId="4328C331" w14:textId="1F1DCC9D" w:rsidR="006C5DFC" w:rsidRDefault="006C5DFC" w:rsidP="00716655">
      <w:pPr>
        <w:ind w:left="1440" w:hanging="720"/>
      </w:pPr>
      <w:r w:rsidRPr="006C5DFC">
        <w:t>10 Welcome St., Haverhill, MA 01830</w:t>
      </w:r>
    </w:p>
    <w:p w14:paraId="468C13E7" w14:textId="77777777" w:rsidR="006C5DFC" w:rsidRDefault="006C5DFC" w:rsidP="00716655">
      <w:pPr>
        <w:ind w:left="1440" w:hanging="720"/>
      </w:pPr>
    </w:p>
    <w:p w14:paraId="780F39B5" w14:textId="77777777" w:rsidR="001138AC" w:rsidRDefault="006C5DFC" w:rsidP="00716655">
      <w:pPr>
        <w:ind w:left="1440" w:hanging="720"/>
      </w:pPr>
      <w:r>
        <w:t>Haverhill Housing Authority Kennedy Circle</w:t>
      </w:r>
    </w:p>
    <w:p w14:paraId="56F302BC" w14:textId="64FC5A62" w:rsidR="006C5DFC" w:rsidRDefault="006C5DFC" w:rsidP="00716655">
      <w:pPr>
        <w:ind w:left="1440" w:hanging="720"/>
      </w:pPr>
      <w:r>
        <w:t>25 Washington Square # C, Haverhill, MA 01830</w:t>
      </w:r>
    </w:p>
    <w:p w14:paraId="76034FD5" w14:textId="77777777" w:rsidR="006C5DFC" w:rsidRDefault="006C5DFC" w:rsidP="00716655">
      <w:pPr>
        <w:ind w:left="720"/>
      </w:pPr>
    </w:p>
    <w:p w14:paraId="6FDB70FC" w14:textId="77777777" w:rsidR="001138AC" w:rsidRDefault="006C5DFC" w:rsidP="00716655">
      <w:pPr>
        <w:ind w:left="720"/>
      </w:pPr>
      <w:r>
        <w:t>Haverhill Latino Coalition</w:t>
      </w:r>
    </w:p>
    <w:p w14:paraId="302EB8E0" w14:textId="7CDE1BBF" w:rsidR="006C5DFC" w:rsidRDefault="006C5DFC" w:rsidP="00716655">
      <w:pPr>
        <w:ind w:left="720"/>
      </w:pPr>
      <w:r>
        <w:t>P.O. Box 615, Haverhill, MA 01831</w:t>
      </w:r>
    </w:p>
    <w:p w14:paraId="5088624B" w14:textId="77777777" w:rsidR="00302442" w:rsidRDefault="00302442" w:rsidP="00716655">
      <w:pPr>
        <w:ind w:left="720"/>
      </w:pPr>
    </w:p>
    <w:p w14:paraId="45901E57" w14:textId="77777777" w:rsidR="001138AC" w:rsidRDefault="006C5DFC" w:rsidP="00716655">
      <w:pPr>
        <w:ind w:left="1440" w:hanging="720"/>
      </w:pPr>
      <w:proofErr w:type="spellStart"/>
      <w:r w:rsidRPr="006C5DFC">
        <w:t>MeVa</w:t>
      </w:r>
      <w:proofErr w:type="spellEnd"/>
    </w:p>
    <w:p w14:paraId="386D264C" w14:textId="323CE3CF" w:rsidR="00302442" w:rsidRDefault="006C5DFC" w:rsidP="00716655">
      <w:pPr>
        <w:ind w:left="1440" w:hanging="720"/>
      </w:pPr>
      <w:r w:rsidRPr="006C5DFC">
        <w:t>85 Railroad Avenue, Haverhill, MA 01835</w:t>
      </w:r>
    </w:p>
    <w:p w14:paraId="2C88E3CF" w14:textId="77777777" w:rsidR="00473677" w:rsidRDefault="00473677" w:rsidP="00716655">
      <w:pPr>
        <w:ind w:left="1440" w:hanging="720"/>
      </w:pPr>
    </w:p>
    <w:p w14:paraId="67F5623F" w14:textId="77777777" w:rsidR="00473677" w:rsidRDefault="00473677" w:rsidP="00473677">
      <w:pPr>
        <w:ind w:firstLine="720"/>
      </w:pPr>
      <w:r w:rsidRPr="00631CEB">
        <w:t>Wingate Residence of Haverhill</w:t>
      </w:r>
    </w:p>
    <w:p w14:paraId="3C9FEF0C" w14:textId="2CB0F229" w:rsidR="00473677" w:rsidRDefault="00473677" w:rsidP="00473677">
      <w:pPr>
        <w:ind w:firstLine="720"/>
      </w:pPr>
      <w:r w:rsidRPr="00631CEB">
        <w:t>10 Residences Wy, Haverhill, MA 01830</w:t>
      </w:r>
    </w:p>
    <w:p w14:paraId="18EB3865" w14:textId="77777777" w:rsidR="00473677" w:rsidRDefault="00473677" w:rsidP="00716655">
      <w:pPr>
        <w:ind w:left="1440" w:hanging="720"/>
      </w:pPr>
    </w:p>
    <w:p w14:paraId="23E44762" w14:textId="6E95B028" w:rsidR="00473677" w:rsidRPr="00EF2487" w:rsidRDefault="00853C5F" w:rsidP="00EF2487">
      <w:pPr>
        <w:pStyle w:val="ListParagraph"/>
        <w:numPr>
          <w:ilvl w:val="0"/>
          <w:numId w:val="3"/>
        </w:numPr>
        <w:spacing w:after="120"/>
        <w:contextualSpacing w:val="0"/>
        <w:rPr>
          <w:b/>
          <w:bCs/>
        </w:rPr>
      </w:pPr>
      <w:r w:rsidRPr="00302442">
        <w:rPr>
          <w:b/>
          <w:bCs/>
        </w:rPr>
        <w:t>A detailed account of any community engagement and planning which has occurred prior to filing notice of the closure of the Services.</w:t>
      </w:r>
    </w:p>
    <w:p w14:paraId="399CCA6A" w14:textId="102A5385" w:rsidR="00473677" w:rsidRDefault="001138AC" w:rsidP="00E655A7">
      <w:pPr>
        <w:suppressAutoHyphens w:val="0"/>
        <w:spacing w:after="120"/>
        <w:jc w:val="both"/>
      </w:pPr>
      <w:r>
        <w:t>The hospitals participated in th</w:t>
      </w:r>
      <w:r w:rsidR="006C5DFC" w:rsidRPr="004B0669">
        <w:t xml:space="preserve">e Eastern Merrimack Valley Work Group (“Work Group”) </w:t>
      </w:r>
      <w:r>
        <w:t>which was</w:t>
      </w:r>
      <w:r w:rsidR="006C5DFC" w:rsidRPr="004B0669">
        <w:t xml:space="preserve"> formed following LGH’s acquisition of the Hospital to help assess the region’s health care needs. It was charged with creating a roadmap for regional healthcare transformation that, among other goals, creates a system that (1) meets the community’s healthcare needs, (2) focuses on safe, high-quality, accessible, and value-based care and (3) is financially viable.</w:t>
      </w:r>
      <w:r w:rsidR="008E02A0">
        <w:t xml:space="preserve"> Through the Work Group’s </w:t>
      </w:r>
      <w:r w:rsidR="00E655A7">
        <w:t xml:space="preserve">review of health care delivery and community needs, it </w:t>
      </w:r>
      <w:r w:rsidR="00E655A7" w:rsidRPr="00920A26">
        <w:t xml:space="preserve">recommended converting Haverhill </w:t>
      </w:r>
      <w:r w:rsidR="00E655A7">
        <w:t>C</w:t>
      </w:r>
      <w:r w:rsidR="00E655A7" w:rsidRPr="00920A26">
        <w:t>ampus</w:t>
      </w:r>
      <w:r w:rsidR="00E655A7">
        <w:t>’s</w:t>
      </w:r>
      <w:r w:rsidR="00E655A7" w:rsidRPr="00920A26">
        <w:t xml:space="preserve"> ED to a </w:t>
      </w:r>
      <w:r w:rsidR="00E655A7">
        <w:t>SEF</w:t>
      </w:r>
      <w:r w:rsidR="00E655A7" w:rsidRPr="00920A26">
        <w:t xml:space="preserve"> </w:t>
      </w:r>
      <w:proofErr w:type="gramStart"/>
      <w:r w:rsidR="00E655A7" w:rsidRPr="00920A26">
        <w:t>in order to</w:t>
      </w:r>
      <w:proofErr w:type="gramEnd"/>
      <w:r w:rsidR="00E655A7" w:rsidRPr="00920A26">
        <w:t xml:space="preserve"> “concentrate inpatient capacity on Lawrence and Methuen campuses”.</w:t>
      </w:r>
      <w:r w:rsidR="00E655A7">
        <w:t xml:space="preserve"> </w:t>
      </w:r>
      <w:r>
        <w:rPr>
          <w:rStyle w:val="FootnoteReference"/>
        </w:rPr>
        <w:footnoteReference w:id="1"/>
      </w:r>
      <w:r w:rsidR="006C5DFC" w:rsidRPr="004B0669">
        <w:t xml:space="preserve"> </w:t>
      </w:r>
    </w:p>
    <w:p w14:paraId="5AE3410F" w14:textId="116455AD" w:rsidR="00473677" w:rsidRPr="007A4F3A" w:rsidRDefault="00751890" w:rsidP="00E655A7">
      <w:pPr>
        <w:spacing w:after="120"/>
        <w:jc w:val="both"/>
      </w:pPr>
      <w:r>
        <w:lastRenderedPageBreak/>
        <w:t xml:space="preserve">To inform the community of the proposed </w:t>
      </w:r>
      <w:r w:rsidR="00E655A7">
        <w:t>changes</w:t>
      </w:r>
      <w:r>
        <w:t>, r</w:t>
      </w:r>
      <w:r w:rsidR="00971BF2" w:rsidRPr="00B47918">
        <w:t xml:space="preserve">epresentatives of the Hospital communicated with </w:t>
      </w:r>
      <w:r w:rsidR="00971BF2">
        <w:t>the H</w:t>
      </w:r>
      <w:r w:rsidR="00971BF2" w:rsidRPr="00971BF2">
        <w:t>ospital’s patient and family council</w:t>
      </w:r>
      <w:r w:rsidR="00971BF2">
        <w:t xml:space="preserve">, hospital staff, labor organizations representing the Hospital’s staff, and </w:t>
      </w:r>
      <w:r w:rsidR="00971BF2" w:rsidRPr="00B47918">
        <w:t>state and local representatives and officials</w:t>
      </w:r>
      <w:r w:rsidR="00971BF2">
        <w:t>.</w:t>
      </w:r>
      <w:r>
        <w:t xml:space="preserve"> Additionally, t</w:t>
      </w:r>
      <w:r w:rsidR="00920A26">
        <w:t xml:space="preserve">he Hospital met </w:t>
      </w:r>
      <w:r w:rsidR="006C5DFC" w:rsidRPr="007A4F3A">
        <w:t>with the following individuals regarding opportunities to collaborate in terms of preparing for the changes and sharing information with the community</w:t>
      </w:r>
      <w:r w:rsidR="00920A26">
        <w:t xml:space="preserve">: </w:t>
      </w:r>
    </w:p>
    <w:p w14:paraId="52CAF265" w14:textId="77777777" w:rsidR="006C5DFC" w:rsidRPr="007A4F3A" w:rsidRDefault="006C5DFC" w:rsidP="00473677">
      <w:pPr>
        <w:numPr>
          <w:ilvl w:val="1"/>
          <w:numId w:val="15"/>
        </w:numPr>
        <w:ind w:left="990"/>
        <w:jc w:val="both"/>
      </w:pPr>
      <w:r w:rsidRPr="007A4F3A">
        <w:t xml:space="preserve">Christina Minicucci, Development Director, </w:t>
      </w:r>
      <w:proofErr w:type="spellStart"/>
      <w:r w:rsidRPr="007A4F3A">
        <w:t>MeVa</w:t>
      </w:r>
      <w:proofErr w:type="spellEnd"/>
      <w:r w:rsidRPr="007A4F3A">
        <w:t xml:space="preserve"> (Merrimack Valley Transit Authority)</w:t>
      </w:r>
    </w:p>
    <w:p w14:paraId="4EC1FA3C" w14:textId="77777777" w:rsidR="006C5DFC" w:rsidRPr="007A4F3A" w:rsidRDefault="006C5DFC" w:rsidP="00473677">
      <w:pPr>
        <w:numPr>
          <w:ilvl w:val="1"/>
          <w:numId w:val="15"/>
        </w:numPr>
        <w:ind w:left="990"/>
        <w:jc w:val="both"/>
      </w:pPr>
      <w:r w:rsidRPr="007A4F3A">
        <w:t>Mary Connolly, City of Haverhill Public Health Director and Council on Aging</w:t>
      </w:r>
    </w:p>
    <w:p w14:paraId="36FE9DBC" w14:textId="3B9D2344" w:rsidR="00473677" w:rsidRDefault="006C5DFC" w:rsidP="00E655A7">
      <w:pPr>
        <w:numPr>
          <w:ilvl w:val="1"/>
          <w:numId w:val="15"/>
        </w:numPr>
        <w:spacing w:after="120"/>
        <w:ind w:left="994"/>
        <w:jc w:val="both"/>
      </w:pPr>
      <w:r w:rsidRPr="007A4F3A">
        <w:t>Caeli Tegan Zampach, Director of Health, Human Services &amp; Inspections, and Patrick McCarty, Director of the Human Services Division for the City of Methuen</w:t>
      </w:r>
    </w:p>
    <w:p w14:paraId="14131CD4" w14:textId="77777777" w:rsidR="00914F23" w:rsidRDefault="00920A26" w:rsidP="00473677">
      <w:pPr>
        <w:suppressAutoHyphens w:val="0"/>
        <w:jc w:val="both"/>
      </w:pPr>
      <w:r>
        <w:t xml:space="preserve">The Hospital has planned and scheduled a </w:t>
      </w:r>
      <w:r w:rsidRPr="007A4F3A">
        <w:t xml:space="preserve">Community Listening Session for Thursday, July 24, </w:t>
      </w:r>
      <w:proofErr w:type="gramStart"/>
      <w:r w:rsidRPr="007A4F3A">
        <w:t>2025</w:t>
      </w:r>
      <w:proofErr w:type="gramEnd"/>
      <w:r w:rsidRPr="007A4F3A">
        <w:t xml:space="preserve"> at </w:t>
      </w:r>
      <w:r w:rsidR="0027568F">
        <w:t xml:space="preserve">the </w:t>
      </w:r>
      <w:r w:rsidRPr="007A4F3A">
        <w:t>Haverhill Public Library. Notice of the Community Listening Session ran in the local paper</w:t>
      </w:r>
      <w:r w:rsidR="0027568F">
        <w:t xml:space="preserve">, the </w:t>
      </w:r>
      <w:r w:rsidRPr="007A4F3A">
        <w:rPr>
          <w:i/>
          <w:iCs/>
        </w:rPr>
        <w:t>Lawrence Eagle-Tribune</w:t>
      </w:r>
      <w:r w:rsidRPr="007A4F3A">
        <w:t xml:space="preserve"> on </w:t>
      </w:r>
      <w:r>
        <w:t>Monday June 23</w:t>
      </w:r>
      <w:r w:rsidRPr="007A4F3A">
        <w:t xml:space="preserve">, 2025, was shared with 97.9 WHAV, Haverhill's public radio station and local news service, and is posted on </w:t>
      </w:r>
      <w:r>
        <w:t>HFH</w:t>
      </w:r>
      <w:r w:rsidRPr="007A4F3A">
        <w:t xml:space="preserve"> and </w:t>
      </w:r>
      <w:r>
        <w:t>LGH</w:t>
      </w:r>
      <w:r w:rsidRPr="007A4F3A">
        <w:t xml:space="preserve"> websites.</w:t>
      </w:r>
      <w:r>
        <w:t xml:space="preserve"> </w:t>
      </w:r>
      <w:r w:rsidR="0027568F">
        <w:t>Information related to the closures and proposed SEF</w:t>
      </w:r>
      <w:r>
        <w:t xml:space="preserve"> are also available </w:t>
      </w:r>
      <w:r w:rsidRPr="007A4F3A">
        <w:t xml:space="preserve">on </w:t>
      </w:r>
      <w:r>
        <w:t xml:space="preserve">the hospitals’ </w:t>
      </w:r>
      <w:r w:rsidRPr="007A4F3A">
        <w:t>websites</w:t>
      </w:r>
      <w:r>
        <w:rPr>
          <w:rStyle w:val="FootnoteReference"/>
        </w:rPr>
        <w:footnoteReference w:id="2"/>
      </w:r>
      <w:r>
        <w:t xml:space="preserve">. </w:t>
      </w:r>
    </w:p>
    <w:p w14:paraId="1C9E78A7" w14:textId="6CA3D6E3" w:rsidR="00914F23" w:rsidRDefault="00920A26" w:rsidP="00E655A7">
      <w:pPr>
        <w:suppressAutoHyphens w:val="0"/>
        <w:spacing w:after="120"/>
        <w:jc w:val="both"/>
      </w:pPr>
      <w:r>
        <w:t>A s</w:t>
      </w:r>
      <w:r w:rsidRPr="007A4F3A">
        <w:t>eparate email</w:t>
      </w:r>
      <w:r w:rsidR="0027568F">
        <w:t xml:space="preserve"> address</w:t>
      </w:r>
      <w:r>
        <w:rPr>
          <w:rStyle w:val="FootnoteReference"/>
        </w:rPr>
        <w:footnoteReference w:id="3"/>
      </w:r>
      <w:r w:rsidRPr="007A4F3A">
        <w:t xml:space="preserve"> </w:t>
      </w:r>
      <w:r>
        <w:t xml:space="preserve">was created </w:t>
      </w:r>
      <w:r w:rsidRPr="007A4F3A">
        <w:t xml:space="preserve">for the community to </w:t>
      </w:r>
      <w:r>
        <w:t xml:space="preserve">ask questions about the closures. </w:t>
      </w:r>
    </w:p>
    <w:p w14:paraId="664F9F48" w14:textId="1863A676" w:rsidR="00914F23" w:rsidRPr="007A4F3A" w:rsidRDefault="00920A26" w:rsidP="00E655A7">
      <w:pPr>
        <w:spacing w:after="120"/>
        <w:jc w:val="both"/>
      </w:pPr>
      <w:r>
        <w:t xml:space="preserve">The Hospital will </w:t>
      </w:r>
      <w:r w:rsidRPr="007A4F3A">
        <w:t xml:space="preserve">communicate directly regarding </w:t>
      </w:r>
      <w:r w:rsidR="0027568F">
        <w:t xml:space="preserve">its </w:t>
      </w:r>
      <w:r w:rsidRPr="007A4F3A">
        <w:t xml:space="preserve">overall plans with </w:t>
      </w:r>
      <w:r w:rsidR="0027568F">
        <w:t xml:space="preserve">its </w:t>
      </w:r>
      <w:r w:rsidRPr="007A4F3A">
        <w:t>skilled nursing facility partners</w:t>
      </w:r>
      <w:r>
        <w:t xml:space="preserve"> including: </w:t>
      </w:r>
    </w:p>
    <w:p w14:paraId="4F75AE55" w14:textId="77777777" w:rsidR="00920A26" w:rsidRPr="007A4F3A" w:rsidRDefault="00920A26" w:rsidP="00473677">
      <w:pPr>
        <w:numPr>
          <w:ilvl w:val="1"/>
          <w:numId w:val="15"/>
        </w:numPr>
        <w:tabs>
          <w:tab w:val="left" w:pos="1440"/>
        </w:tabs>
        <w:ind w:left="990"/>
        <w:jc w:val="both"/>
      </w:pPr>
      <w:r w:rsidRPr="007A4F3A">
        <w:t>Penacook Place</w:t>
      </w:r>
    </w:p>
    <w:p w14:paraId="70ADC36D" w14:textId="77777777" w:rsidR="00920A26" w:rsidRPr="007A4F3A" w:rsidRDefault="00920A26" w:rsidP="00473677">
      <w:pPr>
        <w:numPr>
          <w:ilvl w:val="1"/>
          <w:numId w:val="15"/>
        </w:numPr>
        <w:ind w:left="990"/>
        <w:jc w:val="both"/>
      </w:pPr>
      <w:r w:rsidRPr="007A4F3A">
        <w:t>Aspen Hill Rehab &amp; Health Center</w:t>
      </w:r>
    </w:p>
    <w:p w14:paraId="552F108D" w14:textId="77777777" w:rsidR="00920A26" w:rsidRPr="007A4F3A" w:rsidRDefault="00920A26" w:rsidP="00473677">
      <w:pPr>
        <w:numPr>
          <w:ilvl w:val="1"/>
          <w:numId w:val="15"/>
        </w:numPr>
        <w:ind w:left="990"/>
        <w:jc w:val="both"/>
      </w:pPr>
      <w:r w:rsidRPr="007A4F3A">
        <w:t>Baker-Katz Skilled Nursing &amp; Rehab Center</w:t>
      </w:r>
    </w:p>
    <w:p w14:paraId="099AD70E" w14:textId="77777777" w:rsidR="00920A26" w:rsidRPr="007A4F3A" w:rsidRDefault="00920A26" w:rsidP="00473677">
      <w:pPr>
        <w:numPr>
          <w:ilvl w:val="1"/>
          <w:numId w:val="15"/>
        </w:numPr>
        <w:ind w:left="990"/>
        <w:jc w:val="both"/>
      </w:pPr>
      <w:r w:rsidRPr="007A4F3A">
        <w:t>Haverhill Nursing and Rehab (Hannah Duston Healthcare Center)</w:t>
      </w:r>
    </w:p>
    <w:p w14:paraId="1438E1CC" w14:textId="77777777" w:rsidR="00920A26" w:rsidRPr="007A4F3A" w:rsidRDefault="00920A26" w:rsidP="00473677">
      <w:pPr>
        <w:numPr>
          <w:ilvl w:val="1"/>
          <w:numId w:val="15"/>
        </w:numPr>
        <w:ind w:left="990"/>
        <w:jc w:val="both"/>
      </w:pPr>
      <w:r w:rsidRPr="007A4F3A">
        <w:t>Oxford Nursing and Rehab</w:t>
      </w:r>
    </w:p>
    <w:p w14:paraId="7DBBA3A9" w14:textId="31CE994D" w:rsidR="00914F23" w:rsidRDefault="00920A26" w:rsidP="00E655A7">
      <w:pPr>
        <w:numPr>
          <w:ilvl w:val="1"/>
          <w:numId w:val="15"/>
        </w:numPr>
        <w:spacing w:after="120"/>
        <w:ind w:left="994"/>
        <w:jc w:val="both"/>
      </w:pPr>
      <w:r w:rsidRPr="007A4F3A">
        <w:t>Lakeview House Skilled Nursing</w:t>
      </w:r>
    </w:p>
    <w:p w14:paraId="79C3D8F8" w14:textId="2D6E5B91" w:rsidR="006C5DFC" w:rsidRDefault="00920A26" w:rsidP="00473677">
      <w:pPr>
        <w:jc w:val="both"/>
      </w:pPr>
      <w:r>
        <w:t xml:space="preserve">Over the coming months, the Hospital will continue to inform the community about the proposed changes through various channels including its website and </w:t>
      </w:r>
      <w:r w:rsidR="006C5DFC" w:rsidRPr="007A4F3A">
        <w:t>97.9 WHAV</w:t>
      </w:r>
      <w:r>
        <w:t xml:space="preserve">. </w:t>
      </w:r>
      <w:r w:rsidR="006C5DFC" w:rsidRPr="007A4F3A">
        <w:t xml:space="preserve"> </w:t>
      </w:r>
      <w:r>
        <w:t>Additionally, the Hospital is</w:t>
      </w:r>
      <w:r w:rsidRPr="007A4F3A">
        <w:t xml:space="preserve"> speaking about </w:t>
      </w:r>
      <w:r>
        <w:t>the proposed changes</w:t>
      </w:r>
      <w:r w:rsidR="00751890">
        <w:t xml:space="preserve"> </w:t>
      </w:r>
      <w:r w:rsidRPr="007A4F3A">
        <w:t>at the September meeting of Interface Network of Compassion (INC) in Haverhill, a collaborative group that brings together public, private, and faith-based organizations across the Merrimack Valley.</w:t>
      </w:r>
    </w:p>
    <w:p w14:paraId="0054562A" w14:textId="77777777" w:rsidR="00920A26" w:rsidRPr="00920A26" w:rsidRDefault="00920A26" w:rsidP="00473677">
      <w:pPr>
        <w:jc w:val="both"/>
      </w:pPr>
    </w:p>
    <w:p w14:paraId="67892D8E" w14:textId="177BB22F" w:rsidR="00853C5F" w:rsidRDefault="00391296" w:rsidP="00473677">
      <w:pPr>
        <w:suppressAutoHyphens w:val="0"/>
        <w:jc w:val="both"/>
      </w:pPr>
      <w:r>
        <w:br/>
      </w:r>
      <w:r>
        <w:br/>
      </w:r>
      <w:r w:rsidR="00853C5F">
        <w:lastRenderedPageBreak/>
        <w:t xml:space="preserve">Thank you for your attention to this matter. </w:t>
      </w:r>
      <w:r w:rsidR="00951599">
        <w:t xml:space="preserve"> </w:t>
      </w:r>
      <w:r w:rsidR="00853C5F">
        <w:t>If you have any questions, please feel free to contact me.</w:t>
      </w:r>
    </w:p>
    <w:p w14:paraId="14A58DFC" w14:textId="77777777" w:rsidR="00853C5F" w:rsidRDefault="00853C5F" w:rsidP="00853C5F"/>
    <w:p w14:paraId="1D411AEC" w14:textId="40577765" w:rsidR="00853C5F" w:rsidRDefault="00853C5F" w:rsidP="00853C5F">
      <w:r>
        <w:tab/>
      </w:r>
      <w:r>
        <w:tab/>
      </w:r>
      <w:r>
        <w:tab/>
      </w:r>
      <w:r>
        <w:tab/>
      </w:r>
      <w:r>
        <w:tab/>
      </w:r>
      <w:r>
        <w:tab/>
      </w:r>
      <w:r w:rsidR="00914F23">
        <w:tab/>
      </w:r>
      <w:r>
        <w:t>Sincerely,</w:t>
      </w:r>
    </w:p>
    <w:p w14:paraId="6F64E99D" w14:textId="0D6328CB" w:rsidR="00EA1D79" w:rsidRDefault="00EA1D79" w:rsidP="00853C5F"/>
    <w:p w14:paraId="3020B7DB" w14:textId="768C423E" w:rsidR="00EA1D79" w:rsidRDefault="00EA1D79" w:rsidP="00853C5F">
      <w:r>
        <w:tab/>
      </w:r>
      <w:r>
        <w:tab/>
      </w:r>
      <w:r>
        <w:tab/>
      </w:r>
      <w:r>
        <w:tab/>
      </w:r>
      <w:r>
        <w:tab/>
      </w:r>
      <w:r>
        <w:tab/>
      </w:r>
      <w:r w:rsidR="00914F23">
        <w:tab/>
      </w:r>
      <w:r w:rsidRPr="00EA1D79">
        <w:t>HUSCH BLACKWELL LLP</w:t>
      </w:r>
    </w:p>
    <w:p w14:paraId="33CE8E7F" w14:textId="4622622B" w:rsidR="00853C5F" w:rsidRDefault="00391296" w:rsidP="00853C5F">
      <w:r>
        <w:rPr>
          <w:noProof/>
        </w:rPr>
        <w:drawing>
          <wp:anchor distT="0" distB="0" distL="114300" distR="114300" simplePos="0" relativeHeight="251658240" behindDoc="1" locked="0" layoutInCell="1" allowOverlap="1" wp14:anchorId="79C4E3A0" wp14:editId="5A0DC7AB">
            <wp:simplePos x="0" y="0"/>
            <wp:positionH relativeFrom="column">
              <wp:posOffset>3176752</wp:posOffset>
            </wp:positionH>
            <wp:positionV relativeFrom="paragraph">
              <wp:posOffset>57019</wp:posOffset>
            </wp:positionV>
            <wp:extent cx="1773555" cy="433705"/>
            <wp:effectExtent l="0" t="0" r="0" b="4445"/>
            <wp:wrapNone/>
            <wp:docPr id="101882733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827332" name="Picture 1" descr="A black text on a white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3555"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00EA1D79">
        <w:tab/>
      </w:r>
      <w:r w:rsidR="00EA1D79">
        <w:tab/>
      </w:r>
      <w:r w:rsidR="00EA1D79">
        <w:tab/>
      </w:r>
      <w:r w:rsidR="00EA1D79">
        <w:tab/>
      </w:r>
      <w:r w:rsidR="00EA1D79">
        <w:tab/>
      </w:r>
      <w:r w:rsidR="00EA1D79">
        <w:tab/>
      </w:r>
    </w:p>
    <w:p w14:paraId="23040436" w14:textId="77CE7318" w:rsidR="00853C5F" w:rsidRDefault="00951599" w:rsidP="00853C5F">
      <w:r>
        <w:tab/>
      </w:r>
      <w:r>
        <w:tab/>
      </w:r>
      <w:r>
        <w:tab/>
      </w:r>
      <w:r>
        <w:tab/>
      </w:r>
      <w:r>
        <w:tab/>
      </w:r>
      <w:r>
        <w:tab/>
      </w:r>
      <w:r w:rsidR="00391296">
        <w:tab/>
      </w:r>
    </w:p>
    <w:p w14:paraId="244D8EA7" w14:textId="77777777" w:rsidR="00951599" w:rsidRDefault="00951599" w:rsidP="00853C5F"/>
    <w:p w14:paraId="2783F410" w14:textId="0AC465BF" w:rsidR="00853C5F" w:rsidRDefault="00775E44" w:rsidP="00914F23">
      <w:pPr>
        <w:ind w:left="4320" w:firstLine="720"/>
      </w:pPr>
      <w:r>
        <w:t>Crystal M. Bloom</w:t>
      </w:r>
    </w:p>
    <w:p w14:paraId="38FD5BEC" w14:textId="77777777" w:rsidR="001120B4" w:rsidRDefault="001120B4" w:rsidP="000B127F">
      <w:pPr>
        <w:ind w:left="3600" w:firstLine="720"/>
      </w:pPr>
    </w:p>
    <w:p w14:paraId="0C36D9C4" w14:textId="77777777" w:rsidR="00853C5F" w:rsidRDefault="00853C5F" w:rsidP="00853C5F"/>
    <w:p w14:paraId="0F86E0A6" w14:textId="213FDB5E" w:rsidR="009331E7" w:rsidRPr="00D117BF" w:rsidRDefault="00853C5F" w:rsidP="009331E7">
      <w:pPr>
        <w:suppressAutoHyphens w:val="0"/>
        <w:rPr>
          <w:kern w:val="24"/>
        </w:rPr>
      </w:pPr>
      <w:r>
        <w:t xml:space="preserve">cc: </w:t>
      </w:r>
      <w:r>
        <w:tab/>
      </w:r>
      <w:r w:rsidR="009331E7">
        <w:rPr>
          <w:kern w:val="24"/>
        </w:rPr>
        <w:t>T. Smith</w:t>
      </w:r>
      <w:r w:rsidR="009331E7" w:rsidRPr="00D117BF">
        <w:rPr>
          <w:kern w:val="24"/>
        </w:rPr>
        <w:t>, DPH</w:t>
      </w:r>
    </w:p>
    <w:p w14:paraId="4464E71E" w14:textId="77777777" w:rsidR="009331E7" w:rsidRPr="00D117BF" w:rsidRDefault="009331E7" w:rsidP="009331E7">
      <w:pPr>
        <w:suppressAutoHyphens w:val="0"/>
        <w:ind w:firstLine="720"/>
        <w:rPr>
          <w:kern w:val="24"/>
        </w:rPr>
      </w:pPr>
      <w:r w:rsidRPr="00D117BF">
        <w:rPr>
          <w:kern w:val="24"/>
        </w:rPr>
        <w:t>W. Mackie, Esq., DPH</w:t>
      </w:r>
    </w:p>
    <w:p w14:paraId="6E03472F" w14:textId="77777777" w:rsidR="009331E7" w:rsidRPr="00D117BF" w:rsidRDefault="009331E7" w:rsidP="009331E7">
      <w:pPr>
        <w:suppressAutoHyphens w:val="0"/>
        <w:ind w:firstLine="720"/>
        <w:rPr>
          <w:kern w:val="24"/>
        </w:rPr>
      </w:pPr>
      <w:r w:rsidRPr="00D117BF">
        <w:rPr>
          <w:kern w:val="24"/>
        </w:rPr>
        <w:t>J. Gagne, DPH</w:t>
      </w:r>
    </w:p>
    <w:p w14:paraId="0ECEB563" w14:textId="77777777" w:rsidR="009331E7" w:rsidRPr="00A67B25" w:rsidRDefault="009331E7" w:rsidP="009331E7">
      <w:pPr>
        <w:suppressAutoHyphens w:val="0"/>
        <w:ind w:firstLine="720"/>
        <w:rPr>
          <w:kern w:val="24"/>
          <w:lang w:val="fr-CA"/>
        </w:rPr>
      </w:pPr>
      <w:r w:rsidRPr="00A67B25">
        <w:rPr>
          <w:kern w:val="24"/>
          <w:lang w:val="fr-CA"/>
        </w:rPr>
        <w:t xml:space="preserve">J. Bernice, DPH </w:t>
      </w:r>
    </w:p>
    <w:p w14:paraId="2B114C3E" w14:textId="77777777" w:rsidR="009331E7" w:rsidRDefault="009331E7" w:rsidP="009331E7">
      <w:pPr>
        <w:suppressAutoHyphens w:val="0"/>
        <w:ind w:firstLine="720"/>
        <w:rPr>
          <w:kern w:val="24"/>
        </w:rPr>
      </w:pPr>
      <w:r w:rsidRPr="001D5BCE">
        <w:rPr>
          <w:kern w:val="24"/>
        </w:rPr>
        <w:t>S. Carlson, DPH</w:t>
      </w:r>
    </w:p>
    <w:p w14:paraId="32F5D4D0" w14:textId="0480CA2A" w:rsidR="001A0DEE" w:rsidRDefault="001A0DEE" w:rsidP="009331E7">
      <w:pPr>
        <w:suppressAutoHyphens w:val="0"/>
        <w:ind w:firstLine="720"/>
        <w:rPr>
          <w:kern w:val="24"/>
        </w:rPr>
      </w:pPr>
      <w:r>
        <w:rPr>
          <w:kern w:val="24"/>
        </w:rPr>
        <w:t>B. McLaughlin, DPH</w:t>
      </w:r>
    </w:p>
    <w:p w14:paraId="15717014" w14:textId="1338B2BF" w:rsidR="001A0DEE" w:rsidRDefault="001A0DEE" w:rsidP="009331E7">
      <w:pPr>
        <w:suppressAutoHyphens w:val="0"/>
        <w:ind w:firstLine="720"/>
        <w:rPr>
          <w:kern w:val="24"/>
        </w:rPr>
      </w:pPr>
      <w:r>
        <w:rPr>
          <w:kern w:val="24"/>
        </w:rPr>
        <w:t>T. McNamara, DPH</w:t>
      </w:r>
    </w:p>
    <w:p w14:paraId="1CC9EDB9" w14:textId="51A69F9E" w:rsidR="00853C5F" w:rsidRPr="002A1398" w:rsidRDefault="00853C5F" w:rsidP="009331E7"/>
    <w:p w14:paraId="09B1A049" w14:textId="77777777" w:rsidR="00853C5F" w:rsidRPr="002A1398" w:rsidRDefault="00853C5F" w:rsidP="00853C5F">
      <w:pPr>
        <w:ind w:firstLine="720"/>
      </w:pPr>
      <w:r w:rsidRPr="002A1398">
        <w:t>Health Policy Commission</w:t>
      </w:r>
    </w:p>
    <w:p w14:paraId="7E5ECE55" w14:textId="02CDB549" w:rsidR="00853C5F" w:rsidRPr="002A1398" w:rsidRDefault="00853C5F" w:rsidP="00853C5F">
      <w:pPr>
        <w:ind w:firstLine="720"/>
      </w:pPr>
      <w:r w:rsidRPr="002A1398">
        <w:t>Office of the Attorney General</w:t>
      </w:r>
    </w:p>
    <w:p w14:paraId="161E8D77" w14:textId="77777777" w:rsidR="00853C5F" w:rsidRPr="002A1398" w:rsidRDefault="00853C5F" w:rsidP="00853C5F">
      <w:pPr>
        <w:ind w:firstLine="720"/>
      </w:pPr>
      <w:r w:rsidRPr="002A1398">
        <w:t>Center for Health Information and Analysis</w:t>
      </w:r>
    </w:p>
    <w:p w14:paraId="2D25C800" w14:textId="77777777" w:rsidR="00853C5F" w:rsidRDefault="00853C5F" w:rsidP="00853C5F">
      <w:pPr>
        <w:ind w:left="720"/>
      </w:pPr>
      <w:r w:rsidRPr="002A1398">
        <w:t>Executive Office of Labor and Workforce Development</w:t>
      </w:r>
    </w:p>
    <w:p w14:paraId="66A203CD" w14:textId="0CA5AD2B" w:rsidR="00853C5F" w:rsidRDefault="00853C5F" w:rsidP="00853C5F">
      <w:r>
        <w:tab/>
      </w:r>
    </w:p>
    <w:p w14:paraId="147E5DD3" w14:textId="77777777" w:rsidR="009F6B60" w:rsidRDefault="009F6B60"/>
    <w:p w14:paraId="497D8DCE" w14:textId="77777777" w:rsidR="00113758" w:rsidRDefault="00113758"/>
    <w:p w14:paraId="0CB5262A" w14:textId="77777777" w:rsidR="00113758" w:rsidRDefault="00113758"/>
    <w:p w14:paraId="54B89235" w14:textId="77777777" w:rsidR="00113758" w:rsidRDefault="00113758"/>
    <w:p w14:paraId="4193E770" w14:textId="77777777" w:rsidR="00113758" w:rsidRDefault="00113758"/>
    <w:p w14:paraId="63543D70" w14:textId="77777777" w:rsidR="00113758" w:rsidRDefault="00113758"/>
    <w:p w14:paraId="0CC48438" w14:textId="77777777" w:rsidR="00113758" w:rsidRDefault="00113758"/>
    <w:sectPr w:rsidR="00113758" w:rsidSect="00EA1D79">
      <w:headerReference w:type="default" r:id="rId10"/>
      <w:headerReference w:type="first" r:id="rId11"/>
      <w:pgSz w:w="12240" w:h="15840" w:code="1"/>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IAEIAYgB1AGw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AE50D" w14:textId="77777777" w:rsidR="00352784" w:rsidRDefault="00352784" w:rsidP="00A00222">
      <w:r>
        <w:separator/>
      </w:r>
    </w:p>
  </w:endnote>
  <w:endnote w:type="continuationSeparator" w:id="0">
    <w:p w14:paraId="287FE674" w14:textId="77777777" w:rsidR="00352784" w:rsidRDefault="00352784" w:rsidP="00A0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FFCDB" w14:textId="77777777" w:rsidR="00352784" w:rsidRDefault="00352784" w:rsidP="00A00222">
      <w:r>
        <w:separator/>
      </w:r>
    </w:p>
  </w:footnote>
  <w:footnote w:type="continuationSeparator" w:id="0">
    <w:p w14:paraId="2A7D52E2" w14:textId="77777777" w:rsidR="00352784" w:rsidRDefault="00352784" w:rsidP="00A00222">
      <w:r>
        <w:continuationSeparator/>
      </w:r>
    </w:p>
  </w:footnote>
  <w:footnote w:id="1">
    <w:p w14:paraId="655D4C34" w14:textId="2913494B" w:rsidR="001138AC" w:rsidRPr="00920A26" w:rsidRDefault="001138AC" w:rsidP="00914F23">
      <w:pPr>
        <w:pStyle w:val="FootnoteText"/>
        <w:jc w:val="both"/>
      </w:pPr>
      <w:r w:rsidRPr="00920A26">
        <w:rPr>
          <w:rStyle w:val="FootnoteReference"/>
        </w:rPr>
        <w:footnoteRef/>
      </w:r>
      <w:r w:rsidRPr="00920A26">
        <w:t xml:space="preserve"> Specifically, the Work Group Eastern Merrimack Valley Working Group, “Meeting 15 – Recommendations”. February 6, 2025.</w:t>
      </w:r>
    </w:p>
  </w:footnote>
  <w:footnote w:id="2">
    <w:p w14:paraId="22B9D35B" w14:textId="77777777" w:rsidR="00920A26" w:rsidRPr="00920A26" w:rsidRDefault="00920A26" w:rsidP="00914F23">
      <w:pPr>
        <w:jc w:val="both"/>
        <w:rPr>
          <w:sz w:val="20"/>
          <w:szCs w:val="20"/>
        </w:rPr>
      </w:pPr>
      <w:r w:rsidRPr="00920A26">
        <w:rPr>
          <w:rStyle w:val="FootnoteReference"/>
          <w:sz w:val="20"/>
          <w:szCs w:val="20"/>
        </w:rPr>
        <w:footnoteRef/>
      </w:r>
      <w:r w:rsidRPr="00920A26">
        <w:rPr>
          <w:sz w:val="20"/>
          <w:szCs w:val="20"/>
        </w:rPr>
        <w:t xml:space="preserve"> </w:t>
      </w:r>
      <w:hyperlink r:id="rId1" w:history="1">
        <w:r w:rsidRPr="00920A26">
          <w:rPr>
            <w:rStyle w:val="Hyperlink"/>
            <w:sz w:val="20"/>
            <w:szCs w:val="20"/>
          </w:rPr>
          <w:t>https://www.lawrencegeneral.org/sef_faq</w:t>
        </w:r>
      </w:hyperlink>
      <w:r w:rsidRPr="00920A26">
        <w:rPr>
          <w:sz w:val="20"/>
          <w:szCs w:val="20"/>
        </w:rPr>
        <w:t xml:space="preserve">; </w:t>
      </w:r>
      <w:hyperlink r:id="rId2" w:history="1">
        <w:r w:rsidRPr="00920A26">
          <w:rPr>
            <w:rStyle w:val="Hyperlink"/>
            <w:sz w:val="20"/>
            <w:szCs w:val="20"/>
          </w:rPr>
          <w:t>https://holyfamilyhospital.org/SEF_FAQ/</w:t>
        </w:r>
      </w:hyperlink>
    </w:p>
  </w:footnote>
  <w:footnote w:id="3">
    <w:p w14:paraId="4DEE21CD" w14:textId="77777777" w:rsidR="00920A26" w:rsidRPr="00920A26" w:rsidRDefault="00920A26" w:rsidP="00914F23">
      <w:pPr>
        <w:ind w:left="720" w:hanging="720"/>
        <w:jc w:val="both"/>
        <w:rPr>
          <w:sz w:val="20"/>
          <w:szCs w:val="20"/>
        </w:rPr>
      </w:pPr>
      <w:r w:rsidRPr="00920A26">
        <w:rPr>
          <w:rStyle w:val="FootnoteReference"/>
          <w:sz w:val="20"/>
          <w:szCs w:val="20"/>
        </w:rPr>
        <w:footnoteRef/>
      </w:r>
      <w:r w:rsidRPr="00920A26">
        <w:rPr>
          <w:sz w:val="20"/>
          <w:szCs w:val="20"/>
        </w:rPr>
        <w:t xml:space="preserve"> </w:t>
      </w:r>
      <w:hyperlink r:id="rId3" w:history="1">
        <w:r w:rsidRPr="00920A26">
          <w:rPr>
            <w:rStyle w:val="Hyperlink"/>
            <w:sz w:val="20"/>
            <w:szCs w:val="20"/>
          </w:rPr>
          <w:t>HaverhillCommunity@LawrenceGeneral.org</w:t>
        </w:r>
      </w:hyperlink>
    </w:p>
    <w:p w14:paraId="439383D9" w14:textId="77777777" w:rsidR="00920A26" w:rsidRDefault="00920A26" w:rsidP="00914F23">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3703" w14:textId="4F09C1C1" w:rsidR="00EA1D79" w:rsidRDefault="00D24E3D" w:rsidP="00EA1D79">
    <w:r>
      <w:rPr>
        <w:noProof/>
      </w:rPr>
      <w:drawing>
        <wp:anchor distT="0" distB="0" distL="114300" distR="114300" simplePos="0" relativeHeight="251669504" behindDoc="0" locked="1" layoutInCell="1" allowOverlap="1" wp14:anchorId="445AFAB4" wp14:editId="21892F47">
          <wp:simplePos x="0" y="0"/>
          <wp:positionH relativeFrom="margin">
            <wp:posOffset>1789430</wp:posOffset>
          </wp:positionH>
          <wp:positionV relativeFrom="page">
            <wp:posOffset>419735</wp:posOffset>
          </wp:positionV>
          <wp:extent cx="2633345" cy="164465"/>
          <wp:effectExtent l="0" t="0" r="0" b="6985"/>
          <wp:wrapNone/>
          <wp:docPr id="1697582915" name="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77421" name="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4090C3" w14:textId="77777777" w:rsidR="00EA1D79" w:rsidRDefault="00EA1D79" w:rsidP="00EA1D79"/>
  <w:p w14:paraId="58BBEEA5" w14:textId="1AA66CDB" w:rsidR="00EA1D79" w:rsidRDefault="00EA1D79" w:rsidP="00EA1D79">
    <w:r>
      <w:t>Stephen Davis, Director</w:t>
    </w:r>
  </w:p>
  <w:p w14:paraId="3CBF1F23" w14:textId="77777777" w:rsidR="00EA1D79" w:rsidRDefault="00EA1D79" w:rsidP="00EA1D79">
    <w:pPr>
      <w:rPr>
        <w:b/>
        <w:i/>
      </w:rPr>
    </w:pPr>
    <w:r>
      <w:t>Division of Health Care Facility Licensure and Certification</w:t>
    </w:r>
    <w:r>
      <w:br/>
      <w:t>Bureau of Health Care Safety and Quality</w:t>
    </w:r>
    <w:r>
      <w:br/>
      <w:t>Department of Public Health</w:t>
    </w:r>
  </w:p>
  <w:p w14:paraId="5F1F8EF3" w14:textId="3FDBA2FF" w:rsidR="00EA1D79" w:rsidRDefault="00C9168E">
    <w:pPr>
      <w:pStyle w:val="Header"/>
    </w:pPr>
    <w:r>
      <w:t>June 27, 2025</w:t>
    </w:r>
  </w:p>
  <w:sdt>
    <w:sdtPr>
      <w:id w:val="-1259290937"/>
      <w:docPartObj>
        <w:docPartGallery w:val="Page Numbers (Top of Page)"/>
        <w:docPartUnique/>
      </w:docPartObj>
    </w:sdtPr>
    <w:sdtEndPr>
      <w:rPr>
        <w:noProof/>
      </w:rPr>
    </w:sdtEndPr>
    <w:sdtContent>
      <w:p w14:paraId="65209446" w14:textId="550B8387" w:rsidR="00EA1D79" w:rsidRDefault="00EA1D79">
        <w:pPr>
          <w:pStyle w:val="Header"/>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0C839609" w14:textId="4B4B7215" w:rsidR="00EA1D79" w:rsidRDefault="00EA1D79">
    <w:pPr>
      <w:pStyle w:val="Header"/>
    </w:pPr>
  </w:p>
  <w:p w14:paraId="286469B2" w14:textId="77777777" w:rsidR="00EA1D79" w:rsidRDefault="00EA1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4AC9B" w14:textId="77777777" w:rsidR="00D24E3D" w:rsidRDefault="00D24E3D">
    <w:pPr>
      <w:pStyle w:val="Header"/>
    </w:pPr>
  </w:p>
  <w:p w14:paraId="508D9053" w14:textId="6C79F1F9" w:rsidR="00EA1D79" w:rsidRDefault="00D24E3D">
    <w:pPr>
      <w:pStyle w:val="Header"/>
    </w:pPr>
    <w:r>
      <w:rPr>
        <w:noProof/>
      </w:rPr>
      <mc:AlternateContent>
        <mc:Choice Requires="wps">
          <w:drawing>
            <wp:anchor distT="0" distB="0" distL="114300" distR="114300" simplePos="0" relativeHeight="251667456" behindDoc="0" locked="0" layoutInCell="1" allowOverlap="1" wp14:anchorId="1D44D3B2" wp14:editId="747A1F6A">
              <wp:simplePos x="0" y="0"/>
              <wp:positionH relativeFrom="page">
                <wp:posOffset>914400</wp:posOffset>
              </wp:positionH>
              <wp:positionV relativeFrom="page">
                <wp:posOffset>805180</wp:posOffset>
              </wp:positionV>
              <wp:extent cx="5943600" cy="310896"/>
              <wp:effectExtent l="0" t="0" r="0" b="17145"/>
              <wp:wrapTopAndBottom/>
              <wp:docPr id="1685427245" name="AuthorDat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0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E8A60" w14:textId="77777777" w:rsidR="00D24E3D" w:rsidRDefault="00D24E3D" w:rsidP="00D24E3D">
                          <w:pPr>
                            <w:pStyle w:val="AuthorName"/>
                            <w:rPr>
                              <w:noProof/>
                            </w:rPr>
                          </w:pPr>
                          <w:r>
                            <w:rPr>
                              <w:noProof/>
                            </w:rPr>
                            <w:t>Crystal M. Bloom</w:t>
                          </w:r>
                        </w:p>
                        <w:p w14:paraId="269F7D70" w14:textId="77777777" w:rsidR="00D24E3D" w:rsidRDefault="00D24E3D" w:rsidP="00D24E3D">
                          <w:pPr>
                            <w:pStyle w:val="AuthorInfo"/>
                          </w:pPr>
                          <w:r>
                            <w:t>Partner</w:t>
                          </w:r>
                        </w:p>
                        <w:p w14:paraId="4F9BEF34" w14:textId="77777777" w:rsidR="00D24E3D" w:rsidRDefault="00D24E3D" w:rsidP="00D24E3D">
                          <w:pPr>
                            <w:pStyle w:val="AuthorInfo"/>
                          </w:pPr>
                        </w:p>
                        <w:p w14:paraId="2C347C9A" w14:textId="77777777" w:rsidR="00D24E3D" w:rsidRDefault="00D24E3D" w:rsidP="00D24E3D">
                          <w:pPr>
                            <w:pStyle w:val="AuthorInfo"/>
                          </w:pPr>
                          <w:r>
                            <w:t>One Congress Street, Suite 3102</w:t>
                          </w:r>
                        </w:p>
                        <w:p w14:paraId="749CEA32" w14:textId="77777777" w:rsidR="00D24E3D" w:rsidRDefault="00D24E3D" w:rsidP="00D24E3D">
                          <w:pPr>
                            <w:pStyle w:val="AuthorInfo"/>
                          </w:pPr>
                          <w:r>
                            <w:t>Boston, MA 02114</w:t>
                          </w:r>
                        </w:p>
                        <w:p w14:paraId="42D18097" w14:textId="77777777" w:rsidR="00D24E3D" w:rsidRDefault="00D24E3D" w:rsidP="00D24E3D">
                          <w:pPr>
                            <w:pStyle w:val="AuthorInfo"/>
                          </w:pPr>
                          <w:r>
                            <w:t>Direct: 617.598.6783</w:t>
                          </w:r>
                        </w:p>
                        <w:p w14:paraId="7A3F0794" w14:textId="77777777" w:rsidR="00D24E3D" w:rsidRDefault="00D24E3D" w:rsidP="00D24E3D">
                          <w:pPr>
                            <w:pStyle w:val="AuthorInfo"/>
                          </w:pPr>
                          <w:r>
                            <w:t>Fax: 617.598.6790</w:t>
                          </w:r>
                        </w:p>
                        <w:p w14:paraId="5F12BA17" w14:textId="77777777" w:rsidR="00D24E3D" w:rsidRDefault="00D24E3D" w:rsidP="00D24E3D">
                          <w:pPr>
                            <w:pStyle w:val="AuthorInfo"/>
                          </w:pPr>
                          <w:r>
                            <w:t>crystal.bloom@huschblackwell.com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44D3B2" id="_x0000_t202" coordsize="21600,21600" o:spt="202" path="m,l,21600r21600,l21600,xe">
              <v:stroke joinstyle="miter"/>
              <v:path gradientshapeok="t" o:connecttype="rect"/>
            </v:shapetype>
            <v:shape id="AuthorData" o:spid="_x0000_s1026" type="#_x0000_t202" style="position:absolute;margin-left:1in;margin-top:63.4pt;width:468pt;height:2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" filled="f" stroked="f">
              <v:textbox style="mso-fit-shape-to-text:t" inset="0,0,0,0">
                <w:txbxContent>
                  <w:p w14:paraId="78CE8A60" w14:textId="77777777" w:rsidR="00D24E3D" w:rsidRDefault="00D24E3D" w:rsidP="00D24E3D">
                    <w:pPr>
                      <w:pStyle w:val="AuthorName"/>
                      <w:rPr>
                        <w:noProof/>
                      </w:rPr>
                    </w:pPr>
                    <w:r>
                      <w:rPr>
                        <w:noProof/>
                      </w:rPr>
                      <w:t>Crystal M. Bloom</w:t>
                    </w:r>
                  </w:p>
                  <w:p w14:paraId="269F7D70" w14:textId="77777777" w:rsidR="00D24E3D" w:rsidRDefault="00D24E3D" w:rsidP="00D24E3D">
                    <w:pPr>
                      <w:pStyle w:val="AuthorInfo"/>
                    </w:pPr>
                    <w:r>
                      <w:t>Partner</w:t>
                    </w:r>
                  </w:p>
                  <w:p w14:paraId="4F9BEF34" w14:textId="77777777" w:rsidR="00D24E3D" w:rsidRDefault="00D24E3D" w:rsidP="00D24E3D">
                    <w:pPr>
                      <w:pStyle w:val="AuthorInfo"/>
                    </w:pPr>
                  </w:p>
                  <w:p w14:paraId="2C347C9A" w14:textId="77777777" w:rsidR="00D24E3D" w:rsidRDefault="00D24E3D" w:rsidP="00D24E3D">
                    <w:pPr>
                      <w:pStyle w:val="AuthorInfo"/>
                    </w:pPr>
                    <w:r>
                      <w:t>One Congress Street, Suite 3102</w:t>
                    </w:r>
                  </w:p>
                  <w:p w14:paraId="749CEA32" w14:textId="77777777" w:rsidR="00D24E3D" w:rsidRDefault="00D24E3D" w:rsidP="00D24E3D">
                    <w:pPr>
                      <w:pStyle w:val="AuthorInfo"/>
                    </w:pPr>
                    <w:r>
                      <w:t>Boston, MA 02114</w:t>
                    </w:r>
                  </w:p>
                  <w:p w14:paraId="42D18097" w14:textId="77777777" w:rsidR="00D24E3D" w:rsidRDefault="00D24E3D" w:rsidP="00D24E3D">
                    <w:pPr>
                      <w:pStyle w:val="AuthorInfo"/>
                    </w:pPr>
                    <w:r>
                      <w:t>Direct: 617.598.6783</w:t>
                    </w:r>
                  </w:p>
                  <w:p w14:paraId="7A3F0794" w14:textId="77777777" w:rsidR="00D24E3D" w:rsidRDefault="00D24E3D" w:rsidP="00D24E3D">
                    <w:pPr>
                      <w:pStyle w:val="AuthorInfo"/>
                    </w:pPr>
                    <w:r>
                      <w:t>Fax: 617.598.6790</w:t>
                    </w:r>
                  </w:p>
                  <w:p w14:paraId="5F12BA17" w14:textId="77777777" w:rsidR="00D24E3D" w:rsidRDefault="00D24E3D" w:rsidP="00D24E3D">
                    <w:pPr>
                      <w:pStyle w:val="AuthorInfo"/>
                    </w:pPr>
                    <w:r>
                      <w:t>crystal.bloom@huschblackwell.com</w:t>
                    </w:r>
                  </w:p>
                </w:txbxContent>
              </v:textbox>
              <w10:wrap type="topAndBottom" anchorx="page" anchory="page"/>
            </v:shape>
          </w:pict>
        </mc:Fallback>
      </mc:AlternateContent>
    </w:r>
    <w:r>
      <w:rPr>
        <w:noProof/>
      </w:rPr>
      <w:drawing>
        <wp:anchor distT="0" distB="0" distL="114300" distR="114300" simplePos="0" relativeHeight="251665408" behindDoc="0" locked="1" layoutInCell="1" allowOverlap="1" wp14:anchorId="7ABE58DA" wp14:editId="5E89F7A5">
          <wp:simplePos x="0" y="0"/>
          <wp:positionH relativeFrom="margin">
            <wp:align>center</wp:align>
          </wp:positionH>
          <wp:positionV relativeFrom="page">
            <wp:posOffset>377825</wp:posOffset>
          </wp:positionV>
          <wp:extent cx="2633345" cy="164465"/>
          <wp:effectExtent l="0" t="0" r="0" b="6985"/>
          <wp:wrapNone/>
          <wp:docPr id="1307677421" name="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677421" name="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3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85F"/>
    <w:multiLevelType w:val="hybridMultilevel"/>
    <w:tmpl w:val="F3406236"/>
    <w:name w:val="HBsbul"/>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26023"/>
    <w:multiLevelType w:val="hybridMultilevel"/>
    <w:tmpl w:val="DB10A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2634B7"/>
    <w:multiLevelType w:val="hybridMultilevel"/>
    <w:tmpl w:val="BE289446"/>
    <w:lvl w:ilvl="0" w:tplc="B9F8EB9A">
      <w:start w:val="1"/>
      <w:numFmt w:val="decimal"/>
      <w:lvlText w:val="%1."/>
      <w:lvlJc w:val="left"/>
      <w:pPr>
        <w:ind w:left="720" w:hanging="360"/>
      </w:pPr>
      <w:rPr>
        <w:b/>
        <w:color w:val="1919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B92B08"/>
    <w:multiLevelType w:val="hybridMultilevel"/>
    <w:tmpl w:val="B6A0C236"/>
    <w:lvl w:ilvl="0" w:tplc="2CFAF558">
      <w:start w:val="33"/>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B9A11E8"/>
    <w:multiLevelType w:val="hybridMultilevel"/>
    <w:tmpl w:val="4694F2FE"/>
    <w:name w:val="HBbul"/>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444BCE"/>
    <w:multiLevelType w:val="hybridMultilevel"/>
    <w:tmpl w:val="2BF82E5E"/>
    <w:lvl w:ilvl="0" w:tplc="F2F4156C">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8402A3"/>
    <w:multiLevelType w:val="hybridMultilevel"/>
    <w:tmpl w:val="1FA8D134"/>
    <w:lvl w:ilvl="0" w:tplc="FFFFFFFF">
      <w:start w:val="1"/>
      <w:numFmt w:val="decimal"/>
      <w:lvlText w:val="%1."/>
      <w:lvlJc w:val="left"/>
      <w:pPr>
        <w:ind w:left="720" w:hanging="360"/>
      </w:pPr>
      <w:rPr>
        <w:b/>
        <w:color w:val="191919"/>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58A29FC"/>
    <w:multiLevelType w:val="hybridMultilevel"/>
    <w:tmpl w:val="0DB41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CA125DA"/>
    <w:multiLevelType w:val="multilevel"/>
    <w:tmpl w:val="B63C9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F04946"/>
    <w:multiLevelType w:val="hybridMultilevel"/>
    <w:tmpl w:val="EA848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DA2185"/>
    <w:multiLevelType w:val="multilevel"/>
    <w:tmpl w:val="24321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3C79FA"/>
    <w:multiLevelType w:val="multilevel"/>
    <w:tmpl w:val="8EEA41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7351EC"/>
    <w:multiLevelType w:val="hybridMultilevel"/>
    <w:tmpl w:val="DB167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2D55534"/>
    <w:multiLevelType w:val="hybridMultilevel"/>
    <w:tmpl w:val="E8382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2B55356"/>
    <w:multiLevelType w:val="hybridMultilevel"/>
    <w:tmpl w:val="9FF61EC4"/>
    <w:lvl w:ilvl="0" w:tplc="572CC016">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C6749CA"/>
    <w:multiLevelType w:val="hybridMultilevel"/>
    <w:tmpl w:val="3A4C0048"/>
    <w:lvl w:ilvl="0" w:tplc="E14A8F9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2653989">
    <w:abstractNumId w:val="4"/>
  </w:num>
  <w:num w:numId="2" w16cid:durableId="1055083871">
    <w:abstractNumId w:val="0"/>
  </w:num>
  <w:num w:numId="3" w16cid:durableId="654066915">
    <w:abstractNumId w:val="2"/>
  </w:num>
  <w:num w:numId="4" w16cid:durableId="736440174">
    <w:abstractNumId w:val="12"/>
  </w:num>
  <w:num w:numId="5" w16cid:durableId="2033804028">
    <w:abstractNumId w:val="2"/>
  </w:num>
  <w:num w:numId="6" w16cid:durableId="823396675">
    <w:abstractNumId w:val="15"/>
  </w:num>
  <w:num w:numId="7" w16cid:durableId="739062171">
    <w:abstractNumId w:val="14"/>
  </w:num>
  <w:num w:numId="8" w16cid:durableId="2051146342">
    <w:abstractNumId w:val="8"/>
  </w:num>
  <w:num w:numId="9" w16cid:durableId="1633369568">
    <w:abstractNumId w:val="11"/>
  </w:num>
  <w:num w:numId="10" w16cid:durableId="1572889510">
    <w:abstractNumId w:val="10"/>
  </w:num>
  <w:num w:numId="11" w16cid:durableId="571358375">
    <w:abstractNumId w:val="9"/>
  </w:num>
  <w:num w:numId="12" w16cid:durableId="1862433826">
    <w:abstractNumId w:val="5"/>
  </w:num>
  <w:num w:numId="13" w16cid:durableId="693188227">
    <w:abstractNumId w:val="3"/>
  </w:num>
  <w:num w:numId="14" w16cid:durableId="1652755374">
    <w:abstractNumId w:val="6"/>
  </w:num>
  <w:num w:numId="15" w16cid:durableId="841897587">
    <w:abstractNumId w:val="7"/>
  </w:num>
  <w:num w:numId="16" w16cid:durableId="1315910020">
    <w:abstractNumId w:val="1"/>
  </w:num>
  <w:num w:numId="17" w16cid:durableId="15844880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5F"/>
    <w:rsid w:val="0000046A"/>
    <w:rsid w:val="00006397"/>
    <w:rsid w:val="00013E66"/>
    <w:rsid w:val="0002383E"/>
    <w:rsid w:val="00030BD1"/>
    <w:rsid w:val="0003288E"/>
    <w:rsid w:val="000331D6"/>
    <w:rsid w:val="00043879"/>
    <w:rsid w:val="00052F2D"/>
    <w:rsid w:val="00064DAA"/>
    <w:rsid w:val="00077552"/>
    <w:rsid w:val="000949A3"/>
    <w:rsid w:val="000A6F6E"/>
    <w:rsid w:val="000B127F"/>
    <w:rsid w:val="000C3305"/>
    <w:rsid w:val="001120B4"/>
    <w:rsid w:val="00113758"/>
    <w:rsid w:val="001138AC"/>
    <w:rsid w:val="00115574"/>
    <w:rsid w:val="00134D1F"/>
    <w:rsid w:val="00141726"/>
    <w:rsid w:val="0015124C"/>
    <w:rsid w:val="0015718A"/>
    <w:rsid w:val="001578C0"/>
    <w:rsid w:val="00166F19"/>
    <w:rsid w:val="0017433A"/>
    <w:rsid w:val="001A0DEE"/>
    <w:rsid w:val="001A1232"/>
    <w:rsid w:val="001F6DD7"/>
    <w:rsid w:val="001F7C89"/>
    <w:rsid w:val="00227D4B"/>
    <w:rsid w:val="002430CB"/>
    <w:rsid w:val="0025743D"/>
    <w:rsid w:val="002622A4"/>
    <w:rsid w:val="00271FD8"/>
    <w:rsid w:val="0027568F"/>
    <w:rsid w:val="00275AF0"/>
    <w:rsid w:val="00284BF5"/>
    <w:rsid w:val="002A1398"/>
    <w:rsid w:val="002A13E0"/>
    <w:rsid w:val="002B125A"/>
    <w:rsid w:val="002B156E"/>
    <w:rsid w:val="002D2D69"/>
    <w:rsid w:val="002E57EA"/>
    <w:rsid w:val="002E6D68"/>
    <w:rsid w:val="002F0ACA"/>
    <w:rsid w:val="00302442"/>
    <w:rsid w:val="00303633"/>
    <w:rsid w:val="003127D9"/>
    <w:rsid w:val="00340E6D"/>
    <w:rsid w:val="00352784"/>
    <w:rsid w:val="00354C1D"/>
    <w:rsid w:val="00364ACC"/>
    <w:rsid w:val="00366A02"/>
    <w:rsid w:val="00391296"/>
    <w:rsid w:val="003B4504"/>
    <w:rsid w:val="003B7474"/>
    <w:rsid w:val="003D4D61"/>
    <w:rsid w:val="00431A36"/>
    <w:rsid w:val="00447DAE"/>
    <w:rsid w:val="00462387"/>
    <w:rsid w:val="004703B2"/>
    <w:rsid w:val="00473677"/>
    <w:rsid w:val="004B1258"/>
    <w:rsid w:val="004B3F31"/>
    <w:rsid w:val="004D008B"/>
    <w:rsid w:val="004D4BEE"/>
    <w:rsid w:val="004D53A4"/>
    <w:rsid w:val="00507790"/>
    <w:rsid w:val="00513646"/>
    <w:rsid w:val="005145A3"/>
    <w:rsid w:val="005665A0"/>
    <w:rsid w:val="005725FF"/>
    <w:rsid w:val="00577BC1"/>
    <w:rsid w:val="00582261"/>
    <w:rsid w:val="0058273B"/>
    <w:rsid w:val="005A1CAF"/>
    <w:rsid w:val="005C4475"/>
    <w:rsid w:val="005D2E26"/>
    <w:rsid w:val="005D4913"/>
    <w:rsid w:val="006131BA"/>
    <w:rsid w:val="00614DA4"/>
    <w:rsid w:val="006339ED"/>
    <w:rsid w:val="00645690"/>
    <w:rsid w:val="00647E13"/>
    <w:rsid w:val="006563AE"/>
    <w:rsid w:val="00662F53"/>
    <w:rsid w:val="00670416"/>
    <w:rsid w:val="006B5A6C"/>
    <w:rsid w:val="006C2952"/>
    <w:rsid w:val="006C5DFC"/>
    <w:rsid w:val="006D3186"/>
    <w:rsid w:val="006F153D"/>
    <w:rsid w:val="006F4EB4"/>
    <w:rsid w:val="00716655"/>
    <w:rsid w:val="00742686"/>
    <w:rsid w:val="00745079"/>
    <w:rsid w:val="00751890"/>
    <w:rsid w:val="00756E22"/>
    <w:rsid w:val="00760729"/>
    <w:rsid w:val="00775E44"/>
    <w:rsid w:val="00784C12"/>
    <w:rsid w:val="0079355B"/>
    <w:rsid w:val="007C78B1"/>
    <w:rsid w:val="007D693E"/>
    <w:rsid w:val="007D757B"/>
    <w:rsid w:val="007D7DF4"/>
    <w:rsid w:val="007E4DF3"/>
    <w:rsid w:val="008347DA"/>
    <w:rsid w:val="00853C5F"/>
    <w:rsid w:val="00867D19"/>
    <w:rsid w:val="00881E9D"/>
    <w:rsid w:val="0088238F"/>
    <w:rsid w:val="0088691A"/>
    <w:rsid w:val="008925CD"/>
    <w:rsid w:val="008A307A"/>
    <w:rsid w:val="008B5EB5"/>
    <w:rsid w:val="008C6804"/>
    <w:rsid w:val="008E02A0"/>
    <w:rsid w:val="008F7716"/>
    <w:rsid w:val="008F7BC0"/>
    <w:rsid w:val="00904FF1"/>
    <w:rsid w:val="00914F23"/>
    <w:rsid w:val="00915DF5"/>
    <w:rsid w:val="00920A26"/>
    <w:rsid w:val="00931291"/>
    <w:rsid w:val="009331E7"/>
    <w:rsid w:val="00936C9D"/>
    <w:rsid w:val="0094752D"/>
    <w:rsid w:val="00951599"/>
    <w:rsid w:val="00952D5D"/>
    <w:rsid w:val="00965352"/>
    <w:rsid w:val="00971BF2"/>
    <w:rsid w:val="00983D19"/>
    <w:rsid w:val="00987E40"/>
    <w:rsid w:val="0099022F"/>
    <w:rsid w:val="0099788A"/>
    <w:rsid w:val="009D0428"/>
    <w:rsid w:val="009E7D7B"/>
    <w:rsid w:val="009F6B60"/>
    <w:rsid w:val="00A00222"/>
    <w:rsid w:val="00A11F9E"/>
    <w:rsid w:val="00A25A24"/>
    <w:rsid w:val="00A67B25"/>
    <w:rsid w:val="00A96029"/>
    <w:rsid w:val="00AA069B"/>
    <w:rsid w:val="00AA20FD"/>
    <w:rsid w:val="00AC0BD6"/>
    <w:rsid w:val="00AD51E7"/>
    <w:rsid w:val="00AF6F8A"/>
    <w:rsid w:val="00B3030C"/>
    <w:rsid w:val="00B435EC"/>
    <w:rsid w:val="00B47918"/>
    <w:rsid w:val="00B53425"/>
    <w:rsid w:val="00B5406B"/>
    <w:rsid w:val="00B55B37"/>
    <w:rsid w:val="00B65B76"/>
    <w:rsid w:val="00BA00FA"/>
    <w:rsid w:val="00BA7050"/>
    <w:rsid w:val="00BB3148"/>
    <w:rsid w:val="00BE4818"/>
    <w:rsid w:val="00BE7BA6"/>
    <w:rsid w:val="00C31B08"/>
    <w:rsid w:val="00C33B3A"/>
    <w:rsid w:val="00C77087"/>
    <w:rsid w:val="00C828DE"/>
    <w:rsid w:val="00C9168E"/>
    <w:rsid w:val="00C92992"/>
    <w:rsid w:val="00C9622F"/>
    <w:rsid w:val="00CA5BDD"/>
    <w:rsid w:val="00CC1BFB"/>
    <w:rsid w:val="00CD2380"/>
    <w:rsid w:val="00CD3D98"/>
    <w:rsid w:val="00CE0D63"/>
    <w:rsid w:val="00CF10AF"/>
    <w:rsid w:val="00D05FBA"/>
    <w:rsid w:val="00D117BF"/>
    <w:rsid w:val="00D24E3D"/>
    <w:rsid w:val="00D41457"/>
    <w:rsid w:val="00D52CD6"/>
    <w:rsid w:val="00D56F56"/>
    <w:rsid w:val="00D57876"/>
    <w:rsid w:val="00D77ABD"/>
    <w:rsid w:val="00D84AB5"/>
    <w:rsid w:val="00DB063B"/>
    <w:rsid w:val="00DB30CC"/>
    <w:rsid w:val="00DF15A7"/>
    <w:rsid w:val="00E25663"/>
    <w:rsid w:val="00E52E56"/>
    <w:rsid w:val="00E53655"/>
    <w:rsid w:val="00E57CDD"/>
    <w:rsid w:val="00E57D10"/>
    <w:rsid w:val="00E655A7"/>
    <w:rsid w:val="00E710BB"/>
    <w:rsid w:val="00E7354B"/>
    <w:rsid w:val="00E83AC0"/>
    <w:rsid w:val="00EA1D79"/>
    <w:rsid w:val="00EE1845"/>
    <w:rsid w:val="00EE7ABA"/>
    <w:rsid w:val="00EF2487"/>
    <w:rsid w:val="00EF5690"/>
    <w:rsid w:val="00F223E5"/>
    <w:rsid w:val="00F40561"/>
    <w:rsid w:val="00F45D12"/>
    <w:rsid w:val="00F54414"/>
    <w:rsid w:val="00F54FA8"/>
    <w:rsid w:val="00F62E53"/>
    <w:rsid w:val="00F85296"/>
    <w:rsid w:val="00FB099C"/>
    <w:rsid w:val="00FE6F8E"/>
    <w:rsid w:val="00FF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0EEF7"/>
  <w15:docId w15:val="{B351124C-9782-4E73-9C39-50DBA915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C5F"/>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ListParagraph">
    <w:name w:val="List Paragraph"/>
    <w:basedOn w:val="Normal"/>
    <w:uiPriority w:val="34"/>
    <w:qFormat/>
    <w:rsid w:val="00853C5F"/>
    <w:pPr>
      <w:ind w:left="720"/>
      <w:contextualSpacing/>
    </w:pPr>
  </w:style>
  <w:style w:type="paragraph" w:customStyle="1" w:styleId="Default">
    <w:name w:val="Default"/>
    <w:rsid w:val="00853C5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53C5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222"/>
    <w:pPr>
      <w:tabs>
        <w:tab w:val="center" w:pos="4680"/>
        <w:tab w:val="right" w:pos="9360"/>
      </w:tabs>
    </w:pPr>
  </w:style>
  <w:style w:type="character" w:customStyle="1" w:styleId="HeaderChar">
    <w:name w:val="Header Char"/>
    <w:basedOn w:val="DefaultParagraphFont"/>
    <w:link w:val="Header"/>
    <w:uiPriority w:val="99"/>
    <w:rsid w:val="00A00222"/>
    <w:rPr>
      <w:rFonts w:ascii="Times New Roman" w:hAnsi="Times New Roman" w:cs="Times New Roman"/>
      <w:sz w:val="24"/>
      <w:szCs w:val="24"/>
    </w:rPr>
  </w:style>
  <w:style w:type="paragraph" w:styleId="Footer">
    <w:name w:val="footer"/>
    <w:basedOn w:val="Normal"/>
    <w:link w:val="FooterChar"/>
    <w:uiPriority w:val="99"/>
    <w:unhideWhenUsed/>
    <w:rsid w:val="00A00222"/>
    <w:pPr>
      <w:tabs>
        <w:tab w:val="center" w:pos="4680"/>
        <w:tab w:val="right" w:pos="9360"/>
      </w:tabs>
    </w:pPr>
  </w:style>
  <w:style w:type="character" w:customStyle="1" w:styleId="FooterChar">
    <w:name w:val="Footer Char"/>
    <w:basedOn w:val="DefaultParagraphFont"/>
    <w:link w:val="Footer"/>
    <w:uiPriority w:val="99"/>
    <w:rsid w:val="00A0022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40E6D"/>
    <w:rPr>
      <w:sz w:val="16"/>
      <w:szCs w:val="16"/>
    </w:rPr>
  </w:style>
  <w:style w:type="paragraph" w:styleId="CommentText">
    <w:name w:val="annotation text"/>
    <w:basedOn w:val="Normal"/>
    <w:link w:val="CommentTextChar"/>
    <w:uiPriority w:val="99"/>
    <w:unhideWhenUsed/>
    <w:rsid w:val="00340E6D"/>
    <w:rPr>
      <w:sz w:val="20"/>
      <w:szCs w:val="20"/>
    </w:rPr>
  </w:style>
  <w:style w:type="character" w:customStyle="1" w:styleId="CommentTextChar">
    <w:name w:val="Comment Text Char"/>
    <w:basedOn w:val="DefaultParagraphFont"/>
    <w:link w:val="CommentText"/>
    <w:uiPriority w:val="99"/>
    <w:rsid w:val="00340E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0E6D"/>
    <w:rPr>
      <w:b/>
      <w:bCs/>
    </w:rPr>
  </w:style>
  <w:style w:type="character" w:customStyle="1" w:styleId="CommentSubjectChar">
    <w:name w:val="Comment Subject Char"/>
    <w:basedOn w:val="CommentTextChar"/>
    <w:link w:val="CommentSubject"/>
    <w:uiPriority w:val="99"/>
    <w:semiHidden/>
    <w:rsid w:val="00340E6D"/>
    <w:rPr>
      <w:rFonts w:ascii="Times New Roman" w:hAnsi="Times New Roman" w:cs="Times New Roman"/>
      <w:b/>
      <w:bCs/>
      <w:sz w:val="20"/>
      <w:szCs w:val="20"/>
    </w:rPr>
  </w:style>
  <w:style w:type="paragraph" w:styleId="Revision">
    <w:name w:val="Revision"/>
    <w:hidden/>
    <w:uiPriority w:val="99"/>
    <w:semiHidden/>
    <w:rsid w:val="007D7DF4"/>
    <w:pPr>
      <w:spacing w:after="0" w:line="240" w:lineRule="auto"/>
    </w:pPr>
    <w:rPr>
      <w:rFonts w:ascii="Times New Roman" w:hAnsi="Times New Roman" w:cs="Times New Roman"/>
      <w:sz w:val="24"/>
      <w:szCs w:val="24"/>
    </w:rPr>
  </w:style>
  <w:style w:type="table" w:customStyle="1" w:styleId="TableGrid1">
    <w:name w:val="Table Grid1"/>
    <w:basedOn w:val="TableNormal"/>
    <w:next w:val="TableGrid"/>
    <w:uiPriority w:val="39"/>
    <w:rsid w:val="00E52E56"/>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6F8A"/>
    <w:rPr>
      <w:color w:val="0563C1" w:themeColor="hyperlink"/>
      <w:u w:val="single"/>
    </w:rPr>
  </w:style>
  <w:style w:type="character" w:styleId="UnresolvedMention">
    <w:name w:val="Unresolved Mention"/>
    <w:basedOn w:val="DefaultParagraphFont"/>
    <w:uiPriority w:val="99"/>
    <w:semiHidden/>
    <w:unhideWhenUsed/>
    <w:rsid w:val="00AF6F8A"/>
    <w:rPr>
      <w:color w:val="605E5C"/>
      <w:shd w:val="clear" w:color="auto" w:fill="E1DFDD"/>
    </w:rPr>
  </w:style>
  <w:style w:type="paragraph" w:customStyle="1" w:styleId="Body">
    <w:name w:val="Body"/>
    <w:basedOn w:val="Heading1"/>
    <w:link w:val="BodyChar"/>
    <w:qFormat/>
    <w:rsid w:val="00B65B76"/>
    <w:pPr>
      <w:keepNext/>
      <w:keepLines/>
      <w:spacing w:after="0" w:line="276" w:lineRule="auto"/>
    </w:pPr>
    <w:rPr>
      <w:rFonts w:ascii="News Gothic MT" w:eastAsiaTheme="majorEastAsia" w:hAnsi="News Gothic MT" w:cstheme="majorBidi"/>
      <w:snapToGrid/>
      <w:color w:val="000000"/>
      <w:szCs w:val="32"/>
    </w:rPr>
  </w:style>
  <w:style w:type="character" w:customStyle="1" w:styleId="BodyChar">
    <w:name w:val="Body Char"/>
    <w:basedOn w:val="Heading1Char"/>
    <w:link w:val="Body"/>
    <w:rsid w:val="00B65B76"/>
    <w:rPr>
      <w:rFonts w:ascii="News Gothic MT" w:eastAsiaTheme="majorEastAsia" w:hAnsi="News Gothic MT" w:cstheme="majorBidi"/>
      <w:snapToGrid/>
      <w:color w:val="000000"/>
      <w:sz w:val="24"/>
      <w:szCs w:val="32"/>
    </w:rPr>
  </w:style>
  <w:style w:type="paragraph" w:customStyle="1" w:styleId="xmsolistparagraph">
    <w:name w:val="x_msolistparagraph"/>
    <w:basedOn w:val="Normal"/>
    <w:rsid w:val="00577BC1"/>
    <w:pPr>
      <w:suppressAutoHyphens w:val="0"/>
      <w:ind w:left="720"/>
    </w:pPr>
    <w:rPr>
      <w:rFonts w:eastAsiaTheme="minorHAnsi"/>
    </w:rPr>
  </w:style>
  <w:style w:type="paragraph" w:customStyle="1" w:styleId="xmsonormal">
    <w:name w:val="x_msonormal"/>
    <w:basedOn w:val="Normal"/>
    <w:rsid w:val="00CD2380"/>
    <w:pPr>
      <w:suppressAutoHyphens w:val="0"/>
    </w:pPr>
    <w:rPr>
      <w:rFonts w:ascii="Calibri" w:eastAsiaTheme="minorHAnsi" w:hAnsi="Calibri" w:cs="Calibri"/>
      <w:sz w:val="22"/>
      <w:szCs w:val="22"/>
    </w:rPr>
  </w:style>
  <w:style w:type="paragraph" w:customStyle="1" w:styleId="xxxxmsonormal">
    <w:name w:val="x_xxxmsonormal"/>
    <w:basedOn w:val="Normal"/>
    <w:rsid w:val="00CD2380"/>
    <w:pPr>
      <w:suppressAutoHyphens w:val="0"/>
    </w:pPr>
    <w:rPr>
      <w:rFonts w:ascii="Calibri" w:eastAsiaTheme="minorHAnsi" w:hAnsi="Calibri" w:cs="Calibri"/>
      <w:sz w:val="22"/>
      <w:szCs w:val="22"/>
    </w:rPr>
  </w:style>
  <w:style w:type="paragraph" w:styleId="NormalWeb">
    <w:name w:val="Normal (Web)"/>
    <w:basedOn w:val="Normal"/>
    <w:uiPriority w:val="99"/>
    <w:semiHidden/>
    <w:unhideWhenUsed/>
    <w:rsid w:val="00CD2380"/>
    <w:pPr>
      <w:suppressAutoHyphens w:val="0"/>
      <w:spacing w:before="100" w:beforeAutospacing="1" w:after="100" w:afterAutospacing="1"/>
    </w:pPr>
  </w:style>
  <w:style w:type="character" w:styleId="Strong">
    <w:name w:val="Strong"/>
    <w:basedOn w:val="DefaultParagraphFont"/>
    <w:uiPriority w:val="22"/>
    <w:qFormat/>
    <w:rsid w:val="00CD2380"/>
    <w:rPr>
      <w:b/>
      <w:bCs/>
    </w:rPr>
  </w:style>
  <w:style w:type="paragraph" w:customStyle="1" w:styleId="AuthorName">
    <w:name w:val="_AuthorName"/>
    <w:basedOn w:val="Normal"/>
    <w:next w:val="AuthorInfo"/>
    <w:uiPriority w:val="99"/>
    <w:semiHidden/>
    <w:unhideWhenUsed/>
    <w:rsid w:val="00EA1D79"/>
    <w:pPr>
      <w:suppressAutoHyphens w:val="0"/>
    </w:pPr>
    <w:rPr>
      <w:sz w:val="22"/>
      <w:szCs w:val="20"/>
    </w:rPr>
  </w:style>
  <w:style w:type="paragraph" w:customStyle="1" w:styleId="AuthorInfo">
    <w:name w:val="_AuthorInfo"/>
    <w:basedOn w:val="AuthorName"/>
    <w:uiPriority w:val="99"/>
    <w:semiHidden/>
    <w:unhideWhenUsed/>
    <w:rsid w:val="00EA1D79"/>
    <w:rPr>
      <w:sz w:val="20"/>
    </w:rPr>
  </w:style>
  <w:style w:type="character" w:customStyle="1" w:styleId="DocID">
    <w:name w:val="DocID"/>
    <w:basedOn w:val="DefaultParagraphFont"/>
    <w:uiPriority w:val="1"/>
    <w:rsid w:val="001578C0"/>
    <w:rPr>
      <w:rFonts w:ascii="Times New Roman" w:hAnsi="Times New Roman"/>
      <w:sz w:val="16"/>
      <w:szCs w:val="16"/>
    </w:rPr>
  </w:style>
  <w:style w:type="paragraph" w:styleId="FootnoteText">
    <w:name w:val="footnote text"/>
    <w:basedOn w:val="Normal"/>
    <w:link w:val="FootnoteTextChar"/>
    <w:uiPriority w:val="99"/>
    <w:semiHidden/>
    <w:unhideWhenUsed/>
    <w:rsid w:val="00742686"/>
    <w:rPr>
      <w:sz w:val="20"/>
      <w:szCs w:val="20"/>
    </w:rPr>
  </w:style>
  <w:style w:type="character" w:customStyle="1" w:styleId="FootnoteTextChar">
    <w:name w:val="Footnote Text Char"/>
    <w:basedOn w:val="DefaultParagraphFont"/>
    <w:link w:val="FootnoteText"/>
    <w:uiPriority w:val="99"/>
    <w:semiHidden/>
    <w:rsid w:val="0074268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742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89067">
      <w:bodyDiv w:val="1"/>
      <w:marLeft w:val="0"/>
      <w:marRight w:val="0"/>
      <w:marTop w:val="0"/>
      <w:marBottom w:val="0"/>
      <w:divBdr>
        <w:top w:val="none" w:sz="0" w:space="0" w:color="auto"/>
        <w:left w:val="none" w:sz="0" w:space="0" w:color="auto"/>
        <w:bottom w:val="none" w:sz="0" w:space="0" w:color="auto"/>
        <w:right w:val="none" w:sz="0" w:space="0" w:color="auto"/>
      </w:divBdr>
    </w:div>
    <w:div w:id="212541028">
      <w:bodyDiv w:val="1"/>
      <w:marLeft w:val="0"/>
      <w:marRight w:val="0"/>
      <w:marTop w:val="0"/>
      <w:marBottom w:val="0"/>
      <w:divBdr>
        <w:top w:val="none" w:sz="0" w:space="0" w:color="auto"/>
        <w:left w:val="none" w:sz="0" w:space="0" w:color="auto"/>
        <w:bottom w:val="none" w:sz="0" w:space="0" w:color="auto"/>
        <w:right w:val="none" w:sz="0" w:space="0" w:color="auto"/>
      </w:divBdr>
    </w:div>
    <w:div w:id="278536149">
      <w:bodyDiv w:val="1"/>
      <w:marLeft w:val="0"/>
      <w:marRight w:val="0"/>
      <w:marTop w:val="0"/>
      <w:marBottom w:val="0"/>
      <w:divBdr>
        <w:top w:val="none" w:sz="0" w:space="0" w:color="auto"/>
        <w:left w:val="none" w:sz="0" w:space="0" w:color="auto"/>
        <w:bottom w:val="none" w:sz="0" w:space="0" w:color="auto"/>
        <w:right w:val="none" w:sz="0" w:space="0" w:color="auto"/>
      </w:divBdr>
    </w:div>
    <w:div w:id="278797967">
      <w:bodyDiv w:val="1"/>
      <w:marLeft w:val="0"/>
      <w:marRight w:val="0"/>
      <w:marTop w:val="0"/>
      <w:marBottom w:val="0"/>
      <w:divBdr>
        <w:top w:val="none" w:sz="0" w:space="0" w:color="auto"/>
        <w:left w:val="none" w:sz="0" w:space="0" w:color="auto"/>
        <w:bottom w:val="none" w:sz="0" w:space="0" w:color="auto"/>
        <w:right w:val="none" w:sz="0" w:space="0" w:color="auto"/>
      </w:divBdr>
    </w:div>
    <w:div w:id="419957437">
      <w:bodyDiv w:val="1"/>
      <w:marLeft w:val="0"/>
      <w:marRight w:val="0"/>
      <w:marTop w:val="0"/>
      <w:marBottom w:val="0"/>
      <w:divBdr>
        <w:top w:val="none" w:sz="0" w:space="0" w:color="auto"/>
        <w:left w:val="none" w:sz="0" w:space="0" w:color="auto"/>
        <w:bottom w:val="none" w:sz="0" w:space="0" w:color="auto"/>
        <w:right w:val="none" w:sz="0" w:space="0" w:color="auto"/>
      </w:divBdr>
    </w:div>
    <w:div w:id="773983653">
      <w:bodyDiv w:val="1"/>
      <w:marLeft w:val="0"/>
      <w:marRight w:val="0"/>
      <w:marTop w:val="0"/>
      <w:marBottom w:val="0"/>
      <w:divBdr>
        <w:top w:val="none" w:sz="0" w:space="0" w:color="auto"/>
        <w:left w:val="none" w:sz="0" w:space="0" w:color="auto"/>
        <w:bottom w:val="none" w:sz="0" w:space="0" w:color="auto"/>
        <w:right w:val="none" w:sz="0" w:space="0" w:color="auto"/>
      </w:divBdr>
    </w:div>
    <w:div w:id="1156188336">
      <w:bodyDiv w:val="1"/>
      <w:marLeft w:val="0"/>
      <w:marRight w:val="0"/>
      <w:marTop w:val="0"/>
      <w:marBottom w:val="0"/>
      <w:divBdr>
        <w:top w:val="none" w:sz="0" w:space="0" w:color="auto"/>
        <w:left w:val="none" w:sz="0" w:space="0" w:color="auto"/>
        <w:bottom w:val="none" w:sz="0" w:space="0" w:color="auto"/>
        <w:right w:val="none" w:sz="0" w:space="0" w:color="auto"/>
      </w:divBdr>
    </w:div>
    <w:div w:id="1383211823">
      <w:bodyDiv w:val="1"/>
      <w:marLeft w:val="0"/>
      <w:marRight w:val="0"/>
      <w:marTop w:val="0"/>
      <w:marBottom w:val="0"/>
      <w:divBdr>
        <w:top w:val="none" w:sz="0" w:space="0" w:color="auto"/>
        <w:left w:val="none" w:sz="0" w:space="0" w:color="auto"/>
        <w:bottom w:val="none" w:sz="0" w:space="0" w:color="auto"/>
        <w:right w:val="none" w:sz="0" w:space="0" w:color="auto"/>
      </w:divBdr>
    </w:div>
    <w:div w:id="1504977295">
      <w:bodyDiv w:val="1"/>
      <w:marLeft w:val="0"/>
      <w:marRight w:val="0"/>
      <w:marTop w:val="0"/>
      <w:marBottom w:val="0"/>
      <w:divBdr>
        <w:top w:val="none" w:sz="0" w:space="0" w:color="auto"/>
        <w:left w:val="none" w:sz="0" w:space="0" w:color="auto"/>
        <w:bottom w:val="none" w:sz="0" w:space="0" w:color="auto"/>
        <w:right w:val="none" w:sz="0" w:space="0" w:color="auto"/>
      </w:divBdr>
    </w:div>
    <w:div w:id="1743478965">
      <w:bodyDiv w:val="1"/>
      <w:marLeft w:val="0"/>
      <w:marRight w:val="0"/>
      <w:marTop w:val="0"/>
      <w:marBottom w:val="0"/>
      <w:divBdr>
        <w:top w:val="none" w:sz="0" w:space="0" w:color="auto"/>
        <w:left w:val="none" w:sz="0" w:space="0" w:color="auto"/>
        <w:bottom w:val="none" w:sz="0" w:space="0" w:color="auto"/>
        <w:right w:val="none" w:sz="0" w:space="0" w:color="auto"/>
      </w:divBdr>
    </w:div>
    <w:div w:id="1819763039">
      <w:bodyDiv w:val="1"/>
      <w:marLeft w:val="0"/>
      <w:marRight w:val="0"/>
      <w:marTop w:val="0"/>
      <w:marBottom w:val="0"/>
      <w:divBdr>
        <w:top w:val="none" w:sz="0" w:space="0" w:color="auto"/>
        <w:left w:val="none" w:sz="0" w:space="0" w:color="auto"/>
        <w:bottom w:val="none" w:sz="0" w:space="0" w:color="auto"/>
        <w:right w:val="none" w:sz="0" w:space="0" w:color="auto"/>
      </w:divBdr>
    </w:div>
    <w:div w:id="2067609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mailto:HaverhillCommunity@LawrenceGeneral.org" TargetMode="External"/><Relationship Id="rId2" Type="http://schemas.openxmlformats.org/officeDocument/2006/relationships/hyperlink" Target="https://holyfamilyhospital.org/SEF_FAQ/" TargetMode="External"/><Relationship Id="rId1" Type="http://schemas.openxmlformats.org/officeDocument/2006/relationships/hyperlink" Target="https://nam11.safelinks.protection.outlook.com/?url=https%3A%2F%2Fwww.lawrencegeneral.org%2Fsef_faq&amp;data=05%7C02%7Clori.howley%40lawrencegeneral.org%7C97c50ac0f0ea4fe0c89008ddb4bc75b2%7C4bc42df4ca4e412a97783e9ebfb82889%7C0%7C0%7C638865443691360518%7CUnknown%7CTWFpbGZsb3d8eyJFbXB0eU1hcGkiOnRydWUsIlYiOiIwLjAuMDAwMCIsIlAiOiJXaW4zMiIsIkFOIjoiTWFpbCIsIldUIjoyfQ%3D%3D%7C0%7C%7C%7C&amp;sdata=l2KGD6bIhHBkbOIh3u7rNiFS0wmbbJhcqsaumuMcjTg%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96BB-E7F9-4264-8981-2F8E35066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1256</Words>
  <Characters>6938</Characters>
  <Application>Microsoft Office Word</Application>
  <DocSecurity>0</DocSecurity>
  <Lines>198</Lines>
  <Paragraphs>115</Paragraphs>
  <ScaleCrop>false</ScaleCrop>
  <HeadingPairs>
    <vt:vector size="2" baseType="variant">
      <vt:variant>
        <vt:lpstr>Title</vt:lpstr>
      </vt:variant>
      <vt:variant>
        <vt:i4>1</vt:i4>
      </vt:variant>
    </vt:vector>
  </HeadingPairs>
  <TitlesOfParts>
    <vt:vector size="1" baseType="lpstr">
      <vt:lpstr/>
    </vt:vector>
  </TitlesOfParts>
  <Company>Lawrence General Hospital</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Alley, Anthony</dc:creator>
  <cp:lastModifiedBy>Husch Blackwell:</cp:lastModifiedBy>
  <cp:revision>2</cp:revision>
  <cp:lastPrinted>1900-01-01T06:00:00Z</cp:lastPrinted>
  <dcterms:created xsi:type="dcterms:W3CDTF">2025-06-27T19:15:00Z</dcterms:created>
  <dcterms:modified xsi:type="dcterms:W3CDTF">2025-06-27T19:15:00Z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4924-8780-0908.3</vt:lpwstr>
  </property>
  <property fmtid="{D5CDD505-2E9C-101B-9397-08002B2CF9AE}" pid="3" name="DocXFormat">
    <vt:lpwstr>HB DocID w/ver w/HB Label</vt:lpwstr>
  </property>
  <property fmtid="{D5CDD505-2E9C-101B-9397-08002B2CF9AE}" pid="4" name="DocXLocation">
    <vt:lpwstr>NoDocId</vt:lpwstr>
  </property>
  <property fmtid="{D5CDD505-2E9C-101B-9397-08002B2CF9AE}" pid="5" name="ndDocumentId">
    <vt:lpwstr>4924-8780-0908</vt:lpwstr>
  </property>
</Properties>
</file>