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5C9" w:rsidRPr="00C718CA" w:rsidRDefault="006E45C9" w:rsidP="006E45C9">
      <w:pPr>
        <w:pStyle w:val="Title"/>
        <w:contextualSpacing/>
        <w:rPr>
          <w:b w:val="0"/>
          <w:u w:val="none"/>
        </w:rPr>
      </w:pPr>
      <w:r w:rsidRPr="00C718CA">
        <w:rPr>
          <w:b w:val="0"/>
          <w:u w:val="none"/>
        </w:rPr>
        <w:t>COMMONWEALTH OF MASSACHUSETTS</w:t>
      </w:r>
    </w:p>
    <w:p w:rsidR="006E45C9" w:rsidRPr="00296586" w:rsidRDefault="006E45C9" w:rsidP="006E45C9">
      <w:pPr>
        <w:contextualSpacing/>
        <w:jc w:val="center"/>
      </w:pPr>
      <w:r w:rsidRPr="00296586">
        <w:t xml:space="preserve">      EXECUTIVE OFFICE OF ENERGY AND ENVIRONMENTAL AFFAIRS</w:t>
      </w:r>
    </w:p>
    <w:p w:rsidR="006E45C9" w:rsidRPr="00296586" w:rsidRDefault="006E45C9" w:rsidP="006E45C9">
      <w:pPr>
        <w:pStyle w:val="Heading1"/>
        <w:contextualSpacing/>
        <w:rPr>
          <w:b w:val="0"/>
        </w:rPr>
      </w:pPr>
      <w:r w:rsidRPr="00296586">
        <w:rPr>
          <w:b w:val="0"/>
        </w:rPr>
        <w:t xml:space="preserve">      DEPARTMENT OF ENVIRONMENTAL PROTECTION</w:t>
      </w:r>
    </w:p>
    <w:p w:rsidR="006E45C9" w:rsidRPr="00296586" w:rsidRDefault="006E45C9" w:rsidP="006E45C9">
      <w:pPr>
        <w:pStyle w:val="Heading1"/>
        <w:contextualSpacing/>
        <w:rPr>
          <w:b w:val="0"/>
        </w:rPr>
      </w:pPr>
      <w:r w:rsidRPr="00296586">
        <w:rPr>
          <w:b w:val="0"/>
        </w:rPr>
        <w:t xml:space="preserve">     ONE WINTER STREET, BOSTON, MA 02108 617-292-5500</w:t>
      </w:r>
    </w:p>
    <w:p w:rsidR="006E45C9" w:rsidRPr="004266A0" w:rsidRDefault="006E45C9" w:rsidP="006E45C9"/>
    <w:p w:rsidR="006E45C9" w:rsidRPr="004266A0" w:rsidRDefault="006E45C9" w:rsidP="006E45C9">
      <w:r w:rsidRPr="004266A0">
        <w:tab/>
      </w:r>
      <w:r w:rsidRPr="004266A0">
        <w:tab/>
      </w:r>
      <w:r w:rsidRPr="004266A0">
        <w:tab/>
      </w:r>
      <w:r w:rsidRPr="004266A0">
        <w:tab/>
      </w:r>
      <w:r w:rsidRPr="004266A0">
        <w:tab/>
      </w:r>
      <w:r w:rsidRPr="004266A0">
        <w:tab/>
        <w:t xml:space="preserve">                        </w:t>
      </w:r>
      <w:r w:rsidR="00F1328F">
        <w:t>A</w:t>
      </w:r>
      <w:r w:rsidR="007451B9">
        <w:t>pril</w:t>
      </w:r>
      <w:r w:rsidR="00F1328F">
        <w:t xml:space="preserve"> </w:t>
      </w:r>
      <w:r w:rsidR="007451B9">
        <w:t>1</w:t>
      </w:r>
      <w:r w:rsidR="00CE2CCC">
        <w:t>7</w:t>
      </w:r>
      <w:r>
        <w:t>,</w:t>
      </w:r>
      <w:r w:rsidRPr="004266A0">
        <w:t xml:space="preserve"> 201</w:t>
      </w:r>
      <w:r w:rsidR="007451B9">
        <w:t>5</w:t>
      </w:r>
      <w:r w:rsidRPr="004266A0">
        <w:t xml:space="preserve"> </w:t>
      </w:r>
    </w:p>
    <w:p w:rsidR="006E45C9" w:rsidRPr="003304C1" w:rsidRDefault="006E45C9" w:rsidP="006E45C9">
      <w:r w:rsidRPr="003304C1">
        <w:t>_____________________________</w:t>
      </w:r>
    </w:p>
    <w:p w:rsidR="006E45C9" w:rsidRDefault="006E45C9" w:rsidP="006E45C9">
      <w:pPr>
        <w:contextualSpacing/>
      </w:pPr>
      <w:r>
        <w:t xml:space="preserve">    </w:t>
      </w:r>
      <w:r>
        <w:tab/>
      </w:r>
      <w:r>
        <w:tab/>
      </w:r>
      <w:r>
        <w:tab/>
      </w:r>
      <w:r>
        <w:tab/>
      </w:r>
      <w:r>
        <w:tab/>
      </w:r>
      <w:r>
        <w:tab/>
      </w:r>
      <w:r>
        <w:tab/>
      </w:r>
      <w:r>
        <w:tab/>
      </w:r>
      <w:r w:rsidRPr="003304C1">
        <w:t xml:space="preserve">Docket No. </w:t>
      </w:r>
      <w:r>
        <w:t>WET-2013-022</w:t>
      </w:r>
    </w:p>
    <w:p w:rsidR="006E45C9" w:rsidRDefault="006E45C9" w:rsidP="006E45C9">
      <w:pPr>
        <w:contextualSpacing/>
      </w:pPr>
      <w:r>
        <w:t>In the Matter of</w:t>
      </w:r>
      <w:r>
        <w:tab/>
      </w:r>
      <w:r>
        <w:tab/>
      </w:r>
      <w:r>
        <w:tab/>
      </w:r>
      <w:r>
        <w:tab/>
      </w:r>
      <w:r>
        <w:tab/>
      </w:r>
      <w:r>
        <w:tab/>
        <w:t>File No. 201-0745</w:t>
      </w:r>
      <w:r>
        <w:tab/>
      </w:r>
      <w:r>
        <w:tab/>
      </w:r>
    </w:p>
    <w:p w:rsidR="006E45C9" w:rsidRPr="003304C1" w:rsidRDefault="006E45C9" w:rsidP="006E45C9">
      <w:pPr>
        <w:contextualSpacing/>
      </w:pPr>
      <w:r>
        <w:t>95 Hayden LLC</w:t>
      </w:r>
      <w:r>
        <w:tab/>
      </w:r>
      <w:r>
        <w:tab/>
      </w:r>
      <w:r>
        <w:tab/>
      </w:r>
      <w:r>
        <w:tab/>
      </w:r>
      <w:r>
        <w:tab/>
      </w:r>
      <w:r>
        <w:tab/>
        <w:t xml:space="preserve">Lexington </w:t>
      </w:r>
    </w:p>
    <w:p w:rsidR="006E45C9" w:rsidRDefault="006E45C9" w:rsidP="006E45C9">
      <w:pPr>
        <w:spacing w:line="480" w:lineRule="auto"/>
      </w:pPr>
      <w:r>
        <w:t>_</w:t>
      </w:r>
      <w:r w:rsidRPr="003304C1">
        <w:t>_____________________________</w:t>
      </w:r>
    </w:p>
    <w:p w:rsidR="006E45C9" w:rsidRPr="003304C1" w:rsidRDefault="006E45C9" w:rsidP="006E45C9">
      <w:pPr>
        <w:pStyle w:val="Heading1"/>
        <w:ind w:left="1440" w:firstLine="720"/>
        <w:jc w:val="left"/>
        <w:rPr>
          <w:u w:val="single"/>
        </w:rPr>
      </w:pPr>
      <w:r w:rsidRPr="00681E5D">
        <w:t xml:space="preserve"> </w:t>
      </w:r>
      <w:r>
        <w:t xml:space="preserve">     </w:t>
      </w:r>
      <w:r w:rsidRPr="00681E5D">
        <w:t xml:space="preserve">  </w:t>
      </w:r>
      <w:r w:rsidR="00BC572A" w:rsidRPr="00BC572A">
        <w:rPr>
          <w:u w:val="single"/>
        </w:rPr>
        <w:t>RECOMMENDED FINAL</w:t>
      </w:r>
      <w:r>
        <w:rPr>
          <w:u w:val="single"/>
        </w:rPr>
        <w:t xml:space="preserve"> DECISION</w:t>
      </w:r>
    </w:p>
    <w:p w:rsidR="006E45C9" w:rsidRPr="003304C1" w:rsidRDefault="006E45C9" w:rsidP="006E45C9"/>
    <w:p w:rsidR="006E45C9" w:rsidRPr="00D77CE6" w:rsidRDefault="00CD1403" w:rsidP="006E45C9">
      <w:pPr>
        <w:spacing w:line="480" w:lineRule="auto"/>
        <w:ind w:firstLine="720"/>
        <w:contextualSpacing/>
      </w:pPr>
      <w:r>
        <w:t xml:space="preserve">The </w:t>
      </w:r>
      <w:r w:rsidR="006E45C9">
        <w:t xml:space="preserve">Petitioner, One </w:t>
      </w:r>
      <w:proofErr w:type="spellStart"/>
      <w:r w:rsidR="006E45C9">
        <w:t>Ledgemont</w:t>
      </w:r>
      <w:proofErr w:type="spellEnd"/>
      <w:r w:rsidR="006E45C9">
        <w:t xml:space="preserve"> LLC (“One </w:t>
      </w:r>
      <w:proofErr w:type="spellStart"/>
      <w:r w:rsidR="006E45C9">
        <w:t>Ledgemont</w:t>
      </w:r>
      <w:proofErr w:type="spellEnd"/>
      <w:r w:rsidR="006E45C9">
        <w:t xml:space="preserve">”), filed </w:t>
      </w:r>
      <w:r w:rsidR="007451B9">
        <w:t>this</w:t>
      </w:r>
      <w:r w:rsidR="006E45C9">
        <w:t xml:space="preserve"> appeal </w:t>
      </w:r>
      <w:r w:rsidR="007451B9">
        <w:t xml:space="preserve">challenging </w:t>
      </w:r>
      <w:r w:rsidR="006E45C9" w:rsidRPr="00BD3AB3">
        <w:rPr>
          <w:u w:color="FF0000"/>
        </w:rPr>
        <w:t>a</w:t>
      </w:r>
      <w:r w:rsidR="007451B9">
        <w:rPr>
          <w:u w:color="FF0000"/>
        </w:rPr>
        <w:t xml:space="preserve"> </w:t>
      </w:r>
      <w:r w:rsidR="006E45C9" w:rsidRPr="00BD3AB3">
        <w:t xml:space="preserve">Superseding </w:t>
      </w:r>
      <w:r w:rsidR="007451B9">
        <w:t xml:space="preserve">Amended </w:t>
      </w:r>
      <w:r w:rsidR="006E45C9" w:rsidRPr="00BD3AB3">
        <w:t xml:space="preserve">Order of </w:t>
      </w:r>
      <w:r w:rsidR="006E45C9">
        <w:t>Conditions</w:t>
      </w:r>
      <w:r w:rsidR="006E45C9" w:rsidRPr="00BD3AB3">
        <w:t xml:space="preserve"> </w:t>
      </w:r>
      <w:r w:rsidR="007451B9">
        <w:t xml:space="preserve">that the </w:t>
      </w:r>
      <w:r w:rsidR="007451B9" w:rsidRPr="00BD3AB3">
        <w:t xml:space="preserve">Massachusetts Department of Environmental Protection’s </w:t>
      </w:r>
      <w:r w:rsidR="007451B9">
        <w:t>Northeast</w:t>
      </w:r>
      <w:r w:rsidR="007451B9" w:rsidRPr="00BD3AB3">
        <w:t xml:space="preserve"> Regional Office</w:t>
      </w:r>
      <w:r w:rsidR="007451B9" w:rsidRPr="00BD3AB3">
        <w:rPr>
          <w:u w:color="FF0000"/>
        </w:rPr>
        <w:t xml:space="preserve"> </w:t>
      </w:r>
      <w:r w:rsidR="006E45C9">
        <w:t xml:space="preserve">issued to 95 Hayden LLC (“95 Hayden”) </w:t>
      </w:r>
      <w:r w:rsidR="006E45C9" w:rsidRPr="00BD3AB3">
        <w:t xml:space="preserve">under the </w:t>
      </w:r>
      <w:r w:rsidR="006E45C9" w:rsidRPr="00E92C0A">
        <w:t>Massachusetts Wetlands Protection Act, G.L. c. 131, § 40 and the Wetlands Regulations, 310 CMR 10.00</w:t>
      </w:r>
      <w:r w:rsidR="006E45C9">
        <w:t>.</w:t>
      </w:r>
      <w:r w:rsidR="006E45C9" w:rsidRPr="00BD3AB3">
        <w:t xml:space="preserve">  </w:t>
      </w:r>
      <w:r w:rsidR="006E45C9">
        <w:t xml:space="preserve">The </w:t>
      </w:r>
      <w:r w:rsidR="007451B9">
        <w:t xml:space="preserve">Department affirmed the </w:t>
      </w:r>
      <w:r w:rsidR="006E45C9">
        <w:t>Lexington Conservation Commission</w:t>
      </w:r>
      <w:r w:rsidR="007451B9">
        <w:t xml:space="preserve">’s prior </w:t>
      </w:r>
      <w:r w:rsidR="006E45C9">
        <w:t xml:space="preserve">Amended Order of Conditions </w:t>
      </w:r>
      <w:r w:rsidR="007451B9">
        <w:t xml:space="preserve">which approved 95 Hayden’s </w:t>
      </w:r>
      <w:r w:rsidR="006E45C9">
        <w:t>proposed work</w:t>
      </w:r>
      <w:r w:rsidR="007451B9">
        <w:t xml:space="preserve"> at </w:t>
      </w:r>
      <w:proofErr w:type="spellStart"/>
      <w:r w:rsidR="007451B9">
        <w:t>Ledgemont</w:t>
      </w:r>
      <w:proofErr w:type="spellEnd"/>
      <w:r w:rsidR="007451B9">
        <w:t xml:space="preserve"> </w:t>
      </w:r>
      <w:r w:rsidR="00502C7F">
        <w:t xml:space="preserve">Corporate </w:t>
      </w:r>
      <w:r w:rsidR="007451B9">
        <w:t>Center, a</w:t>
      </w:r>
      <w:r w:rsidR="00CE2CCC">
        <w:t xml:space="preserve">n </w:t>
      </w:r>
      <w:r w:rsidR="007451B9">
        <w:t>office park in Lexington.</w:t>
      </w:r>
      <w:r w:rsidR="00C62D82" w:rsidRPr="00CD1403">
        <w:t xml:space="preserve"> On</w:t>
      </w:r>
      <w:r w:rsidR="00C62D82">
        <w:t xml:space="preserve">e </w:t>
      </w:r>
      <w:proofErr w:type="spellStart"/>
      <w:r w:rsidR="00C62D82">
        <w:t>Ledgemont</w:t>
      </w:r>
      <w:proofErr w:type="spellEnd"/>
      <w:r w:rsidR="00C62D82">
        <w:t xml:space="preserve"> had been an applicant for the original Order of Conditions, jointly with Two </w:t>
      </w:r>
      <w:proofErr w:type="spellStart"/>
      <w:r w:rsidR="00C62D82">
        <w:t>Ledgemont</w:t>
      </w:r>
      <w:proofErr w:type="spellEnd"/>
      <w:r w:rsidR="00C62D82">
        <w:t>, 95 Hayden’s predecessor</w:t>
      </w:r>
      <w:r>
        <w:t>, for the</w:t>
      </w:r>
      <w:r w:rsidRPr="00CD1403">
        <w:t xml:space="preserve"> </w:t>
      </w:r>
      <w:r>
        <w:t xml:space="preserve">construction of a third </w:t>
      </w:r>
      <w:r w:rsidR="00B20D7E">
        <w:t xml:space="preserve">office </w:t>
      </w:r>
      <w:r>
        <w:t xml:space="preserve">building, Three </w:t>
      </w:r>
      <w:proofErr w:type="spellStart"/>
      <w:r>
        <w:t>Ledgemont</w:t>
      </w:r>
      <w:proofErr w:type="spellEnd"/>
      <w:r>
        <w:t xml:space="preserve">, in </w:t>
      </w:r>
      <w:proofErr w:type="spellStart"/>
      <w:r w:rsidR="00502C7F">
        <w:t>Ledgemont</w:t>
      </w:r>
      <w:proofErr w:type="spellEnd"/>
      <w:r w:rsidR="00502C7F">
        <w:t xml:space="preserve"> Corporate Center. </w:t>
      </w:r>
      <w:r w:rsidR="00BC572A">
        <w:t xml:space="preserve">In this appeal, </w:t>
      </w:r>
      <w:r w:rsidR="006E45C9">
        <w:t xml:space="preserve">One </w:t>
      </w:r>
      <w:proofErr w:type="spellStart"/>
      <w:r w:rsidR="006E45C9">
        <w:t>Ledgemont</w:t>
      </w:r>
      <w:proofErr w:type="spellEnd"/>
      <w:r w:rsidR="006E45C9">
        <w:t xml:space="preserve"> </w:t>
      </w:r>
      <w:r w:rsidR="00BC572A">
        <w:t>claimed</w:t>
      </w:r>
      <w:r w:rsidR="006E45C9" w:rsidRPr="003304C1">
        <w:t xml:space="preserve"> that </w:t>
      </w:r>
      <w:r w:rsidR="006E45C9">
        <w:t>95 Hayden should have been required to file a new Notice of Intent rather than pursue an Amended Order</w:t>
      </w:r>
      <w:r w:rsidR="00B20D7E">
        <w:t xml:space="preserve"> of Conditions</w:t>
      </w:r>
      <w:r w:rsidR="006E45C9">
        <w:t xml:space="preserve">, that 95 Hayden should have been required to obtain the permission of One </w:t>
      </w:r>
      <w:proofErr w:type="spellStart"/>
      <w:r w:rsidR="006E45C9">
        <w:t>Ledgemont</w:t>
      </w:r>
      <w:proofErr w:type="spellEnd"/>
      <w:r w:rsidR="006E45C9">
        <w:t xml:space="preserve"> prior to any submittal for the proposed work</w:t>
      </w:r>
      <w:r w:rsidR="00222A74">
        <w:t xml:space="preserve">, and that the proposed </w:t>
      </w:r>
      <w:proofErr w:type="spellStart"/>
      <w:r w:rsidR="00222A74">
        <w:t>stormwater</w:t>
      </w:r>
      <w:proofErr w:type="spellEnd"/>
      <w:r w:rsidR="00222A74">
        <w:t xml:space="preserve"> system did not comply with the applicable standard</w:t>
      </w:r>
      <w:r w:rsidR="006E45C9">
        <w:t>.</w:t>
      </w:r>
      <w:r w:rsidR="00C62D82">
        <w:rPr>
          <w:rStyle w:val="FootnoteReference"/>
        </w:rPr>
        <w:footnoteReference w:id="1"/>
      </w:r>
      <w:r w:rsidR="006E45C9">
        <w:t xml:space="preserve">   I</w:t>
      </w:r>
      <w:r w:rsidR="00222A74">
        <w:t xml:space="preserve"> conclude that </w:t>
      </w:r>
      <w:r w:rsidR="00502C7F">
        <w:t>95 Hayden’s</w:t>
      </w:r>
      <w:r w:rsidR="006E45C9">
        <w:t xml:space="preserve"> </w:t>
      </w:r>
      <w:r w:rsidR="000F5CA5">
        <w:t xml:space="preserve">Request for </w:t>
      </w:r>
      <w:r w:rsidR="00222A74">
        <w:t xml:space="preserve">Amendment was properly accepted and </w:t>
      </w:r>
      <w:r w:rsidR="000F5CA5">
        <w:t xml:space="preserve">granted.  </w:t>
      </w:r>
      <w:r>
        <w:t>I find that t</w:t>
      </w:r>
      <w:r w:rsidR="000F5CA5">
        <w:t xml:space="preserve">he revisions to the </w:t>
      </w:r>
      <w:proofErr w:type="spellStart"/>
      <w:r w:rsidR="000F5CA5">
        <w:t>stormwater</w:t>
      </w:r>
      <w:proofErr w:type="spellEnd"/>
      <w:r w:rsidR="000F5CA5">
        <w:t xml:space="preserve"> management system comply with applicable requirements.  I </w:t>
      </w:r>
      <w:r w:rsidR="006E45C9">
        <w:lastRenderedPageBreak/>
        <w:t xml:space="preserve">recommend to the Department’s Commissioner </w:t>
      </w:r>
      <w:r w:rsidR="00222A74">
        <w:t>that an Amended Final Order of Conditions may be issued to</w:t>
      </w:r>
      <w:r w:rsidR="006E45C9">
        <w:t xml:space="preserve"> 95 Hayden </w:t>
      </w:r>
      <w:r w:rsidR="00222A74">
        <w:t>for the proposed</w:t>
      </w:r>
      <w:r w:rsidR="000F5CA5">
        <w:t xml:space="preserve"> project revisions.</w:t>
      </w:r>
    </w:p>
    <w:p w:rsidR="006E45C9" w:rsidRPr="0012299B" w:rsidRDefault="006E45C9" w:rsidP="006E45C9">
      <w:pPr>
        <w:pStyle w:val="Title"/>
        <w:spacing w:line="480" w:lineRule="auto"/>
        <w:jc w:val="left"/>
        <w:rPr>
          <w:szCs w:val="24"/>
        </w:rPr>
      </w:pPr>
      <w:r w:rsidRPr="0012299B">
        <w:rPr>
          <w:szCs w:val="24"/>
        </w:rPr>
        <w:t xml:space="preserve">ISSUES FOR </w:t>
      </w:r>
      <w:r w:rsidR="00BC572A">
        <w:rPr>
          <w:szCs w:val="24"/>
        </w:rPr>
        <w:t>ADJUDICATION</w:t>
      </w:r>
    </w:p>
    <w:p w:rsidR="006E45C9" w:rsidRPr="00D23800" w:rsidRDefault="006E45C9" w:rsidP="006E45C9">
      <w:pPr>
        <w:pStyle w:val="ListParagraph"/>
        <w:numPr>
          <w:ilvl w:val="0"/>
          <w:numId w:val="5"/>
        </w:numPr>
        <w:autoSpaceDE w:val="0"/>
        <w:autoSpaceDN w:val="0"/>
        <w:adjustRightInd w:val="0"/>
        <w:rPr>
          <w:rFonts w:eastAsiaTheme="minorHAnsi"/>
        </w:rPr>
      </w:pPr>
      <w:r w:rsidRPr="00D23800">
        <w:rPr>
          <w:rFonts w:eastAsiaTheme="minorHAnsi"/>
        </w:rPr>
        <w:t xml:space="preserve">Whether the Department properly exercised its discretion </w:t>
      </w:r>
      <w:r>
        <w:rPr>
          <w:rFonts w:eastAsiaTheme="minorHAnsi"/>
        </w:rPr>
        <w:t xml:space="preserve">under Wetlands Policy 85-4 </w:t>
      </w:r>
      <w:r w:rsidRPr="00D23800">
        <w:rPr>
          <w:rFonts w:eastAsiaTheme="minorHAnsi"/>
        </w:rPr>
        <w:t xml:space="preserve">to issue a Superseding Amended Order of Conditions for the proposed work, or should have required </w:t>
      </w:r>
      <w:r>
        <w:t xml:space="preserve">95 Hayden </w:t>
      </w:r>
      <w:r w:rsidRPr="00D23800">
        <w:rPr>
          <w:rFonts w:eastAsiaTheme="minorHAnsi"/>
        </w:rPr>
        <w:t xml:space="preserve">to file a new Notice of Intent?  </w:t>
      </w:r>
    </w:p>
    <w:p w:rsidR="006E45C9" w:rsidRDefault="006E45C9" w:rsidP="006E45C9">
      <w:pPr>
        <w:autoSpaceDE w:val="0"/>
        <w:autoSpaceDN w:val="0"/>
        <w:adjustRightInd w:val="0"/>
        <w:rPr>
          <w:rFonts w:eastAsiaTheme="minorHAnsi"/>
        </w:rPr>
      </w:pPr>
    </w:p>
    <w:p w:rsidR="006E45C9" w:rsidRPr="000303F9" w:rsidRDefault="006E45C9" w:rsidP="006E45C9">
      <w:pPr>
        <w:pStyle w:val="ListParagraph"/>
        <w:numPr>
          <w:ilvl w:val="0"/>
          <w:numId w:val="5"/>
        </w:numPr>
        <w:autoSpaceDE w:val="0"/>
        <w:autoSpaceDN w:val="0"/>
        <w:adjustRightInd w:val="0"/>
        <w:rPr>
          <w:b/>
          <w:u w:val="single"/>
        </w:rPr>
      </w:pPr>
      <w:r w:rsidRPr="001B1AAF">
        <w:rPr>
          <w:rFonts w:eastAsiaTheme="minorHAnsi"/>
        </w:rPr>
        <w:t xml:space="preserve">Whether </w:t>
      </w:r>
      <w:r>
        <w:t xml:space="preserve">95 Hayden </w:t>
      </w:r>
      <w:r w:rsidRPr="001B1AAF">
        <w:rPr>
          <w:rFonts w:eastAsiaTheme="minorHAnsi"/>
        </w:rPr>
        <w:t xml:space="preserve">was required to obtain the permission of </w:t>
      </w:r>
      <w:r>
        <w:t xml:space="preserve">One </w:t>
      </w:r>
      <w:proofErr w:type="spellStart"/>
      <w:r>
        <w:t>Ledgemont</w:t>
      </w:r>
      <w:proofErr w:type="spellEnd"/>
      <w:r>
        <w:t xml:space="preserve"> f</w:t>
      </w:r>
      <w:r w:rsidRPr="001B1AAF">
        <w:rPr>
          <w:rFonts w:eastAsiaTheme="minorHAnsi"/>
        </w:rPr>
        <w:t xml:space="preserve">or the submittal of a Request for an Amendment (or for a new Notice of Intent, should one be required) because </w:t>
      </w:r>
      <w:r>
        <w:t xml:space="preserve">One </w:t>
      </w:r>
      <w:proofErr w:type="spellStart"/>
      <w:r>
        <w:t>Ledgemont</w:t>
      </w:r>
      <w:proofErr w:type="spellEnd"/>
      <w:r>
        <w:t xml:space="preserve"> </w:t>
      </w:r>
      <w:r w:rsidRPr="001B1AAF">
        <w:rPr>
          <w:rFonts w:eastAsiaTheme="minorHAnsi"/>
        </w:rPr>
        <w:t xml:space="preserve">was a landowner and applicant for purposes of the 2008 Order of Conditions or because work subject to jurisdiction is proposed on </w:t>
      </w:r>
      <w:r>
        <w:t xml:space="preserve">One </w:t>
      </w:r>
      <w:proofErr w:type="spellStart"/>
      <w:r>
        <w:t>Ledgemont</w:t>
      </w:r>
      <w:r w:rsidRPr="001B1AAF">
        <w:rPr>
          <w:rFonts w:eastAsiaTheme="minorHAnsi"/>
        </w:rPr>
        <w:t>’s</w:t>
      </w:r>
      <w:proofErr w:type="spellEnd"/>
      <w:r w:rsidRPr="001B1AAF">
        <w:rPr>
          <w:rFonts w:eastAsiaTheme="minorHAnsi"/>
        </w:rPr>
        <w:t xml:space="preserve"> property? </w:t>
      </w:r>
    </w:p>
    <w:p w:rsidR="006E45C9" w:rsidRPr="001B1AAF" w:rsidRDefault="006E45C9" w:rsidP="006E45C9">
      <w:pPr>
        <w:pStyle w:val="ListParagraph"/>
        <w:rPr>
          <w:rFonts w:eastAsiaTheme="minorHAnsi"/>
        </w:rPr>
      </w:pPr>
    </w:p>
    <w:p w:rsidR="006E45C9" w:rsidRPr="001B1AAF" w:rsidRDefault="006E45C9" w:rsidP="006E45C9">
      <w:pPr>
        <w:pStyle w:val="ListParagraph"/>
        <w:numPr>
          <w:ilvl w:val="0"/>
          <w:numId w:val="5"/>
        </w:numPr>
        <w:autoSpaceDE w:val="0"/>
        <w:autoSpaceDN w:val="0"/>
        <w:adjustRightInd w:val="0"/>
        <w:rPr>
          <w:b/>
          <w:u w:val="single"/>
        </w:rPr>
      </w:pPr>
      <w:r w:rsidRPr="001B1AAF">
        <w:rPr>
          <w:rFonts w:eastAsiaTheme="minorHAnsi"/>
        </w:rPr>
        <w:t xml:space="preserve">Whether the </w:t>
      </w:r>
      <w:r>
        <w:rPr>
          <w:rFonts w:eastAsiaTheme="minorHAnsi"/>
        </w:rPr>
        <w:t xml:space="preserve">proposed work approved under the </w:t>
      </w:r>
      <w:r w:rsidRPr="001B1AAF">
        <w:rPr>
          <w:rFonts w:eastAsiaTheme="minorHAnsi"/>
        </w:rPr>
        <w:t xml:space="preserve">Superseding Amended Order of Conditions meets the requirements of </w:t>
      </w:r>
      <w:proofErr w:type="spellStart"/>
      <w:r w:rsidRPr="001B1AAF">
        <w:rPr>
          <w:rFonts w:eastAsiaTheme="minorHAnsi"/>
        </w:rPr>
        <w:t>Stormwater</w:t>
      </w:r>
      <w:proofErr w:type="spellEnd"/>
      <w:r w:rsidRPr="001B1AAF">
        <w:rPr>
          <w:rFonts w:eastAsiaTheme="minorHAnsi"/>
        </w:rPr>
        <w:t xml:space="preserve"> Standard 3? </w:t>
      </w:r>
      <w:r w:rsidRPr="00FE4912">
        <w:rPr>
          <w:rFonts w:eastAsiaTheme="minorHAnsi"/>
          <w:u w:val="single"/>
        </w:rPr>
        <w:t>See</w:t>
      </w:r>
      <w:r>
        <w:rPr>
          <w:rFonts w:eastAsiaTheme="minorHAnsi"/>
        </w:rPr>
        <w:t xml:space="preserve"> 310 CMR 10.05(6</w:t>
      </w:r>
      <w:proofErr w:type="gramStart"/>
      <w:r>
        <w:rPr>
          <w:rFonts w:eastAsiaTheme="minorHAnsi"/>
        </w:rPr>
        <w:t>)(</w:t>
      </w:r>
      <w:proofErr w:type="gramEnd"/>
      <w:r>
        <w:rPr>
          <w:rFonts w:eastAsiaTheme="minorHAnsi"/>
        </w:rPr>
        <w:t>k)(3).</w:t>
      </w:r>
    </w:p>
    <w:p w:rsidR="006E45C9" w:rsidRPr="001B1AAF" w:rsidRDefault="006E45C9" w:rsidP="006E45C9">
      <w:pPr>
        <w:pStyle w:val="ListParagraph"/>
        <w:rPr>
          <w:b/>
          <w:u w:val="single"/>
        </w:rPr>
      </w:pPr>
    </w:p>
    <w:p w:rsidR="00CD1403" w:rsidRDefault="00BC572A" w:rsidP="00BC572A">
      <w:pPr>
        <w:pStyle w:val="ListParagraph"/>
        <w:spacing w:line="480" w:lineRule="auto"/>
      </w:pPr>
      <w:r>
        <w:t xml:space="preserve">At the Pre-Hearing Conference, the parties agreed that </w:t>
      </w:r>
      <w:r w:rsidR="00CD1403">
        <w:t xml:space="preserve">the </w:t>
      </w:r>
      <w:r>
        <w:t xml:space="preserve">two issues </w:t>
      </w:r>
      <w:r w:rsidR="00CD1403">
        <w:t xml:space="preserve">related to the use of </w:t>
      </w:r>
    </w:p>
    <w:p w:rsidR="006E45C9" w:rsidRPr="00BC572A" w:rsidRDefault="00CD1403" w:rsidP="00BC572A">
      <w:pPr>
        <w:spacing w:line="480" w:lineRule="auto"/>
        <w:rPr>
          <w:b/>
          <w:u w:val="single"/>
        </w:rPr>
      </w:pPr>
      <w:proofErr w:type="gramStart"/>
      <w:r>
        <w:t>an</w:t>
      </w:r>
      <w:proofErr w:type="gramEnd"/>
      <w:r>
        <w:t xml:space="preserve"> amendment and permission for the filing </w:t>
      </w:r>
      <w:r w:rsidR="00BC572A">
        <w:t xml:space="preserve">were appropriate for </w:t>
      </w:r>
      <w:r w:rsidR="00502C7F">
        <w:t xml:space="preserve">resolution through </w:t>
      </w:r>
      <w:r w:rsidR="00BC572A">
        <w:t>motion</w:t>
      </w:r>
      <w:r w:rsidR="00502C7F">
        <w:t xml:space="preserve"> for summary decision</w:t>
      </w:r>
      <w:r w:rsidR="00BC572A">
        <w:t xml:space="preserve">, leaving the factual issue of compliance with </w:t>
      </w:r>
      <w:proofErr w:type="spellStart"/>
      <w:r w:rsidR="00BC572A">
        <w:t>stormwater</w:t>
      </w:r>
      <w:proofErr w:type="spellEnd"/>
      <w:r w:rsidR="00BC572A">
        <w:t xml:space="preserve"> management requirements as the single issue for adjudication at a hearing.</w:t>
      </w:r>
    </w:p>
    <w:p w:rsidR="00EC0F68" w:rsidRDefault="00EC0F68" w:rsidP="00EC0F68">
      <w:pPr>
        <w:autoSpaceDE w:val="0"/>
        <w:autoSpaceDN w:val="0"/>
        <w:adjustRightInd w:val="0"/>
        <w:spacing w:line="480" w:lineRule="auto"/>
        <w:contextualSpacing/>
      </w:pPr>
      <w:r w:rsidRPr="00AD1688">
        <w:rPr>
          <w:b/>
          <w:u w:val="single"/>
        </w:rPr>
        <w:t>BACKGROUND</w:t>
      </w:r>
    </w:p>
    <w:p w:rsidR="00EC0F68" w:rsidRDefault="00EC0F68" w:rsidP="00EC0F68">
      <w:pPr>
        <w:autoSpaceDE w:val="0"/>
        <w:autoSpaceDN w:val="0"/>
        <w:adjustRightInd w:val="0"/>
        <w:spacing w:line="480" w:lineRule="auto"/>
        <w:contextualSpacing/>
      </w:pPr>
      <w:r>
        <w:tab/>
      </w:r>
      <w:proofErr w:type="spellStart"/>
      <w:r>
        <w:t>Ledgemont</w:t>
      </w:r>
      <w:proofErr w:type="spellEnd"/>
      <w:r>
        <w:t xml:space="preserve"> Corporate Center is a campus-style office park in Lexington, divided into two parcels.  Parcel A, 11 acres, is owned by One </w:t>
      </w:r>
      <w:proofErr w:type="spellStart"/>
      <w:r>
        <w:t>Ledgemont</w:t>
      </w:r>
      <w:proofErr w:type="spellEnd"/>
      <w:r>
        <w:t xml:space="preserve"> and Parcel B, 25 acres, is owned by 95 Hayden.  A recorded agreement dated September 23, 1986 establishe</w:t>
      </w:r>
      <w:r w:rsidR="00CE2CCC">
        <w:t>d</w:t>
      </w:r>
      <w:r>
        <w:t xml:space="preserve"> easements rights in Parcels A and B.  95 Hayden is the successor-in-interest to Two </w:t>
      </w:r>
      <w:proofErr w:type="spellStart"/>
      <w:r>
        <w:t>Ledgemont</w:t>
      </w:r>
      <w:proofErr w:type="spellEnd"/>
      <w:r>
        <w:t xml:space="preserve"> LLC, </w:t>
      </w:r>
      <w:r w:rsidR="00CD1403">
        <w:t>after</w:t>
      </w:r>
      <w:r>
        <w:t xml:space="preserve"> acquiring the property in July 2012.  One </w:t>
      </w:r>
      <w:proofErr w:type="spellStart"/>
      <w:r>
        <w:t>Ledgemont</w:t>
      </w:r>
      <w:proofErr w:type="spellEnd"/>
      <w:r>
        <w:t xml:space="preserve"> and Two </w:t>
      </w:r>
      <w:proofErr w:type="spellStart"/>
      <w:r>
        <w:t>Ledgemont</w:t>
      </w:r>
      <w:proofErr w:type="spellEnd"/>
      <w:r>
        <w:t xml:space="preserve"> were co-applicants on a 2008 Notice of Intent and co-</w:t>
      </w:r>
      <w:proofErr w:type="spellStart"/>
      <w:r>
        <w:t>permittees</w:t>
      </w:r>
      <w:proofErr w:type="spellEnd"/>
      <w:r>
        <w:t xml:space="preserve"> on a 2008 Order of Conditions issued by the Lexington Conservation Commission related to Three </w:t>
      </w:r>
      <w:proofErr w:type="spellStart"/>
      <w:r>
        <w:t>Ledgemont</w:t>
      </w:r>
      <w:proofErr w:type="spellEnd"/>
      <w:r>
        <w:t xml:space="preserve"> Center.  </w:t>
      </w:r>
      <w:r w:rsidR="000F5CA5">
        <w:t xml:space="preserve">The proposed work included the construction of Three </w:t>
      </w:r>
      <w:proofErr w:type="spellStart"/>
      <w:r w:rsidR="000F5CA5">
        <w:t>Ledgemont</w:t>
      </w:r>
      <w:proofErr w:type="spellEnd"/>
      <w:r w:rsidR="000F5CA5">
        <w:t xml:space="preserve">, with associated driveways, parking, </w:t>
      </w:r>
      <w:proofErr w:type="gramStart"/>
      <w:r w:rsidR="000F5CA5">
        <w:t>landscaping</w:t>
      </w:r>
      <w:proofErr w:type="gramEnd"/>
      <w:r w:rsidR="000F5CA5">
        <w:t xml:space="preserve"> and </w:t>
      </w:r>
      <w:proofErr w:type="spellStart"/>
      <w:r w:rsidR="000F5CA5">
        <w:lastRenderedPageBreak/>
        <w:t>stormwater</w:t>
      </w:r>
      <w:proofErr w:type="spellEnd"/>
      <w:r w:rsidR="000F5CA5">
        <w:t xml:space="preserve"> management.  </w:t>
      </w:r>
      <w:r>
        <w:t>All wetlands resource areas and their buffer zones are located on Parcel B owned by 95 Hayden.  In 2012, 95 Hayden filed with the Lexington Conservation Commission a request to amend the 2008 Order</w:t>
      </w:r>
      <w:r w:rsidR="00CD1403">
        <w:t>,</w:t>
      </w:r>
      <w:r>
        <w:t xml:space="preserve"> its request was </w:t>
      </w:r>
      <w:r w:rsidR="00CD1403">
        <w:t>accepted for review, and the Amended Order was granted.</w:t>
      </w:r>
      <w:r>
        <w:t xml:space="preserve">  One </w:t>
      </w:r>
      <w:proofErr w:type="spellStart"/>
      <w:r>
        <w:t>Ledgemont</w:t>
      </w:r>
      <w:proofErr w:type="spellEnd"/>
      <w:r>
        <w:t xml:space="preserve"> did not join in the request to amend.  On the contrary, One </w:t>
      </w:r>
      <w:proofErr w:type="spellStart"/>
      <w:r>
        <w:t>Ledgemont</w:t>
      </w:r>
      <w:proofErr w:type="spellEnd"/>
      <w:r>
        <w:t xml:space="preserve"> opposed the </w:t>
      </w:r>
      <w:r w:rsidR="000F5CA5">
        <w:t>Request for A</w:t>
      </w:r>
      <w:r>
        <w:t xml:space="preserve">mendment </w:t>
      </w:r>
      <w:r w:rsidR="000F5CA5">
        <w:t xml:space="preserve">before the Commission and </w:t>
      </w:r>
      <w:r>
        <w:t xml:space="preserve">challenged the amendment </w:t>
      </w:r>
      <w:r w:rsidR="000F5CA5">
        <w:t xml:space="preserve">subsequently granted by the Department </w:t>
      </w:r>
      <w:r>
        <w:t>in this proceeding.</w:t>
      </w:r>
    </w:p>
    <w:p w:rsidR="006E45C9" w:rsidRDefault="006E45C9" w:rsidP="006E45C9">
      <w:pPr>
        <w:spacing w:line="480" w:lineRule="auto"/>
        <w:contextualSpacing/>
        <w:rPr>
          <w:b/>
          <w:u w:val="single"/>
        </w:rPr>
      </w:pPr>
      <w:r w:rsidRPr="003304C1">
        <w:rPr>
          <w:b/>
          <w:u w:val="single"/>
        </w:rPr>
        <w:t>STANDARD OF REVIEW</w:t>
      </w:r>
      <w:r>
        <w:rPr>
          <w:b/>
          <w:u w:val="single"/>
        </w:rPr>
        <w:t xml:space="preserve"> </w:t>
      </w:r>
    </w:p>
    <w:p w:rsidR="006E45C9" w:rsidRDefault="006E45C9" w:rsidP="006E45C9">
      <w:pPr>
        <w:autoSpaceDE w:val="0"/>
        <w:autoSpaceDN w:val="0"/>
        <w:adjustRightInd w:val="0"/>
        <w:spacing w:line="480" w:lineRule="auto"/>
        <w:contextualSpacing/>
      </w:pPr>
      <w:r w:rsidRPr="003304C1">
        <w:tab/>
      </w:r>
      <w:r w:rsidR="00BC572A">
        <w:t xml:space="preserve">One </w:t>
      </w:r>
      <w:proofErr w:type="spellStart"/>
      <w:r w:rsidR="00BC572A">
        <w:t>Ledgemont</w:t>
      </w:r>
      <w:proofErr w:type="spellEnd"/>
      <w:r w:rsidR="00BC572A">
        <w:t xml:space="preserve"> moved for summary decision, </w:t>
      </w:r>
      <w:r w:rsidR="00BC572A" w:rsidRPr="003304C1">
        <w:t>argu</w:t>
      </w:r>
      <w:r w:rsidR="00BC572A">
        <w:t>ing</w:t>
      </w:r>
      <w:r w:rsidR="00BC572A" w:rsidRPr="003304C1">
        <w:t xml:space="preserve"> that </w:t>
      </w:r>
      <w:r w:rsidR="00BC572A">
        <w:t xml:space="preserve">95 Hayden should have been required to file a new Notice of Intent rather than pursue an Amended Order, and that 95 Hayden should have been required to obtain the permission of One </w:t>
      </w:r>
      <w:proofErr w:type="spellStart"/>
      <w:r w:rsidR="00BC572A">
        <w:t>Ledgemont</w:t>
      </w:r>
      <w:proofErr w:type="spellEnd"/>
      <w:r w:rsidR="00BC572A">
        <w:t xml:space="preserve"> prior to any submittal for the proposed work.   </w:t>
      </w:r>
      <w:r>
        <w:t xml:space="preserve">The Department’s regulations </w:t>
      </w:r>
      <w:r w:rsidRPr="00AE59BD">
        <w:t xml:space="preserve">allow any party to an administrative appeal to </w:t>
      </w:r>
      <w:r>
        <w:t>file</w:t>
      </w:r>
      <w:r w:rsidRPr="00AE59BD">
        <w:t xml:space="preserve"> a motion for summary decision.  310 CMR 1.01(11</w:t>
      </w:r>
      <w:proofErr w:type="gramStart"/>
      <w:r w:rsidRPr="00AE59BD">
        <w:t>)(</w:t>
      </w:r>
      <w:proofErr w:type="gramEnd"/>
      <w:r w:rsidRPr="00AE59BD">
        <w:t>f)</w:t>
      </w:r>
      <w:r>
        <w:t xml:space="preserve">. </w:t>
      </w:r>
      <w:r w:rsidRPr="00AE59BD">
        <w:t xml:space="preserve"> Summary decision is appropriate where the party seeking summary decision can “demonstrate that there is no genuine issue of material fact and that the party is entitled to a final decision as a matter of law.”  310 CMR 1.01(11</w:t>
      </w:r>
      <w:proofErr w:type="gramStart"/>
      <w:r w:rsidRPr="00AE59BD">
        <w:t>)(</w:t>
      </w:r>
      <w:proofErr w:type="gramEnd"/>
      <w:r w:rsidRPr="00AE59BD">
        <w:t xml:space="preserve">f).  This standard mirrors the standard set forth in Rule 56 of the Massachusetts Rules of Civil Procedure governing the resolution of civil suits in Massachusetts trial courts.  </w:t>
      </w:r>
      <w:r w:rsidRPr="00AE59BD">
        <w:rPr>
          <w:u w:val="single"/>
        </w:rPr>
        <w:t>Matter of Lowe’s Home Centers, Inc.</w:t>
      </w:r>
      <w:r w:rsidRPr="00AE59BD">
        <w:t xml:space="preserve">, OADR Docket No. WET-2009-013, Recommended Final Decision (June 19, 2009), adopted by Final Decision (June 30, 2009); </w:t>
      </w:r>
      <w:r w:rsidRPr="00AE59BD">
        <w:rPr>
          <w:u w:val="single"/>
        </w:rPr>
        <w:t xml:space="preserve">Matter of Roland </w:t>
      </w:r>
      <w:proofErr w:type="spellStart"/>
      <w:r w:rsidRPr="00AE59BD">
        <w:rPr>
          <w:u w:val="single"/>
        </w:rPr>
        <w:t>Couillard</w:t>
      </w:r>
      <w:proofErr w:type="spellEnd"/>
      <w:r w:rsidRPr="00AE59BD">
        <w:t>, OADR Docket No. WET-2008-035, Recommended Final Decision (July 11, 2008), adopted by Final Decision (August 8, 2008).</w:t>
      </w:r>
      <w:r w:rsidRPr="00AE59BD">
        <w:rPr>
          <w:rStyle w:val="FootnoteReference"/>
        </w:rPr>
        <w:footnoteReference w:id="2"/>
      </w:r>
      <w:r w:rsidRPr="00AE59BD">
        <w:t xml:space="preserve">   If the moving party meets this burden, the opposing party “may not </w:t>
      </w:r>
      <w:r w:rsidRPr="00AE59BD">
        <w:lastRenderedPageBreak/>
        <w:t xml:space="preserve">rest upon the mere allegations or denials of [its] pleading, but must respond, by affidavits or as otherwise provided in 310 CMR 1.01, setting forth specific facts showing that there is a genuine issue for hearing on the merits.”  310 CMR 1.01(11)(f); </w:t>
      </w:r>
      <w:r w:rsidRPr="00AE59BD">
        <w:rPr>
          <w:u w:val="single"/>
        </w:rPr>
        <w:t>Lowe’s</w:t>
      </w:r>
      <w:r w:rsidRPr="00AE59BD">
        <w:t xml:space="preserve">, </w:t>
      </w:r>
      <w:r w:rsidRPr="00AE59BD">
        <w:rPr>
          <w:u w:val="single"/>
        </w:rPr>
        <w:t>supra</w:t>
      </w:r>
      <w:r w:rsidRPr="00AE59BD">
        <w:t xml:space="preserve">; </w:t>
      </w:r>
      <w:r w:rsidRPr="00AE59BD">
        <w:rPr>
          <w:u w:val="single"/>
        </w:rPr>
        <w:t>Matter of William and Helen Drohan</w:t>
      </w:r>
      <w:r w:rsidRPr="00AE59BD">
        <w:t xml:space="preserve">, OADR Docket No. 1995-083, Final Decision (March 1, 1996); </w:t>
      </w:r>
      <w:r w:rsidRPr="00AE59BD">
        <w:rPr>
          <w:u w:val="single"/>
        </w:rPr>
        <w:t>cf</w:t>
      </w:r>
      <w:r w:rsidRPr="00AE59BD">
        <w:t>. Mass. R. Civ. P. 56(e);</w:t>
      </w:r>
      <w:r w:rsidRPr="00AE59BD">
        <w:rPr>
          <w:rStyle w:val="FootnoteReference"/>
        </w:rPr>
        <w:footnoteReference w:id="3"/>
      </w:r>
      <w:r w:rsidRPr="00AE59BD">
        <w:t xml:space="preserve">  </w:t>
      </w:r>
      <w:proofErr w:type="spellStart"/>
      <w:r w:rsidRPr="00AE59BD">
        <w:rPr>
          <w:u w:val="single"/>
        </w:rPr>
        <w:t>Kourouvacilis</w:t>
      </w:r>
      <w:proofErr w:type="spellEnd"/>
      <w:r w:rsidRPr="00AE59BD">
        <w:rPr>
          <w:u w:val="single"/>
        </w:rPr>
        <w:t xml:space="preserve"> v. General Motors Corp.</w:t>
      </w:r>
      <w:r w:rsidRPr="00AE59BD">
        <w:t xml:space="preserve">, 410 Mass. 706, 716 (1991); </w:t>
      </w:r>
      <w:r w:rsidRPr="00AE59BD">
        <w:rPr>
          <w:bCs/>
          <w:u w:val="single"/>
        </w:rPr>
        <w:t>Cabot Corp. v. AVX Corp.</w:t>
      </w:r>
      <w:r w:rsidRPr="00AE59BD">
        <w:rPr>
          <w:bCs/>
        </w:rPr>
        <w:t xml:space="preserve">, 448 Mass. 629, 636-37 (2007).   </w:t>
      </w:r>
      <w:r w:rsidRPr="00AE59BD">
        <w:t xml:space="preserve">A ruling granting or denying summary decision must be made on “the pleadings, depositions, answers to interrogatories, and admissions on file, together with the affidavits, if any.” </w:t>
      </w:r>
      <w:r w:rsidR="00CE2CCC">
        <w:t>310 CMR 1.01(11</w:t>
      </w:r>
      <w:proofErr w:type="gramStart"/>
      <w:r w:rsidR="00CE2CCC">
        <w:t>)(</w:t>
      </w:r>
      <w:proofErr w:type="gramEnd"/>
      <w:r w:rsidR="00CE2CCC">
        <w:t>f).</w:t>
      </w:r>
      <w:r w:rsidRPr="00AE59BD">
        <w:rPr>
          <w:i/>
        </w:rPr>
        <w:t xml:space="preserve">  </w:t>
      </w:r>
      <w:r w:rsidR="001606C3" w:rsidRPr="001606C3">
        <w:t>One</w:t>
      </w:r>
      <w:r w:rsidR="001606C3">
        <w:t xml:space="preserve"> </w:t>
      </w:r>
      <w:proofErr w:type="spellStart"/>
      <w:r w:rsidR="001606C3">
        <w:t>Ledgemont</w:t>
      </w:r>
      <w:proofErr w:type="spellEnd"/>
      <w:r w:rsidR="001606C3">
        <w:t xml:space="preserve"> </w:t>
      </w:r>
      <w:r w:rsidRPr="00AE59BD">
        <w:t xml:space="preserve">filed a Motion for </w:t>
      </w:r>
      <w:r>
        <w:t xml:space="preserve">Partial </w:t>
      </w:r>
      <w:r w:rsidRPr="00AE59BD">
        <w:t xml:space="preserve">Summary Decision, </w:t>
      </w:r>
      <w:r w:rsidR="001606C3">
        <w:t>95 Hayden</w:t>
      </w:r>
      <w:r>
        <w:t xml:space="preserve"> and the Department filed Cross-Motions, and </w:t>
      </w:r>
      <w:r w:rsidR="001606C3" w:rsidRPr="001606C3">
        <w:t>One</w:t>
      </w:r>
      <w:r w:rsidR="001606C3">
        <w:t xml:space="preserve"> </w:t>
      </w:r>
      <w:proofErr w:type="spellStart"/>
      <w:r w:rsidR="001606C3">
        <w:t>Ledgemont</w:t>
      </w:r>
      <w:proofErr w:type="spellEnd"/>
      <w:r w:rsidR="001606C3">
        <w:t xml:space="preserve"> </w:t>
      </w:r>
      <w:r>
        <w:t xml:space="preserve">filed an Opposition to the Cross-Motions.  </w:t>
      </w:r>
      <w:r w:rsidRPr="00AE59BD">
        <w:t>I f</w:t>
      </w:r>
      <w:r>
        <w:t>ind that there are no genuine issues of material fact and that the Department</w:t>
      </w:r>
      <w:r w:rsidR="001606C3">
        <w:t>’s</w:t>
      </w:r>
      <w:r>
        <w:t xml:space="preserve"> and </w:t>
      </w:r>
      <w:r w:rsidR="001606C3">
        <w:t>95 Hayden</w:t>
      </w:r>
      <w:r>
        <w:t>’s Cross-Motions may be granted.</w:t>
      </w:r>
    </w:p>
    <w:p w:rsidR="006E45C9" w:rsidRDefault="006E45C9" w:rsidP="006E45C9">
      <w:pPr>
        <w:pStyle w:val="Title"/>
        <w:spacing w:line="480" w:lineRule="auto"/>
        <w:ind w:firstLine="720"/>
        <w:jc w:val="left"/>
        <w:rPr>
          <w:b w:val="0"/>
          <w:u w:val="none"/>
        </w:rPr>
      </w:pPr>
      <w:r w:rsidRPr="00605483">
        <w:rPr>
          <w:b w:val="0"/>
          <w:u w:val="none"/>
        </w:rPr>
        <w:t xml:space="preserve">Under the </w:t>
      </w:r>
      <w:r w:rsidR="00502C7F">
        <w:rPr>
          <w:b w:val="0"/>
          <w:u w:val="none"/>
        </w:rPr>
        <w:t>W</w:t>
      </w:r>
      <w:r w:rsidRPr="00605483">
        <w:rPr>
          <w:b w:val="0"/>
          <w:u w:val="none"/>
        </w:rPr>
        <w:t xml:space="preserve">etlands </w:t>
      </w:r>
      <w:r w:rsidR="00502C7F">
        <w:rPr>
          <w:b w:val="0"/>
          <w:u w:val="none"/>
        </w:rPr>
        <w:t>R</w:t>
      </w:r>
      <w:r w:rsidRPr="00605483">
        <w:rPr>
          <w:b w:val="0"/>
          <w:u w:val="none"/>
        </w:rPr>
        <w:t xml:space="preserve">egulations, the burden of going forward and the burden of proof are placed upon the party contesting the Department’s position in an appeal. </w:t>
      </w:r>
      <w:r>
        <w:rPr>
          <w:b w:val="0"/>
          <w:u w:val="none"/>
        </w:rPr>
        <w:t xml:space="preserve"> 310 CMR 10.03(2); 310 CMR 10.05(7</w:t>
      </w:r>
      <w:proofErr w:type="gramStart"/>
      <w:r>
        <w:rPr>
          <w:b w:val="0"/>
          <w:u w:val="none"/>
        </w:rPr>
        <w:t>)(</w:t>
      </w:r>
      <w:proofErr w:type="gramEnd"/>
      <w:r>
        <w:rPr>
          <w:b w:val="0"/>
          <w:u w:val="none"/>
        </w:rPr>
        <w:t>j)3.b.  The weight to be attached to any evidence in the record rests with the sound discretion of the Presiding Officer.  310 CMR 1.01(13</w:t>
      </w:r>
      <w:proofErr w:type="gramStart"/>
      <w:r>
        <w:rPr>
          <w:b w:val="0"/>
          <w:u w:val="none"/>
        </w:rPr>
        <w:t>)(</w:t>
      </w:r>
      <w:proofErr w:type="gramEnd"/>
      <w:r>
        <w:rPr>
          <w:b w:val="0"/>
          <w:u w:val="none"/>
        </w:rPr>
        <w:t xml:space="preserve">h)1. </w:t>
      </w:r>
    </w:p>
    <w:p w:rsidR="006E45C9" w:rsidRDefault="006E45C9" w:rsidP="006E45C9">
      <w:pPr>
        <w:autoSpaceDE w:val="0"/>
        <w:autoSpaceDN w:val="0"/>
        <w:adjustRightInd w:val="0"/>
        <w:spacing w:line="480" w:lineRule="auto"/>
        <w:contextualSpacing/>
        <w:rPr>
          <w:b/>
          <w:u w:val="single"/>
        </w:rPr>
      </w:pPr>
      <w:r>
        <w:rPr>
          <w:b/>
          <w:u w:val="single"/>
        </w:rPr>
        <w:t xml:space="preserve">ISSUE 1:  USE OF </w:t>
      </w:r>
      <w:r w:rsidRPr="00032AD1">
        <w:rPr>
          <w:b/>
          <w:u w:val="single"/>
        </w:rPr>
        <w:t xml:space="preserve">AMENDED SUPERSEDING ORDER OF CONDITIONS </w:t>
      </w:r>
    </w:p>
    <w:p w:rsidR="00A4562F" w:rsidRDefault="00A4562F" w:rsidP="00A4562F">
      <w:pPr>
        <w:autoSpaceDE w:val="0"/>
        <w:autoSpaceDN w:val="0"/>
        <w:adjustRightInd w:val="0"/>
        <w:spacing w:line="480" w:lineRule="auto"/>
        <w:ind w:firstLine="720"/>
        <w:contextualSpacing/>
      </w:pPr>
      <w:r>
        <w:t xml:space="preserve">Neither the Wetlands Protection Act nor the </w:t>
      </w:r>
      <w:r w:rsidR="00F1328F">
        <w:t>W</w:t>
      </w:r>
      <w:r>
        <w:t xml:space="preserve">etlands </w:t>
      </w:r>
      <w:r w:rsidR="00F1328F">
        <w:t>R</w:t>
      </w:r>
      <w:r>
        <w:t xml:space="preserve">egulations provide for amended orders of conditions.  Instead, amended orders are governed by a long-standing policy intended “to avoid unnecessary and unproductive duplication of regulatory effort” in circumstances where project revisions are relatively minor and will have less or unchanged impact on wetlands </w:t>
      </w:r>
      <w:r>
        <w:lastRenderedPageBreak/>
        <w:t xml:space="preserve">interests.  Wetlands Program Policy 85-4: Amended Orders (Issued September 17, 1985, </w:t>
      </w:r>
      <w:r w:rsidR="00CE2CCC">
        <w:t>R</w:t>
      </w:r>
      <w:r>
        <w:t xml:space="preserve">evised March 1, 1995).  A decision to allow an amendment, as opposed to requiring the filing of a new notice of intent, is at the discretion of the issuing authority (the </w:t>
      </w:r>
      <w:r w:rsidR="00502C7F">
        <w:t xml:space="preserve">local Conservation </w:t>
      </w:r>
      <w:r>
        <w:t>Commission or the Department) which issued the order of conditions.</w:t>
      </w:r>
      <w:r w:rsidR="008B5DE4">
        <w:t xml:space="preserve"> </w:t>
      </w:r>
      <w:r>
        <w:t xml:space="preserve"> </w:t>
      </w:r>
      <w:r w:rsidRPr="00EC0F68">
        <w:rPr>
          <w:u w:val="single"/>
        </w:rPr>
        <w:t>Id.</w:t>
      </w:r>
      <w:r>
        <w:t xml:space="preserve">   After a request for an amendment is filed, the issuing authority makes a determination as to whether an amendment is appropriate based on factors identified in the Policy.  </w:t>
      </w:r>
      <w:r w:rsidRPr="00EC0F68">
        <w:rPr>
          <w:u w:val="single"/>
        </w:rPr>
        <w:t>Id.</w:t>
      </w:r>
      <w:r>
        <w:t xml:space="preserve">  An amendment may be appealed, but the appeal is limited to the revisions allowed by the amendment.  The denial of a request to amend may not be appealed.  </w:t>
      </w:r>
      <w:r w:rsidRPr="00EC0F68">
        <w:rPr>
          <w:u w:val="single"/>
        </w:rPr>
        <w:t>Id.</w:t>
      </w:r>
      <w:r>
        <w:t xml:space="preserve">   If a request to amend is accepted, the same public notice and abutter notification are required as for a notice of intent, so that interested persons may participate in the </w:t>
      </w:r>
      <w:proofErr w:type="spellStart"/>
      <w:r>
        <w:t>decisionmaking</w:t>
      </w:r>
      <w:proofErr w:type="spellEnd"/>
      <w:r>
        <w:t>.</w:t>
      </w:r>
      <w:r w:rsidR="00F1328F">
        <w:t xml:space="preserve"> </w:t>
      </w:r>
      <w:r>
        <w:t xml:space="preserve"> </w:t>
      </w:r>
      <w:r w:rsidRPr="00EC0F68">
        <w:rPr>
          <w:u w:val="single"/>
        </w:rPr>
        <w:t>Id.</w:t>
      </w:r>
      <w:r>
        <w:t xml:space="preserve">  The substantive factors for consideration identified in the </w:t>
      </w:r>
      <w:r w:rsidR="008B5DE4">
        <w:t>Amended Orders P</w:t>
      </w:r>
      <w:r>
        <w:t xml:space="preserve">olicy are straightforward: 1) whether the project’s purpose has changed, 2) whether the scope of the project has increased, 3) whether the project meets performance standards, and 4) whether the potential for adverse impacts on protected interests has increased. </w:t>
      </w:r>
      <w:r w:rsidR="008B5DE4">
        <w:t xml:space="preserve"> </w:t>
      </w:r>
      <w:r w:rsidR="008B5DE4" w:rsidRPr="008B5DE4">
        <w:rPr>
          <w:u w:val="single"/>
        </w:rPr>
        <w:t>Id.</w:t>
      </w:r>
      <w:r>
        <w:t xml:space="preserve">  </w:t>
      </w:r>
    </w:p>
    <w:p w:rsidR="00CD1403" w:rsidRDefault="00A4562F" w:rsidP="00A4562F">
      <w:pPr>
        <w:autoSpaceDE w:val="0"/>
        <w:autoSpaceDN w:val="0"/>
        <w:adjustRightInd w:val="0"/>
        <w:spacing w:line="480" w:lineRule="auto"/>
        <w:ind w:firstLine="720"/>
        <w:contextualSpacing/>
      </w:pPr>
      <w:r>
        <w:t xml:space="preserve">For this project, 95 Hayden requested an amendment of the Order </w:t>
      </w:r>
      <w:r w:rsidR="008B5DE4">
        <w:t xml:space="preserve">originally </w:t>
      </w:r>
      <w:r>
        <w:t xml:space="preserve">issued by the Lexington Conservation Commission to One </w:t>
      </w:r>
      <w:proofErr w:type="spellStart"/>
      <w:r>
        <w:t>Ledgemont</w:t>
      </w:r>
      <w:proofErr w:type="spellEnd"/>
      <w:r>
        <w:t xml:space="preserve"> and </w:t>
      </w:r>
      <w:r w:rsidR="008B5DE4">
        <w:t xml:space="preserve">Two </w:t>
      </w:r>
      <w:proofErr w:type="spellStart"/>
      <w:r w:rsidR="008B5DE4">
        <w:t>Ledgemont</w:t>
      </w:r>
      <w:proofErr w:type="spellEnd"/>
      <w:r>
        <w:t xml:space="preserve">, the Commission accepted the request, and the Commission issued an Amended Order of Conditions to 95 Hayden.  One </w:t>
      </w:r>
      <w:proofErr w:type="spellStart"/>
      <w:r>
        <w:t>Ledgemont</w:t>
      </w:r>
      <w:proofErr w:type="spellEnd"/>
      <w:r>
        <w:t xml:space="preserve"> requested Department action claiming in part that a new </w:t>
      </w:r>
      <w:r w:rsidR="00F1328F">
        <w:t>n</w:t>
      </w:r>
      <w:r>
        <w:t xml:space="preserve">otice of </w:t>
      </w:r>
      <w:r w:rsidR="00F1328F">
        <w:t>i</w:t>
      </w:r>
      <w:r>
        <w:t xml:space="preserve">ntent should have been required. </w:t>
      </w:r>
      <w:r w:rsidR="00F1328F">
        <w:t xml:space="preserve"> </w:t>
      </w:r>
      <w:r w:rsidR="008B5DE4">
        <w:t xml:space="preserve">95 </w:t>
      </w:r>
      <w:r w:rsidR="00F1328F">
        <w:t xml:space="preserve">Hayden </w:t>
      </w:r>
      <w:r w:rsidR="008B5DE4">
        <w:t>filed a legal opinion as to its status as the property owner.</w:t>
      </w:r>
      <w:r>
        <w:t xml:space="preserve"> The Department affirmed the Commission by issuing a Superseding Amended Order of Conditions.   The Department provided an affidavit of Gary Bogue, the wetlands staff who reviewed the project, describing his consideration of the factors</w:t>
      </w:r>
      <w:r w:rsidR="008B5DE4">
        <w:t xml:space="preserve"> identified in the Policy</w:t>
      </w:r>
      <w:r>
        <w:t xml:space="preserve">. </w:t>
      </w:r>
      <w:r w:rsidR="008B5DE4">
        <w:t xml:space="preserve"> </w:t>
      </w:r>
      <w:proofErr w:type="gramStart"/>
      <w:r w:rsidRPr="006F7193">
        <w:rPr>
          <w:u w:val="single"/>
        </w:rPr>
        <w:t>See</w:t>
      </w:r>
      <w:r>
        <w:t xml:space="preserve"> Department’s Cross-Motion, Bogue </w:t>
      </w:r>
      <w:proofErr w:type="spellStart"/>
      <w:r>
        <w:t>Aff</w:t>
      </w:r>
      <w:proofErr w:type="spellEnd"/>
      <w:r>
        <w:t>.</w:t>
      </w:r>
      <w:proofErr w:type="gramEnd"/>
      <w:r>
        <w:t xml:space="preserve">   </w:t>
      </w:r>
      <w:r w:rsidR="00CD1403">
        <w:t xml:space="preserve">The Department’s cover letter described in considerable detail its rationale. </w:t>
      </w:r>
    </w:p>
    <w:p w:rsidR="00CD1403" w:rsidRDefault="006E45C9" w:rsidP="00A4562F">
      <w:pPr>
        <w:autoSpaceDE w:val="0"/>
        <w:autoSpaceDN w:val="0"/>
        <w:adjustRightInd w:val="0"/>
        <w:spacing w:line="480" w:lineRule="auto"/>
        <w:ind w:firstLine="720"/>
        <w:contextualSpacing/>
      </w:pPr>
      <w:r>
        <w:lastRenderedPageBreak/>
        <w:t xml:space="preserve">One </w:t>
      </w:r>
      <w:proofErr w:type="spellStart"/>
      <w:r>
        <w:t>Ledgemont</w:t>
      </w:r>
      <w:proofErr w:type="spellEnd"/>
      <w:r>
        <w:t xml:space="preserve"> claim</w:t>
      </w:r>
      <w:r w:rsidR="00EC0F68">
        <w:t xml:space="preserve">ed </w:t>
      </w:r>
      <w:r>
        <w:t xml:space="preserve">that the use of the amendment procedure by the Department </w:t>
      </w:r>
      <w:r w:rsidR="000F5CA5">
        <w:t>wa</w:t>
      </w:r>
      <w:r>
        <w:t xml:space="preserve">s an abuse of discretion, because the project revisions </w:t>
      </w:r>
      <w:r w:rsidR="00EC0F68">
        <w:t>we</w:t>
      </w:r>
      <w:r>
        <w:t xml:space="preserve">re not “relatively minor” </w:t>
      </w:r>
      <w:r w:rsidR="00F1328F">
        <w:t xml:space="preserve">and did not </w:t>
      </w:r>
      <w:r>
        <w:t>have the “same or decreased impact”</w:t>
      </w:r>
      <w:r w:rsidR="000F5CA5">
        <w:t xml:space="preserve"> as required by </w:t>
      </w:r>
      <w:r w:rsidR="00F1328F">
        <w:t xml:space="preserve">the </w:t>
      </w:r>
      <w:r w:rsidR="000F5CA5">
        <w:t>Department</w:t>
      </w:r>
      <w:r w:rsidR="00F1328F">
        <w:t>’s P</w:t>
      </w:r>
      <w:r w:rsidR="000F5CA5">
        <w:t xml:space="preserve">olicy.  One </w:t>
      </w:r>
      <w:proofErr w:type="spellStart"/>
      <w:r w:rsidR="000F5CA5">
        <w:t>Ledgemont</w:t>
      </w:r>
      <w:proofErr w:type="spellEnd"/>
      <w:r w:rsidR="000F5CA5">
        <w:t xml:space="preserve"> characterized the revisions as “sweeping deviations” from the 2008 Order because the increased size of the building required the redesign of the </w:t>
      </w:r>
      <w:proofErr w:type="spellStart"/>
      <w:r w:rsidR="000F5CA5">
        <w:t>stormwater</w:t>
      </w:r>
      <w:proofErr w:type="spellEnd"/>
      <w:r w:rsidR="000F5CA5">
        <w:t xml:space="preserve"> management system, which i</w:t>
      </w:r>
      <w:r w:rsidR="008B5DE4">
        <w:t>t alleged is</w:t>
      </w:r>
      <w:r w:rsidR="000F5CA5">
        <w:t xml:space="preserve"> </w:t>
      </w:r>
      <w:r w:rsidR="00CD1403">
        <w:t xml:space="preserve">partially </w:t>
      </w:r>
      <w:r w:rsidR="000F5CA5">
        <w:t xml:space="preserve">located in the buffer zone. </w:t>
      </w:r>
      <w:r>
        <w:t xml:space="preserve">  One </w:t>
      </w:r>
      <w:proofErr w:type="spellStart"/>
      <w:r>
        <w:t>Ledgemont</w:t>
      </w:r>
      <w:proofErr w:type="spellEnd"/>
      <w:r>
        <w:t xml:space="preserve"> concede</w:t>
      </w:r>
      <w:r w:rsidR="00EC0F68">
        <w:t>d</w:t>
      </w:r>
      <w:r>
        <w:t xml:space="preserve"> that the Department does not have jurisdiction over the entirety of the project</w:t>
      </w:r>
      <w:r w:rsidR="00A4562F">
        <w:t xml:space="preserve"> revisions because </w:t>
      </w:r>
      <w:r w:rsidR="00CD1403">
        <w:t>some</w:t>
      </w:r>
      <w:r w:rsidR="00A4562F">
        <w:t xml:space="preserve"> are located outside the buffer zone,</w:t>
      </w:r>
      <w:r>
        <w:t xml:space="preserve"> but argue</w:t>
      </w:r>
      <w:r w:rsidR="00EC0F68">
        <w:t>d</w:t>
      </w:r>
      <w:r>
        <w:t xml:space="preserve"> that </w:t>
      </w:r>
      <w:r w:rsidR="00F1328F">
        <w:t>the Department</w:t>
      </w:r>
      <w:r>
        <w:t xml:space="preserve"> should not ignore the magnitude of the proposed changes from the increased building footprint and related impacts.  95 Hayden argue</w:t>
      </w:r>
      <w:r w:rsidR="00EC0F68">
        <w:t>d</w:t>
      </w:r>
      <w:r>
        <w:t xml:space="preserve"> that the project revisions under the amendment are minor, with some allowed under the 2008 Order although not identified in the 2008 Notice of Intent.  95 Hayden conceded that, while the increased building footprint is outside the buffer zone, the revisions will affect the </w:t>
      </w:r>
      <w:proofErr w:type="spellStart"/>
      <w:r>
        <w:t>stormwater</w:t>
      </w:r>
      <w:proofErr w:type="spellEnd"/>
      <w:r>
        <w:t xml:space="preserve"> management system</w:t>
      </w:r>
      <w:r w:rsidR="00A4562F">
        <w:t xml:space="preserve"> due to the increased impervious surface</w:t>
      </w:r>
      <w:r>
        <w:t>.  However, 95 Hayden argue</w:t>
      </w:r>
      <w:r w:rsidR="00EC0F68">
        <w:t>d</w:t>
      </w:r>
      <w:r>
        <w:t xml:space="preserve"> that the revised design </w:t>
      </w:r>
      <w:r w:rsidR="008B5DE4">
        <w:t>approved</w:t>
      </w:r>
      <w:r>
        <w:t xml:space="preserve"> through </w:t>
      </w:r>
      <w:r w:rsidR="008B5DE4">
        <w:t xml:space="preserve">the </w:t>
      </w:r>
      <w:r>
        <w:t xml:space="preserve">amendment will further reduce any increase in peak runoff, and that 95 Hayden, not One </w:t>
      </w:r>
      <w:proofErr w:type="spellStart"/>
      <w:r>
        <w:t>Ledgemont</w:t>
      </w:r>
      <w:proofErr w:type="spellEnd"/>
      <w:r>
        <w:t xml:space="preserve">, has full responsibility for the operation and maintenance plan for the </w:t>
      </w:r>
      <w:proofErr w:type="spellStart"/>
      <w:r>
        <w:t>stormwater</w:t>
      </w:r>
      <w:proofErr w:type="spellEnd"/>
      <w:r>
        <w:t xml:space="preserve"> system, as well as erosion control and drainage at the site.  </w:t>
      </w:r>
    </w:p>
    <w:p w:rsidR="006E45C9" w:rsidRDefault="006E45C9" w:rsidP="00A4562F">
      <w:pPr>
        <w:autoSpaceDE w:val="0"/>
        <w:autoSpaceDN w:val="0"/>
        <w:adjustRightInd w:val="0"/>
        <w:spacing w:line="480" w:lineRule="auto"/>
        <w:ind w:firstLine="720"/>
        <w:contextualSpacing/>
        <w:rPr>
          <w:b/>
          <w:u w:val="single"/>
        </w:rPr>
      </w:pPr>
      <w:r>
        <w:t>The Department share</w:t>
      </w:r>
      <w:r w:rsidR="00EC0F68">
        <w:t>d</w:t>
      </w:r>
      <w:r>
        <w:t xml:space="preserve"> the view of 95 Hayden that the project revisions </w:t>
      </w:r>
      <w:r w:rsidR="00EC0F68">
        <w:t>were</w:t>
      </w:r>
      <w:r>
        <w:t xml:space="preserve"> either outside jurisdiction or were allowed under the 2008 Order.  The Department emphasize</w:t>
      </w:r>
      <w:r w:rsidR="00EC0F68">
        <w:t>d</w:t>
      </w:r>
      <w:r>
        <w:t xml:space="preserve"> that wetlands jurisdiction, including </w:t>
      </w:r>
      <w:proofErr w:type="spellStart"/>
      <w:r>
        <w:t>stormwater</w:t>
      </w:r>
      <w:proofErr w:type="spellEnd"/>
      <w:r>
        <w:t xml:space="preserve"> discharges, is limited to Parcel B</w:t>
      </w:r>
      <w:r w:rsidR="00F1328F">
        <w:t xml:space="preserve"> owned by 95 Hayden</w:t>
      </w:r>
      <w:r>
        <w:t xml:space="preserve">, which is </w:t>
      </w:r>
      <w:proofErr w:type="spellStart"/>
      <w:r>
        <w:t>downgradient</w:t>
      </w:r>
      <w:proofErr w:type="spellEnd"/>
      <w:r>
        <w:t xml:space="preserve"> from Parcel </w:t>
      </w:r>
      <w:proofErr w:type="gramStart"/>
      <w:r>
        <w:t>A</w:t>
      </w:r>
      <w:proofErr w:type="gramEnd"/>
      <w:r w:rsidR="00F1328F">
        <w:t xml:space="preserve"> owned by One </w:t>
      </w:r>
      <w:proofErr w:type="spellStart"/>
      <w:r w:rsidR="00F1328F">
        <w:t>Ledgemont</w:t>
      </w:r>
      <w:proofErr w:type="spellEnd"/>
      <w:r>
        <w:t xml:space="preserve">, and </w:t>
      </w:r>
      <w:r w:rsidR="00CD1403">
        <w:t xml:space="preserve">claimed </w:t>
      </w:r>
      <w:r>
        <w:t>there w</w:t>
      </w:r>
      <w:r w:rsidR="00CD1403">
        <w:t>ould</w:t>
      </w:r>
      <w:r>
        <w:t xml:space="preserve"> be no adverse impacts because the </w:t>
      </w:r>
      <w:proofErr w:type="spellStart"/>
      <w:r>
        <w:t>stormwater</w:t>
      </w:r>
      <w:proofErr w:type="spellEnd"/>
      <w:r>
        <w:t xml:space="preserve"> will be properly managed.  The Department also argue</w:t>
      </w:r>
      <w:r w:rsidR="00EC0F68">
        <w:t>d</w:t>
      </w:r>
      <w:r>
        <w:t xml:space="preserve"> that the Commission and the Department used </w:t>
      </w:r>
      <w:r w:rsidR="00EC0F68">
        <w:t xml:space="preserve">what they viewed as </w:t>
      </w:r>
      <w:proofErr w:type="spellStart"/>
      <w:r>
        <w:t>unappealable</w:t>
      </w:r>
      <w:proofErr w:type="spellEnd"/>
      <w:r>
        <w:t xml:space="preserve"> discretion in a</w:t>
      </w:r>
      <w:r w:rsidR="00EC0F68">
        <w:t>llowing</w:t>
      </w:r>
      <w:r>
        <w:t xml:space="preserve"> the request for an amendment.  </w:t>
      </w:r>
      <w:r w:rsidR="008B5DE4">
        <w:t xml:space="preserve">Mr. </w:t>
      </w:r>
      <w:r w:rsidR="00CD1403">
        <w:t>Bogue</w:t>
      </w:r>
      <w:r w:rsidR="008B5DE4">
        <w:t xml:space="preserve"> reviewed the </w:t>
      </w:r>
      <w:r w:rsidR="008B5DE4">
        <w:lastRenderedPageBreak/>
        <w:t xml:space="preserve">Amended </w:t>
      </w:r>
      <w:r w:rsidR="00F1328F">
        <w:t>O</w:t>
      </w:r>
      <w:r w:rsidR="008B5DE4">
        <w:t xml:space="preserve">rder </w:t>
      </w:r>
      <w:r w:rsidR="00CE2CCC">
        <w:t>according to the Amended Order</w:t>
      </w:r>
      <w:r w:rsidR="00BE4CCE">
        <w:t>s</w:t>
      </w:r>
      <w:r w:rsidR="00CE2CCC">
        <w:t xml:space="preserve"> Policy </w:t>
      </w:r>
      <w:r w:rsidR="008B5DE4">
        <w:t xml:space="preserve">and concluded that the project purpose, the construction of an office building, had not changed.  </w:t>
      </w:r>
      <w:proofErr w:type="gramStart"/>
      <w:r w:rsidR="007C7DEB">
        <w:t xml:space="preserve">Department’s Cross-Motion, Bogue </w:t>
      </w:r>
      <w:proofErr w:type="spellStart"/>
      <w:r w:rsidR="007C7DEB">
        <w:t>Aff</w:t>
      </w:r>
      <w:proofErr w:type="spellEnd"/>
      <w:r w:rsidR="007C7DEB">
        <w:t>.</w:t>
      </w:r>
      <w:proofErr w:type="gramEnd"/>
      <w:r w:rsidR="007C7DEB">
        <w:t xml:space="preserve">   </w:t>
      </w:r>
      <w:r w:rsidR="008B5DE4">
        <w:t>He stated that the increase in the building footprint was located away from the edge of the wetlands</w:t>
      </w:r>
      <w:r w:rsidR="007C7DEB">
        <w:t xml:space="preserve">, and noted as particularly important that there was no new work in the buffer zone.  </w:t>
      </w:r>
      <w:r w:rsidR="007C7DEB" w:rsidRPr="007C7DEB">
        <w:rPr>
          <w:u w:val="single"/>
        </w:rPr>
        <w:t>Id.</w:t>
      </w:r>
      <w:r w:rsidR="007C7DEB">
        <w:t xml:space="preserve">   He stated that because the 2008 </w:t>
      </w:r>
      <w:proofErr w:type="spellStart"/>
      <w:r w:rsidR="007C7DEB">
        <w:t>stormwater</w:t>
      </w:r>
      <w:proofErr w:type="spellEnd"/>
      <w:r w:rsidR="007C7DEB">
        <w:t xml:space="preserve"> system had been approved</w:t>
      </w:r>
      <w:r w:rsidR="00664702">
        <w:t xml:space="preserve">, </w:t>
      </w:r>
      <w:r w:rsidR="007C7DEB">
        <w:t>the 2012 plan relied on those findings,</w:t>
      </w:r>
      <w:r w:rsidR="00664702">
        <w:t xml:space="preserve"> and any additional </w:t>
      </w:r>
      <w:proofErr w:type="spellStart"/>
      <w:r w:rsidR="00664702">
        <w:t>stormwater</w:t>
      </w:r>
      <w:proofErr w:type="spellEnd"/>
      <w:r w:rsidR="00664702">
        <w:t xml:space="preserve"> would be managed in the same way, he did not foresee any potential for increased impacts. </w:t>
      </w:r>
      <w:r w:rsidR="00664702" w:rsidRPr="00664702">
        <w:rPr>
          <w:u w:val="single"/>
        </w:rPr>
        <w:t>Id</w:t>
      </w:r>
      <w:r w:rsidR="00664702">
        <w:t>.  He finally concluded that the Amended Order should be recorded on both parcels, because the 2012 plans supersede</w:t>
      </w:r>
      <w:r w:rsidR="00CE2CCC">
        <w:t>d</w:t>
      </w:r>
      <w:r w:rsidR="00664702">
        <w:t xml:space="preserve"> the 2008 plans, but </w:t>
      </w:r>
      <w:r w:rsidR="00BE56CB">
        <w:t xml:space="preserve">that </w:t>
      </w:r>
      <w:r w:rsidR="00664702">
        <w:t xml:space="preserve">maintenance of the system will fall only on 95 Hayden.  </w:t>
      </w:r>
      <w:r w:rsidR="00664702" w:rsidRPr="00664702">
        <w:rPr>
          <w:u w:val="single"/>
        </w:rPr>
        <w:t>Id.</w:t>
      </w:r>
      <w:r w:rsidR="00664702">
        <w:t xml:space="preserve">  </w:t>
      </w:r>
      <w:r w:rsidR="007C7DEB">
        <w:t xml:space="preserve">  </w:t>
      </w:r>
      <w:r w:rsidR="008B5DE4">
        <w:t xml:space="preserve"> </w:t>
      </w:r>
      <w:r>
        <w:t xml:space="preserve">   </w:t>
      </w:r>
      <w:r w:rsidRPr="00032AD1">
        <w:rPr>
          <w:b/>
          <w:u w:val="single"/>
        </w:rPr>
        <w:t xml:space="preserve"> </w:t>
      </w:r>
    </w:p>
    <w:p w:rsidR="0047557F" w:rsidRDefault="006E45C9" w:rsidP="006648EE">
      <w:pPr>
        <w:autoSpaceDE w:val="0"/>
        <w:autoSpaceDN w:val="0"/>
        <w:adjustRightInd w:val="0"/>
        <w:spacing w:line="480" w:lineRule="auto"/>
        <w:contextualSpacing/>
      </w:pPr>
      <w:r>
        <w:tab/>
      </w:r>
      <w:r w:rsidR="0047557F">
        <w:t xml:space="preserve">Distinguishing between the 2008 project and the 2012 proposed revisions </w:t>
      </w:r>
      <w:r w:rsidR="00CD1403">
        <w:t xml:space="preserve">is </w:t>
      </w:r>
      <w:r w:rsidR="0047557F">
        <w:t xml:space="preserve">a threshold question in determining whether an amendment was acceptable.  One </w:t>
      </w:r>
      <w:proofErr w:type="spellStart"/>
      <w:r w:rsidR="0047557F">
        <w:t>Ledgemont</w:t>
      </w:r>
      <w:proofErr w:type="spellEnd"/>
      <w:r w:rsidR="0047557F">
        <w:t xml:space="preserve"> provided a letter prepared by Brian D. Jones, P.E. which identified numerous revisions between the 2008 and 2012 Orders.  One </w:t>
      </w:r>
      <w:proofErr w:type="spellStart"/>
      <w:r w:rsidR="0047557F">
        <w:t>Ledgemont</w:t>
      </w:r>
      <w:proofErr w:type="spellEnd"/>
      <w:r w:rsidR="0047557F">
        <w:t xml:space="preserve"> Motion, Ex. 2.   The revisions were identified by reference to various plans, but did not distinguish between project features that are located within or outside geographic jurisdiction</w:t>
      </w:r>
      <w:r w:rsidR="00F1328F">
        <w:t xml:space="preserve"> of the Wetlands Regulations</w:t>
      </w:r>
      <w:r w:rsidR="0047557F">
        <w:t xml:space="preserve">.  95 Hayden filed an affidavit of Dominic </w:t>
      </w:r>
      <w:proofErr w:type="spellStart"/>
      <w:r w:rsidR="0047557F">
        <w:t>Rinaldi</w:t>
      </w:r>
      <w:proofErr w:type="spellEnd"/>
      <w:r w:rsidR="0047557F">
        <w:t xml:space="preserve"> which described the project revisions and impacts</w:t>
      </w:r>
      <w:r w:rsidR="00CD1403">
        <w:t>, as</w:t>
      </w:r>
      <w:r w:rsidR="0047557F">
        <w:t xml:space="preserve"> depict</w:t>
      </w:r>
      <w:r w:rsidR="00CD1403">
        <w:t>ed</w:t>
      </w:r>
      <w:r w:rsidR="0047557F">
        <w:t xml:space="preserve"> on a plan.  </w:t>
      </w:r>
      <w:r w:rsidR="0047557F" w:rsidRPr="00E15CCF">
        <w:rPr>
          <w:u w:val="single"/>
        </w:rPr>
        <w:t>See</w:t>
      </w:r>
      <w:r w:rsidR="0047557F">
        <w:t xml:space="preserve"> Applicant’s Cross-Motion, </w:t>
      </w:r>
      <w:proofErr w:type="spellStart"/>
      <w:r w:rsidR="0047557F">
        <w:t>Rinaldi</w:t>
      </w:r>
      <w:proofErr w:type="spellEnd"/>
      <w:r w:rsidR="0047557F">
        <w:t xml:space="preserve"> </w:t>
      </w:r>
      <w:proofErr w:type="spellStart"/>
      <w:r w:rsidR="0047557F">
        <w:t>Aff</w:t>
      </w:r>
      <w:proofErr w:type="spellEnd"/>
      <w:r w:rsidR="0047557F">
        <w:t xml:space="preserve">., </w:t>
      </w:r>
      <w:proofErr w:type="gramStart"/>
      <w:r w:rsidR="0047557F">
        <w:t>Ex</w:t>
      </w:r>
      <w:proofErr w:type="gramEnd"/>
      <w:r w:rsidR="0047557F">
        <w:t>. D.  This plan showed the design features governed by the 2008 Order, the 2008 and the 2012 Order</w:t>
      </w:r>
      <w:r w:rsidR="008F3602">
        <w:t>,</w:t>
      </w:r>
      <w:r w:rsidR="0047557F">
        <w:t xml:space="preserve"> and the 2012 Amendment.</w:t>
      </w:r>
      <w:r w:rsidR="0047557F">
        <w:rPr>
          <w:rStyle w:val="FootnoteReference"/>
        </w:rPr>
        <w:footnoteReference w:id="4"/>
      </w:r>
      <w:r w:rsidR="0047557F">
        <w:t xml:space="preserve">  Of the four revisions identified by One </w:t>
      </w:r>
      <w:proofErr w:type="spellStart"/>
      <w:r w:rsidR="0047557F">
        <w:t>Ledgemont</w:t>
      </w:r>
      <w:proofErr w:type="spellEnd"/>
      <w:r w:rsidR="0047557F">
        <w:t xml:space="preserve"> within the buffer zone and therefore subject to jurisdiction, three were included or derived from the 2008 Order: planting locations to control invasive species, a walking trail, and an overhead walkway.  </w:t>
      </w:r>
      <w:proofErr w:type="spellStart"/>
      <w:r w:rsidR="0047557F">
        <w:t>Rinaldi</w:t>
      </w:r>
      <w:proofErr w:type="spellEnd"/>
      <w:r w:rsidR="0047557F">
        <w:t xml:space="preserve"> </w:t>
      </w:r>
      <w:proofErr w:type="spellStart"/>
      <w:r w:rsidR="0047557F">
        <w:t>Aff</w:t>
      </w:r>
      <w:proofErr w:type="spellEnd"/>
      <w:r w:rsidR="00CE2CCC">
        <w:t>.</w:t>
      </w:r>
      <w:r w:rsidR="0047557F">
        <w:t xml:space="preserve">, </w:t>
      </w:r>
      <w:proofErr w:type="spellStart"/>
      <w:r w:rsidR="0047557F">
        <w:t>para</w:t>
      </w:r>
      <w:r w:rsidR="00CE2CCC">
        <w:t>s</w:t>
      </w:r>
      <w:proofErr w:type="spellEnd"/>
      <w:r w:rsidR="0047557F">
        <w:t>. 23-25</w:t>
      </w:r>
      <w:proofErr w:type="gramStart"/>
      <w:r w:rsidR="0047557F">
        <w:t>.  In</w:t>
      </w:r>
      <w:proofErr w:type="gramEnd"/>
      <w:r w:rsidR="0047557F">
        <w:t xml:space="preserve"> </w:t>
      </w:r>
      <w:r w:rsidR="0047557F">
        <w:lastRenderedPageBreak/>
        <w:t xml:space="preserve">addition, the proposed work related to these project components appeared to be minor and One </w:t>
      </w:r>
      <w:proofErr w:type="spellStart"/>
      <w:r w:rsidR="0047557F">
        <w:t>Ledgemont</w:t>
      </w:r>
      <w:proofErr w:type="spellEnd"/>
      <w:r w:rsidR="0047557F">
        <w:t xml:space="preserve"> did not argue otherwise. </w:t>
      </w:r>
      <w:r w:rsidR="008F3602">
        <w:t xml:space="preserve"> </w:t>
      </w:r>
      <w:r w:rsidR="0047557F">
        <w:t>The fourth revision, to the limit of work, revised the limit so that it is farther from the resource area and therefore reduc</w:t>
      </w:r>
      <w:r w:rsidR="00F1328F">
        <w:t>ed</w:t>
      </w:r>
      <w:r w:rsidR="0047557F">
        <w:t xml:space="preserve"> alteration within the buffer zone. </w:t>
      </w:r>
    </w:p>
    <w:p w:rsidR="0047557F" w:rsidRDefault="0047557F" w:rsidP="0047557F">
      <w:pPr>
        <w:autoSpaceDE w:val="0"/>
        <w:autoSpaceDN w:val="0"/>
        <w:adjustRightInd w:val="0"/>
        <w:spacing w:line="480" w:lineRule="auto"/>
        <w:ind w:firstLine="720"/>
        <w:contextualSpacing/>
      </w:pPr>
      <w:r>
        <w:t xml:space="preserve">Outside the buffer zone, the 2012 </w:t>
      </w:r>
      <w:r w:rsidR="00CE2CCC">
        <w:t>A</w:t>
      </w:r>
      <w:r>
        <w:t>mendment include</w:t>
      </w:r>
      <w:r w:rsidR="00CE2CCC">
        <w:t>d</w:t>
      </w:r>
      <w:r>
        <w:t xml:space="preserve"> revisions affecting impervious surfaces</w:t>
      </w:r>
      <w:r w:rsidR="00F1328F">
        <w:t>,</w:t>
      </w:r>
      <w:r w:rsidR="008F3602">
        <w:t xml:space="preserve"> including</w:t>
      </w:r>
      <w:r>
        <w:t xml:space="preserve"> reconfiguration of parking, an increase in the building footprint of 10,150 sq. ft., and relocation and change in surface of an emergency access road.  </w:t>
      </w:r>
      <w:proofErr w:type="spellStart"/>
      <w:r>
        <w:t>Rinaldi</w:t>
      </w:r>
      <w:proofErr w:type="spellEnd"/>
      <w:r>
        <w:t xml:space="preserve"> </w:t>
      </w:r>
      <w:proofErr w:type="spellStart"/>
      <w:r>
        <w:t>Aff</w:t>
      </w:r>
      <w:proofErr w:type="spellEnd"/>
      <w:r>
        <w:t xml:space="preserve">., </w:t>
      </w:r>
      <w:proofErr w:type="spellStart"/>
      <w:r>
        <w:t>para</w:t>
      </w:r>
      <w:proofErr w:type="spellEnd"/>
      <w:r>
        <w:t xml:space="preserve">. 15.  The infiltration system at the north end of the building is larger and shifted slightly </w:t>
      </w:r>
      <w:r w:rsidR="006648EE">
        <w:t>west</w:t>
      </w:r>
      <w:r>
        <w:t xml:space="preserve"> to accommodate the increase in impervious surface.  </w:t>
      </w:r>
      <w:r w:rsidRPr="000E12FE">
        <w:rPr>
          <w:u w:val="single"/>
        </w:rPr>
        <w:t>Id</w:t>
      </w:r>
      <w:r>
        <w:t>.  This infiltration system is outside the buffer zone.   The outlet of the infiltration system was also relocated outside the buffer zone in the 2012 amendment.</w:t>
      </w:r>
      <w:r w:rsidR="008F3602">
        <w:t xml:space="preserve">  </w:t>
      </w:r>
      <w:proofErr w:type="spellStart"/>
      <w:r>
        <w:t>Rinaldi</w:t>
      </w:r>
      <w:proofErr w:type="spellEnd"/>
      <w:r>
        <w:t xml:space="preserve"> </w:t>
      </w:r>
      <w:proofErr w:type="spellStart"/>
      <w:r>
        <w:t>Aff</w:t>
      </w:r>
      <w:proofErr w:type="spellEnd"/>
      <w:r>
        <w:t xml:space="preserve">., </w:t>
      </w:r>
      <w:proofErr w:type="spellStart"/>
      <w:r>
        <w:t>para</w:t>
      </w:r>
      <w:proofErr w:type="spellEnd"/>
      <w:r>
        <w:t xml:space="preserve">. 29.  Thus, despite the 2012 project revisions that would allow an increase in the amount of impervious surface at the site and related revisions to the </w:t>
      </w:r>
      <w:proofErr w:type="spellStart"/>
      <w:r>
        <w:t>stormwater</w:t>
      </w:r>
      <w:proofErr w:type="spellEnd"/>
      <w:r>
        <w:t xml:space="preserve"> management system, both the increased impervious surface and the </w:t>
      </w:r>
      <w:proofErr w:type="spellStart"/>
      <w:r>
        <w:t>stormwater</w:t>
      </w:r>
      <w:proofErr w:type="spellEnd"/>
      <w:r>
        <w:t xml:space="preserve"> management system are outside the buffer zone.  The only exception is the work to relocate the point of discharge outside the buffer zone and that work will decrease impacts. </w:t>
      </w:r>
    </w:p>
    <w:p w:rsidR="00F1328F" w:rsidRDefault="00F1328F" w:rsidP="0060062C">
      <w:pPr>
        <w:autoSpaceDE w:val="0"/>
        <w:autoSpaceDN w:val="0"/>
        <w:adjustRightInd w:val="0"/>
        <w:spacing w:line="480" w:lineRule="auto"/>
        <w:ind w:firstLine="720"/>
        <w:contextualSpacing/>
      </w:pPr>
      <w:r>
        <w:t xml:space="preserve">One </w:t>
      </w:r>
      <w:proofErr w:type="spellStart"/>
      <w:r>
        <w:t>Ledgemont’s</w:t>
      </w:r>
      <w:proofErr w:type="spellEnd"/>
      <w:r>
        <w:t xml:space="preserve"> opposition includes an affidavit of Brian Jones </w:t>
      </w:r>
      <w:r w:rsidR="00CE2CCC">
        <w:t xml:space="preserve">in </w:t>
      </w:r>
      <w:r>
        <w:t xml:space="preserve">which </w:t>
      </w:r>
      <w:r w:rsidR="00CE2CCC">
        <w:t xml:space="preserve">he </w:t>
      </w:r>
      <w:r>
        <w:t>overlays easements</w:t>
      </w:r>
      <w:r w:rsidR="00CE2CCC">
        <w:t>,</w:t>
      </w:r>
      <w:r>
        <w:t xml:space="preserve"> apparently indicat</w:t>
      </w:r>
      <w:r w:rsidR="00CE2CCC">
        <w:t>ing</w:t>
      </w:r>
      <w:r>
        <w:t xml:space="preserve"> that additional parking spaces will be required on Parcel B that are not shown on 95 Hayden’s plans and the impacts </w:t>
      </w:r>
      <w:r w:rsidR="00CE2CCC">
        <w:t xml:space="preserve">were </w:t>
      </w:r>
      <w:r>
        <w:t xml:space="preserve">not considered for purposes of the requested Amendment.  </w:t>
      </w:r>
      <w:r w:rsidRPr="00E15CCF">
        <w:rPr>
          <w:u w:val="single"/>
        </w:rPr>
        <w:t>See</w:t>
      </w:r>
      <w:r>
        <w:t xml:space="preserve"> One </w:t>
      </w:r>
      <w:proofErr w:type="spellStart"/>
      <w:r>
        <w:t>Ledgemont’s</w:t>
      </w:r>
      <w:proofErr w:type="spellEnd"/>
      <w:r>
        <w:t xml:space="preserve"> Opposition, Jones </w:t>
      </w:r>
      <w:proofErr w:type="spellStart"/>
      <w:r>
        <w:t>Aff</w:t>
      </w:r>
      <w:proofErr w:type="spellEnd"/>
      <w:r>
        <w:t xml:space="preserve">.   Most of the parking spaces shown on One </w:t>
      </w:r>
      <w:proofErr w:type="spellStart"/>
      <w:r>
        <w:t>Ledgemont’s</w:t>
      </w:r>
      <w:proofErr w:type="spellEnd"/>
      <w:r>
        <w:t xml:space="preserve"> overlays of the easement rights and the proposed construction were allowed in the 2008 Order and are not proposed in the </w:t>
      </w:r>
      <w:r w:rsidR="005C50F9">
        <w:t>R</w:t>
      </w:r>
      <w:r>
        <w:t xml:space="preserve">equest for Amendment.  Work allowed in the 2008 Order is not within the scope of this appeal.  One </w:t>
      </w:r>
      <w:proofErr w:type="spellStart"/>
      <w:r>
        <w:t>Ledgemont</w:t>
      </w:r>
      <w:proofErr w:type="spellEnd"/>
      <w:r>
        <w:t xml:space="preserve"> is </w:t>
      </w:r>
      <w:proofErr w:type="gramStart"/>
      <w:r>
        <w:t>correct,</w:t>
      </w:r>
      <w:proofErr w:type="gramEnd"/>
      <w:r>
        <w:t xml:space="preserve"> and 95 Hayden and Department agree, that the addition of impervious surface outside the buffer zone may affect the </w:t>
      </w:r>
      <w:proofErr w:type="spellStart"/>
      <w:r>
        <w:t>stormwater</w:t>
      </w:r>
      <w:proofErr w:type="spellEnd"/>
      <w:r>
        <w:t xml:space="preserve"> management system.  However, the </w:t>
      </w:r>
      <w:r>
        <w:lastRenderedPageBreak/>
        <w:t xml:space="preserve">revisions to the </w:t>
      </w:r>
      <w:proofErr w:type="spellStart"/>
      <w:r>
        <w:t>stormwater</w:t>
      </w:r>
      <w:proofErr w:type="spellEnd"/>
      <w:r>
        <w:t xml:space="preserve"> management system were evaluated as part of the 2012 </w:t>
      </w:r>
      <w:r w:rsidR="005C50F9">
        <w:t>R</w:t>
      </w:r>
      <w:r>
        <w:t xml:space="preserve">equest for </w:t>
      </w:r>
      <w:r w:rsidR="005C50F9">
        <w:t>A</w:t>
      </w:r>
      <w:r>
        <w:t xml:space="preserve">mendment.  </w:t>
      </w:r>
    </w:p>
    <w:p w:rsidR="0047557F" w:rsidRDefault="00F1328F" w:rsidP="00DB246D">
      <w:pPr>
        <w:autoSpaceDE w:val="0"/>
        <w:autoSpaceDN w:val="0"/>
        <w:adjustRightInd w:val="0"/>
        <w:spacing w:line="480" w:lineRule="auto"/>
        <w:ind w:firstLine="720"/>
        <w:contextualSpacing/>
      </w:pPr>
      <w:r>
        <w:t xml:space="preserve">Under these circumstances, </w:t>
      </w:r>
      <w:r w:rsidR="006E45C9">
        <w:t xml:space="preserve">I find no abuse of discretion in the Department’s issuance of an Amended Superseding Order of Conditions.  I note that the acceptance of a request to amend leaves to the discretion of </w:t>
      </w:r>
      <w:r w:rsidR="0047557F">
        <w:t xml:space="preserve">a </w:t>
      </w:r>
      <w:r w:rsidR="0060062C">
        <w:t>local Conservation C</w:t>
      </w:r>
      <w:r w:rsidR="006E45C9">
        <w:t xml:space="preserve">ommission or the Department the management of </w:t>
      </w:r>
      <w:r w:rsidR="0047557F">
        <w:t>its</w:t>
      </w:r>
      <w:r w:rsidR="006E45C9">
        <w:t xml:space="preserve"> workload when project revisions occur.  The procedures specified in the Policy are intended to ensure that interested persons have notice of project revisions, and c</w:t>
      </w:r>
      <w:r w:rsidR="005C50F9">
        <w:t>learly</w:t>
      </w:r>
      <w:r w:rsidR="006E45C9">
        <w:t xml:space="preserve"> here One </w:t>
      </w:r>
      <w:proofErr w:type="spellStart"/>
      <w:r w:rsidR="006E45C9">
        <w:t>Ledgemont</w:t>
      </w:r>
      <w:proofErr w:type="spellEnd"/>
      <w:r w:rsidR="006E45C9">
        <w:t xml:space="preserve"> was notified as an abutter, participated in the </w:t>
      </w:r>
      <w:r w:rsidR="0060062C">
        <w:t xml:space="preserve">Lexington Conservation </w:t>
      </w:r>
      <w:r w:rsidR="006E45C9">
        <w:t xml:space="preserve">Commission’s review, participated during the Department’s review, and has pursued this administrative appeal.  Even if a new </w:t>
      </w:r>
      <w:r w:rsidR="005C50F9">
        <w:t>n</w:t>
      </w:r>
      <w:r w:rsidR="006E45C9">
        <w:t xml:space="preserve">otice of </w:t>
      </w:r>
      <w:r w:rsidR="005C50F9">
        <w:t>i</w:t>
      </w:r>
      <w:r w:rsidR="006E45C9">
        <w:t>ntent had been required and the same work approved in a</w:t>
      </w:r>
      <w:r w:rsidR="00EC0F68">
        <w:t xml:space="preserve"> </w:t>
      </w:r>
      <w:r w:rsidR="006E45C9">
        <w:t>n</w:t>
      </w:r>
      <w:r w:rsidR="00EC0F68">
        <w:t>ew</w:t>
      </w:r>
      <w:r w:rsidR="006E45C9">
        <w:t xml:space="preserve"> </w:t>
      </w:r>
      <w:r w:rsidR="005C50F9">
        <w:t>o</w:t>
      </w:r>
      <w:r w:rsidR="006E45C9">
        <w:t xml:space="preserve">rder of </w:t>
      </w:r>
      <w:r w:rsidR="005C50F9">
        <w:t>c</w:t>
      </w:r>
      <w:r w:rsidR="006E45C9">
        <w:t xml:space="preserve">onditions instead of through an amendment, an appeal by One </w:t>
      </w:r>
      <w:proofErr w:type="spellStart"/>
      <w:r w:rsidR="006E45C9">
        <w:t>Ledgemont</w:t>
      </w:r>
      <w:proofErr w:type="spellEnd"/>
      <w:r w:rsidR="006E45C9">
        <w:t xml:space="preserve"> would be resolved similar</w:t>
      </w:r>
      <w:r w:rsidR="00EC0F68">
        <w:t>ly</w:t>
      </w:r>
      <w:r w:rsidR="006E45C9">
        <w:t xml:space="preserve"> to this proceeding. Thus, One </w:t>
      </w:r>
      <w:proofErr w:type="spellStart"/>
      <w:r w:rsidR="006E45C9">
        <w:t>Ledgemont</w:t>
      </w:r>
      <w:proofErr w:type="spellEnd"/>
      <w:r w:rsidR="006E45C9">
        <w:t xml:space="preserve"> was not prejudiced by this procedure.</w:t>
      </w:r>
      <w:r w:rsidR="00DB246D" w:rsidRPr="00DB246D">
        <w:t xml:space="preserve"> </w:t>
      </w:r>
      <w:r w:rsidR="00DB246D">
        <w:t xml:space="preserve"> Most importantly, the requested revisions to the </w:t>
      </w:r>
      <w:proofErr w:type="spellStart"/>
      <w:r w:rsidR="00DB246D">
        <w:t>stormwater</w:t>
      </w:r>
      <w:proofErr w:type="spellEnd"/>
      <w:r w:rsidR="00DB246D">
        <w:t xml:space="preserve"> management system do not represent changes to its purpose or scope</w:t>
      </w:r>
      <w:r w:rsidR="0060062C">
        <w:t xml:space="preserve">. </w:t>
      </w:r>
      <w:r w:rsidR="00DB246D">
        <w:t xml:space="preserve">Similarly, there is no evidence to support a conclusion that the requested revisions will result in increased impacts to wetlands or that the interests of the Act will be less protected, as compared to the original </w:t>
      </w:r>
      <w:proofErr w:type="spellStart"/>
      <w:r w:rsidR="00DB246D">
        <w:t>stormwater</w:t>
      </w:r>
      <w:proofErr w:type="spellEnd"/>
      <w:r w:rsidR="00DB246D">
        <w:t xml:space="preserve"> plan.  </w:t>
      </w:r>
      <w:r w:rsidR="008F3602">
        <w:t xml:space="preserve">Because an amendment was appropriate, </w:t>
      </w:r>
      <w:r w:rsidR="0047557F">
        <w:t xml:space="preserve">the subject matter of this appeal extends only to the proposed work that is both within jurisdiction </w:t>
      </w:r>
      <w:r w:rsidR="0047557F" w:rsidRPr="0042085A">
        <w:rPr>
          <w:i/>
        </w:rPr>
        <w:t>and</w:t>
      </w:r>
      <w:r w:rsidR="0047557F">
        <w:t xml:space="preserve"> approved through the 2012 </w:t>
      </w:r>
      <w:r w:rsidR="005C50F9">
        <w:t>R</w:t>
      </w:r>
      <w:r w:rsidR="0047557F">
        <w:t xml:space="preserve">equest for Amendment.  The portions of the 2008 Order of </w:t>
      </w:r>
      <w:r w:rsidR="005C50F9">
        <w:t>C</w:t>
      </w:r>
      <w:r w:rsidR="0047557F">
        <w:t xml:space="preserve">onditions not revised in 2012 are not subject to this appeal. </w:t>
      </w:r>
    </w:p>
    <w:p w:rsidR="006E45C9" w:rsidRDefault="006E45C9" w:rsidP="006E45C9">
      <w:pPr>
        <w:autoSpaceDE w:val="0"/>
        <w:autoSpaceDN w:val="0"/>
        <w:adjustRightInd w:val="0"/>
        <w:contextualSpacing/>
        <w:rPr>
          <w:b/>
          <w:u w:val="single"/>
        </w:rPr>
      </w:pPr>
      <w:r w:rsidRPr="009E6878">
        <w:rPr>
          <w:b/>
          <w:u w:val="single"/>
        </w:rPr>
        <w:t xml:space="preserve">WHETHER FILING FOR THREE LEDGEMONT REQUIRES </w:t>
      </w:r>
      <w:r>
        <w:rPr>
          <w:b/>
          <w:u w:val="single"/>
        </w:rPr>
        <w:t xml:space="preserve">ONE LEDGEMONT’S </w:t>
      </w:r>
      <w:r w:rsidRPr="009E6878">
        <w:rPr>
          <w:b/>
          <w:u w:val="single"/>
        </w:rPr>
        <w:t>CONSENT</w:t>
      </w:r>
    </w:p>
    <w:p w:rsidR="006E45C9" w:rsidRPr="009E6878" w:rsidRDefault="006E45C9" w:rsidP="006E45C9">
      <w:pPr>
        <w:autoSpaceDE w:val="0"/>
        <w:autoSpaceDN w:val="0"/>
        <w:adjustRightInd w:val="0"/>
        <w:contextualSpacing/>
        <w:rPr>
          <w:b/>
          <w:u w:val="single"/>
        </w:rPr>
      </w:pPr>
    </w:p>
    <w:p w:rsidR="00AD401B" w:rsidRDefault="008F3602" w:rsidP="006E45C9">
      <w:pPr>
        <w:autoSpaceDE w:val="0"/>
        <w:autoSpaceDN w:val="0"/>
        <w:adjustRightInd w:val="0"/>
        <w:spacing w:line="480" w:lineRule="auto"/>
        <w:ind w:firstLine="720"/>
        <w:contextualSpacing/>
        <w:rPr>
          <w:rFonts w:eastAsiaTheme="minorHAnsi"/>
        </w:rPr>
      </w:pPr>
      <w:r>
        <w:t xml:space="preserve">One </w:t>
      </w:r>
      <w:proofErr w:type="spellStart"/>
      <w:r>
        <w:t>Ledgemont</w:t>
      </w:r>
      <w:proofErr w:type="spellEnd"/>
      <w:r>
        <w:t xml:space="preserve"> </w:t>
      </w:r>
      <w:r>
        <w:rPr>
          <w:rFonts w:eastAsiaTheme="minorHAnsi"/>
        </w:rPr>
        <w:t xml:space="preserve">argued that </w:t>
      </w:r>
      <w:r>
        <w:t xml:space="preserve">95 Hayden </w:t>
      </w:r>
      <w:r w:rsidRPr="001B1AAF">
        <w:rPr>
          <w:rFonts w:eastAsiaTheme="minorHAnsi"/>
        </w:rPr>
        <w:t xml:space="preserve">was required to obtain the permission of </w:t>
      </w:r>
      <w:r>
        <w:t xml:space="preserve">One </w:t>
      </w:r>
      <w:proofErr w:type="spellStart"/>
      <w:r>
        <w:t>Ledgemont</w:t>
      </w:r>
      <w:proofErr w:type="spellEnd"/>
      <w:r>
        <w:t xml:space="preserve"> </w:t>
      </w:r>
      <w:r w:rsidRPr="001B1AAF">
        <w:rPr>
          <w:rFonts w:eastAsiaTheme="minorHAnsi"/>
        </w:rPr>
        <w:t>for the submittal of a Request for Amendment</w:t>
      </w:r>
      <w:r>
        <w:rPr>
          <w:rFonts w:eastAsiaTheme="minorHAnsi"/>
        </w:rPr>
        <w:t xml:space="preserve">. </w:t>
      </w:r>
      <w:r w:rsidR="00AD401B">
        <w:t xml:space="preserve">The 2008 Notice of Intent had been filed jointly by One </w:t>
      </w:r>
      <w:proofErr w:type="spellStart"/>
      <w:r w:rsidR="00AD401B">
        <w:t>Ledgemont</w:t>
      </w:r>
      <w:proofErr w:type="spellEnd"/>
      <w:r w:rsidR="00AD401B">
        <w:t xml:space="preserve"> LLC, owner of Parcel A, and Two </w:t>
      </w:r>
      <w:proofErr w:type="spellStart"/>
      <w:r w:rsidR="00AD401B">
        <w:t>Ledgemont</w:t>
      </w:r>
      <w:proofErr w:type="spellEnd"/>
      <w:r w:rsidR="00AD401B">
        <w:t xml:space="preserve"> LLC, </w:t>
      </w:r>
      <w:r>
        <w:t xml:space="preserve">then </w:t>
      </w:r>
      <w:r w:rsidR="00AD401B">
        <w:t xml:space="preserve">owner </w:t>
      </w:r>
      <w:r w:rsidR="00AD401B">
        <w:lastRenderedPageBreak/>
        <w:t xml:space="preserve">of Parcel B, identified on the document as “Applicant and Owner,” on September 18, 2008 and the Order of Conditions was issued to One </w:t>
      </w:r>
      <w:proofErr w:type="spellStart"/>
      <w:r w:rsidR="00AD401B">
        <w:t>Ledgemont</w:t>
      </w:r>
      <w:proofErr w:type="spellEnd"/>
      <w:r w:rsidR="00AD401B">
        <w:t xml:space="preserve"> LLC and Two </w:t>
      </w:r>
      <w:proofErr w:type="spellStart"/>
      <w:r w:rsidR="00AD401B">
        <w:t>Ledgemont</w:t>
      </w:r>
      <w:proofErr w:type="spellEnd"/>
      <w:r w:rsidR="00AD401B">
        <w:t xml:space="preserve"> LLC.  The 2008 Order approved the construction of Three </w:t>
      </w:r>
      <w:proofErr w:type="spellStart"/>
      <w:r w:rsidR="00AD401B">
        <w:t>Ledgemont</w:t>
      </w:r>
      <w:proofErr w:type="spellEnd"/>
      <w:r w:rsidR="00AD401B">
        <w:t xml:space="preserve"> Cente</w:t>
      </w:r>
      <w:r>
        <w:t xml:space="preserve">r </w:t>
      </w:r>
      <w:r w:rsidR="00AD401B">
        <w:t xml:space="preserve">on Parcel B.  95 Hayden acquired Parcel B, the Two </w:t>
      </w:r>
      <w:proofErr w:type="spellStart"/>
      <w:r w:rsidR="00AD401B">
        <w:t>Ledgemont</w:t>
      </w:r>
      <w:proofErr w:type="spellEnd"/>
      <w:r w:rsidR="00AD401B">
        <w:t xml:space="preserve"> property which includes the site of Three </w:t>
      </w:r>
      <w:proofErr w:type="spellStart"/>
      <w:r w:rsidR="00AD401B">
        <w:t>Ledgemont</w:t>
      </w:r>
      <w:proofErr w:type="spellEnd"/>
      <w:r w:rsidR="00AD401B">
        <w:t xml:space="preserve">, in 2012, prior to requesting the amendment.  Although work may occur on both parcels to complete the Three </w:t>
      </w:r>
      <w:proofErr w:type="spellStart"/>
      <w:r w:rsidR="00AD401B">
        <w:t>Ledgemont</w:t>
      </w:r>
      <w:proofErr w:type="spellEnd"/>
      <w:r w:rsidR="00AD401B">
        <w:t xml:space="preserve"> project, all wetlands, specifically bordering vegetated wetlands, and buffer zone areas subject to the Department’s jurisdiction are located on Parcel B; none is located on </w:t>
      </w:r>
      <w:r w:rsidR="00DB246D">
        <w:t>P</w:t>
      </w:r>
      <w:r w:rsidR="00AD401B">
        <w:t xml:space="preserve">arcel A. </w:t>
      </w:r>
    </w:p>
    <w:p w:rsidR="00AD401B" w:rsidRDefault="00AD401B" w:rsidP="00AD401B">
      <w:pPr>
        <w:autoSpaceDE w:val="0"/>
        <w:autoSpaceDN w:val="0"/>
        <w:adjustRightInd w:val="0"/>
        <w:spacing w:line="480" w:lineRule="auto"/>
        <w:ind w:firstLine="720"/>
        <w:contextualSpacing/>
      </w:pPr>
      <w:r>
        <w:t>The resolution of this issue turns primarily on the Department’s jurisdiction.  The burden of filing for permission to alter areas subject to protection, i.e., resource areas and the buffer zone, falls on the person proposing to conduct the work.  310 CMR 10.05(4</w:t>
      </w:r>
      <w:proofErr w:type="gramStart"/>
      <w:r>
        <w:t>)(</w:t>
      </w:r>
      <w:proofErr w:type="gramEnd"/>
      <w:r>
        <w:t xml:space="preserve">a).  If the person proposing the work and filing the application, i.e., the applicant, is not the landowner, the “applicant shall obtain written permission from the landowner(s) prior to filing a Notice of Intent for proposed work.” </w:t>
      </w:r>
      <w:proofErr w:type="gramStart"/>
      <w:r>
        <w:t>310 CMR 10.05(4).</w:t>
      </w:r>
      <w:proofErr w:type="gramEnd"/>
      <w:r>
        <w:t xml:space="preserve">   This provision ensures that if an applicant is proposing work </w:t>
      </w:r>
      <w:r w:rsidR="008F3602">
        <w:t xml:space="preserve">subject to jurisdiction </w:t>
      </w:r>
      <w:r>
        <w:t xml:space="preserve">that requires the filing of a </w:t>
      </w:r>
      <w:r w:rsidR="00DB246D">
        <w:t>n</w:t>
      </w:r>
      <w:r>
        <w:t xml:space="preserve">otice of </w:t>
      </w:r>
      <w:r w:rsidR="00DB246D">
        <w:t>i</w:t>
      </w:r>
      <w:r>
        <w:t xml:space="preserve">ntent, the applicant has obtained permission of the landowner.  The regulations do not require an applicant to obtain permission of others for work related to a project </w:t>
      </w:r>
      <w:r w:rsidR="008F3602">
        <w:t>on</w:t>
      </w:r>
      <w:r>
        <w:t xml:space="preserve"> land </w:t>
      </w:r>
      <w:r w:rsidR="008F3602">
        <w:t xml:space="preserve">that is </w:t>
      </w:r>
      <w:r>
        <w:t xml:space="preserve">not subject to jurisdiction.  Work on land outside resource areas and the buffer zone may not be regulated unless and until the work actually results in the alteration of an area subject to jurisdiction.  </w:t>
      </w:r>
      <w:proofErr w:type="gramStart"/>
      <w:r>
        <w:t xml:space="preserve">310 CMR 10.02 (Commentary following </w:t>
      </w:r>
      <w:proofErr w:type="spellStart"/>
      <w:r>
        <w:t>para</w:t>
      </w:r>
      <w:proofErr w:type="spellEnd"/>
      <w:r>
        <w:t>. 5).</w:t>
      </w:r>
      <w:proofErr w:type="gramEnd"/>
      <w:r>
        <w:t xml:space="preserve">  Thus, work on land outside resource areas and the buffer zone </w:t>
      </w:r>
      <w:proofErr w:type="gramStart"/>
      <w:r>
        <w:t>is</w:t>
      </w:r>
      <w:proofErr w:type="gramEnd"/>
      <w:r>
        <w:t xml:space="preserve"> not subject to pre-construction review and neither the applicant nor the landowner need file for permission to conduct such work.</w:t>
      </w:r>
      <w:r>
        <w:rPr>
          <w:rStyle w:val="FootnoteReference"/>
        </w:rPr>
        <w:footnoteReference w:id="5"/>
      </w:r>
      <w:r>
        <w:t xml:space="preserve">  </w:t>
      </w:r>
    </w:p>
    <w:p w:rsidR="0081780A" w:rsidRDefault="006E45C9" w:rsidP="0081780A">
      <w:pPr>
        <w:autoSpaceDE w:val="0"/>
        <w:autoSpaceDN w:val="0"/>
        <w:adjustRightInd w:val="0"/>
        <w:spacing w:line="480" w:lineRule="auto"/>
        <w:ind w:firstLine="720"/>
        <w:contextualSpacing/>
        <w:rPr>
          <w:rFonts w:eastAsiaTheme="minorHAnsi"/>
        </w:rPr>
      </w:pPr>
      <w:r>
        <w:lastRenderedPageBreak/>
        <w:t xml:space="preserve">One </w:t>
      </w:r>
      <w:proofErr w:type="spellStart"/>
      <w:r>
        <w:t>Ledgemont</w:t>
      </w:r>
      <w:proofErr w:type="spellEnd"/>
      <w:r>
        <w:t xml:space="preserve"> </w:t>
      </w:r>
      <w:r>
        <w:rPr>
          <w:rFonts w:eastAsiaTheme="minorHAnsi"/>
        </w:rPr>
        <w:t>does not dispute the geographic jurisdiction of the Department as to the location of resource areas and the buffer zone exclusively on Parcel B</w:t>
      </w:r>
      <w:r w:rsidR="00C94E4B">
        <w:rPr>
          <w:rFonts w:eastAsiaTheme="minorHAnsi"/>
        </w:rPr>
        <w:t xml:space="preserve"> owned by 95 Hayden</w:t>
      </w:r>
      <w:r>
        <w:rPr>
          <w:rFonts w:eastAsiaTheme="minorHAnsi"/>
        </w:rPr>
        <w:t xml:space="preserve">.  Instead, </w:t>
      </w:r>
      <w:r>
        <w:t xml:space="preserve">One </w:t>
      </w:r>
      <w:proofErr w:type="spellStart"/>
      <w:r>
        <w:t>Ledgemont</w:t>
      </w:r>
      <w:proofErr w:type="spellEnd"/>
      <w:r>
        <w:t xml:space="preserve"> </w:t>
      </w:r>
      <w:r>
        <w:rPr>
          <w:rFonts w:eastAsiaTheme="minorHAnsi"/>
        </w:rPr>
        <w:t>emphasize</w:t>
      </w:r>
      <w:r w:rsidR="00C94E4B">
        <w:rPr>
          <w:rFonts w:eastAsiaTheme="minorHAnsi"/>
        </w:rPr>
        <w:t>d</w:t>
      </w:r>
      <w:r>
        <w:rPr>
          <w:rFonts w:eastAsiaTheme="minorHAnsi"/>
        </w:rPr>
        <w:t xml:space="preserve"> that work is required on both parcels for construction of Three </w:t>
      </w:r>
      <w:proofErr w:type="spellStart"/>
      <w:r>
        <w:rPr>
          <w:rFonts w:eastAsiaTheme="minorHAnsi"/>
        </w:rPr>
        <w:t>Ledgemont</w:t>
      </w:r>
      <w:proofErr w:type="spellEnd"/>
      <w:r>
        <w:rPr>
          <w:rFonts w:eastAsiaTheme="minorHAnsi"/>
        </w:rPr>
        <w:t xml:space="preserve">, and thus permission of One </w:t>
      </w:r>
      <w:proofErr w:type="spellStart"/>
      <w:r>
        <w:rPr>
          <w:rFonts w:eastAsiaTheme="minorHAnsi"/>
        </w:rPr>
        <w:t>Ledgemont</w:t>
      </w:r>
      <w:proofErr w:type="spellEnd"/>
      <w:r>
        <w:rPr>
          <w:rFonts w:eastAsiaTheme="minorHAnsi"/>
        </w:rPr>
        <w:t xml:space="preserve"> </w:t>
      </w:r>
      <w:r w:rsidR="008F3602">
        <w:rPr>
          <w:rFonts w:eastAsiaTheme="minorHAnsi"/>
        </w:rPr>
        <w:t xml:space="preserve">should be </w:t>
      </w:r>
      <w:r>
        <w:rPr>
          <w:rFonts w:eastAsiaTheme="minorHAnsi"/>
        </w:rPr>
        <w:t xml:space="preserve">required on any filing by 95 Hayden.  </w:t>
      </w:r>
      <w:r w:rsidR="00C94E4B">
        <w:t xml:space="preserve">One </w:t>
      </w:r>
      <w:proofErr w:type="spellStart"/>
      <w:r w:rsidR="00C94E4B">
        <w:t>Ledgemont</w:t>
      </w:r>
      <w:proofErr w:type="spellEnd"/>
      <w:r w:rsidR="00C94E4B">
        <w:t xml:space="preserve"> alleged that t</w:t>
      </w:r>
      <w:r>
        <w:rPr>
          <w:rFonts w:eastAsiaTheme="minorHAnsi"/>
        </w:rPr>
        <w:t xml:space="preserve">he 2008 filing and Order demonstrate that the project was viewed as requiring the permission of both landowners, so the Amendment must likewise be jointly requested and issued.  </w:t>
      </w:r>
      <w:r>
        <w:t xml:space="preserve">One </w:t>
      </w:r>
      <w:proofErr w:type="spellStart"/>
      <w:r>
        <w:t>Ledgemont</w:t>
      </w:r>
      <w:proofErr w:type="spellEnd"/>
      <w:r>
        <w:t xml:space="preserve"> </w:t>
      </w:r>
      <w:r>
        <w:rPr>
          <w:rFonts w:eastAsiaTheme="minorHAnsi"/>
        </w:rPr>
        <w:t>note</w:t>
      </w:r>
      <w:r w:rsidR="00C94E4B">
        <w:rPr>
          <w:rFonts w:eastAsiaTheme="minorHAnsi"/>
        </w:rPr>
        <w:t>d</w:t>
      </w:r>
      <w:r>
        <w:rPr>
          <w:rFonts w:eastAsiaTheme="minorHAnsi"/>
        </w:rPr>
        <w:t xml:space="preserve"> that the 2012 Amendment must be recorded on both deeds, leaving </w:t>
      </w:r>
      <w:r w:rsidR="00C94E4B">
        <w:rPr>
          <w:rFonts w:eastAsiaTheme="minorHAnsi"/>
        </w:rPr>
        <w:t xml:space="preserve">One </w:t>
      </w:r>
      <w:proofErr w:type="spellStart"/>
      <w:r w:rsidR="00C94E4B">
        <w:rPr>
          <w:rFonts w:eastAsiaTheme="minorHAnsi"/>
        </w:rPr>
        <w:t>Ledgemont</w:t>
      </w:r>
      <w:proofErr w:type="spellEnd"/>
      <w:r w:rsidR="00C94E4B">
        <w:rPr>
          <w:rFonts w:eastAsiaTheme="minorHAnsi"/>
        </w:rPr>
        <w:t xml:space="preserve"> p</w:t>
      </w:r>
      <w:r>
        <w:rPr>
          <w:rFonts w:eastAsiaTheme="minorHAnsi"/>
        </w:rPr>
        <w:t xml:space="preserve">otentially liable for the actions of 95 Hayden.  Further, One </w:t>
      </w:r>
      <w:proofErr w:type="spellStart"/>
      <w:r>
        <w:rPr>
          <w:rFonts w:eastAsiaTheme="minorHAnsi"/>
        </w:rPr>
        <w:t>Ledgemont</w:t>
      </w:r>
      <w:proofErr w:type="spellEnd"/>
      <w:r>
        <w:rPr>
          <w:rFonts w:eastAsiaTheme="minorHAnsi"/>
        </w:rPr>
        <w:t xml:space="preserve"> argue</w:t>
      </w:r>
      <w:r w:rsidR="00C94E4B">
        <w:rPr>
          <w:rFonts w:eastAsiaTheme="minorHAnsi"/>
        </w:rPr>
        <w:t>d</w:t>
      </w:r>
      <w:r>
        <w:rPr>
          <w:rFonts w:eastAsiaTheme="minorHAnsi"/>
        </w:rPr>
        <w:t xml:space="preserve"> that the project cannot go forward as proposed based on a Land Court decision that 95 Hayden has no right to locate parking on Parcel A. </w:t>
      </w:r>
      <w:r w:rsidR="008F3602">
        <w:t xml:space="preserve">One </w:t>
      </w:r>
      <w:proofErr w:type="spellStart"/>
      <w:r w:rsidR="008F3602">
        <w:t>Ledgemont</w:t>
      </w:r>
      <w:proofErr w:type="spellEnd"/>
      <w:r w:rsidR="008F3602">
        <w:t xml:space="preserve"> filed an affidavit with exhibits showing overlays of the easements and the proposed work.  The overlays identify proposed work that is, in One </w:t>
      </w:r>
      <w:proofErr w:type="spellStart"/>
      <w:r w:rsidR="008F3602">
        <w:t>Ledgemont’s</w:t>
      </w:r>
      <w:proofErr w:type="spellEnd"/>
      <w:r w:rsidR="008F3602">
        <w:t xml:space="preserve"> view, outside the scope of the easements. </w:t>
      </w:r>
      <w:r>
        <w:rPr>
          <w:rFonts w:eastAsiaTheme="minorHAnsi"/>
        </w:rPr>
        <w:t xml:space="preserve"> </w:t>
      </w:r>
    </w:p>
    <w:p w:rsidR="006E45C9" w:rsidRPr="0081780A" w:rsidRDefault="008F3602" w:rsidP="0081780A">
      <w:pPr>
        <w:autoSpaceDE w:val="0"/>
        <w:autoSpaceDN w:val="0"/>
        <w:adjustRightInd w:val="0"/>
        <w:spacing w:line="480" w:lineRule="auto"/>
        <w:ind w:firstLine="720"/>
        <w:contextualSpacing/>
        <w:rPr>
          <w:rFonts w:eastAsiaTheme="minorHAnsi"/>
        </w:rPr>
      </w:pPr>
      <w:r>
        <w:t xml:space="preserve">95 Hayden, however, provided to the Department a legal opinion that it had the authority to complete proposed work.  </w:t>
      </w:r>
      <w:r w:rsidR="006E45C9">
        <w:t xml:space="preserve">95 Hayden </w:t>
      </w:r>
      <w:r w:rsidR="006E45C9">
        <w:rPr>
          <w:rFonts w:eastAsiaTheme="minorHAnsi"/>
        </w:rPr>
        <w:t>claim</w:t>
      </w:r>
      <w:r w:rsidR="00C94E4B">
        <w:rPr>
          <w:rFonts w:eastAsiaTheme="minorHAnsi"/>
        </w:rPr>
        <w:t>ed</w:t>
      </w:r>
      <w:r w:rsidR="006E45C9">
        <w:rPr>
          <w:rFonts w:eastAsiaTheme="minorHAnsi"/>
        </w:rPr>
        <w:t xml:space="preserve"> that </w:t>
      </w:r>
      <w:r w:rsidR="006E45C9">
        <w:t xml:space="preserve">One </w:t>
      </w:r>
      <w:proofErr w:type="spellStart"/>
      <w:r w:rsidR="006E45C9">
        <w:t>Ledgemont</w:t>
      </w:r>
      <w:r w:rsidR="006E45C9">
        <w:rPr>
          <w:rFonts w:eastAsiaTheme="minorHAnsi"/>
        </w:rPr>
        <w:t>’s</w:t>
      </w:r>
      <w:proofErr w:type="spellEnd"/>
      <w:r w:rsidR="006E45C9">
        <w:rPr>
          <w:rFonts w:eastAsiaTheme="minorHAnsi"/>
        </w:rPr>
        <w:t xml:space="preserve"> agreement to the project is shown by the 2008 joint filing, and the 2012 amendment is limited to its own work on its own land</w:t>
      </w:r>
      <w:r w:rsidR="00C94E4B">
        <w:rPr>
          <w:rFonts w:eastAsiaTheme="minorHAnsi"/>
        </w:rPr>
        <w:t xml:space="preserve">.  </w:t>
      </w:r>
      <w:r w:rsidR="006E45C9">
        <w:t>95 Hayden</w:t>
      </w:r>
      <w:r w:rsidR="006E45C9">
        <w:rPr>
          <w:rFonts w:eastAsiaTheme="minorHAnsi"/>
        </w:rPr>
        <w:t xml:space="preserve"> </w:t>
      </w:r>
      <w:r w:rsidR="00C94E4B">
        <w:rPr>
          <w:rFonts w:eastAsiaTheme="minorHAnsi"/>
        </w:rPr>
        <w:t xml:space="preserve">further </w:t>
      </w:r>
      <w:r w:rsidR="006E45C9">
        <w:rPr>
          <w:rFonts w:eastAsiaTheme="minorHAnsi"/>
        </w:rPr>
        <w:t>assert</w:t>
      </w:r>
      <w:r w:rsidR="00C94E4B">
        <w:rPr>
          <w:rFonts w:eastAsiaTheme="minorHAnsi"/>
        </w:rPr>
        <w:t>ed</w:t>
      </w:r>
      <w:r w:rsidR="006E45C9">
        <w:rPr>
          <w:rFonts w:eastAsiaTheme="minorHAnsi"/>
        </w:rPr>
        <w:t xml:space="preserve"> that it has all easements rights required as to drainage on Parcel A to implement its </w:t>
      </w:r>
      <w:proofErr w:type="spellStart"/>
      <w:r w:rsidR="006E45C9">
        <w:rPr>
          <w:rFonts w:eastAsiaTheme="minorHAnsi"/>
        </w:rPr>
        <w:t>stormwater</w:t>
      </w:r>
      <w:proofErr w:type="spellEnd"/>
      <w:r w:rsidR="006E45C9">
        <w:rPr>
          <w:rFonts w:eastAsiaTheme="minorHAnsi"/>
        </w:rPr>
        <w:t xml:space="preserve"> management system.  The Department assert</w:t>
      </w:r>
      <w:r w:rsidR="00C94E4B">
        <w:rPr>
          <w:rFonts w:eastAsiaTheme="minorHAnsi"/>
        </w:rPr>
        <w:t>ed</w:t>
      </w:r>
      <w:r w:rsidR="006E45C9">
        <w:rPr>
          <w:rFonts w:eastAsiaTheme="minorHAnsi"/>
        </w:rPr>
        <w:t xml:space="preserve"> that it relied on an opinion from </w:t>
      </w:r>
      <w:r w:rsidR="006E45C9">
        <w:t>95 Hayden</w:t>
      </w:r>
      <w:r w:rsidR="006E45C9">
        <w:rPr>
          <w:rFonts w:eastAsiaTheme="minorHAnsi"/>
        </w:rPr>
        <w:t xml:space="preserve">’s attorney as to </w:t>
      </w:r>
      <w:r w:rsidR="00C94E4B">
        <w:rPr>
          <w:rFonts w:eastAsiaTheme="minorHAnsi"/>
        </w:rPr>
        <w:t>the</w:t>
      </w:r>
      <w:r w:rsidR="006E45C9">
        <w:rPr>
          <w:rFonts w:eastAsiaTheme="minorHAnsi"/>
        </w:rPr>
        <w:t xml:space="preserve"> rights </w:t>
      </w:r>
      <w:r w:rsidR="00C94E4B">
        <w:rPr>
          <w:rFonts w:eastAsiaTheme="minorHAnsi"/>
        </w:rPr>
        <w:t xml:space="preserve">of 95 Hayden </w:t>
      </w:r>
      <w:r w:rsidR="006E45C9">
        <w:rPr>
          <w:rFonts w:eastAsiaTheme="minorHAnsi"/>
        </w:rPr>
        <w:t xml:space="preserve">to perform any necessary work on Parcel A related to the </w:t>
      </w:r>
      <w:proofErr w:type="spellStart"/>
      <w:r w:rsidR="006E45C9">
        <w:rPr>
          <w:rFonts w:eastAsiaTheme="minorHAnsi"/>
        </w:rPr>
        <w:t>stormwater</w:t>
      </w:r>
      <w:proofErr w:type="spellEnd"/>
      <w:r w:rsidR="006E45C9">
        <w:rPr>
          <w:rFonts w:eastAsiaTheme="minorHAnsi"/>
        </w:rPr>
        <w:t xml:space="preserve"> management system on Parcel B, and had met its obligation to ensure that </w:t>
      </w:r>
      <w:r w:rsidR="006E45C9">
        <w:t xml:space="preserve">95 Hayden </w:t>
      </w:r>
      <w:r w:rsidR="006E45C9">
        <w:rPr>
          <w:rFonts w:eastAsiaTheme="minorHAnsi"/>
        </w:rPr>
        <w:t xml:space="preserve">had a colorable claim of title, the standard set in prior </w:t>
      </w:r>
      <w:r w:rsidR="006E45C9">
        <w:rPr>
          <w:rFonts w:eastAsiaTheme="minorHAnsi"/>
        </w:rPr>
        <w:lastRenderedPageBreak/>
        <w:t>Department de</w:t>
      </w:r>
      <w:r w:rsidR="0081780A">
        <w:rPr>
          <w:rFonts w:eastAsiaTheme="minorHAnsi"/>
        </w:rPr>
        <w:t xml:space="preserve">cisions and upheld in court.   </w:t>
      </w:r>
      <w:r w:rsidR="006E45C9">
        <w:t xml:space="preserve">Second, the proposed work shown outside the easements on One </w:t>
      </w:r>
      <w:proofErr w:type="spellStart"/>
      <w:r w:rsidR="006E45C9">
        <w:t>Ledgemont’s</w:t>
      </w:r>
      <w:proofErr w:type="spellEnd"/>
      <w:r w:rsidR="006E45C9">
        <w:t xml:space="preserve"> overlays </w:t>
      </w:r>
      <w:r w:rsidR="00DB246D">
        <w:t>appears to be</w:t>
      </w:r>
      <w:r w:rsidR="006E45C9">
        <w:t xml:space="preserve"> outside the Department’s jurisdiction.  Whether an applicant has the authority to conduct work necessary to complete a project where the work is outside the Department’s jurisdiction need not be of concern to the Department.  An applicant must always obtain other necessary permits</w:t>
      </w:r>
      <w:r w:rsidR="00C94E4B">
        <w:t>.</w:t>
      </w:r>
      <w:r w:rsidR="006E45C9">
        <w:t xml:space="preserve"> </w:t>
      </w:r>
    </w:p>
    <w:p w:rsidR="006E45C9" w:rsidRDefault="006E45C9" w:rsidP="006E45C9">
      <w:pPr>
        <w:autoSpaceDE w:val="0"/>
        <w:autoSpaceDN w:val="0"/>
        <w:adjustRightInd w:val="0"/>
        <w:spacing w:line="480" w:lineRule="auto"/>
        <w:contextualSpacing/>
      </w:pPr>
      <w:r>
        <w:tab/>
        <w:t xml:space="preserve">Although property disputes may be present or arise during a permitting process, the Department has a long-standing practice of leaving property disputes for the courts to resolve.  </w:t>
      </w:r>
      <w:proofErr w:type="spellStart"/>
      <w:proofErr w:type="gramStart"/>
      <w:r w:rsidRPr="00535513">
        <w:rPr>
          <w:u w:val="single"/>
        </w:rPr>
        <w:t>Tindley</w:t>
      </w:r>
      <w:proofErr w:type="spellEnd"/>
      <w:r w:rsidRPr="00535513">
        <w:rPr>
          <w:u w:val="single"/>
        </w:rPr>
        <w:t xml:space="preserve"> v. DEQE</w:t>
      </w:r>
      <w:r w:rsidRPr="00535513">
        <w:t>, 10 Mass. App. Ct. 623 (1980).</w:t>
      </w:r>
      <w:proofErr w:type="gramEnd"/>
      <w:r w:rsidRPr="00535513">
        <w:t xml:space="preserve"> </w:t>
      </w:r>
      <w:r w:rsidRPr="00F566D2">
        <w:rPr>
          <w:b/>
        </w:rPr>
        <w:t xml:space="preserve"> </w:t>
      </w:r>
      <w:r>
        <w:rPr>
          <w:b/>
        </w:rPr>
        <w:t xml:space="preserve"> </w:t>
      </w:r>
      <w:r>
        <w:t xml:space="preserve">For purposes of accepting a </w:t>
      </w:r>
      <w:r w:rsidR="005C50F9">
        <w:t>n</w:t>
      </w:r>
      <w:r>
        <w:t xml:space="preserve">otice of </w:t>
      </w:r>
      <w:r w:rsidR="005C50F9">
        <w:t>i</w:t>
      </w:r>
      <w:r>
        <w:t xml:space="preserve">ntent, a local </w:t>
      </w:r>
      <w:r w:rsidR="0060062C">
        <w:t>C</w:t>
      </w:r>
      <w:r>
        <w:t xml:space="preserve">onservation </w:t>
      </w:r>
      <w:r w:rsidR="0060062C">
        <w:t>C</w:t>
      </w:r>
      <w:r>
        <w:t xml:space="preserve">ommission or the Department need only look for a colorable claim of title.  </w:t>
      </w:r>
      <w:r w:rsidRPr="00A10801">
        <w:rPr>
          <w:u w:val="single"/>
        </w:rPr>
        <w:t>Id</w:t>
      </w:r>
      <w:r>
        <w:t xml:space="preserve">.   Typically, neither </w:t>
      </w:r>
      <w:r w:rsidR="005C50F9">
        <w:t>the</w:t>
      </w:r>
      <w:r>
        <w:t xml:space="preserve"> Commission nor the Department </w:t>
      </w:r>
      <w:proofErr w:type="gramStart"/>
      <w:r>
        <w:t>examine</w:t>
      </w:r>
      <w:proofErr w:type="gramEnd"/>
      <w:r>
        <w:t xml:space="preserve"> deeds to form an opinion as to the ownership of the property and the name(s) that should have appeared on the </w:t>
      </w:r>
      <w:r w:rsidR="005C50F9">
        <w:t>n</w:t>
      </w:r>
      <w:r>
        <w:t xml:space="preserve">otice of </w:t>
      </w:r>
      <w:r w:rsidR="005C50F9">
        <w:t>i</w:t>
      </w:r>
      <w:r>
        <w:t xml:space="preserve">ntent.  95 Hayden unquestionably owns Parcel B, where the resource areas and buffer zone subject to jurisdiction are located.  95 Hayden therefore had a colorable claim of title sufficient to allow the permitting process to </w:t>
      </w:r>
      <w:proofErr w:type="gramStart"/>
      <w:r>
        <w:t>proceed</w:t>
      </w:r>
      <w:proofErr w:type="gramEnd"/>
      <w:r>
        <w:t xml:space="preserve">.  Further, a Final Order of Conditions does not convey any property rights, and does not allow 95 Hayden to conduct any work to the extent its lacks the requisite property rights.  </w:t>
      </w:r>
      <w:r w:rsidRPr="00DC1AB5">
        <w:rPr>
          <w:u w:val="single"/>
        </w:rPr>
        <w:t>See</w:t>
      </w:r>
      <w:r>
        <w:t xml:space="preserve"> </w:t>
      </w:r>
      <w:r w:rsidRPr="00DC1AB5">
        <w:rPr>
          <w:u w:val="single"/>
        </w:rPr>
        <w:t>Matter of</w:t>
      </w:r>
      <w:r w:rsidR="0081780A">
        <w:rPr>
          <w:u w:val="single"/>
        </w:rPr>
        <w:t xml:space="preserve"> </w:t>
      </w:r>
      <w:r w:rsidRPr="00DC1AB5">
        <w:rPr>
          <w:u w:val="single"/>
        </w:rPr>
        <w:t>John Schindler</w:t>
      </w:r>
      <w:r w:rsidRPr="00B1071C">
        <w:t xml:space="preserve">, </w:t>
      </w:r>
      <w:r w:rsidRPr="00BD3AB3">
        <w:t>Docket No. WET-201</w:t>
      </w:r>
      <w:r>
        <w:t xml:space="preserve">1-024 and 026, Recommended Final Decision (December 5, 2011), adopted by Final Decision (December 27, 2011).  A Final Order, therefore, would not affect any rights of the parties as to easements, but instead is limited to allowing 95 Hayden to conduct work on its property to the extent it is within the Department’s jurisdiction.  </w:t>
      </w:r>
      <w:r w:rsidR="0081780A">
        <w:t xml:space="preserve">The Department properly accepted the request and issued the Superseding </w:t>
      </w:r>
      <w:r w:rsidR="0060062C">
        <w:t xml:space="preserve">Amended </w:t>
      </w:r>
      <w:r w:rsidR="0081780A">
        <w:t xml:space="preserve">Order of Conditions to 95 Hayden without the consent of One </w:t>
      </w:r>
      <w:proofErr w:type="spellStart"/>
      <w:r w:rsidR="0081780A">
        <w:t>Ledgemont</w:t>
      </w:r>
      <w:proofErr w:type="spellEnd"/>
      <w:r w:rsidR="0081780A">
        <w:t>.</w:t>
      </w:r>
    </w:p>
    <w:p w:rsidR="006E45C9" w:rsidRDefault="0081780A" w:rsidP="0081780A">
      <w:pPr>
        <w:tabs>
          <w:tab w:val="left" w:pos="561"/>
        </w:tabs>
        <w:spacing w:line="480" w:lineRule="auto"/>
      </w:pPr>
      <w:r>
        <w:rPr>
          <w:b/>
          <w:u w:val="single"/>
        </w:rPr>
        <w:lastRenderedPageBreak/>
        <w:t xml:space="preserve">ISSUE 3: </w:t>
      </w:r>
      <w:r w:rsidR="00C94E4B">
        <w:rPr>
          <w:b/>
          <w:u w:val="single"/>
        </w:rPr>
        <w:t>WHETHER THE PROJECT COMPLIES WITH STORMWATER STANDARD 3</w:t>
      </w:r>
      <w:r w:rsidR="006E45C9">
        <w:t xml:space="preserve"> </w:t>
      </w:r>
    </w:p>
    <w:p w:rsidR="000165DA" w:rsidRDefault="006E45C9" w:rsidP="00C94E4B">
      <w:pPr>
        <w:tabs>
          <w:tab w:val="left" w:pos="561"/>
        </w:tabs>
        <w:spacing w:line="480" w:lineRule="auto"/>
        <w:contextualSpacing/>
      </w:pPr>
      <w:r>
        <w:tab/>
      </w:r>
      <w:r w:rsidR="000165DA">
        <w:tab/>
        <w:t xml:space="preserve">The </w:t>
      </w:r>
      <w:r w:rsidR="0081780A">
        <w:t xml:space="preserve">factual </w:t>
      </w:r>
      <w:r w:rsidR="000165DA">
        <w:t xml:space="preserve">issue for </w:t>
      </w:r>
      <w:r w:rsidR="0081780A">
        <w:t>hearing</w:t>
      </w:r>
      <w:r w:rsidR="000165DA">
        <w:t xml:space="preserve"> addresse</w:t>
      </w:r>
      <w:r w:rsidR="0081780A">
        <w:t>d</w:t>
      </w:r>
      <w:r w:rsidR="000165DA">
        <w:t xml:space="preserve"> whether the Applicant has complied with Standard 3 of the Massachusetts </w:t>
      </w:r>
      <w:proofErr w:type="spellStart"/>
      <w:r w:rsidR="000165DA">
        <w:t>Stormwater</w:t>
      </w:r>
      <w:proofErr w:type="spellEnd"/>
      <w:r w:rsidR="000165DA">
        <w:t xml:space="preserve"> Management </w:t>
      </w:r>
      <w:r w:rsidR="005C50F9">
        <w:t>Standards</w:t>
      </w:r>
      <w:r w:rsidR="000165DA">
        <w:t xml:space="preserve">: </w:t>
      </w:r>
    </w:p>
    <w:p w:rsidR="00DF2436" w:rsidRDefault="00DF2436" w:rsidP="003C5D6A">
      <w:pPr>
        <w:ind w:left="720"/>
        <w:contextualSpacing/>
      </w:pPr>
      <w:r w:rsidRPr="000165DA">
        <w:t xml:space="preserve">Loss of annual recharge to groundwater shall be eliminated or minimized through the use of infiltration measures including environmentally sensitive site design, low impact development techniques, </w:t>
      </w:r>
      <w:proofErr w:type="spellStart"/>
      <w:r w:rsidRPr="000165DA">
        <w:t>stormwater</w:t>
      </w:r>
      <w:proofErr w:type="spellEnd"/>
      <w:r w:rsidRPr="000165DA">
        <w:t xml:space="preserve"> best management practices, and good operation and maintenance. At a minimum, the annual recharge from the post-development site shall approximate the annual recharge from pre-development conditions based on soil type.  This Standard is met when the </w:t>
      </w:r>
      <w:proofErr w:type="spellStart"/>
      <w:r w:rsidRPr="000165DA">
        <w:t>stormwater</w:t>
      </w:r>
      <w:proofErr w:type="spellEnd"/>
      <w:r w:rsidRPr="000165DA">
        <w:t xml:space="preserve"> management system is designed to infiltrate the required recharge volume as determined in accordance with the Massachusetts </w:t>
      </w:r>
      <w:proofErr w:type="spellStart"/>
      <w:r w:rsidRPr="000165DA">
        <w:t>Stormwater</w:t>
      </w:r>
      <w:proofErr w:type="spellEnd"/>
      <w:r w:rsidRPr="000165DA">
        <w:t xml:space="preserve"> Handbook.  </w:t>
      </w:r>
    </w:p>
    <w:p w:rsidR="003C5D6A" w:rsidRPr="000165DA" w:rsidRDefault="003C5D6A" w:rsidP="003C5D6A">
      <w:pPr>
        <w:ind w:left="720"/>
        <w:contextualSpacing/>
      </w:pPr>
    </w:p>
    <w:p w:rsidR="00DF2436" w:rsidRPr="000165DA" w:rsidRDefault="005C50F9" w:rsidP="003C5D6A">
      <w:pPr>
        <w:spacing w:line="480" w:lineRule="auto"/>
        <w:contextualSpacing/>
      </w:pPr>
      <w:r>
        <w:t>310 CMR 10.05(6</w:t>
      </w:r>
      <w:proofErr w:type="gramStart"/>
      <w:r>
        <w:t>)(</w:t>
      </w:r>
      <w:proofErr w:type="gramEnd"/>
      <w:r>
        <w:t xml:space="preserve">k)(3).  </w:t>
      </w:r>
      <w:r w:rsidR="00DF2436" w:rsidRPr="000165DA">
        <w:t xml:space="preserve">The intent of this standard is to ensure that the </w:t>
      </w:r>
      <w:r w:rsidR="000165DA" w:rsidRPr="000165DA">
        <w:t xml:space="preserve">volume of precipitation </w:t>
      </w:r>
      <w:r w:rsidR="00DF2436" w:rsidRPr="000165DA">
        <w:t>infiltrat</w:t>
      </w:r>
      <w:r w:rsidR="000165DA">
        <w:t>ed</w:t>
      </w:r>
      <w:r w:rsidR="00DF2436" w:rsidRPr="000165DA">
        <w:t xml:space="preserve"> into the ground under post-development conditions is </w:t>
      </w:r>
      <w:r w:rsidR="000165DA">
        <w:t>equivalent or greater</w:t>
      </w:r>
      <w:r w:rsidR="00DF2436" w:rsidRPr="000165DA">
        <w:t xml:space="preserve"> th</w:t>
      </w:r>
      <w:r w:rsidR="000165DA">
        <w:t>an the</w:t>
      </w:r>
      <w:r w:rsidR="00DF2436" w:rsidRPr="000165DA">
        <w:t xml:space="preserve"> infiltration volume under pre-development conditions.</w:t>
      </w:r>
      <w:r w:rsidR="0060062C">
        <w:t xml:space="preserve"> </w:t>
      </w:r>
      <w:r w:rsidR="00DF2436" w:rsidRPr="000165DA">
        <w:t xml:space="preserve"> </w:t>
      </w:r>
      <w:proofErr w:type="gramStart"/>
      <w:r w:rsidR="00807522">
        <w:t>Handbook,</w:t>
      </w:r>
      <w:r w:rsidR="0060062C">
        <w:t xml:space="preserve"> </w:t>
      </w:r>
      <w:r w:rsidR="00807522">
        <w:t>Vol.</w:t>
      </w:r>
      <w:proofErr w:type="gramEnd"/>
      <w:r w:rsidR="00807522">
        <w:t xml:space="preserve"> I, Chapter 1, p. 5.  </w:t>
      </w:r>
      <w:r w:rsidR="000165DA">
        <w:t xml:space="preserve">Recharge may be maintained at a site through </w:t>
      </w:r>
      <w:r w:rsidR="00DF2436" w:rsidRPr="000165DA">
        <w:t xml:space="preserve">infiltration measures and site design.  </w:t>
      </w:r>
      <w:r w:rsidR="000165DA">
        <w:t xml:space="preserve">The Standard relies on the classification of </w:t>
      </w:r>
      <w:r w:rsidR="00DF2436" w:rsidRPr="000165DA">
        <w:t>soils into four hydrologic groups, A thru D</w:t>
      </w:r>
      <w:r w:rsidR="000165DA">
        <w:t>.</w:t>
      </w:r>
      <w:r w:rsidR="00DF2436" w:rsidRPr="000165DA">
        <w:t xml:space="preserve">  Group A soils </w:t>
      </w:r>
      <w:r w:rsidR="000165DA">
        <w:t xml:space="preserve">typically </w:t>
      </w:r>
      <w:r w:rsidR="00DF2436" w:rsidRPr="000165DA">
        <w:t>have the lowest runoff and the highest infiltration rates, while Group D soils have the highest runoff and the lowest infiltration rates.</w:t>
      </w:r>
      <w:r w:rsidR="003C5D6A">
        <w:t xml:space="preserve"> </w:t>
      </w:r>
      <w:proofErr w:type="gramStart"/>
      <w:r w:rsidR="00807522">
        <w:t>Handbook, Vol.</w:t>
      </w:r>
      <w:proofErr w:type="gramEnd"/>
      <w:r w:rsidR="00807522">
        <w:t xml:space="preserve"> I, Chapter 1, p. 6.  </w:t>
      </w:r>
      <w:r w:rsidR="000165DA">
        <w:t xml:space="preserve">Because </w:t>
      </w:r>
      <w:r w:rsidR="00DF2436" w:rsidRPr="000165DA">
        <w:t>infiltrat</w:t>
      </w:r>
      <w:r w:rsidR="000165DA">
        <w:t xml:space="preserve">ion of </w:t>
      </w:r>
      <w:r w:rsidR="00DF2436" w:rsidRPr="000165DA">
        <w:t xml:space="preserve">the </w:t>
      </w:r>
      <w:r w:rsidR="003C5D6A">
        <w:t xml:space="preserve">entire </w:t>
      </w:r>
      <w:r w:rsidR="00DF2436" w:rsidRPr="000165DA">
        <w:t xml:space="preserve">recharge volume </w:t>
      </w:r>
      <w:r w:rsidR="003C5D6A">
        <w:t>may not be possible f</w:t>
      </w:r>
      <w:r w:rsidR="00DF2436" w:rsidRPr="000165DA">
        <w:t xml:space="preserve">or sites comprised solely of C and D soils and bedrock, </w:t>
      </w:r>
      <w:r w:rsidR="003C5D6A">
        <w:t xml:space="preserve">applicants </w:t>
      </w:r>
      <w:r w:rsidR="00DF2436" w:rsidRPr="000165DA">
        <w:t>are required to infiltrate the required recharge volume only to the maximum extent practicable</w:t>
      </w:r>
      <w:r w:rsidR="00DB246D">
        <w:t xml:space="preserve"> for those conditions</w:t>
      </w:r>
      <w:r w:rsidR="00DF2436" w:rsidRPr="000165DA">
        <w:t xml:space="preserve">. </w:t>
      </w:r>
      <w:r w:rsidR="00807522">
        <w:t xml:space="preserve">Handbook, Vol. I, Chapter 1, p. 7. </w:t>
      </w:r>
      <w:r w:rsidR="00DF2436" w:rsidRPr="000165DA">
        <w:t xml:space="preserve"> </w:t>
      </w:r>
    </w:p>
    <w:p w:rsidR="00DF2436" w:rsidRPr="000165DA" w:rsidRDefault="00DF2436" w:rsidP="000165DA">
      <w:pPr>
        <w:spacing w:line="480" w:lineRule="auto"/>
        <w:ind w:firstLine="720"/>
        <w:contextualSpacing/>
      </w:pPr>
      <w:r w:rsidRPr="000165DA">
        <w:t>For purposes of Standard 3, “to the maximum extent practicable” means that:</w:t>
      </w:r>
    </w:p>
    <w:p w:rsidR="00DF2436" w:rsidRDefault="00DF2436" w:rsidP="003C5D6A">
      <w:pPr>
        <w:pStyle w:val="ListParagraph"/>
        <w:numPr>
          <w:ilvl w:val="2"/>
          <w:numId w:val="1"/>
        </w:numPr>
        <w:ind w:left="2347"/>
      </w:pPr>
      <w:r w:rsidRPr="000165DA">
        <w:t>The applicant has made all reasonable efforts to meet the Standard;</w:t>
      </w:r>
      <w:r w:rsidR="00EC78C1">
        <w:t xml:space="preserve"> </w:t>
      </w:r>
    </w:p>
    <w:p w:rsidR="00EC78C1" w:rsidRPr="000165DA" w:rsidRDefault="00EC78C1" w:rsidP="00EC78C1">
      <w:pPr>
        <w:pStyle w:val="ListParagraph"/>
        <w:ind w:left="2347"/>
      </w:pPr>
    </w:p>
    <w:p w:rsidR="00DF2436" w:rsidRDefault="00DF2436" w:rsidP="003C5D6A">
      <w:pPr>
        <w:numPr>
          <w:ilvl w:val="2"/>
          <w:numId w:val="1"/>
        </w:numPr>
        <w:ind w:left="2347"/>
        <w:contextualSpacing/>
      </w:pPr>
      <w:r w:rsidRPr="000165DA">
        <w:t xml:space="preserve">The applicant has made a complete evaluation of all possible applicable infiltration measures, including environmentally sensitive site design that minimizes land disturbance and impervious surfaces, low impact development techniques, and structural </w:t>
      </w:r>
      <w:proofErr w:type="spellStart"/>
      <w:r w:rsidRPr="000165DA">
        <w:t>stormwater</w:t>
      </w:r>
      <w:proofErr w:type="spellEnd"/>
      <w:r w:rsidRPr="000165DA">
        <w:t xml:space="preserve"> best management practices; and</w:t>
      </w:r>
    </w:p>
    <w:p w:rsidR="00EC78C1" w:rsidRDefault="00EC78C1" w:rsidP="00EC78C1">
      <w:pPr>
        <w:pStyle w:val="ListParagraph"/>
      </w:pPr>
    </w:p>
    <w:p w:rsidR="00DF2436" w:rsidRDefault="00DF2436" w:rsidP="003C5D6A">
      <w:pPr>
        <w:numPr>
          <w:ilvl w:val="2"/>
          <w:numId w:val="1"/>
        </w:numPr>
        <w:ind w:left="2347"/>
        <w:contextualSpacing/>
      </w:pPr>
      <w:r w:rsidRPr="000165DA">
        <w:t xml:space="preserve">If the post-development recharge does not at least approximate the annual recharge from pre-development conditions, the applicant has demonstrated that s/he is implementing the highest practicable method for infiltrating </w:t>
      </w:r>
      <w:proofErr w:type="spellStart"/>
      <w:r w:rsidRPr="000165DA">
        <w:t>stormwater</w:t>
      </w:r>
      <w:proofErr w:type="spellEnd"/>
      <w:r w:rsidRPr="000165DA">
        <w:t>.</w:t>
      </w:r>
    </w:p>
    <w:p w:rsidR="003C5D6A" w:rsidRDefault="003C5D6A" w:rsidP="003C5D6A">
      <w:pPr>
        <w:contextualSpacing/>
      </w:pPr>
    </w:p>
    <w:p w:rsidR="000165DA" w:rsidRDefault="008864BC" w:rsidP="003C5D6A">
      <w:pPr>
        <w:spacing w:line="480" w:lineRule="auto"/>
      </w:pPr>
      <w:r w:rsidRPr="008864BC">
        <w:t>310 CMR 10.05(6</w:t>
      </w:r>
      <w:proofErr w:type="gramStart"/>
      <w:r w:rsidRPr="008864BC">
        <w:t>)(</w:t>
      </w:r>
      <w:proofErr w:type="gramEnd"/>
      <w:r w:rsidRPr="008864BC">
        <w:t>o)</w:t>
      </w:r>
      <w:r w:rsidR="00EC78C1" w:rsidRPr="008864BC">
        <w:t>.</w:t>
      </w:r>
      <w:r w:rsidR="00EC78C1">
        <w:t xml:space="preserve">   </w:t>
      </w:r>
      <w:r w:rsidR="003C5D6A">
        <w:t>I</w:t>
      </w:r>
      <w:r w:rsidR="000165DA" w:rsidRPr="000165DA">
        <w:t>nfiltration BMPs</w:t>
      </w:r>
      <w:r w:rsidR="003C5D6A">
        <w:t xml:space="preserve"> must be based on </w:t>
      </w:r>
      <w:r w:rsidR="000165DA" w:rsidRPr="000165DA">
        <w:t xml:space="preserve">adequate subsurface information </w:t>
      </w:r>
      <w:r w:rsidR="003C5D6A">
        <w:t xml:space="preserve">about the site, </w:t>
      </w:r>
      <w:r w:rsidR="009626D2">
        <w:t xml:space="preserve">to assess whether </w:t>
      </w:r>
      <w:r w:rsidR="003C5D6A">
        <w:t>the s</w:t>
      </w:r>
      <w:r w:rsidR="000165DA" w:rsidRPr="000165DA">
        <w:t xml:space="preserve">oils </w:t>
      </w:r>
      <w:r w:rsidR="003C5D6A">
        <w:t xml:space="preserve">are </w:t>
      </w:r>
      <w:r w:rsidR="000165DA" w:rsidRPr="000165DA">
        <w:t>capable of absorbing the recharge volume</w:t>
      </w:r>
      <w:r w:rsidR="003C5D6A">
        <w:t xml:space="preserve">.  </w:t>
      </w:r>
      <w:r w:rsidR="000165DA" w:rsidRPr="000165DA">
        <w:t>Infiltration structures must be able to drain fully within 72 hours</w:t>
      </w:r>
      <w:r w:rsidR="00807522">
        <w:t xml:space="preserve"> and provide </w:t>
      </w:r>
      <w:r w:rsidR="000165DA" w:rsidRPr="000165DA">
        <w:t>at least a two-foot separation between the bottom of the infiltration structure and the seasonal high groundwater table.</w:t>
      </w:r>
      <w:r w:rsidR="009626D2">
        <w:t xml:space="preserve"> </w:t>
      </w:r>
      <w:r w:rsidR="000165DA" w:rsidRPr="000165DA">
        <w:t xml:space="preserve"> </w:t>
      </w:r>
      <w:r w:rsidR="0081780A">
        <w:t>Runoff from at least 65% of the impervious surfaces must be directed to the infiltration basin for recharge.  Handbook</w:t>
      </w:r>
      <w:r>
        <w:t>,</w:t>
      </w:r>
      <w:r w:rsidR="0081780A">
        <w:t xml:space="preserve"> </w:t>
      </w:r>
      <w:r w:rsidR="00DB246D">
        <w:t>Vol. 3, Ch</w:t>
      </w:r>
      <w:r>
        <w:t>apter</w:t>
      </w:r>
      <w:r w:rsidR="00DB246D">
        <w:t>1, p. 27.</w:t>
      </w:r>
      <w:r w:rsidR="0081780A">
        <w:t xml:space="preserve"> </w:t>
      </w:r>
      <w:r w:rsidR="000165DA" w:rsidRPr="000165DA">
        <w:t xml:space="preserve"> </w:t>
      </w:r>
    </w:p>
    <w:p w:rsidR="003C5D6A" w:rsidRPr="003C5D6A" w:rsidRDefault="003C5D6A" w:rsidP="0081780A">
      <w:pPr>
        <w:spacing w:line="480" w:lineRule="auto"/>
        <w:ind w:firstLine="720"/>
        <w:rPr>
          <w:b/>
          <w:u w:val="single"/>
        </w:rPr>
      </w:pPr>
      <w:r w:rsidRPr="003C5D6A">
        <w:rPr>
          <w:b/>
          <w:u w:val="single"/>
        </w:rPr>
        <w:t>T</w:t>
      </w:r>
      <w:r w:rsidR="0081780A">
        <w:rPr>
          <w:b/>
          <w:u w:val="single"/>
        </w:rPr>
        <w:t>estimony of the Parties</w:t>
      </w:r>
    </w:p>
    <w:p w:rsidR="00FA7A7E" w:rsidRDefault="0081780A" w:rsidP="003C5D6A">
      <w:pPr>
        <w:spacing w:line="480" w:lineRule="auto"/>
        <w:ind w:firstLine="720"/>
        <w:contextualSpacing/>
      </w:pPr>
      <w:r>
        <w:t xml:space="preserve">One </w:t>
      </w:r>
      <w:proofErr w:type="spellStart"/>
      <w:r>
        <w:t>Ledgemont</w:t>
      </w:r>
      <w:proofErr w:type="spellEnd"/>
      <w:r w:rsidR="00DF2436" w:rsidRPr="00DF2436">
        <w:t xml:space="preserve"> filed the testimony of Brian D. Jones, a professional engineer with relevant experience and knowledge of the </w:t>
      </w:r>
      <w:r w:rsidR="00DF2436">
        <w:t>site</w:t>
      </w:r>
      <w:r w:rsidR="00DF2436" w:rsidRPr="00DF2436">
        <w:t xml:space="preserve">.  He is qualified as an expert witness.  </w:t>
      </w:r>
      <w:r w:rsidR="00EC78C1">
        <w:t>He testified that</w:t>
      </w:r>
      <w:r>
        <w:t xml:space="preserve"> 95 Hayden</w:t>
      </w:r>
      <w:r w:rsidR="00EC78C1">
        <w:t xml:space="preserve"> had not demonstrated that the proposed </w:t>
      </w:r>
      <w:proofErr w:type="spellStart"/>
      <w:r w:rsidR="00EC78C1">
        <w:t>stormwater</w:t>
      </w:r>
      <w:proofErr w:type="spellEnd"/>
      <w:r w:rsidR="00EC78C1">
        <w:t xml:space="preserve"> management system meets Standard 3 to the maximum extent practicable.  Jones PF</w:t>
      </w:r>
      <w:r w:rsidR="008864BC">
        <w:t>D</w:t>
      </w:r>
      <w:r w:rsidR="00EC78C1">
        <w:t xml:space="preserve">T, </w:t>
      </w:r>
      <w:proofErr w:type="spellStart"/>
      <w:r w:rsidR="00EC78C1">
        <w:t>para</w:t>
      </w:r>
      <w:proofErr w:type="spellEnd"/>
      <w:r w:rsidR="00EC78C1">
        <w:t xml:space="preserve">. 4.  He identified alternatives that </w:t>
      </w:r>
      <w:r>
        <w:t>95 Hayden</w:t>
      </w:r>
      <w:r w:rsidR="00EC78C1">
        <w:t xml:space="preserve"> had not considered. First, he acknowledged that pumping </w:t>
      </w:r>
      <w:proofErr w:type="spellStart"/>
      <w:r w:rsidR="00EC78C1">
        <w:t>stormwater</w:t>
      </w:r>
      <w:proofErr w:type="spellEnd"/>
      <w:r w:rsidR="00EC78C1">
        <w:t xml:space="preserve"> is costly, but stated that pumping is “routinely used when there are site constraints” similar to this site.  Jones PF</w:t>
      </w:r>
      <w:r w:rsidR="008864BC">
        <w:t>D</w:t>
      </w:r>
      <w:r w:rsidR="00EC78C1">
        <w:t xml:space="preserve">T, </w:t>
      </w:r>
      <w:proofErr w:type="spellStart"/>
      <w:r w:rsidR="00EC78C1">
        <w:t>para</w:t>
      </w:r>
      <w:proofErr w:type="spellEnd"/>
      <w:r w:rsidR="00EC78C1">
        <w:t xml:space="preserve">. 5.  Second, he testified that the design could have incorporated permeable pavement to reduce the amount of impervious surface.  </w:t>
      </w:r>
      <w:r w:rsidR="00EC78C1" w:rsidRPr="00EC78C1">
        <w:rPr>
          <w:u w:val="single"/>
        </w:rPr>
        <w:t>Id</w:t>
      </w:r>
      <w:r w:rsidR="00EC78C1">
        <w:t xml:space="preserve">.  Third, he stated that the project could have been reduced in scale to comply with Standard 3.  </w:t>
      </w:r>
      <w:r w:rsidR="00EC78C1" w:rsidRPr="00EC78C1">
        <w:rPr>
          <w:u w:val="single"/>
        </w:rPr>
        <w:t>Id</w:t>
      </w:r>
      <w:r w:rsidR="00EC78C1">
        <w:t xml:space="preserve">.   </w:t>
      </w:r>
      <w:r w:rsidR="00FA7A7E">
        <w:t xml:space="preserve">Mr. Jones noted that the location of 15 or more surface parking spaces had not been determined, so it was not possible to assess the effect of </w:t>
      </w:r>
      <w:r w:rsidR="00331253">
        <w:t xml:space="preserve">any </w:t>
      </w:r>
      <w:r w:rsidR="00FA7A7E">
        <w:t>additional impervious surface on compliance with Standard 3.</w:t>
      </w:r>
      <w:r w:rsidR="0083340E" w:rsidRPr="0083340E">
        <w:t xml:space="preserve"> </w:t>
      </w:r>
      <w:r w:rsidR="0083340E">
        <w:t xml:space="preserve">Jones PFDT, </w:t>
      </w:r>
      <w:proofErr w:type="spellStart"/>
      <w:r w:rsidR="0083340E">
        <w:t>para</w:t>
      </w:r>
      <w:proofErr w:type="spellEnd"/>
      <w:r w:rsidR="0083340E">
        <w:t xml:space="preserve">. 6.  </w:t>
      </w:r>
    </w:p>
    <w:p w:rsidR="00331253" w:rsidRDefault="0081780A" w:rsidP="003C5D6A">
      <w:pPr>
        <w:spacing w:line="480" w:lineRule="auto"/>
        <w:ind w:firstLine="720"/>
        <w:contextualSpacing/>
      </w:pPr>
      <w:r>
        <w:t>95 Hayden</w:t>
      </w:r>
      <w:r w:rsidR="00FA7A7E">
        <w:t xml:space="preserve"> filed direct testimony of Dominic </w:t>
      </w:r>
      <w:proofErr w:type="spellStart"/>
      <w:r w:rsidR="00FA7A7E">
        <w:t>Rinaldi</w:t>
      </w:r>
      <w:proofErr w:type="spellEnd"/>
      <w:r w:rsidR="00FA7A7E">
        <w:t xml:space="preserve">, a professional </w:t>
      </w:r>
      <w:r w:rsidR="00FA7A7E" w:rsidRPr="00DF2436">
        <w:t xml:space="preserve">engineer with relevant experience and knowledge of the </w:t>
      </w:r>
      <w:r w:rsidR="00FA7A7E">
        <w:t>site</w:t>
      </w:r>
      <w:r w:rsidR="00FA7A7E" w:rsidRPr="00DF2436">
        <w:t xml:space="preserve">. </w:t>
      </w:r>
      <w:r w:rsidR="00FA7A7E">
        <w:t xml:space="preserve"> He prepared the plans and reports related to the </w:t>
      </w:r>
      <w:r w:rsidR="00FA7A7E">
        <w:lastRenderedPageBreak/>
        <w:t xml:space="preserve">2008 Notice of Intent and the 2012 </w:t>
      </w:r>
      <w:r w:rsidR="008864BC">
        <w:t>R</w:t>
      </w:r>
      <w:r w:rsidR="00FA7A7E">
        <w:t xml:space="preserve">equest for </w:t>
      </w:r>
      <w:r w:rsidR="008864BC">
        <w:t>A</w:t>
      </w:r>
      <w:r w:rsidR="00FA7A7E">
        <w:t>mendment.</w:t>
      </w:r>
      <w:r w:rsidR="0060062C">
        <w:t xml:space="preserve">  </w:t>
      </w:r>
      <w:r w:rsidR="00FA7A7E" w:rsidRPr="00DF2436">
        <w:t xml:space="preserve">He is qualified as an expert witness.  </w:t>
      </w:r>
      <w:r w:rsidR="00FA7A7E">
        <w:t xml:space="preserve"> </w:t>
      </w:r>
      <w:r w:rsidR="00CD3A4B">
        <w:t xml:space="preserve">He testified that the 2008 and 2012 submissions relied upon the same soils analysis and test pits, </w:t>
      </w:r>
      <w:r w:rsidR="009626D2">
        <w:t xml:space="preserve">the </w:t>
      </w:r>
      <w:r w:rsidR="00CD3A4B">
        <w:t xml:space="preserve">decision not to pump </w:t>
      </w:r>
      <w:proofErr w:type="spellStart"/>
      <w:r w:rsidR="00CD3A4B">
        <w:t>stormwater</w:t>
      </w:r>
      <w:proofErr w:type="spellEnd"/>
      <w:r w:rsidR="00CD3A4B">
        <w:t xml:space="preserve"> to the infiltration basin at a higher elevation, and</w:t>
      </w:r>
      <w:r w:rsidR="009626D2">
        <w:t xml:space="preserve"> the</w:t>
      </w:r>
      <w:r w:rsidR="00CD3A4B">
        <w:t xml:space="preserve"> decision not to use pervious pavement.  </w:t>
      </w:r>
      <w:proofErr w:type="spellStart"/>
      <w:r w:rsidR="00CD3A4B">
        <w:t>Rinaldi</w:t>
      </w:r>
      <w:proofErr w:type="spellEnd"/>
      <w:r w:rsidR="00CD3A4B">
        <w:t xml:space="preserve"> PFDT, </w:t>
      </w:r>
      <w:proofErr w:type="spellStart"/>
      <w:r w:rsidR="00CD3A4B">
        <w:t>para</w:t>
      </w:r>
      <w:r w:rsidR="008864BC">
        <w:t>s</w:t>
      </w:r>
      <w:proofErr w:type="spellEnd"/>
      <w:r w:rsidR="00CD3A4B">
        <w:t xml:space="preserve">. 9-10. </w:t>
      </w:r>
      <w:proofErr w:type="gramStart"/>
      <w:r w:rsidR="00CD3A4B">
        <w:t>The</w:t>
      </w:r>
      <w:proofErr w:type="gramEnd"/>
      <w:r w:rsidR="00CD3A4B">
        <w:t xml:space="preserve"> 2012 submission proposed an increase of 2</w:t>
      </w:r>
      <w:r w:rsidR="008864BC">
        <w:t>,</w:t>
      </w:r>
      <w:r w:rsidR="00CD3A4B">
        <w:t>090 cubic feet of st</w:t>
      </w:r>
      <w:r w:rsidR="008864BC">
        <w:t>or</w:t>
      </w:r>
      <w:r w:rsidR="00CD3A4B">
        <w:t xml:space="preserve">age capacity to the infiltration field in the approximate location as compared to the 2008 filing.  </w:t>
      </w:r>
      <w:proofErr w:type="spellStart"/>
      <w:r w:rsidR="00CD3A4B">
        <w:t>Rinaldi</w:t>
      </w:r>
      <w:proofErr w:type="spellEnd"/>
      <w:r w:rsidR="00CD3A4B">
        <w:t xml:space="preserve"> PFDT, </w:t>
      </w:r>
      <w:proofErr w:type="spellStart"/>
      <w:r w:rsidR="00CD3A4B">
        <w:t>para</w:t>
      </w:r>
      <w:proofErr w:type="spellEnd"/>
      <w:r w:rsidR="00CD3A4B">
        <w:t>. 11.  The design in both submissions was intended to meet Standard 3 to the maximum extent practicable</w:t>
      </w:r>
      <w:r w:rsidR="00F74344">
        <w:t xml:space="preserve"> due to the presence of Type C and D soils, as well as bedrock, at the site</w:t>
      </w:r>
      <w:r w:rsidR="00CD3A4B">
        <w:t>.</w:t>
      </w:r>
      <w:r>
        <w:t xml:space="preserve"> </w:t>
      </w:r>
      <w:r w:rsidR="00CD3A4B">
        <w:t xml:space="preserve"> </w:t>
      </w:r>
      <w:proofErr w:type="spellStart"/>
      <w:r w:rsidR="00CD3A4B">
        <w:t>Rinaldi</w:t>
      </w:r>
      <w:proofErr w:type="spellEnd"/>
      <w:r w:rsidR="00CD3A4B">
        <w:t xml:space="preserve"> PFDT, </w:t>
      </w:r>
      <w:proofErr w:type="spellStart"/>
      <w:r w:rsidR="00CD3A4B">
        <w:t>para</w:t>
      </w:r>
      <w:r w:rsidR="008864BC">
        <w:t>s</w:t>
      </w:r>
      <w:proofErr w:type="spellEnd"/>
      <w:r w:rsidR="00CD3A4B">
        <w:t>. 8</w:t>
      </w:r>
      <w:r w:rsidR="00F74344">
        <w:t>-9</w:t>
      </w:r>
      <w:proofErr w:type="gramStart"/>
      <w:r w:rsidR="00CD3A4B">
        <w:t xml:space="preserve">.  </w:t>
      </w:r>
      <w:r w:rsidR="00F74344">
        <w:t>Mr</w:t>
      </w:r>
      <w:proofErr w:type="gramEnd"/>
      <w:r w:rsidR="00F74344">
        <w:t xml:space="preserve">. </w:t>
      </w:r>
      <w:proofErr w:type="spellStart"/>
      <w:r w:rsidR="00F74344">
        <w:t>Rinaldi</w:t>
      </w:r>
      <w:proofErr w:type="spellEnd"/>
      <w:r w:rsidR="00F74344">
        <w:t xml:space="preserve"> testified that he followed the requirements of the </w:t>
      </w:r>
      <w:proofErr w:type="spellStart"/>
      <w:r w:rsidR="00F74344">
        <w:t>Stormwater</w:t>
      </w:r>
      <w:proofErr w:type="spellEnd"/>
      <w:r w:rsidR="00F74344">
        <w:t xml:space="preserve"> </w:t>
      </w:r>
      <w:r>
        <w:t>H</w:t>
      </w:r>
      <w:r w:rsidR="00F74344">
        <w:t>andbook to determine the required recharge volume, the 72 hour drawdown requirement, and separation from th</w:t>
      </w:r>
      <w:r>
        <w:t>e</w:t>
      </w:r>
      <w:r w:rsidR="00F74344">
        <w:t xml:space="preserve"> seasonal high groundwater table.  </w:t>
      </w:r>
      <w:proofErr w:type="spellStart"/>
      <w:r w:rsidR="00F74344">
        <w:t>Rinaldi</w:t>
      </w:r>
      <w:proofErr w:type="spellEnd"/>
      <w:r w:rsidR="00F74344">
        <w:t xml:space="preserve"> PFDT, </w:t>
      </w:r>
      <w:proofErr w:type="spellStart"/>
      <w:r w:rsidR="00F74344">
        <w:t>para</w:t>
      </w:r>
      <w:r w:rsidR="008864BC">
        <w:t>s</w:t>
      </w:r>
      <w:proofErr w:type="spellEnd"/>
      <w:r w:rsidR="00F74344">
        <w:t xml:space="preserve">. </w:t>
      </w:r>
      <w:proofErr w:type="gramStart"/>
      <w:r w:rsidR="00F74344">
        <w:t>21, 24, 26</w:t>
      </w:r>
      <w:r w:rsidR="00E664C8">
        <w:t>, 45, and 46</w:t>
      </w:r>
      <w:r w:rsidR="00F74344">
        <w:t>.</w:t>
      </w:r>
      <w:proofErr w:type="gramEnd"/>
      <w:r w:rsidR="00F74344">
        <w:t xml:space="preserve">  Two sites were considered for infiltration, under the emergency access road and under the existing parking lot.  </w:t>
      </w:r>
      <w:proofErr w:type="spellStart"/>
      <w:proofErr w:type="gramStart"/>
      <w:r w:rsidR="00F74344">
        <w:t>Rinaldi</w:t>
      </w:r>
      <w:proofErr w:type="spellEnd"/>
      <w:r w:rsidR="00F74344">
        <w:t xml:space="preserve">, </w:t>
      </w:r>
      <w:proofErr w:type="spellStart"/>
      <w:r w:rsidR="00F74344">
        <w:t>para</w:t>
      </w:r>
      <w:proofErr w:type="spellEnd"/>
      <w:r w:rsidR="00F74344">
        <w:t>.</w:t>
      </w:r>
      <w:proofErr w:type="gramEnd"/>
      <w:r w:rsidR="00F74344">
        <w:t xml:space="preserve"> 41.  The site under the emergency access road to the northwest of the proposed building was selected </w:t>
      </w:r>
      <w:r w:rsidR="00E664C8">
        <w:t xml:space="preserve">for infiltration </w:t>
      </w:r>
      <w:r w:rsidR="00F74344">
        <w:t>because concerns about the stability of an existing retaining wall by the parking lot</w:t>
      </w:r>
      <w:r w:rsidR="00E664C8">
        <w:t xml:space="preserve"> limited its use to detention. </w:t>
      </w:r>
      <w:proofErr w:type="spellStart"/>
      <w:r w:rsidR="00F74344">
        <w:t>Rinaldi</w:t>
      </w:r>
      <w:proofErr w:type="spellEnd"/>
      <w:r w:rsidR="00F74344">
        <w:t xml:space="preserve"> PFDT, </w:t>
      </w:r>
      <w:proofErr w:type="spellStart"/>
      <w:r w:rsidR="00F74344">
        <w:t>para</w:t>
      </w:r>
      <w:r w:rsidR="008864BC">
        <w:t>s</w:t>
      </w:r>
      <w:proofErr w:type="spellEnd"/>
      <w:r w:rsidR="00F74344">
        <w:t xml:space="preserve">. </w:t>
      </w:r>
      <w:proofErr w:type="gramStart"/>
      <w:r w:rsidR="00E664C8">
        <w:t>42</w:t>
      </w:r>
      <w:r w:rsidR="008864BC">
        <w:t>-</w:t>
      </w:r>
      <w:r w:rsidR="00E664C8">
        <w:t>43.</w:t>
      </w:r>
      <w:proofErr w:type="gramEnd"/>
      <w:r w:rsidR="00F74344">
        <w:t xml:space="preserve"> </w:t>
      </w:r>
    </w:p>
    <w:p w:rsidR="002D174F" w:rsidRDefault="00AF5A8A" w:rsidP="003C5D6A">
      <w:pPr>
        <w:spacing w:line="480" w:lineRule="auto"/>
        <w:ind w:firstLine="720"/>
        <w:contextualSpacing/>
      </w:pPr>
      <w:r>
        <w:t xml:space="preserve">Mr. </w:t>
      </w:r>
      <w:proofErr w:type="spellStart"/>
      <w:r>
        <w:t>Rinaldi</w:t>
      </w:r>
      <w:proofErr w:type="spellEnd"/>
      <w:r>
        <w:t xml:space="preserve"> testified that in his opinion the system complied to the maximum extent practicable with Standard 3. </w:t>
      </w:r>
      <w:r w:rsidR="0060062C">
        <w:t xml:space="preserve"> </w:t>
      </w:r>
      <w:proofErr w:type="spellStart"/>
      <w:r>
        <w:t>Rinaldi</w:t>
      </w:r>
      <w:proofErr w:type="spellEnd"/>
      <w:r>
        <w:t xml:space="preserve"> PFDT, </w:t>
      </w:r>
      <w:proofErr w:type="spellStart"/>
      <w:r>
        <w:t>para</w:t>
      </w:r>
      <w:proofErr w:type="spellEnd"/>
      <w:r>
        <w:t>. 47.  The capacity of the infiltration basin exceed</w:t>
      </w:r>
      <w:r w:rsidR="00F436FD">
        <w:t xml:space="preserve">s </w:t>
      </w:r>
      <w:r>
        <w:t>the Department’s requirements</w:t>
      </w:r>
      <w:r w:rsidR="0081780A">
        <w:t>,</w:t>
      </w:r>
      <w:r>
        <w:t xml:space="preserve"> captur</w:t>
      </w:r>
      <w:r w:rsidR="0081780A">
        <w:t>ing</w:t>
      </w:r>
      <w:r>
        <w:t xml:space="preserve"> as much runoff as possible through gravity.  He testified that pumping of </w:t>
      </w:r>
      <w:proofErr w:type="spellStart"/>
      <w:r>
        <w:t>st</w:t>
      </w:r>
      <w:r w:rsidR="0081780A">
        <w:t>o</w:t>
      </w:r>
      <w:r>
        <w:t>rmwater</w:t>
      </w:r>
      <w:proofErr w:type="spellEnd"/>
      <w:r>
        <w:t xml:space="preserve"> uphill to capture 100% of the impervious area was possible but not practicable due to the massive volume, </w:t>
      </w:r>
      <w:r w:rsidR="009626D2">
        <w:t xml:space="preserve">great </w:t>
      </w:r>
      <w:r>
        <w:t xml:space="preserve">expense, logistics because it would require the removal of ledge, and the likelihood of mechanical problems with a seldom used pump.  </w:t>
      </w:r>
      <w:proofErr w:type="spellStart"/>
      <w:r>
        <w:t>Rinaldi</w:t>
      </w:r>
      <w:proofErr w:type="spellEnd"/>
      <w:r>
        <w:t xml:space="preserve"> PFDT, </w:t>
      </w:r>
      <w:proofErr w:type="spellStart"/>
      <w:r>
        <w:t>para</w:t>
      </w:r>
      <w:proofErr w:type="spellEnd"/>
      <w:r>
        <w:t xml:space="preserve">. 49.  He stated that he had never designed a pumped system for </w:t>
      </w:r>
      <w:proofErr w:type="spellStart"/>
      <w:r>
        <w:t>stormwater</w:t>
      </w:r>
      <w:proofErr w:type="spellEnd"/>
      <w:r>
        <w:t xml:space="preserve">, nor had he seen such a system at his consulting firm or elsewhere.  </w:t>
      </w:r>
      <w:proofErr w:type="spellStart"/>
      <w:r>
        <w:t>Rinaldi</w:t>
      </w:r>
      <w:proofErr w:type="spellEnd"/>
      <w:r>
        <w:t xml:space="preserve"> PFDT, </w:t>
      </w:r>
      <w:proofErr w:type="spellStart"/>
      <w:r>
        <w:lastRenderedPageBreak/>
        <w:t>para</w:t>
      </w:r>
      <w:proofErr w:type="spellEnd"/>
      <w:r>
        <w:t xml:space="preserve">. 50.  He testified that porous pavement would provide no benefit at the site due to the </w:t>
      </w:r>
      <w:r w:rsidR="009626D2">
        <w:t>Group</w:t>
      </w:r>
      <w:r>
        <w:t xml:space="preserve"> D soils and ledge, where no infiltration would occur</w:t>
      </w:r>
      <w:r w:rsidR="009626D2">
        <w:t xml:space="preserve"> even if porous pavement were installed</w:t>
      </w:r>
      <w:r>
        <w:t xml:space="preserve">.  </w:t>
      </w:r>
      <w:proofErr w:type="spellStart"/>
      <w:r>
        <w:t>Rinaldi</w:t>
      </w:r>
      <w:proofErr w:type="spellEnd"/>
      <w:r>
        <w:t xml:space="preserve"> PFDT, </w:t>
      </w:r>
      <w:proofErr w:type="spellStart"/>
      <w:r>
        <w:t>paras</w:t>
      </w:r>
      <w:proofErr w:type="spellEnd"/>
      <w:r>
        <w:t xml:space="preserve">. </w:t>
      </w:r>
      <w:proofErr w:type="gramStart"/>
      <w:r>
        <w:t>51-53.</w:t>
      </w:r>
      <w:proofErr w:type="gramEnd"/>
      <w:r>
        <w:t xml:space="preserve">  </w:t>
      </w:r>
    </w:p>
    <w:p w:rsidR="00A63F04" w:rsidRDefault="00A63F04" w:rsidP="003C5D6A">
      <w:pPr>
        <w:spacing w:line="480" w:lineRule="auto"/>
        <w:ind w:firstLine="720"/>
        <w:contextualSpacing/>
      </w:pPr>
      <w:r>
        <w:t xml:space="preserve">The Department offered the testimony of </w:t>
      </w:r>
      <w:r w:rsidR="0081780A">
        <w:t>G</w:t>
      </w:r>
      <w:r>
        <w:t xml:space="preserve">ary Bogue, a wetlands staff person who routinely prepares </w:t>
      </w:r>
      <w:r w:rsidR="009626D2">
        <w:t>wetlands permits</w:t>
      </w:r>
      <w:r>
        <w:t xml:space="preserve">.  He is qualified as an expert witness.  He reviewed and agreed with the testimony of Mr. </w:t>
      </w:r>
      <w:proofErr w:type="spellStart"/>
      <w:r>
        <w:t>Rinaldi</w:t>
      </w:r>
      <w:proofErr w:type="spellEnd"/>
      <w:r>
        <w:t xml:space="preserve"> that the project met the requirements of Standard 3 to the maximum extent practicable.  Bogue PFDT, </w:t>
      </w:r>
      <w:proofErr w:type="spellStart"/>
      <w:r>
        <w:t>para</w:t>
      </w:r>
      <w:proofErr w:type="spellEnd"/>
      <w:r>
        <w:t xml:space="preserve">. 16.  He accepted the response of Mr. </w:t>
      </w:r>
      <w:proofErr w:type="spellStart"/>
      <w:r>
        <w:t>Rinaldi</w:t>
      </w:r>
      <w:proofErr w:type="spellEnd"/>
      <w:r>
        <w:t xml:space="preserve"> to the alternatives </w:t>
      </w:r>
      <w:r w:rsidR="009626D2">
        <w:t xml:space="preserve">suggested by Mr. Jones </w:t>
      </w:r>
      <w:r>
        <w:t xml:space="preserve">of pumping, permeable pavement, or reducing the size of the project.  Bogue PFDT, </w:t>
      </w:r>
      <w:proofErr w:type="spellStart"/>
      <w:r>
        <w:t>para</w:t>
      </w:r>
      <w:r w:rsidR="00F436FD">
        <w:t>s</w:t>
      </w:r>
      <w:proofErr w:type="spellEnd"/>
      <w:r>
        <w:t xml:space="preserve"> 15-16.  He testified that during his tenure with the </w:t>
      </w:r>
      <w:r w:rsidR="009626D2">
        <w:t>D</w:t>
      </w:r>
      <w:r>
        <w:t xml:space="preserve">epartment’s wetlands program, he had never seen a proposal to pump </w:t>
      </w:r>
      <w:proofErr w:type="spellStart"/>
      <w:r>
        <w:t>stormwater</w:t>
      </w:r>
      <w:proofErr w:type="spellEnd"/>
      <w:r>
        <w:t xml:space="preserve">.  Bogue PFDT, </w:t>
      </w:r>
      <w:proofErr w:type="spellStart"/>
      <w:r>
        <w:t>para</w:t>
      </w:r>
      <w:proofErr w:type="spellEnd"/>
      <w:r>
        <w:t xml:space="preserve">. 16.   </w:t>
      </w:r>
    </w:p>
    <w:p w:rsidR="00AF5A8A" w:rsidRDefault="002D174F" w:rsidP="003C5D6A">
      <w:pPr>
        <w:spacing w:line="480" w:lineRule="auto"/>
        <w:ind w:firstLine="720"/>
        <w:contextualSpacing/>
      </w:pPr>
      <w:r>
        <w:t xml:space="preserve">In response to Mr. </w:t>
      </w:r>
      <w:proofErr w:type="spellStart"/>
      <w:r>
        <w:t>Rinaldi’s</w:t>
      </w:r>
      <w:proofErr w:type="spellEnd"/>
      <w:r>
        <w:t xml:space="preserve"> testimony, Mr. Jones pointed to test pit #14 (“TP-14”</w:t>
      </w:r>
      <w:r w:rsidR="00F436FD">
        <w:t xml:space="preserve"> on the</w:t>
      </w:r>
      <w:r>
        <w:t xml:space="preserve"> Soils and Test Pit Map </w:t>
      </w:r>
      <w:r w:rsidR="00F436FD">
        <w:t xml:space="preserve">dated </w:t>
      </w:r>
      <w:r>
        <w:t>January 28, 2014)</w:t>
      </w:r>
      <w:r w:rsidR="00F436FD">
        <w:t xml:space="preserve"> </w:t>
      </w:r>
      <w:r>
        <w:t xml:space="preserve">as a potential alternative location for an infiltration basin that would rely on gravity, could accommodate 65% of the impervious surfaces, had a sufficient depth to groundwater, and a more permeable “Ablation” soil type as compared to compact till at the selected site.  Jones </w:t>
      </w:r>
      <w:proofErr w:type="spellStart"/>
      <w:r>
        <w:t>Reb</w:t>
      </w:r>
      <w:proofErr w:type="spellEnd"/>
      <w:r>
        <w:t xml:space="preserve">., </w:t>
      </w:r>
      <w:proofErr w:type="spellStart"/>
      <w:r>
        <w:t>para</w:t>
      </w:r>
      <w:proofErr w:type="spellEnd"/>
      <w:r>
        <w:t xml:space="preserve">. </w:t>
      </w:r>
      <w:proofErr w:type="gramStart"/>
      <w:r>
        <w:t>2</w:t>
      </w:r>
      <w:r w:rsidR="00F436FD">
        <w:t>;</w:t>
      </w:r>
      <w:r>
        <w:t xml:space="preserve"> </w:t>
      </w:r>
      <w:r w:rsidRPr="00F436FD">
        <w:rPr>
          <w:u w:val="single"/>
        </w:rPr>
        <w:t>See</w:t>
      </w:r>
      <w:r>
        <w:t xml:space="preserve"> </w:t>
      </w:r>
      <w:proofErr w:type="spellStart"/>
      <w:r>
        <w:t>Rinaldi</w:t>
      </w:r>
      <w:proofErr w:type="spellEnd"/>
      <w:r>
        <w:t xml:space="preserve"> PFDT, Ex. 3.</w:t>
      </w:r>
      <w:proofErr w:type="gramEnd"/>
      <w:r>
        <w:t xml:space="preserve">  He further testified that permeable pavement was an option, because the infiltration basin is proposed for the emergency access road, so that the road could also be suitable for infiltration from porous pavement.  Jones </w:t>
      </w:r>
      <w:proofErr w:type="spellStart"/>
      <w:r>
        <w:t>Reb</w:t>
      </w:r>
      <w:proofErr w:type="spellEnd"/>
      <w:r>
        <w:t xml:space="preserve">., </w:t>
      </w:r>
      <w:proofErr w:type="spellStart"/>
      <w:r>
        <w:t>para</w:t>
      </w:r>
      <w:proofErr w:type="spellEnd"/>
      <w:r>
        <w:t>. 3.  Thus, Mr. Jones con</w:t>
      </w:r>
      <w:r w:rsidR="00A63F04">
        <w:t>c</w:t>
      </w:r>
      <w:r>
        <w:t>luded that the project did not meet the</w:t>
      </w:r>
      <w:r w:rsidR="009626D2">
        <w:t xml:space="preserve"> </w:t>
      </w:r>
      <w:r>
        <w:t xml:space="preserve">maximum extent practicable standard because the applicant had not made all efforts to meet the Standard or evaluated all possible infiltration measures.  Jones </w:t>
      </w:r>
      <w:proofErr w:type="spellStart"/>
      <w:r>
        <w:t>Reb</w:t>
      </w:r>
      <w:proofErr w:type="spellEnd"/>
      <w:r>
        <w:t>.</w:t>
      </w:r>
      <w:r w:rsidR="00F436FD">
        <w:t>,</w:t>
      </w:r>
      <w:r>
        <w:t xml:space="preserve"> </w:t>
      </w:r>
      <w:proofErr w:type="spellStart"/>
      <w:r w:rsidR="00F436FD">
        <w:t>p</w:t>
      </w:r>
      <w:r>
        <w:t>ara</w:t>
      </w:r>
      <w:proofErr w:type="spellEnd"/>
      <w:r>
        <w:t xml:space="preserve">. 4.  </w:t>
      </w:r>
    </w:p>
    <w:p w:rsidR="009626D2" w:rsidRDefault="009626D2" w:rsidP="003C5D6A">
      <w:pPr>
        <w:spacing w:line="480" w:lineRule="auto"/>
        <w:ind w:firstLine="720"/>
        <w:contextualSpacing/>
      </w:pPr>
    </w:p>
    <w:p w:rsidR="009626D2" w:rsidRDefault="009626D2" w:rsidP="003C5D6A">
      <w:pPr>
        <w:spacing w:line="480" w:lineRule="auto"/>
        <w:ind w:firstLine="720"/>
        <w:contextualSpacing/>
      </w:pPr>
    </w:p>
    <w:p w:rsidR="00331253" w:rsidRPr="008262B4" w:rsidRDefault="0081780A" w:rsidP="0081780A">
      <w:pPr>
        <w:spacing w:line="480" w:lineRule="auto"/>
        <w:ind w:firstLine="720"/>
        <w:contextualSpacing/>
      </w:pPr>
      <w:r>
        <w:rPr>
          <w:b/>
          <w:u w:val="single"/>
        </w:rPr>
        <w:lastRenderedPageBreak/>
        <w:t>Discussion</w:t>
      </w:r>
    </w:p>
    <w:p w:rsidR="009626D2" w:rsidRDefault="00331253" w:rsidP="00331253">
      <w:pPr>
        <w:spacing w:line="480" w:lineRule="auto"/>
        <w:contextualSpacing/>
      </w:pPr>
      <w:r>
        <w:tab/>
        <w:t xml:space="preserve">A threshold question is whether, in the context of an amendment, the entire </w:t>
      </w:r>
      <w:proofErr w:type="spellStart"/>
      <w:r>
        <w:t>stormwater</w:t>
      </w:r>
      <w:proofErr w:type="spellEnd"/>
      <w:r>
        <w:t xml:space="preserve"> management system is subject to review.  </w:t>
      </w:r>
      <w:r w:rsidR="0081780A">
        <w:t>95 Hayden</w:t>
      </w:r>
      <w:r>
        <w:t xml:space="preserve"> filed a </w:t>
      </w:r>
      <w:proofErr w:type="spellStart"/>
      <w:r>
        <w:t>Stormwater</w:t>
      </w:r>
      <w:proofErr w:type="spellEnd"/>
      <w:r>
        <w:t xml:space="preserve"> Report in 2012 to accompany the </w:t>
      </w:r>
      <w:r w:rsidR="00F436FD">
        <w:t>R</w:t>
      </w:r>
      <w:r>
        <w:t xml:space="preserve">equest for </w:t>
      </w:r>
      <w:r w:rsidR="00F436FD">
        <w:t>A</w:t>
      </w:r>
      <w:r>
        <w:t xml:space="preserve">mendment. </w:t>
      </w:r>
      <w:r w:rsidR="008262B4">
        <w:t xml:space="preserve">The </w:t>
      </w:r>
      <w:r w:rsidR="00CB1ECD">
        <w:t xml:space="preserve">2012 </w:t>
      </w:r>
      <w:proofErr w:type="spellStart"/>
      <w:r w:rsidR="008262B4">
        <w:t>Stormwater</w:t>
      </w:r>
      <w:proofErr w:type="spellEnd"/>
      <w:r w:rsidR="008262B4">
        <w:t xml:space="preserve"> Report was comprehensive, and did not simply amend th</w:t>
      </w:r>
      <w:r w:rsidR="009D4022">
        <w:t xml:space="preserve">e 2008 </w:t>
      </w:r>
      <w:proofErr w:type="spellStart"/>
      <w:r w:rsidR="009D4022">
        <w:t>Stormwater</w:t>
      </w:r>
      <w:proofErr w:type="spellEnd"/>
      <w:r w:rsidR="009D4022">
        <w:t xml:space="preserve"> </w:t>
      </w:r>
      <w:r w:rsidR="00F436FD">
        <w:t>R</w:t>
      </w:r>
      <w:r w:rsidR="009D4022">
        <w:t>eport filed with the 2008</w:t>
      </w:r>
      <w:r w:rsidR="00CB1ECD">
        <w:t xml:space="preserve"> </w:t>
      </w:r>
      <w:r w:rsidR="009D4022">
        <w:t>Notice of Intent</w:t>
      </w:r>
      <w:r w:rsidR="00CB1ECD">
        <w:t xml:space="preserve">.  The amount of impervious surface had increased from 2008 to 2012, however, which would require revisions to the calculations. In addition, the 2012 Report supplemented the </w:t>
      </w:r>
      <w:r w:rsidR="00F436FD">
        <w:t>R</w:t>
      </w:r>
      <w:r w:rsidR="00CB1ECD">
        <w:t xml:space="preserve">equest for </w:t>
      </w:r>
      <w:r w:rsidR="00F436FD">
        <w:t>A</w:t>
      </w:r>
      <w:r w:rsidR="00CB1ECD">
        <w:t xml:space="preserve">mendment of the 2008 Order of Conditions, which would require a full analysis of the changes to the </w:t>
      </w:r>
      <w:proofErr w:type="spellStart"/>
      <w:r w:rsidR="00CB1ECD">
        <w:t>stormwater</w:t>
      </w:r>
      <w:proofErr w:type="spellEnd"/>
      <w:r w:rsidR="00CB1ECD">
        <w:t xml:space="preserve"> management system from 2008 to 2012 to allow the Lexington </w:t>
      </w:r>
      <w:r w:rsidR="0081780A">
        <w:t>C</w:t>
      </w:r>
      <w:r w:rsidR="00CB1ECD">
        <w:t xml:space="preserve">onservation Commission to decide whether an amendment was appropriate. </w:t>
      </w:r>
      <w:r w:rsidR="0060062C">
        <w:t xml:space="preserve"> </w:t>
      </w:r>
      <w:r w:rsidR="00CB1ECD">
        <w:t>A comparison between the two reports demonst</w:t>
      </w:r>
      <w:r w:rsidR="00A82E7B">
        <w:t>rates</w:t>
      </w:r>
      <w:r w:rsidR="00CB1ECD">
        <w:t xml:space="preserve"> that they are substantially similar</w:t>
      </w:r>
      <w:r w:rsidR="00E63D79">
        <w:t xml:space="preserve">.  </w:t>
      </w:r>
    </w:p>
    <w:p w:rsidR="00331253" w:rsidRDefault="00E63D79" w:rsidP="009626D2">
      <w:pPr>
        <w:spacing w:line="480" w:lineRule="auto"/>
        <w:ind w:firstLine="720"/>
        <w:contextualSpacing/>
      </w:pPr>
      <w:r>
        <w:t xml:space="preserve">The 2012 plans show a somewhat larger basin that is slightly further from the bordering vegetated wetland as compared to the 2008 plans.  </w:t>
      </w:r>
      <w:r w:rsidR="00CB1ECD">
        <w:t xml:space="preserve">The section on </w:t>
      </w:r>
      <w:proofErr w:type="spellStart"/>
      <w:r w:rsidR="00CB1ECD">
        <w:t>Stormwater</w:t>
      </w:r>
      <w:proofErr w:type="spellEnd"/>
      <w:r w:rsidR="00CB1ECD">
        <w:t xml:space="preserve"> </w:t>
      </w:r>
      <w:r w:rsidR="00A82E7B">
        <w:t>S</w:t>
      </w:r>
      <w:r w:rsidR="00CB1ECD">
        <w:t xml:space="preserve">tandard 3 related to recharge </w:t>
      </w:r>
      <w:r>
        <w:t xml:space="preserve">in the text </w:t>
      </w:r>
      <w:r w:rsidR="00CB1ECD">
        <w:t>is identical with the exception of the sentence on the volume of infiltration exceeding the required recharge volume, i.e., the replacement of the 2008 figures (2,900 cubic fe</w:t>
      </w:r>
      <w:r w:rsidR="00A82E7B">
        <w:t>e</w:t>
      </w:r>
      <w:r w:rsidR="00CB1ECD">
        <w:t>t provided versus 555 cubic feet required) with the 2012 figures (5,576 cubic feet provided versus 694</w:t>
      </w:r>
      <w:r w:rsidR="00A82E7B">
        <w:t xml:space="preserve"> </w:t>
      </w:r>
      <w:r w:rsidR="00CB1ECD">
        <w:t xml:space="preserve">cubic feet required).  2008 </w:t>
      </w:r>
      <w:proofErr w:type="spellStart"/>
      <w:r w:rsidR="00CB1ECD">
        <w:t>Stormwater</w:t>
      </w:r>
      <w:proofErr w:type="spellEnd"/>
      <w:r w:rsidR="00CB1ECD">
        <w:t xml:space="preserve"> Report, 2012 </w:t>
      </w:r>
      <w:proofErr w:type="spellStart"/>
      <w:r w:rsidR="00CB1ECD">
        <w:t>Stormwater</w:t>
      </w:r>
      <w:proofErr w:type="spellEnd"/>
      <w:r w:rsidR="00CB1ECD">
        <w:t xml:space="preserve"> Report at HB0037548.  </w:t>
      </w:r>
      <w:r>
        <w:t>Both reports clearly state that “[d]</w:t>
      </w:r>
      <w:proofErr w:type="spellStart"/>
      <w:r>
        <w:t>ue</w:t>
      </w:r>
      <w:proofErr w:type="spellEnd"/>
      <w:r>
        <w:t xml:space="preserve"> to the elevation issues and the expense of pumping </w:t>
      </w:r>
      <w:proofErr w:type="spellStart"/>
      <w:r>
        <w:t>stormwater</w:t>
      </w:r>
      <w:proofErr w:type="spellEnd"/>
      <w:r>
        <w:t xml:space="preserve">, it is not practical to direct a minimum of 65% of the impervious surfaces to this location as required by Standard 3.”  </w:t>
      </w:r>
      <w:r w:rsidRPr="00E63D79">
        <w:rPr>
          <w:u w:val="single"/>
        </w:rPr>
        <w:t>Id</w:t>
      </w:r>
      <w:r>
        <w:t xml:space="preserve">.  </w:t>
      </w:r>
      <w:r w:rsidR="00CB1ECD">
        <w:t xml:space="preserve"> </w:t>
      </w:r>
      <w:r w:rsidR="003308CC">
        <w:t>Thus, there is no dispute that the project provide</w:t>
      </w:r>
      <w:r w:rsidR="00F2044C">
        <w:t>d</w:t>
      </w:r>
      <w:r w:rsidR="003308CC">
        <w:t xml:space="preserve"> the required recharge volume but d</w:t>
      </w:r>
      <w:r w:rsidR="00F2044C">
        <w:t>id</w:t>
      </w:r>
      <w:r w:rsidR="003308CC">
        <w:t xml:space="preserve"> not direct 65% of the impervious surfaces to the infiltration basin</w:t>
      </w:r>
      <w:r w:rsidR="00F2044C">
        <w:t xml:space="preserve"> as proposed in both 2008 and 2012.  </w:t>
      </w:r>
    </w:p>
    <w:p w:rsidR="00D51A37" w:rsidRDefault="003E0391" w:rsidP="00331253">
      <w:pPr>
        <w:spacing w:line="480" w:lineRule="auto"/>
        <w:contextualSpacing/>
      </w:pPr>
      <w:r>
        <w:lastRenderedPageBreak/>
        <w:tab/>
      </w:r>
      <w:r w:rsidR="00D57FC5">
        <w:t>Indeed, the lack of any significant change is one reason the revisions to the project qualified for an amendment.</w:t>
      </w:r>
      <w:r w:rsidR="0060062C">
        <w:t xml:space="preserve">  </w:t>
      </w:r>
      <w:r w:rsidR="00D57FC5">
        <w:t xml:space="preserve">The review by the Department of the </w:t>
      </w:r>
      <w:r w:rsidR="00F436FD">
        <w:t>R</w:t>
      </w:r>
      <w:r w:rsidR="00D57FC5">
        <w:t xml:space="preserve">equest for </w:t>
      </w:r>
      <w:r w:rsidR="00F436FD">
        <w:t>A</w:t>
      </w:r>
      <w:r w:rsidR="00D57FC5">
        <w:t>mendment was limited to the proposed revisions, and did not extend to the entirety of the project proposed in 2008.  Similarly, the issues in an appeal of an amended order are limited to the changes, and d</w:t>
      </w:r>
      <w:r w:rsidR="0060062C">
        <w:t>o</w:t>
      </w:r>
      <w:r w:rsidR="00D57FC5">
        <w:t xml:space="preserve"> not extend to the entire project.  The Order of Conditions issued by the Lexington Conservation Commission in 2008 approved the </w:t>
      </w:r>
      <w:proofErr w:type="spellStart"/>
      <w:r w:rsidR="00D57FC5">
        <w:t>stormwater</w:t>
      </w:r>
      <w:proofErr w:type="spellEnd"/>
      <w:r w:rsidR="00D57FC5">
        <w:t xml:space="preserve"> management system, which would necessarily include a finding that it complies with </w:t>
      </w:r>
      <w:proofErr w:type="spellStart"/>
      <w:r w:rsidR="00D57FC5">
        <w:t>Stormwater</w:t>
      </w:r>
      <w:proofErr w:type="spellEnd"/>
      <w:r w:rsidR="00D57FC5">
        <w:t xml:space="preserve"> Water Management Standard 3 to the maximum extent practicable. </w:t>
      </w:r>
      <w:r w:rsidR="00D51A37">
        <w:t xml:space="preserve">The Department had the opportunity to intervene if it did not concur that the project met the </w:t>
      </w:r>
      <w:proofErr w:type="spellStart"/>
      <w:r w:rsidR="00D51A37">
        <w:t>st</w:t>
      </w:r>
      <w:r w:rsidR="009626D2">
        <w:t>orm</w:t>
      </w:r>
      <w:r w:rsidR="00D51A37">
        <w:t>water</w:t>
      </w:r>
      <w:proofErr w:type="spellEnd"/>
      <w:r w:rsidR="00D51A37">
        <w:t xml:space="preserve"> requirements and did not</w:t>
      </w:r>
      <w:r w:rsidR="009626D2">
        <w:t xml:space="preserve"> intervene</w:t>
      </w:r>
      <w:r w:rsidR="00D51A37">
        <w:t xml:space="preserve">. </w:t>
      </w:r>
      <w:r w:rsidR="009626D2" w:rsidRPr="009626D2">
        <w:rPr>
          <w:u w:val="single"/>
        </w:rPr>
        <w:t>See</w:t>
      </w:r>
      <w:r w:rsidR="009626D2">
        <w:t xml:space="preserve"> </w:t>
      </w:r>
      <w:r w:rsidR="00D51A37">
        <w:t>310 CMR 10.05(7</w:t>
      </w:r>
      <w:proofErr w:type="gramStart"/>
      <w:r w:rsidR="00D51A37">
        <w:t>)(</w:t>
      </w:r>
      <w:proofErr w:type="gramEnd"/>
      <w:r w:rsidR="00D51A37">
        <w:t>a)</w:t>
      </w:r>
      <w:r w:rsidR="009626D2">
        <w:t xml:space="preserve">.  </w:t>
      </w:r>
      <w:r w:rsidR="002E4777">
        <w:t xml:space="preserve">The Department </w:t>
      </w:r>
      <w:r w:rsidR="00D51A37">
        <w:t>sta</w:t>
      </w:r>
      <w:r w:rsidR="002E4777">
        <w:t xml:space="preserve">ted in the cover letter to the Amended </w:t>
      </w:r>
      <w:r w:rsidR="0060062C">
        <w:t>Superseding</w:t>
      </w:r>
      <w:r w:rsidR="002E4777">
        <w:t xml:space="preserve"> Order of Conditions that the </w:t>
      </w:r>
      <w:proofErr w:type="spellStart"/>
      <w:r w:rsidR="002E4777">
        <w:t>stormwater</w:t>
      </w:r>
      <w:proofErr w:type="spellEnd"/>
      <w:r w:rsidR="002E4777">
        <w:t xml:space="preserve"> management system is unchanged from 2008 to 2012.  </w:t>
      </w:r>
      <w:r w:rsidR="00D51A37">
        <w:t>95 Hayden</w:t>
      </w:r>
      <w:r w:rsidR="002E4777">
        <w:t xml:space="preserve"> provided a revised </w:t>
      </w:r>
      <w:proofErr w:type="spellStart"/>
      <w:r w:rsidR="002E4777">
        <w:t>stormwater</w:t>
      </w:r>
      <w:proofErr w:type="spellEnd"/>
      <w:r w:rsidR="002E4777">
        <w:t xml:space="preserve"> management report with its </w:t>
      </w:r>
      <w:r w:rsidR="00F436FD">
        <w:t>R</w:t>
      </w:r>
      <w:r w:rsidR="002E4777">
        <w:t xml:space="preserve">equest for </w:t>
      </w:r>
      <w:r w:rsidR="00F436FD">
        <w:t>Am</w:t>
      </w:r>
      <w:r w:rsidR="002E4777">
        <w:t xml:space="preserve">endment to document the revisions to support its request.  The Lexington Conservation Commission and the Department respectively reviewed the submittals and each concluded that an amendment was appropriate.  </w:t>
      </w:r>
    </w:p>
    <w:p w:rsidR="005C7AB8" w:rsidRDefault="002E4777" w:rsidP="00D51A37">
      <w:pPr>
        <w:spacing w:line="480" w:lineRule="auto"/>
        <w:ind w:firstLine="720"/>
        <w:contextualSpacing/>
      </w:pPr>
      <w:r>
        <w:t xml:space="preserve">Either the Lexington Conservation Commission or the Department could have found, based on a review of the 2012 </w:t>
      </w:r>
      <w:proofErr w:type="spellStart"/>
      <w:r>
        <w:t>Stormwater</w:t>
      </w:r>
      <w:proofErr w:type="spellEnd"/>
      <w:r>
        <w:t xml:space="preserve"> </w:t>
      </w:r>
      <w:proofErr w:type="gramStart"/>
      <w:r>
        <w:t xml:space="preserve">Report, </w:t>
      </w:r>
      <w:r w:rsidR="00D51A37">
        <w:t>that</w:t>
      </w:r>
      <w:proofErr w:type="gramEnd"/>
      <w:r w:rsidR="00D51A37">
        <w:t xml:space="preserve"> 95 Hayden</w:t>
      </w:r>
      <w:r>
        <w:t xml:space="preserve"> should have considered other alternatives and denied the </w:t>
      </w:r>
      <w:r w:rsidR="00F436FD">
        <w:t>R</w:t>
      </w:r>
      <w:r>
        <w:t xml:space="preserve">equest for </w:t>
      </w:r>
      <w:r w:rsidR="00F436FD">
        <w:t>A</w:t>
      </w:r>
      <w:r>
        <w:t xml:space="preserve">mendment, precluding this appeal.  </w:t>
      </w:r>
      <w:r w:rsidR="00A35FEB">
        <w:t xml:space="preserve">The Department’s witness testified that it was appropriate to review </w:t>
      </w:r>
      <w:r w:rsidR="00D51A37">
        <w:t xml:space="preserve">the entire </w:t>
      </w:r>
      <w:r w:rsidR="00A35FEB">
        <w:t xml:space="preserve">revised </w:t>
      </w:r>
      <w:proofErr w:type="spellStart"/>
      <w:r w:rsidR="00A35FEB">
        <w:t>Stormwater</w:t>
      </w:r>
      <w:proofErr w:type="spellEnd"/>
      <w:r w:rsidR="00A35FEB">
        <w:t xml:space="preserve"> </w:t>
      </w:r>
      <w:r w:rsidR="00D51A37">
        <w:t>M</w:t>
      </w:r>
      <w:r w:rsidR="00A35FEB">
        <w:t xml:space="preserve">anagement </w:t>
      </w:r>
      <w:r w:rsidR="00D51A37">
        <w:t>R</w:t>
      </w:r>
      <w:r w:rsidR="00A35FEB">
        <w:t xml:space="preserve">eport in the context of an amendment.  However, the project had already been approved and </w:t>
      </w:r>
      <w:r w:rsidR="00D51A37">
        <w:t>95 Hayden</w:t>
      </w:r>
      <w:r w:rsidR="00A35FEB">
        <w:t xml:space="preserve"> had a permit to construct the </w:t>
      </w:r>
      <w:proofErr w:type="spellStart"/>
      <w:r w:rsidR="00A35FEB">
        <w:t>stormwater</w:t>
      </w:r>
      <w:proofErr w:type="spellEnd"/>
      <w:r w:rsidR="00A35FEB">
        <w:t xml:space="preserve"> system with an infiltration basin that captured less than 65% of the impervious surface and the detention basin at the southwest corner of the building.  </w:t>
      </w:r>
      <w:r w:rsidR="0055389A">
        <w:t xml:space="preserve">Because the project had been approved and the approval continues to be valid, the </w:t>
      </w:r>
      <w:r w:rsidR="0055389A">
        <w:lastRenderedPageBreak/>
        <w:t xml:space="preserve">question as to </w:t>
      </w:r>
      <w:proofErr w:type="spellStart"/>
      <w:r w:rsidR="0055389A">
        <w:t>stormwater</w:t>
      </w:r>
      <w:proofErr w:type="spellEnd"/>
      <w:r w:rsidR="0055389A">
        <w:t xml:space="preserve"> management is whether the revisions proposed in 2012 constitute changes that would nullify the 2008 approval and support a finding that the system does not now comply with Standard 3.   </w:t>
      </w:r>
    </w:p>
    <w:p w:rsidR="00505E4E" w:rsidRDefault="005C7AB8" w:rsidP="00331253">
      <w:pPr>
        <w:spacing w:line="480" w:lineRule="auto"/>
        <w:contextualSpacing/>
      </w:pPr>
      <w:r>
        <w:tab/>
      </w:r>
      <w:r w:rsidR="00D51A37">
        <w:t xml:space="preserve">One </w:t>
      </w:r>
      <w:proofErr w:type="spellStart"/>
      <w:r w:rsidR="00D51A37">
        <w:t>Ledgemont</w:t>
      </w:r>
      <w:proofErr w:type="spellEnd"/>
      <w:r>
        <w:t xml:space="preserve">, however, did not provide any support for a conclusion that the alleged failure to comply with Standard 3 was due to the revisions in the project.  The testimony offered was intended to support a theory that the system did not meet the standard to the maximum extent practicable, specifically that the project proponent failed to evaluate pervious pavement, an alternate location for infiltration, or </w:t>
      </w:r>
      <w:r w:rsidR="00F436FD">
        <w:t xml:space="preserve">a </w:t>
      </w:r>
      <w:r w:rsidR="009626D2">
        <w:t>reduction in scale</w:t>
      </w:r>
      <w:r>
        <w:t xml:space="preserve">.  These alternatives were available in 2008.  </w:t>
      </w:r>
      <w:r w:rsidR="009626D2">
        <w:t>I</w:t>
      </w:r>
      <w:r>
        <w:t xml:space="preserve">mportantly, in 2008, </w:t>
      </w:r>
      <w:r w:rsidR="00D51A37">
        <w:t xml:space="preserve">One </w:t>
      </w:r>
      <w:proofErr w:type="spellStart"/>
      <w:r w:rsidR="00D51A37">
        <w:t>Ledgemont</w:t>
      </w:r>
      <w:proofErr w:type="spellEnd"/>
      <w:r>
        <w:t xml:space="preserve"> was also an applicant</w:t>
      </w:r>
      <w:r w:rsidR="00505E4E">
        <w:t xml:space="preserve"> for the</w:t>
      </w:r>
      <w:r>
        <w:t xml:space="preserve"> Notice of Intent </w:t>
      </w:r>
      <w:r w:rsidR="00505E4E">
        <w:t xml:space="preserve">of which the </w:t>
      </w:r>
      <w:proofErr w:type="spellStart"/>
      <w:r w:rsidR="00D51A37">
        <w:t>S</w:t>
      </w:r>
      <w:r w:rsidR="00505E4E">
        <w:t>tormwater</w:t>
      </w:r>
      <w:proofErr w:type="spellEnd"/>
      <w:r w:rsidR="00505E4E">
        <w:t xml:space="preserve"> </w:t>
      </w:r>
      <w:r w:rsidR="00D51A37">
        <w:t>R</w:t>
      </w:r>
      <w:r w:rsidR="00505E4E">
        <w:t xml:space="preserve">eport was a part.  Applicants are required to sign a notice of intent, certifying under penalty of perjury that the information submitted is true and complete to the best of their knowledge.  The submission of the 2008 Notice of Intent constitutes an affirmation by </w:t>
      </w:r>
      <w:r w:rsidR="00D51A37">
        <w:t xml:space="preserve">One </w:t>
      </w:r>
      <w:proofErr w:type="spellStart"/>
      <w:r w:rsidR="00D51A37">
        <w:t>Ledgemont</w:t>
      </w:r>
      <w:proofErr w:type="spellEnd"/>
      <w:r w:rsidR="00505E4E">
        <w:t xml:space="preserve"> that the project met Standard 3, together with other applicable regulatory requirements, a position that cannot be reconciled </w:t>
      </w:r>
      <w:r w:rsidR="00250249">
        <w:t xml:space="preserve">One </w:t>
      </w:r>
      <w:proofErr w:type="spellStart"/>
      <w:r w:rsidR="00250249">
        <w:t>Ledgemont’s</w:t>
      </w:r>
      <w:proofErr w:type="spellEnd"/>
      <w:r w:rsidR="00250249">
        <w:t xml:space="preserve"> </w:t>
      </w:r>
      <w:r w:rsidR="00505E4E">
        <w:t xml:space="preserve">current position </w:t>
      </w:r>
      <w:r w:rsidR="00F436FD">
        <w:t>as</w:t>
      </w:r>
      <w:r w:rsidR="00505E4E">
        <w:t xml:space="preserve"> the Petitioner.  </w:t>
      </w:r>
    </w:p>
    <w:p w:rsidR="00A63F04" w:rsidRDefault="00A63F04" w:rsidP="008B2574">
      <w:pPr>
        <w:spacing w:line="480" w:lineRule="auto"/>
        <w:ind w:firstLine="720"/>
      </w:pPr>
      <w:r>
        <w:t>A</w:t>
      </w:r>
      <w:r w:rsidR="009626D2">
        <w:t>t the hearing</w:t>
      </w:r>
      <w:r w:rsidR="00F436FD">
        <w:t>,</w:t>
      </w:r>
      <w:r w:rsidR="009626D2">
        <w:t xml:space="preserve"> </w:t>
      </w:r>
      <w:r w:rsidR="00D51A37">
        <w:t xml:space="preserve">One </w:t>
      </w:r>
      <w:proofErr w:type="spellStart"/>
      <w:r w:rsidR="00D51A37">
        <w:t>Ledgemont</w:t>
      </w:r>
      <w:r>
        <w:t>’s</w:t>
      </w:r>
      <w:proofErr w:type="spellEnd"/>
      <w:r>
        <w:t xml:space="preserve"> counsel drew the attention of Mr. </w:t>
      </w:r>
      <w:proofErr w:type="spellStart"/>
      <w:r>
        <w:t>Rinaldi</w:t>
      </w:r>
      <w:proofErr w:type="spellEnd"/>
      <w:r>
        <w:t xml:space="preserve"> to a project at Winchester Hospital noted on Mr. Jones’ resume that apparently involved the pumping of </w:t>
      </w:r>
      <w:proofErr w:type="spellStart"/>
      <w:r>
        <w:t>stormwater</w:t>
      </w:r>
      <w:proofErr w:type="spellEnd"/>
      <w:r w:rsidR="00BE4CCE">
        <w:t>.</w:t>
      </w:r>
      <w:r>
        <w:t xml:space="preserve"> </w:t>
      </w:r>
      <w:r w:rsidR="00F436FD">
        <w:t xml:space="preserve"> But Mr. Jones </w:t>
      </w:r>
      <w:r w:rsidR="009626D2">
        <w:t xml:space="preserve">as the expert witness </w:t>
      </w:r>
      <w:r>
        <w:t xml:space="preserve">did not provide any testimony about the </w:t>
      </w:r>
      <w:proofErr w:type="spellStart"/>
      <w:r w:rsidR="009626D2">
        <w:t>stormwater</w:t>
      </w:r>
      <w:proofErr w:type="spellEnd"/>
      <w:r w:rsidR="009626D2">
        <w:t xml:space="preserve"> pumping </w:t>
      </w:r>
      <w:r>
        <w:t xml:space="preserve">project that would support a conclusion that pumping </w:t>
      </w:r>
      <w:proofErr w:type="gramStart"/>
      <w:r>
        <w:t>was a</w:t>
      </w:r>
      <w:proofErr w:type="gramEnd"/>
      <w:r>
        <w:t xml:space="preserve"> practicable alternative for this site, nor did he provide any testimony about the project at all.  </w:t>
      </w:r>
      <w:r w:rsidR="008B2574">
        <w:t xml:space="preserve">For purposes of resolving whether the pumping of </w:t>
      </w:r>
      <w:proofErr w:type="spellStart"/>
      <w:r w:rsidR="008B2574">
        <w:t>st</w:t>
      </w:r>
      <w:r w:rsidR="00F436FD">
        <w:t>orm</w:t>
      </w:r>
      <w:r w:rsidR="008B2574">
        <w:t>water</w:t>
      </w:r>
      <w:proofErr w:type="spellEnd"/>
      <w:r w:rsidR="008B2574">
        <w:t xml:space="preserve"> should have been considered, I return to the language of maximum extent practicable: “</w:t>
      </w:r>
      <w:r w:rsidR="008B2574" w:rsidRPr="000165DA">
        <w:t>reasonable efforts</w:t>
      </w:r>
      <w:r w:rsidR="008B2574">
        <w:t>”</w:t>
      </w:r>
      <w:r w:rsidR="008B2574" w:rsidRPr="000165DA">
        <w:t xml:space="preserve"> to meet the Standard</w:t>
      </w:r>
      <w:r w:rsidR="008B2574">
        <w:t xml:space="preserve"> and</w:t>
      </w:r>
      <w:r w:rsidR="008B2574" w:rsidRPr="000165DA">
        <w:t xml:space="preserve"> </w:t>
      </w:r>
      <w:r w:rsidR="008B2574">
        <w:t>“</w:t>
      </w:r>
      <w:r w:rsidR="008B2574" w:rsidRPr="000165DA">
        <w:t xml:space="preserve">a complete evaluation of all possible applicable infiltration measures, including environmentally </w:t>
      </w:r>
      <w:r w:rsidR="008B2574" w:rsidRPr="000165DA">
        <w:lastRenderedPageBreak/>
        <w:t xml:space="preserve">sensitive site design that minimizes land disturbance and impervious surfaces, low impact development techniques, and structural </w:t>
      </w:r>
      <w:proofErr w:type="spellStart"/>
      <w:r w:rsidR="008B2574" w:rsidRPr="000165DA">
        <w:t>stormwater</w:t>
      </w:r>
      <w:proofErr w:type="spellEnd"/>
      <w:r w:rsidR="008B2574" w:rsidRPr="000165DA">
        <w:t xml:space="preserve"> best management practices</w:t>
      </w:r>
      <w:r w:rsidR="00250249">
        <w:t>.</w:t>
      </w:r>
      <w:r w:rsidR="008B2574">
        <w:t>”</w:t>
      </w:r>
      <w:r w:rsidR="00D51A37">
        <w:t xml:space="preserve"> </w:t>
      </w:r>
      <w:proofErr w:type="gramStart"/>
      <w:r w:rsidR="00DB246D">
        <w:t>Handbook, Vol.</w:t>
      </w:r>
      <w:proofErr w:type="gramEnd"/>
      <w:r w:rsidR="00DB246D">
        <w:t xml:space="preserve"> I, Chapter 1, p. 7. </w:t>
      </w:r>
      <w:r w:rsidR="00DB246D" w:rsidRPr="000165DA">
        <w:t xml:space="preserve"> </w:t>
      </w:r>
      <w:r w:rsidR="008B2574">
        <w:t>Notably,</w:t>
      </w:r>
      <w:r w:rsidR="00D51A37">
        <w:t xml:space="preserve"> </w:t>
      </w:r>
      <w:r w:rsidR="008B2574">
        <w:t xml:space="preserve">pumping </w:t>
      </w:r>
      <w:proofErr w:type="spellStart"/>
      <w:r w:rsidR="008B2574">
        <w:t>stormwater</w:t>
      </w:r>
      <w:proofErr w:type="spellEnd"/>
      <w:r w:rsidR="008B2574">
        <w:t xml:space="preserve"> is not mentioned in the Department’s </w:t>
      </w:r>
      <w:proofErr w:type="spellStart"/>
      <w:r w:rsidR="008B2574">
        <w:t>Stormwater</w:t>
      </w:r>
      <w:proofErr w:type="spellEnd"/>
      <w:r w:rsidR="008B2574">
        <w:t xml:space="preserve"> Handbook, a three volume compendium with an entire volume dedicated to best management practices.  If the Department expected applicants to evaluate the pumping of </w:t>
      </w:r>
      <w:proofErr w:type="spellStart"/>
      <w:r w:rsidR="008B2574">
        <w:t>stormwater</w:t>
      </w:r>
      <w:proofErr w:type="spellEnd"/>
      <w:r w:rsidR="008B2574">
        <w:t xml:space="preserve"> under all or certain circumstances, it appears likely that it would have been included in the Handbook.</w:t>
      </w:r>
      <w:r w:rsidR="00250249">
        <w:t xml:space="preserve">  </w:t>
      </w:r>
      <w:r w:rsidR="008B2574">
        <w:t xml:space="preserve">There is no evidence that the project at the Winchester Hospital was reviewed by the Department, nor is there any evidence that the Department </w:t>
      </w:r>
      <w:r w:rsidR="000036DC">
        <w:t xml:space="preserve">has ever required the pumping of </w:t>
      </w:r>
      <w:proofErr w:type="spellStart"/>
      <w:r w:rsidR="000036DC">
        <w:t>stormwater</w:t>
      </w:r>
      <w:proofErr w:type="spellEnd"/>
      <w:r w:rsidR="000036DC">
        <w:t xml:space="preserve">.  Even if pumping of </w:t>
      </w:r>
      <w:proofErr w:type="spellStart"/>
      <w:r w:rsidR="000036DC">
        <w:t>stormwater</w:t>
      </w:r>
      <w:proofErr w:type="spellEnd"/>
      <w:r w:rsidR="008B2574">
        <w:t xml:space="preserve"> </w:t>
      </w:r>
      <w:r w:rsidR="000036DC">
        <w:t xml:space="preserve">were to be considered the highest practicable method for infiltration, which </w:t>
      </w:r>
      <w:r w:rsidR="009626D2">
        <w:t>s</w:t>
      </w:r>
      <w:r w:rsidR="000036DC">
        <w:t xml:space="preserve">eems unlikely given that it is not covered in the Handbook, </w:t>
      </w:r>
      <w:r w:rsidR="00D51A37">
        <w:t xml:space="preserve">One </w:t>
      </w:r>
      <w:proofErr w:type="spellStart"/>
      <w:r w:rsidR="00D51A37">
        <w:t>Ledgemont</w:t>
      </w:r>
      <w:proofErr w:type="spellEnd"/>
      <w:r w:rsidR="000036DC">
        <w:t xml:space="preserve"> has offered no testimony as to the extent to which the recharge does not approximate pre-development conditions.  Although the parties agree that the project design </w:t>
      </w:r>
      <w:r w:rsidR="00D51A37">
        <w:t xml:space="preserve">directs less than </w:t>
      </w:r>
      <w:r w:rsidR="000036DC">
        <w:t xml:space="preserve">65% of the impervious surfaces to the infiltration basin, </w:t>
      </w:r>
      <w:r w:rsidR="00D51A37">
        <w:t xml:space="preserve">One </w:t>
      </w:r>
      <w:proofErr w:type="spellStart"/>
      <w:r w:rsidR="00D51A37">
        <w:t>Ledgemont</w:t>
      </w:r>
      <w:proofErr w:type="spellEnd"/>
      <w:r w:rsidR="00D51A37">
        <w:t xml:space="preserve"> </w:t>
      </w:r>
      <w:r w:rsidR="000036DC">
        <w:t>did not demonstrate how much below the 65% figure th</w:t>
      </w:r>
      <w:r w:rsidR="00F436FD">
        <w:t>e</w:t>
      </w:r>
      <w:r w:rsidR="000036DC">
        <w:t xml:space="preserve"> system as proposed actually is, taking into account the Class D soils and </w:t>
      </w:r>
      <w:r w:rsidR="00C73DB9">
        <w:t xml:space="preserve">the large size of the infiltration basin. </w:t>
      </w:r>
      <w:r w:rsidR="00147B9E">
        <w:t>Thus, the evidence does not support a conclusion that pumping should be required for this project.</w:t>
      </w:r>
    </w:p>
    <w:p w:rsidR="00EE433B" w:rsidRDefault="00147B9E" w:rsidP="008B2574">
      <w:pPr>
        <w:spacing w:line="480" w:lineRule="auto"/>
        <w:ind w:firstLine="720"/>
      </w:pPr>
      <w:r>
        <w:t xml:space="preserve">A second alternative promoted by </w:t>
      </w:r>
      <w:r w:rsidR="00D51A37">
        <w:t xml:space="preserve">One </w:t>
      </w:r>
      <w:proofErr w:type="spellStart"/>
      <w:r w:rsidR="00D51A37">
        <w:t>Ledgemont</w:t>
      </w:r>
      <w:proofErr w:type="spellEnd"/>
      <w:r w:rsidR="00D51A37">
        <w:t xml:space="preserve"> </w:t>
      </w:r>
      <w:r>
        <w:t>is the use of p</w:t>
      </w:r>
      <w:r w:rsidR="007759BB">
        <w:t>orous</w:t>
      </w:r>
      <w:r>
        <w:t xml:space="preserve"> pavement</w:t>
      </w:r>
      <w:r w:rsidR="007759BB">
        <w:t>, also called pervious or permeable pavement</w:t>
      </w:r>
      <w:r w:rsidR="00B00201">
        <w:t xml:space="preserve">.  Although the testimony did not address </w:t>
      </w:r>
      <w:r w:rsidR="007F6067">
        <w:t xml:space="preserve">why porous pavement should not be used throughout the site, the </w:t>
      </w:r>
      <w:proofErr w:type="spellStart"/>
      <w:r w:rsidR="007F6067">
        <w:t>Stormwater</w:t>
      </w:r>
      <w:proofErr w:type="spellEnd"/>
      <w:r w:rsidR="007F6067">
        <w:t xml:space="preserve"> Management Standards and Handbook contain applicable requirements.  The 2008 and 2012 </w:t>
      </w:r>
      <w:proofErr w:type="spellStart"/>
      <w:r w:rsidR="007F6067">
        <w:t>Stormwater</w:t>
      </w:r>
      <w:proofErr w:type="spellEnd"/>
      <w:r w:rsidR="007F6067">
        <w:t xml:space="preserve"> Reports state that the project includes a parking area with more than 1,000 total vehicle trips per day, and therefore is treated as a “land use with higher potential pollutant loads.”  2012 Report, HB0037548.  Higher pollutant loads are addressed in Standard 5, which was not an issue for adjudication, but </w:t>
      </w:r>
      <w:r w:rsidR="007F6067">
        <w:lastRenderedPageBreak/>
        <w:t xml:space="preserve">are also a limiting factor </w:t>
      </w:r>
      <w:r w:rsidR="00D51A37">
        <w:t xml:space="preserve">for the recharge standard </w:t>
      </w:r>
      <w:r w:rsidR="007F6067">
        <w:t>as to the suitability of some structural best management practices described in the Handbook.</w:t>
      </w:r>
      <w:r w:rsidR="00250249">
        <w:t xml:space="preserve"> </w:t>
      </w:r>
      <w:r w:rsidR="007F6067">
        <w:t xml:space="preserve"> </w:t>
      </w:r>
      <w:r w:rsidR="00EE433B" w:rsidRPr="00EE433B">
        <w:rPr>
          <w:u w:val="single"/>
        </w:rPr>
        <w:t>See</w:t>
      </w:r>
      <w:r w:rsidR="00EE433B">
        <w:t xml:space="preserve"> Handbook Vol. 1, Chapter 1</w:t>
      </w:r>
      <w:proofErr w:type="gramStart"/>
      <w:r w:rsidR="00EE433B">
        <w:t>,  p.2</w:t>
      </w:r>
      <w:proofErr w:type="gramEnd"/>
      <w:r w:rsidR="00EE433B">
        <w:t xml:space="preserve">.  </w:t>
      </w:r>
      <w:r w:rsidR="007F6067">
        <w:t xml:space="preserve"> Porous pavement is specifically identified as unsuitable for projects with higher pollutant loads because </w:t>
      </w:r>
      <w:r w:rsidR="00F436FD">
        <w:t xml:space="preserve">the </w:t>
      </w:r>
      <w:proofErr w:type="spellStart"/>
      <w:r w:rsidR="007F6067">
        <w:t>st</w:t>
      </w:r>
      <w:r w:rsidR="00EE433B">
        <w:t>orm</w:t>
      </w:r>
      <w:r w:rsidR="007F6067">
        <w:t>water</w:t>
      </w:r>
      <w:proofErr w:type="spellEnd"/>
      <w:r w:rsidR="007F6067">
        <w:t xml:space="preserve"> cannot be pretreated prior to infiltration.</w:t>
      </w:r>
      <w:r w:rsidR="00250249">
        <w:t xml:space="preserve"> </w:t>
      </w:r>
      <w:r w:rsidR="007F6067">
        <w:t xml:space="preserve"> </w:t>
      </w:r>
      <w:proofErr w:type="gramStart"/>
      <w:r w:rsidR="00CE796E">
        <w:t>Handbook Vol. 2, Chapter 2, p. 118 and 120.</w:t>
      </w:r>
      <w:proofErr w:type="gramEnd"/>
      <w:r w:rsidR="00CE796E">
        <w:t xml:space="preserve"> </w:t>
      </w:r>
      <w:r w:rsidR="007F6067">
        <w:t xml:space="preserve"> </w:t>
      </w:r>
      <w:r w:rsidR="00D51A37">
        <w:t>95 Hayden</w:t>
      </w:r>
      <w:r w:rsidR="008E1C6A">
        <w:t xml:space="preserve"> properly did not propose porous pavement th</w:t>
      </w:r>
      <w:r w:rsidR="00996740">
        <w:t>r</w:t>
      </w:r>
      <w:r w:rsidR="008E1C6A">
        <w:t>oughout the project.</w:t>
      </w:r>
    </w:p>
    <w:p w:rsidR="00147B9E" w:rsidRDefault="00D51A37" w:rsidP="008B2574">
      <w:pPr>
        <w:spacing w:line="480" w:lineRule="auto"/>
        <w:ind w:firstLine="720"/>
      </w:pPr>
      <w:r>
        <w:t xml:space="preserve">95 Hayden </w:t>
      </w:r>
      <w:r w:rsidR="009626D2">
        <w:t xml:space="preserve">provided testimony </w:t>
      </w:r>
      <w:r w:rsidR="00147B9E">
        <w:t xml:space="preserve">that pervious pavement was </w:t>
      </w:r>
      <w:r w:rsidR="00EE433B">
        <w:t xml:space="preserve">considered and </w:t>
      </w:r>
      <w:r w:rsidR="00147B9E">
        <w:t xml:space="preserve">eliminated </w:t>
      </w:r>
      <w:r w:rsidR="00B00201">
        <w:t>for the emergency access road</w:t>
      </w:r>
      <w:r w:rsidR="008E1C6A">
        <w:t xml:space="preserve"> </w:t>
      </w:r>
      <w:r w:rsidR="00147B9E">
        <w:t xml:space="preserve">because it was </w:t>
      </w:r>
      <w:r w:rsidR="008E1C6A">
        <w:t xml:space="preserve">opposed </w:t>
      </w:r>
      <w:r w:rsidR="00147B9E">
        <w:t>by the Lexington Fire Department</w:t>
      </w:r>
      <w:r w:rsidR="009626D2">
        <w:t xml:space="preserve">.  </w:t>
      </w:r>
      <w:r w:rsidR="00996740">
        <w:t xml:space="preserve">One </w:t>
      </w:r>
      <w:proofErr w:type="spellStart"/>
      <w:r w:rsidR="00996740">
        <w:t>Ledgemont</w:t>
      </w:r>
      <w:proofErr w:type="spellEnd"/>
      <w:r w:rsidR="00147B9E">
        <w:t xml:space="preserve"> </w:t>
      </w:r>
      <w:r w:rsidR="009626D2">
        <w:t>countered that</w:t>
      </w:r>
      <w:r w:rsidR="00147B9E">
        <w:t xml:space="preserve"> there was no record of the Fire Department’s objection.  Mr. </w:t>
      </w:r>
      <w:proofErr w:type="spellStart"/>
      <w:r w:rsidR="00147B9E">
        <w:t>Rinaldi</w:t>
      </w:r>
      <w:proofErr w:type="spellEnd"/>
      <w:r w:rsidR="00147B9E">
        <w:t xml:space="preserve"> also testified that the </w:t>
      </w:r>
      <w:r w:rsidR="00B92A54">
        <w:t xml:space="preserve">Group </w:t>
      </w:r>
      <w:r w:rsidR="00147B9E">
        <w:t xml:space="preserve">D soils and ledge at the site would defeat the purpose of porous pavement, which is to allow water to pass through and infiltrate into the soil.  </w:t>
      </w:r>
      <w:r w:rsidR="003D4361">
        <w:t xml:space="preserve">While the area near the infiltration basin was potentially suitable, other areas have </w:t>
      </w:r>
      <w:r w:rsidR="00B92A54">
        <w:t>Group</w:t>
      </w:r>
      <w:r w:rsidR="003D4361">
        <w:t xml:space="preserve"> D soils and are sloping.  </w:t>
      </w:r>
      <w:r w:rsidR="00F74B3E">
        <w:t xml:space="preserve">Much of the emergency access road is within Rock-Outcrop-Hollis Complex, HSG D.  </w:t>
      </w:r>
      <w:proofErr w:type="gramStart"/>
      <w:r w:rsidR="00F436FD" w:rsidRPr="00F436FD">
        <w:rPr>
          <w:u w:val="single"/>
        </w:rPr>
        <w:t>See</w:t>
      </w:r>
      <w:r w:rsidR="00F436FD">
        <w:t xml:space="preserve"> </w:t>
      </w:r>
      <w:r w:rsidR="00F74B3E">
        <w:t>Soils and Test Pit Map (January 28, 2014</w:t>
      </w:r>
      <w:r w:rsidR="00F436FD">
        <w:t>)</w:t>
      </w:r>
      <w:r w:rsidR="00F74B3E">
        <w:t xml:space="preserve">, </w:t>
      </w:r>
      <w:proofErr w:type="spellStart"/>
      <w:r w:rsidR="00F74B3E">
        <w:t>Rinaldi</w:t>
      </w:r>
      <w:proofErr w:type="spellEnd"/>
      <w:r w:rsidR="00F74B3E">
        <w:t xml:space="preserve"> PFDT, Ex. 3.</w:t>
      </w:r>
      <w:proofErr w:type="gramEnd"/>
      <w:r w:rsidR="00F74B3E">
        <w:t xml:space="preserve"> </w:t>
      </w:r>
      <w:r w:rsidR="00886DD6">
        <w:t xml:space="preserve"> </w:t>
      </w:r>
      <w:r w:rsidR="003D4361">
        <w:t>According to the Handbook section</w:t>
      </w:r>
      <w:r w:rsidR="00886DD6">
        <w:t xml:space="preserve"> </w:t>
      </w:r>
      <w:r w:rsidR="003D4361">
        <w:t>on porous pavement, soils must have a permeability of at least 0.17 inches per hour, i.e., not D soils, and slopes cannot exceed 5%.  Handbook Vol. 2, Chapter 2, p. 119-120.  In addition, winter sanding is not allowed.</w:t>
      </w:r>
      <w:r w:rsidR="00250249">
        <w:t xml:space="preserve"> </w:t>
      </w:r>
      <w:r w:rsidR="003D4361">
        <w:t xml:space="preserve"> Handbook Vol. 2, Chapter 2, p. 119.  Finally, porous pavement should not be subject to heavy axle loads, which would presumably include fire trucks. Handbook Vol. 2, Chapter 2, p. 120.  </w:t>
      </w:r>
      <w:r w:rsidR="009F40DB">
        <w:t xml:space="preserve">Given these factors, the use of porous pavement was sufficiently considered and properly eliminated as a means of achieving further compliance with Standard 3.  </w:t>
      </w:r>
      <w:r w:rsidR="003D4361">
        <w:t xml:space="preserve"> </w:t>
      </w:r>
    </w:p>
    <w:p w:rsidR="00F2044C" w:rsidRPr="00331253" w:rsidRDefault="009F40DB" w:rsidP="00147B9E">
      <w:pPr>
        <w:spacing w:line="480" w:lineRule="auto"/>
        <w:ind w:firstLine="720"/>
        <w:contextualSpacing/>
      </w:pPr>
      <w:r>
        <w:t xml:space="preserve">Whether </w:t>
      </w:r>
      <w:r w:rsidR="00996740">
        <w:t xml:space="preserve">95 Hayden </w:t>
      </w:r>
      <w:r>
        <w:t xml:space="preserve">should have further evaluated areas of the property, particularly test pit #14, arose in the Petitioner’s rebuttal testimony in response to an exhibit to Mr. </w:t>
      </w:r>
      <w:proofErr w:type="spellStart"/>
      <w:r>
        <w:t>Rinaldi’s</w:t>
      </w:r>
      <w:proofErr w:type="spellEnd"/>
      <w:r>
        <w:t xml:space="preserve"> testimony that showed soils information, including the location of test pits.  </w:t>
      </w:r>
      <w:r w:rsidR="00A966E8">
        <w:t xml:space="preserve">Mr. </w:t>
      </w:r>
      <w:proofErr w:type="spellStart"/>
      <w:r w:rsidR="00A966E8">
        <w:t>Rinaldi</w:t>
      </w:r>
      <w:proofErr w:type="spellEnd"/>
      <w:r w:rsidR="00A966E8">
        <w:t xml:space="preserve"> testified </w:t>
      </w:r>
      <w:r w:rsidR="00A966E8">
        <w:lastRenderedPageBreak/>
        <w:t xml:space="preserve">that this area was not considered because it was wooded and the placement of an infiltration basin would require that trees be removed and the area </w:t>
      </w:r>
      <w:r w:rsidR="00B92A54">
        <w:t xml:space="preserve">would have to be </w:t>
      </w:r>
      <w:r w:rsidR="00A966E8">
        <w:t xml:space="preserve">maintained without trees.  It is obvious from the plans that </w:t>
      </w:r>
      <w:r w:rsidR="00996740">
        <w:t xml:space="preserve">95 Hayden </w:t>
      </w:r>
      <w:r w:rsidR="00A966E8">
        <w:t xml:space="preserve">chose locations for the infiltration and detention basin that were already developed: under the access road and under a parking area. </w:t>
      </w:r>
      <w:r w:rsidR="00B92A54">
        <w:t xml:space="preserve"> </w:t>
      </w:r>
      <w:r w:rsidR="00A966E8">
        <w:t xml:space="preserve">It is also obvious from the </w:t>
      </w:r>
      <w:proofErr w:type="spellStart"/>
      <w:r w:rsidR="00A966E8">
        <w:t>stormwater</w:t>
      </w:r>
      <w:proofErr w:type="spellEnd"/>
      <w:r w:rsidR="00A966E8">
        <w:t xml:space="preserve"> checklist filed in 2008 and 2012 for the project that the Department requests first the consideration of “LID” or “low impact development” measures.  On the list, and checked off by </w:t>
      </w:r>
      <w:r w:rsidR="00996740">
        <w:t>95 Hayden</w:t>
      </w:r>
      <w:r w:rsidR="00A966E8">
        <w:t xml:space="preserve">, is “Minimizing disturbance to existing trees and shrubs.”  </w:t>
      </w:r>
      <w:r w:rsidR="00B92A54">
        <w:t xml:space="preserve">2012 Report, </w:t>
      </w:r>
      <w:r w:rsidR="00A966E8">
        <w:t>HB0037738.  Similarly, maximum extent practicable for Standard 3 requires “</w:t>
      </w:r>
      <w:r w:rsidR="00147B9E" w:rsidRPr="000165DA">
        <w:t>evaluation of all possible applicable infiltration measures, including environmentally sensitive site design that minimizes land disturbance and impervious surfaces</w:t>
      </w:r>
      <w:r w:rsidR="00A966E8">
        <w:t xml:space="preserve">.”  </w:t>
      </w:r>
      <w:r w:rsidR="00B92A54">
        <w:t>Minimizing disturbance of land and removal of trees is consistent with Standard 3, and justifies the exclusion of test pit #</w:t>
      </w:r>
      <w:r w:rsidR="000B2D3F">
        <w:t>1</w:t>
      </w:r>
      <w:r w:rsidR="00B92A54">
        <w:t>4 from consideration as an alternative location for the infiltration basin.</w:t>
      </w:r>
      <w:r w:rsidR="00F2044C">
        <w:tab/>
      </w:r>
    </w:p>
    <w:p w:rsidR="00C94E4B" w:rsidRDefault="00C94E4B" w:rsidP="00C94E4B">
      <w:pPr>
        <w:tabs>
          <w:tab w:val="left" w:pos="561"/>
        </w:tabs>
        <w:spacing w:line="480" w:lineRule="auto"/>
        <w:jc w:val="both"/>
      </w:pPr>
      <w:r w:rsidRPr="00E8250B">
        <w:rPr>
          <w:b/>
          <w:u w:val="single"/>
        </w:rPr>
        <w:t>CONCLUSION</w:t>
      </w:r>
    </w:p>
    <w:p w:rsidR="00C94E4B" w:rsidRDefault="00C94E4B" w:rsidP="00C94E4B">
      <w:pPr>
        <w:tabs>
          <w:tab w:val="left" w:pos="561"/>
        </w:tabs>
        <w:spacing w:line="480" w:lineRule="auto"/>
      </w:pPr>
      <w:r>
        <w:tab/>
        <w:t xml:space="preserve">I conclude that the use of an amendment to allow the proposed revisions to the project was not an abuse of discretion by the Department.  I further conclude that the Department acted properly in reviewing the </w:t>
      </w:r>
      <w:r w:rsidR="000B2D3F">
        <w:t>R</w:t>
      </w:r>
      <w:r>
        <w:t xml:space="preserve">equest for </w:t>
      </w:r>
      <w:r w:rsidR="000B2D3F">
        <w:t>A</w:t>
      </w:r>
      <w:r>
        <w:t xml:space="preserve">mendment filed </w:t>
      </w:r>
      <w:r w:rsidR="00996740">
        <w:t xml:space="preserve">by 95 Hayden </w:t>
      </w:r>
      <w:r>
        <w:t xml:space="preserve">for work potentially affecting wetlands exclusively on its property without the signature of the abutter with which it had jointly filed the original Notice of Intent.  </w:t>
      </w:r>
      <w:r w:rsidR="00B92A54">
        <w:t xml:space="preserve">After consideration of the evidence, I find that 95 </w:t>
      </w:r>
      <w:r w:rsidR="0065403F">
        <w:t>H</w:t>
      </w:r>
      <w:r w:rsidR="00B92A54">
        <w:t xml:space="preserve">ayden’s project complies with </w:t>
      </w:r>
      <w:proofErr w:type="spellStart"/>
      <w:r w:rsidR="00B92A54">
        <w:t>Stormwater</w:t>
      </w:r>
      <w:proofErr w:type="spellEnd"/>
      <w:r w:rsidR="00B92A54">
        <w:t xml:space="preserve"> Standard 3.  I recommend that the Department’s Commissioner issue a Final Decision which sustains the Department’s Superseding </w:t>
      </w:r>
      <w:r w:rsidR="00250249">
        <w:t xml:space="preserve">Amended </w:t>
      </w:r>
      <w:r w:rsidR="00B92A54">
        <w:t xml:space="preserve">Order of Conditions for this project.  </w:t>
      </w:r>
      <w:r>
        <w:t xml:space="preserve"> </w:t>
      </w:r>
    </w:p>
    <w:p w:rsidR="00C94E4B" w:rsidRDefault="00C94E4B" w:rsidP="00C94E4B">
      <w:pPr>
        <w:tabs>
          <w:tab w:val="left" w:pos="561"/>
        </w:tabs>
        <w:contextualSpacing/>
      </w:pPr>
      <w:r>
        <w:tab/>
      </w:r>
      <w:r>
        <w:tab/>
      </w:r>
      <w:r>
        <w:tab/>
      </w:r>
      <w:r>
        <w:tab/>
      </w:r>
      <w:r>
        <w:tab/>
      </w:r>
      <w:r>
        <w:tab/>
      </w:r>
      <w:r>
        <w:tab/>
      </w:r>
      <w:r>
        <w:tab/>
        <w:t>_______________________</w:t>
      </w:r>
    </w:p>
    <w:p w:rsidR="00C94E4B" w:rsidRDefault="00C94E4B" w:rsidP="00C94E4B">
      <w:pPr>
        <w:tabs>
          <w:tab w:val="left" w:pos="561"/>
        </w:tabs>
        <w:contextualSpacing/>
      </w:pPr>
      <w:r>
        <w:tab/>
      </w:r>
      <w:r>
        <w:tab/>
      </w:r>
      <w:r>
        <w:tab/>
      </w:r>
      <w:r>
        <w:tab/>
      </w:r>
      <w:r>
        <w:tab/>
      </w:r>
      <w:r>
        <w:tab/>
      </w:r>
      <w:r>
        <w:tab/>
      </w:r>
      <w:r>
        <w:tab/>
        <w:t>Pamela D. Harvey</w:t>
      </w:r>
    </w:p>
    <w:p w:rsidR="00C94E4B" w:rsidRPr="00E8250B" w:rsidRDefault="00C94E4B" w:rsidP="00C94E4B">
      <w:pPr>
        <w:tabs>
          <w:tab w:val="left" w:pos="561"/>
        </w:tabs>
        <w:contextualSpacing/>
      </w:pPr>
      <w:r>
        <w:tab/>
      </w:r>
      <w:r>
        <w:tab/>
      </w:r>
      <w:r>
        <w:tab/>
      </w:r>
      <w:r>
        <w:tab/>
      </w:r>
      <w:r>
        <w:tab/>
      </w:r>
      <w:r>
        <w:tab/>
      </w:r>
      <w:r>
        <w:tab/>
      </w:r>
      <w:r>
        <w:tab/>
        <w:t>Presiding Officer</w:t>
      </w:r>
    </w:p>
    <w:p w:rsidR="00331253" w:rsidRDefault="00331253" w:rsidP="003C5D6A">
      <w:pPr>
        <w:spacing w:line="480" w:lineRule="auto"/>
        <w:ind w:firstLine="720"/>
        <w:contextualSpacing/>
      </w:pPr>
    </w:p>
    <w:p w:rsidR="00B92A54" w:rsidRDefault="00B92A54" w:rsidP="003C5D6A">
      <w:pPr>
        <w:spacing w:line="480" w:lineRule="auto"/>
        <w:ind w:firstLine="720"/>
        <w:contextualSpacing/>
      </w:pPr>
    </w:p>
    <w:p w:rsidR="00B92A54" w:rsidRPr="00CE2ABB" w:rsidRDefault="00B92A54" w:rsidP="00B92A54">
      <w:pPr>
        <w:pStyle w:val="Heading2"/>
        <w:jc w:val="center"/>
        <w:rPr>
          <w:rFonts w:ascii="Times New Roman" w:eastAsia="Calibri" w:hAnsi="Times New Roman" w:cs="Times New Roman"/>
          <w:color w:val="auto"/>
          <w:sz w:val="24"/>
          <w:szCs w:val="24"/>
        </w:rPr>
      </w:pPr>
      <w:r w:rsidRPr="00CE2ABB">
        <w:rPr>
          <w:rFonts w:ascii="Times New Roman" w:eastAsia="Calibri" w:hAnsi="Times New Roman" w:cs="Times New Roman"/>
          <w:color w:val="auto"/>
          <w:sz w:val="24"/>
          <w:szCs w:val="24"/>
        </w:rPr>
        <w:t>NOTICE- RECOMMENDED FINAL DECISION</w:t>
      </w:r>
    </w:p>
    <w:p w:rsidR="00B92A54" w:rsidRPr="00CE2ABB" w:rsidRDefault="00B92A54" w:rsidP="00B92A54"/>
    <w:p w:rsidR="00B92A54" w:rsidRPr="00CE2ABB" w:rsidRDefault="00B92A54" w:rsidP="00B92A54">
      <w:pPr>
        <w:spacing w:line="480" w:lineRule="auto"/>
        <w:ind w:firstLine="720"/>
        <w:contextualSpacing/>
      </w:pPr>
      <w:r w:rsidRPr="00CE2ABB">
        <w:t>This decision is a Recommended Final Decision of the Presiding Officer.  It has been transmitted to the Commissioner for his Final Decision in this matter.  This decision is therefore not a Final Decision subject to reconsideration under 310 CMR 1.01(14</w:t>
      </w:r>
      <w:proofErr w:type="gramStart"/>
      <w:r w:rsidRPr="00CE2ABB">
        <w:t>)(</w:t>
      </w:r>
      <w:proofErr w:type="gramEnd"/>
      <w:r w:rsidRPr="00CE2ABB">
        <w:t xml:space="preserve">e), and may not be </w:t>
      </w:r>
    </w:p>
    <w:p w:rsidR="00B92A54" w:rsidRPr="00CE2ABB" w:rsidRDefault="00B92A54" w:rsidP="00B92A54">
      <w:pPr>
        <w:spacing w:line="480" w:lineRule="auto"/>
        <w:contextualSpacing/>
      </w:pPr>
      <w:proofErr w:type="gramStart"/>
      <w:r w:rsidRPr="00CE2ABB">
        <w:t>appealed</w:t>
      </w:r>
      <w:proofErr w:type="gramEnd"/>
      <w:r w:rsidRPr="00CE2ABB">
        <w:t xml:space="preserve"> to Superior Court pursuant to M.G.L. c. 30A.  The Commissioner’s Final Decision is subject to rights of reconsideration and court appeal and will contain a notice to that effect.  </w:t>
      </w:r>
    </w:p>
    <w:p w:rsidR="00057721" w:rsidRPr="00DF2436" w:rsidRDefault="00B92A54" w:rsidP="00B92A54">
      <w:pPr>
        <w:spacing w:line="480" w:lineRule="auto"/>
        <w:ind w:firstLine="720"/>
        <w:contextualSpacing/>
      </w:pPr>
      <w:r w:rsidRPr="00CE2ABB">
        <w:t>Because this matter has now been transmitted to the Commissioner, no party shall file a motion to renew or reargue this Recommended Final Decision or any part of it, and no party shall communicate with the Commissioner’s office regarding this decision unless the Commissioner, in his sole discretion, directs otherwise</w:t>
      </w:r>
    </w:p>
    <w:sectPr w:rsidR="00057721" w:rsidRPr="00DF2436" w:rsidSect="00810A2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D3F" w:rsidRDefault="000B2D3F" w:rsidP="00DF2436">
      <w:r>
        <w:separator/>
      </w:r>
    </w:p>
  </w:endnote>
  <w:endnote w:type="continuationSeparator" w:id="0">
    <w:p w:rsidR="000B2D3F" w:rsidRDefault="000B2D3F" w:rsidP="00DF2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D3F" w:rsidRDefault="000B2D3F" w:rsidP="00DF2436">
      <w:r>
        <w:separator/>
      </w:r>
    </w:p>
  </w:footnote>
  <w:footnote w:type="continuationSeparator" w:id="0">
    <w:p w:rsidR="000B2D3F" w:rsidRDefault="000B2D3F" w:rsidP="00DF2436">
      <w:r>
        <w:continuationSeparator/>
      </w:r>
    </w:p>
  </w:footnote>
  <w:footnote w:id="1">
    <w:p w:rsidR="000B2D3F" w:rsidRDefault="000B2D3F">
      <w:pPr>
        <w:pStyle w:val="FootnoteText"/>
      </w:pPr>
      <w:r>
        <w:rPr>
          <w:rStyle w:val="FootnoteReference"/>
        </w:rPr>
        <w:footnoteRef/>
      </w:r>
      <w:r>
        <w:t xml:space="preserve"> One </w:t>
      </w:r>
      <w:proofErr w:type="spellStart"/>
      <w:r>
        <w:t>Ledgemont</w:t>
      </w:r>
      <w:proofErr w:type="spellEnd"/>
      <w:r>
        <w:t xml:space="preserve"> and 95 Hayden were engaged in litigation related to a zoning dispute and One </w:t>
      </w:r>
      <w:proofErr w:type="spellStart"/>
      <w:r>
        <w:t>Ledgemont</w:t>
      </w:r>
      <w:proofErr w:type="spellEnd"/>
      <w:r>
        <w:t xml:space="preserve"> also appealed to Superior Court the Lexington Conservation Commission’s decision under the Lexington wetlands bylaw.   </w:t>
      </w:r>
    </w:p>
  </w:footnote>
  <w:footnote w:id="2">
    <w:p w:rsidR="000B2D3F" w:rsidRDefault="000B2D3F" w:rsidP="006E45C9">
      <w:pPr>
        <w:pStyle w:val="FootnoteText"/>
      </w:pPr>
      <w:r>
        <w:rPr>
          <w:rStyle w:val="FootnoteReference"/>
        </w:rPr>
        <w:footnoteRef/>
      </w:r>
      <w:r>
        <w:t xml:space="preserve">  Mass. R. Civ. P. 56(c) provides in relevant part that:</w:t>
      </w:r>
    </w:p>
    <w:p w:rsidR="000B2D3F" w:rsidRDefault="000B2D3F" w:rsidP="006E45C9">
      <w:pPr>
        <w:pStyle w:val="FootnoteText"/>
      </w:pPr>
    </w:p>
    <w:p w:rsidR="000B2D3F" w:rsidRDefault="000B2D3F" w:rsidP="006E45C9">
      <w:pPr>
        <w:pStyle w:val="FootnoteText"/>
        <w:ind w:left="720"/>
      </w:pPr>
      <w:r>
        <w:t xml:space="preserve">[t]he judgment sought shall be rendered forthwith if the pleadings, depositions, answers to interrogatories, and responses to requests for admission[,] . . . together with the affidavits, if any, show that there is no genuine issue as to any material fact and that the moving party is entitled to a judgment as a matter of law. </w:t>
      </w:r>
    </w:p>
    <w:p w:rsidR="000B2D3F" w:rsidRDefault="000B2D3F" w:rsidP="006E45C9">
      <w:pPr>
        <w:pStyle w:val="FootnoteText"/>
      </w:pPr>
      <w:r>
        <w:t xml:space="preserve">  </w:t>
      </w:r>
    </w:p>
  </w:footnote>
  <w:footnote w:id="3">
    <w:p w:rsidR="000B2D3F" w:rsidRDefault="000B2D3F" w:rsidP="006E45C9">
      <w:pPr>
        <w:pStyle w:val="FootnoteText"/>
      </w:pPr>
      <w:r>
        <w:rPr>
          <w:rStyle w:val="FootnoteReference"/>
        </w:rPr>
        <w:footnoteRef/>
      </w:r>
      <w:r>
        <w:t xml:space="preserve">  </w:t>
      </w:r>
      <w:smartTag w:uri="urn:schemas-microsoft-com:office:smarttags" w:element="place">
        <w:smartTag w:uri="urn:schemas-microsoft-com:office:smarttags" w:element="State">
          <w:r>
            <w:t>Mass.</w:t>
          </w:r>
        </w:smartTag>
      </w:smartTag>
      <w:r>
        <w:t xml:space="preserve"> R. Civ. P. 56(e) provides in relevant part that:</w:t>
      </w:r>
    </w:p>
    <w:p w:rsidR="000B2D3F" w:rsidRDefault="000B2D3F" w:rsidP="006E45C9">
      <w:pPr>
        <w:pStyle w:val="FootnoteText"/>
      </w:pPr>
    </w:p>
    <w:p w:rsidR="000B2D3F" w:rsidRDefault="000B2D3F" w:rsidP="006E45C9">
      <w:pPr>
        <w:pStyle w:val="FootnoteText"/>
        <w:ind w:left="720"/>
      </w:pPr>
      <w:r>
        <w:t xml:space="preserve">[w]hen a motion for summary judgment is made and supported as provided in </w:t>
      </w:r>
      <w:proofErr w:type="spellStart"/>
      <w:r>
        <w:t>th</w:t>
      </w:r>
      <w:proofErr w:type="spellEnd"/>
      <w:r>
        <w:t xml:space="preserve">[e] rule, an adverse party may not rest upon the mere allegations or denials of his pleading, but his response, by affidavits or as otherwise provided in </w:t>
      </w:r>
      <w:proofErr w:type="spellStart"/>
      <w:r>
        <w:t>th</w:t>
      </w:r>
      <w:proofErr w:type="spellEnd"/>
      <w:r>
        <w:t xml:space="preserve">[e] rule, must set forth specific facts showing that there is a genuine issue for trial. If he does not so respond, summary judgment, if appropriate, shall be entered against him. </w:t>
      </w:r>
    </w:p>
    <w:p w:rsidR="000B2D3F" w:rsidRDefault="000B2D3F" w:rsidP="006E45C9">
      <w:pPr>
        <w:pStyle w:val="FootnoteText"/>
      </w:pPr>
    </w:p>
  </w:footnote>
  <w:footnote w:id="4">
    <w:p w:rsidR="000B2D3F" w:rsidRPr="00F70CE8" w:rsidRDefault="000B2D3F" w:rsidP="0047557F">
      <w:pPr>
        <w:autoSpaceDE w:val="0"/>
        <w:autoSpaceDN w:val="0"/>
        <w:adjustRightInd w:val="0"/>
        <w:contextualSpacing/>
        <w:rPr>
          <w:sz w:val="20"/>
          <w:szCs w:val="20"/>
        </w:rPr>
      </w:pPr>
      <w:r w:rsidRPr="00F70CE8">
        <w:rPr>
          <w:rStyle w:val="FootnoteReference"/>
          <w:sz w:val="20"/>
          <w:szCs w:val="20"/>
        </w:rPr>
        <w:footnoteRef/>
      </w:r>
      <w:r w:rsidRPr="00F70CE8">
        <w:rPr>
          <w:sz w:val="20"/>
          <w:szCs w:val="20"/>
        </w:rPr>
        <w:t xml:space="preserve">Although not challenged by the One </w:t>
      </w:r>
      <w:proofErr w:type="spellStart"/>
      <w:r w:rsidRPr="00F70CE8">
        <w:rPr>
          <w:sz w:val="20"/>
          <w:szCs w:val="20"/>
        </w:rPr>
        <w:t>Ledgemont</w:t>
      </w:r>
      <w:proofErr w:type="spellEnd"/>
      <w:r w:rsidRPr="00F70CE8">
        <w:rPr>
          <w:sz w:val="20"/>
          <w:szCs w:val="20"/>
        </w:rPr>
        <w:t xml:space="preserve">, 95 Hayden offered an explanation of what appears to be the most significant revision, to the southern detention basin.  </w:t>
      </w:r>
      <w:proofErr w:type="spellStart"/>
      <w:r w:rsidRPr="00F70CE8">
        <w:rPr>
          <w:sz w:val="20"/>
          <w:szCs w:val="20"/>
        </w:rPr>
        <w:t>Rinaldi</w:t>
      </w:r>
      <w:proofErr w:type="spellEnd"/>
      <w:r w:rsidRPr="00F70CE8">
        <w:rPr>
          <w:sz w:val="20"/>
          <w:szCs w:val="20"/>
        </w:rPr>
        <w:t xml:space="preserve"> </w:t>
      </w:r>
      <w:proofErr w:type="spellStart"/>
      <w:r w:rsidRPr="00F70CE8">
        <w:rPr>
          <w:sz w:val="20"/>
          <w:szCs w:val="20"/>
        </w:rPr>
        <w:t>Aff</w:t>
      </w:r>
      <w:proofErr w:type="spellEnd"/>
      <w:r w:rsidRPr="00F70CE8">
        <w:rPr>
          <w:sz w:val="20"/>
          <w:szCs w:val="20"/>
        </w:rPr>
        <w:t xml:space="preserve">., </w:t>
      </w:r>
      <w:proofErr w:type="spellStart"/>
      <w:r w:rsidRPr="00F70CE8">
        <w:rPr>
          <w:sz w:val="20"/>
          <w:szCs w:val="20"/>
        </w:rPr>
        <w:t>para</w:t>
      </w:r>
      <w:proofErr w:type="spellEnd"/>
      <w:r w:rsidRPr="00F70CE8">
        <w:rPr>
          <w:sz w:val="20"/>
          <w:szCs w:val="20"/>
        </w:rPr>
        <w:t xml:space="preserve">. 27.  This revision stemmed from removal of a downstream concrete swale required by the 2008 Order and did not reflect a change in impact.  </w:t>
      </w:r>
      <w:r w:rsidRPr="00F70CE8">
        <w:rPr>
          <w:sz w:val="20"/>
          <w:szCs w:val="20"/>
          <w:u w:val="single"/>
        </w:rPr>
        <w:t>Id</w:t>
      </w:r>
      <w:r w:rsidRPr="00F70CE8">
        <w:rPr>
          <w:sz w:val="20"/>
          <w:szCs w:val="20"/>
        </w:rPr>
        <w:t xml:space="preserve">.  </w:t>
      </w:r>
    </w:p>
    <w:p w:rsidR="000B2D3F" w:rsidRDefault="000B2D3F" w:rsidP="0047557F">
      <w:pPr>
        <w:pStyle w:val="FootnoteText"/>
      </w:pPr>
      <w:r>
        <w:t xml:space="preserve"> </w:t>
      </w:r>
    </w:p>
  </w:footnote>
  <w:footnote w:id="5">
    <w:p w:rsidR="000B2D3F" w:rsidRPr="00AD401B" w:rsidRDefault="000B2D3F" w:rsidP="00AD401B">
      <w:pPr>
        <w:autoSpaceDE w:val="0"/>
        <w:autoSpaceDN w:val="0"/>
        <w:adjustRightInd w:val="0"/>
        <w:contextualSpacing/>
        <w:rPr>
          <w:sz w:val="20"/>
          <w:szCs w:val="20"/>
        </w:rPr>
      </w:pPr>
      <w:r w:rsidRPr="00AD401B">
        <w:rPr>
          <w:rStyle w:val="FootnoteReference"/>
          <w:sz w:val="20"/>
          <w:szCs w:val="20"/>
        </w:rPr>
        <w:footnoteRef/>
      </w:r>
      <w:r w:rsidRPr="00AD401B">
        <w:rPr>
          <w:sz w:val="20"/>
          <w:szCs w:val="20"/>
        </w:rPr>
        <w:t xml:space="preserve"> The </w:t>
      </w:r>
      <w:r>
        <w:rPr>
          <w:sz w:val="20"/>
          <w:szCs w:val="20"/>
        </w:rPr>
        <w:t>Wetlands R</w:t>
      </w:r>
      <w:r w:rsidRPr="00AD401B">
        <w:rPr>
          <w:sz w:val="20"/>
          <w:szCs w:val="20"/>
        </w:rPr>
        <w:t xml:space="preserve">egulations governing </w:t>
      </w:r>
      <w:r>
        <w:rPr>
          <w:sz w:val="20"/>
          <w:szCs w:val="20"/>
        </w:rPr>
        <w:t>o</w:t>
      </w:r>
      <w:r w:rsidRPr="00AD401B">
        <w:rPr>
          <w:sz w:val="20"/>
          <w:szCs w:val="20"/>
        </w:rPr>
        <w:t xml:space="preserve">rders of </w:t>
      </w:r>
      <w:r>
        <w:rPr>
          <w:sz w:val="20"/>
          <w:szCs w:val="20"/>
        </w:rPr>
        <w:t>c</w:t>
      </w:r>
      <w:r w:rsidRPr="00AD401B">
        <w:rPr>
          <w:sz w:val="20"/>
          <w:szCs w:val="20"/>
        </w:rPr>
        <w:t xml:space="preserve">onditions similarly state that conditions may be imposed “only upon work or the portion thereof that is to be undertaken within an Area Subject to Protection </w:t>
      </w:r>
      <w:proofErr w:type="gramStart"/>
      <w:r w:rsidRPr="00AD401B">
        <w:rPr>
          <w:sz w:val="20"/>
          <w:szCs w:val="20"/>
        </w:rPr>
        <w:t>Under</w:t>
      </w:r>
      <w:proofErr w:type="gramEnd"/>
      <w:r w:rsidRPr="00AD401B">
        <w:rPr>
          <w:sz w:val="20"/>
          <w:szCs w:val="20"/>
        </w:rPr>
        <w:t xml:space="preserve"> M.G.L. c. 131, s. 40 or within the Buffer Zone.”  310 CMR 10.05(6</w:t>
      </w:r>
      <w:proofErr w:type="gramStart"/>
      <w:r w:rsidRPr="00AD401B">
        <w:rPr>
          <w:sz w:val="20"/>
          <w:szCs w:val="20"/>
        </w:rPr>
        <w:t>)(</w:t>
      </w:r>
      <w:proofErr w:type="gramEnd"/>
      <w:r w:rsidRPr="00AD401B">
        <w:rPr>
          <w:sz w:val="20"/>
          <w:szCs w:val="20"/>
        </w:rPr>
        <w:t xml:space="preserve">b).  Conditions may be imposed on areas outside jurisdiction only when the work has in fact altered a resource area.  </w:t>
      </w:r>
      <w:r w:rsidRPr="00AD401B">
        <w:rPr>
          <w:sz w:val="20"/>
          <w:szCs w:val="20"/>
          <w:u w:val="single"/>
        </w:rPr>
        <w:t>Id.</w:t>
      </w:r>
      <w:r w:rsidRPr="00AD401B">
        <w:rPr>
          <w:sz w:val="20"/>
          <w:szCs w:val="20"/>
        </w:rPr>
        <w:t xml:space="preserve">   The regulations specifically allow conditions on point source discharges where the point of discharge is within a resource area or the buffer zone, e.g., </w:t>
      </w:r>
      <w:proofErr w:type="spellStart"/>
      <w:r w:rsidRPr="00AD401B">
        <w:rPr>
          <w:sz w:val="20"/>
          <w:szCs w:val="20"/>
        </w:rPr>
        <w:t>stormwater</w:t>
      </w:r>
      <w:proofErr w:type="spellEnd"/>
      <w:r w:rsidRPr="00AD401B">
        <w:rPr>
          <w:sz w:val="20"/>
          <w:szCs w:val="20"/>
        </w:rPr>
        <w:t xml:space="preserve"> discharges.  </w:t>
      </w:r>
      <w:r w:rsidRPr="00AD401B">
        <w:rPr>
          <w:sz w:val="20"/>
          <w:szCs w:val="20"/>
          <w:u w:val="single"/>
        </w:rPr>
        <w:t>Id.</w:t>
      </w:r>
      <w:r w:rsidRPr="00AD401B">
        <w:rPr>
          <w:sz w:val="20"/>
          <w:szCs w:val="20"/>
        </w:rPr>
        <w:t xml:space="preserve">   An issuing authority may therefore review a </w:t>
      </w:r>
      <w:proofErr w:type="spellStart"/>
      <w:r w:rsidRPr="00AD401B">
        <w:rPr>
          <w:sz w:val="20"/>
          <w:szCs w:val="20"/>
        </w:rPr>
        <w:t>stormwater</w:t>
      </w:r>
      <w:proofErr w:type="spellEnd"/>
      <w:r w:rsidRPr="00AD401B">
        <w:rPr>
          <w:sz w:val="20"/>
          <w:szCs w:val="20"/>
        </w:rPr>
        <w:t xml:space="preserve"> management system to ensure that specific </w:t>
      </w:r>
      <w:proofErr w:type="spellStart"/>
      <w:r w:rsidRPr="00AD401B">
        <w:rPr>
          <w:sz w:val="20"/>
          <w:szCs w:val="20"/>
        </w:rPr>
        <w:t>stormwater</w:t>
      </w:r>
      <w:proofErr w:type="spellEnd"/>
      <w:r w:rsidRPr="00AD401B">
        <w:rPr>
          <w:sz w:val="20"/>
          <w:szCs w:val="20"/>
        </w:rPr>
        <w:t xml:space="preserve"> management standards are met.  </w:t>
      </w:r>
      <w:r w:rsidRPr="00AD401B">
        <w:rPr>
          <w:sz w:val="20"/>
          <w:szCs w:val="20"/>
          <w:u w:val="single"/>
        </w:rPr>
        <w:t>See</w:t>
      </w:r>
      <w:r w:rsidRPr="00AD401B">
        <w:rPr>
          <w:sz w:val="20"/>
          <w:szCs w:val="20"/>
        </w:rPr>
        <w:t xml:space="preserve"> 310 CMR 10.05(6</w:t>
      </w:r>
      <w:proofErr w:type="gramStart"/>
      <w:r w:rsidRPr="00AD401B">
        <w:rPr>
          <w:sz w:val="20"/>
          <w:szCs w:val="20"/>
        </w:rPr>
        <w:t>)(</w:t>
      </w:r>
      <w:proofErr w:type="gramEnd"/>
      <w:r w:rsidRPr="00AD401B">
        <w:rPr>
          <w:sz w:val="20"/>
          <w:szCs w:val="20"/>
        </w:rPr>
        <w:t xml:space="preserve">k). </w:t>
      </w:r>
    </w:p>
    <w:p w:rsidR="000B2D3F" w:rsidRDefault="000B2D3F" w:rsidP="00AD401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37150"/>
      <w:docPartObj>
        <w:docPartGallery w:val="Page Numbers (Top of Page)"/>
        <w:docPartUnique/>
      </w:docPartObj>
    </w:sdtPr>
    <w:sdtContent>
      <w:p w:rsidR="000B2D3F" w:rsidRDefault="00720269">
        <w:pPr>
          <w:pStyle w:val="Header"/>
          <w:jc w:val="right"/>
        </w:pPr>
        <w:fldSimple w:instr=" PAGE   \* MERGEFORMAT ">
          <w:r w:rsidR="007969D8">
            <w:rPr>
              <w:noProof/>
            </w:rPr>
            <w:t>4</w:t>
          </w:r>
        </w:fldSimple>
      </w:p>
    </w:sdtContent>
  </w:sdt>
  <w:p w:rsidR="000B2D3F" w:rsidRDefault="000B2D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6B79"/>
    <w:multiLevelType w:val="hybridMultilevel"/>
    <w:tmpl w:val="7D2C6EB0"/>
    <w:lvl w:ilvl="0" w:tplc="97F2B532">
      <w:start w:val="1"/>
      <w:numFmt w:val="decimal"/>
      <w:lvlText w:val="(%1)"/>
      <w:lvlJc w:val="left"/>
      <w:pPr>
        <w:tabs>
          <w:tab w:val="num" w:pos="2340"/>
        </w:tabs>
        <w:ind w:left="23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933AB"/>
    <w:multiLevelType w:val="hybridMultilevel"/>
    <w:tmpl w:val="AA425930"/>
    <w:lvl w:ilvl="0" w:tplc="F4C61BB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BC6473"/>
    <w:multiLevelType w:val="hybridMultilevel"/>
    <w:tmpl w:val="8EC8F80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53C60E5E"/>
    <w:multiLevelType w:val="hybridMultilevel"/>
    <w:tmpl w:val="C86A20AA"/>
    <w:lvl w:ilvl="0" w:tplc="0409000F">
      <w:start w:val="1"/>
      <w:numFmt w:val="decimal"/>
      <w:lvlText w:val="%1."/>
      <w:lvlJc w:val="left"/>
      <w:pPr>
        <w:tabs>
          <w:tab w:val="num" w:pos="720"/>
        </w:tabs>
        <w:ind w:left="720" w:hanging="360"/>
      </w:pPr>
    </w:lvl>
    <w:lvl w:ilvl="1" w:tplc="2272E112">
      <w:start w:val="1"/>
      <w:numFmt w:val="lowerLetter"/>
      <w:lvlText w:val="%2."/>
      <w:lvlJc w:val="left"/>
      <w:pPr>
        <w:tabs>
          <w:tab w:val="num" w:pos="1440"/>
        </w:tabs>
        <w:ind w:left="1440" w:hanging="360"/>
      </w:pPr>
    </w:lvl>
    <w:lvl w:ilvl="2" w:tplc="97F2B532">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F2436"/>
    <w:rsid w:val="000036DC"/>
    <w:rsid w:val="00010842"/>
    <w:rsid w:val="000165DA"/>
    <w:rsid w:val="00030C46"/>
    <w:rsid w:val="00057721"/>
    <w:rsid w:val="00086D03"/>
    <w:rsid w:val="000B2D3F"/>
    <w:rsid w:val="000E0FA7"/>
    <w:rsid w:val="000F5CA5"/>
    <w:rsid w:val="00103A4B"/>
    <w:rsid w:val="00137C04"/>
    <w:rsid w:val="00147B9E"/>
    <w:rsid w:val="001606C3"/>
    <w:rsid w:val="00193D58"/>
    <w:rsid w:val="00222A74"/>
    <w:rsid w:val="00246009"/>
    <w:rsid w:val="00250249"/>
    <w:rsid w:val="002D174F"/>
    <w:rsid w:val="002E4777"/>
    <w:rsid w:val="003308CC"/>
    <w:rsid w:val="00331253"/>
    <w:rsid w:val="0035065B"/>
    <w:rsid w:val="0037371F"/>
    <w:rsid w:val="003C5D6A"/>
    <w:rsid w:val="003C6712"/>
    <w:rsid w:val="003D4361"/>
    <w:rsid w:val="003E0391"/>
    <w:rsid w:val="0047557F"/>
    <w:rsid w:val="00476158"/>
    <w:rsid w:val="00502C7F"/>
    <w:rsid w:val="00505E4E"/>
    <w:rsid w:val="005430AA"/>
    <w:rsid w:val="0055389A"/>
    <w:rsid w:val="005C50F9"/>
    <w:rsid w:val="005C7AB8"/>
    <w:rsid w:val="0060062C"/>
    <w:rsid w:val="00640E3D"/>
    <w:rsid w:val="0065403F"/>
    <w:rsid w:val="00664702"/>
    <w:rsid w:val="006648EE"/>
    <w:rsid w:val="006E45C9"/>
    <w:rsid w:val="00720269"/>
    <w:rsid w:val="007451B9"/>
    <w:rsid w:val="007759BB"/>
    <w:rsid w:val="00791275"/>
    <w:rsid w:val="007969D8"/>
    <w:rsid w:val="007C7DEB"/>
    <w:rsid w:val="007F6067"/>
    <w:rsid w:val="00807522"/>
    <w:rsid w:val="00810A2D"/>
    <w:rsid w:val="0081780A"/>
    <w:rsid w:val="008262B4"/>
    <w:rsid w:val="0083340E"/>
    <w:rsid w:val="008864BC"/>
    <w:rsid w:val="00886DD6"/>
    <w:rsid w:val="008B2574"/>
    <w:rsid w:val="008B5DE4"/>
    <w:rsid w:val="008E1C6A"/>
    <w:rsid w:val="008F3602"/>
    <w:rsid w:val="009626D2"/>
    <w:rsid w:val="00996740"/>
    <w:rsid w:val="009D4022"/>
    <w:rsid w:val="009F40DB"/>
    <w:rsid w:val="00A257E1"/>
    <w:rsid w:val="00A35FEB"/>
    <w:rsid w:val="00A4562F"/>
    <w:rsid w:val="00A63F04"/>
    <w:rsid w:val="00A82E7B"/>
    <w:rsid w:val="00A966E8"/>
    <w:rsid w:val="00AD401B"/>
    <w:rsid w:val="00AF5A8A"/>
    <w:rsid w:val="00B00201"/>
    <w:rsid w:val="00B20D7E"/>
    <w:rsid w:val="00B92A54"/>
    <w:rsid w:val="00BC572A"/>
    <w:rsid w:val="00BE4CCE"/>
    <w:rsid w:val="00BE56CB"/>
    <w:rsid w:val="00C11F00"/>
    <w:rsid w:val="00C62D82"/>
    <w:rsid w:val="00C73DB9"/>
    <w:rsid w:val="00C85C6B"/>
    <w:rsid w:val="00C94E4B"/>
    <w:rsid w:val="00CB1ECD"/>
    <w:rsid w:val="00CD1403"/>
    <w:rsid w:val="00CD3A4B"/>
    <w:rsid w:val="00CE2CCC"/>
    <w:rsid w:val="00CE796E"/>
    <w:rsid w:val="00D21F44"/>
    <w:rsid w:val="00D51A37"/>
    <w:rsid w:val="00D57FC5"/>
    <w:rsid w:val="00DB246D"/>
    <w:rsid w:val="00DB330B"/>
    <w:rsid w:val="00DF2436"/>
    <w:rsid w:val="00E63D79"/>
    <w:rsid w:val="00E65531"/>
    <w:rsid w:val="00E664C8"/>
    <w:rsid w:val="00E67387"/>
    <w:rsid w:val="00EC0F68"/>
    <w:rsid w:val="00EC78C1"/>
    <w:rsid w:val="00EE433B"/>
    <w:rsid w:val="00F1328F"/>
    <w:rsid w:val="00F2044C"/>
    <w:rsid w:val="00F416FE"/>
    <w:rsid w:val="00F436FD"/>
    <w:rsid w:val="00F74344"/>
    <w:rsid w:val="00F74B3E"/>
    <w:rsid w:val="00FA7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45C9"/>
    <w:pPr>
      <w:keepNext/>
      <w:jc w:val="center"/>
      <w:outlineLvl w:val="0"/>
    </w:pPr>
    <w:rPr>
      <w:b/>
      <w:bCs/>
    </w:rPr>
  </w:style>
  <w:style w:type="paragraph" w:styleId="Heading2">
    <w:name w:val="heading 2"/>
    <w:basedOn w:val="Normal"/>
    <w:next w:val="Normal"/>
    <w:link w:val="Heading2Char"/>
    <w:uiPriority w:val="9"/>
    <w:semiHidden/>
    <w:unhideWhenUsed/>
    <w:qFormat/>
    <w:rsid w:val="00B92A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DF2436"/>
    <w:pPr>
      <w:ind w:firstLine="720"/>
    </w:pPr>
  </w:style>
  <w:style w:type="character" w:customStyle="1" w:styleId="BodyTextIndent3Char">
    <w:name w:val="Body Text Indent 3 Char"/>
    <w:basedOn w:val="DefaultParagraphFont"/>
    <w:link w:val="BodyTextIndent3"/>
    <w:semiHidden/>
    <w:rsid w:val="00DF2436"/>
    <w:rPr>
      <w:rFonts w:ascii="Times New Roman" w:eastAsia="Times New Roman" w:hAnsi="Times New Roman" w:cs="Times New Roman"/>
      <w:sz w:val="24"/>
      <w:szCs w:val="24"/>
    </w:rPr>
  </w:style>
  <w:style w:type="character" w:styleId="FootnoteReference">
    <w:name w:val="footnote reference"/>
    <w:basedOn w:val="DefaultParagraphFont"/>
    <w:semiHidden/>
    <w:rsid w:val="00DF2436"/>
    <w:rPr>
      <w:vertAlign w:val="superscript"/>
    </w:rPr>
  </w:style>
  <w:style w:type="character" w:styleId="Hyperlink">
    <w:name w:val="Hyperlink"/>
    <w:basedOn w:val="DefaultParagraphFont"/>
    <w:semiHidden/>
    <w:rsid w:val="00DF2436"/>
    <w:rPr>
      <w:color w:val="0000FF"/>
      <w:u w:val="single"/>
    </w:rPr>
  </w:style>
  <w:style w:type="paragraph" w:styleId="FootnoteText">
    <w:name w:val="footnote text"/>
    <w:basedOn w:val="Normal"/>
    <w:link w:val="FootnoteTextChar"/>
    <w:semiHidden/>
    <w:rsid w:val="00DF2436"/>
    <w:rPr>
      <w:sz w:val="20"/>
      <w:szCs w:val="20"/>
    </w:rPr>
  </w:style>
  <w:style w:type="character" w:customStyle="1" w:styleId="FootnoteTextChar">
    <w:name w:val="Footnote Text Char"/>
    <w:basedOn w:val="DefaultParagraphFont"/>
    <w:link w:val="FootnoteText"/>
    <w:semiHidden/>
    <w:rsid w:val="00DF2436"/>
    <w:rPr>
      <w:rFonts w:ascii="Times New Roman" w:eastAsia="Times New Roman" w:hAnsi="Times New Roman" w:cs="Times New Roman"/>
      <w:sz w:val="20"/>
      <w:szCs w:val="20"/>
    </w:rPr>
  </w:style>
  <w:style w:type="paragraph" w:styleId="ListParagraph">
    <w:name w:val="List Paragraph"/>
    <w:basedOn w:val="Normal"/>
    <w:uiPriority w:val="34"/>
    <w:qFormat/>
    <w:rsid w:val="000165DA"/>
    <w:pPr>
      <w:ind w:left="720"/>
      <w:contextualSpacing/>
    </w:pPr>
  </w:style>
  <w:style w:type="character" w:customStyle="1" w:styleId="Heading1Char">
    <w:name w:val="Heading 1 Char"/>
    <w:basedOn w:val="DefaultParagraphFont"/>
    <w:link w:val="Heading1"/>
    <w:rsid w:val="006E45C9"/>
    <w:rPr>
      <w:rFonts w:ascii="Times New Roman" w:eastAsia="Times New Roman" w:hAnsi="Times New Roman" w:cs="Times New Roman"/>
      <w:b/>
      <w:bCs/>
      <w:sz w:val="24"/>
      <w:szCs w:val="24"/>
    </w:rPr>
  </w:style>
  <w:style w:type="paragraph" w:customStyle="1" w:styleId="al">
    <w:name w:val="al"/>
    <w:basedOn w:val="Normal"/>
    <w:rsid w:val="006E45C9"/>
    <w:pPr>
      <w:tabs>
        <w:tab w:val="left" w:pos="561"/>
      </w:tabs>
      <w:jc w:val="both"/>
    </w:pPr>
  </w:style>
  <w:style w:type="paragraph" w:styleId="Title">
    <w:name w:val="Title"/>
    <w:basedOn w:val="Normal"/>
    <w:link w:val="TitleChar"/>
    <w:qFormat/>
    <w:rsid w:val="006E45C9"/>
    <w:pPr>
      <w:jc w:val="center"/>
    </w:pPr>
    <w:rPr>
      <w:b/>
      <w:bCs/>
      <w:szCs w:val="20"/>
      <w:u w:val="single"/>
    </w:rPr>
  </w:style>
  <w:style w:type="character" w:customStyle="1" w:styleId="TitleChar">
    <w:name w:val="Title Char"/>
    <w:basedOn w:val="DefaultParagraphFont"/>
    <w:link w:val="Title"/>
    <w:rsid w:val="006E45C9"/>
    <w:rPr>
      <w:rFonts w:ascii="Times New Roman" w:eastAsia="Times New Roman" w:hAnsi="Times New Roman" w:cs="Times New Roman"/>
      <w:b/>
      <w:bCs/>
      <w:sz w:val="24"/>
      <w:szCs w:val="20"/>
      <w:u w:val="single"/>
    </w:rPr>
  </w:style>
  <w:style w:type="paragraph" w:styleId="Header">
    <w:name w:val="header"/>
    <w:basedOn w:val="Normal"/>
    <w:link w:val="HeaderChar"/>
    <w:uiPriority w:val="99"/>
    <w:unhideWhenUsed/>
    <w:rsid w:val="00810A2D"/>
    <w:pPr>
      <w:tabs>
        <w:tab w:val="center" w:pos="4680"/>
        <w:tab w:val="right" w:pos="9360"/>
      </w:tabs>
    </w:pPr>
  </w:style>
  <w:style w:type="character" w:customStyle="1" w:styleId="HeaderChar">
    <w:name w:val="Header Char"/>
    <w:basedOn w:val="DefaultParagraphFont"/>
    <w:link w:val="Header"/>
    <w:uiPriority w:val="99"/>
    <w:rsid w:val="00810A2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10A2D"/>
    <w:pPr>
      <w:tabs>
        <w:tab w:val="center" w:pos="4680"/>
        <w:tab w:val="right" w:pos="9360"/>
      </w:tabs>
    </w:pPr>
  </w:style>
  <w:style w:type="character" w:customStyle="1" w:styleId="FooterChar">
    <w:name w:val="Footer Char"/>
    <w:basedOn w:val="DefaultParagraphFont"/>
    <w:link w:val="Footer"/>
    <w:uiPriority w:val="99"/>
    <w:semiHidden/>
    <w:rsid w:val="00810A2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92A5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2AAA2-85A3-497D-BE4A-E720538B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6601</Words>
  <Characters>37632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44145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2015-06-23T18:04:00Z</dcterms:created>
  <dc:creator>pharvey</dc:creator>
  <lastModifiedBy>bmunster</lastModifiedBy>
  <lastPrinted>2015-04-17T19:25:00Z</lastPrinted>
  <dcterms:modified xsi:type="dcterms:W3CDTF">2015-06-23T18:04:00Z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642474472</vt:i4>
  </property>
  <property fmtid="{D5CDD505-2E9C-101B-9397-08002B2CF9AE}" pid="3" name="_NewReviewCycle">
    <vt:lpwstr/>
  </property>
  <property fmtid="{D5CDD505-2E9C-101B-9397-08002B2CF9AE}" pid="4" name="_EmailSubject">
    <vt:lpwstr>In the matter of 96 Hayden, LLC, Docket No. WET-2013-022</vt:lpwstr>
  </property>
  <property fmtid="{D5CDD505-2E9C-101B-9397-08002B2CF9AE}" pid="5" name="_AuthorEmail">
    <vt:lpwstr>Pamela.Harvey@MassMail.State.MA.US</vt:lpwstr>
  </property>
  <property fmtid="{D5CDD505-2E9C-101B-9397-08002B2CF9AE}" pid="6" name="_AuthorEmailDisplayName">
    <vt:lpwstr>Harvey, Pamela (DEP)</vt:lpwstr>
  </property>
  <property fmtid="{D5CDD505-2E9C-101B-9397-08002B2CF9AE}" pid="7" name="_ReviewingToolsShownOnce">
    <vt:lpwstr/>
  </property>
</Properties>
</file>