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54" w:rsidRPr="000D0F0F" w:rsidRDefault="000E5F2A" w:rsidP="009C0B6C">
      <w:pPr>
        <w:pStyle w:val="PlainText"/>
        <w:jc w:val="center"/>
        <w:rPr>
          <w:b/>
          <w:sz w:val="28"/>
          <w:szCs w:val="28"/>
          <w:u w:val="single"/>
        </w:rPr>
      </w:pPr>
      <w:bookmarkStart w:id="0" w:name="_GoBack"/>
      <w:bookmarkEnd w:id="0"/>
      <w:r w:rsidRPr="000D0F0F">
        <w:rPr>
          <w:b/>
          <w:sz w:val="28"/>
          <w:szCs w:val="28"/>
          <w:u w:val="single"/>
        </w:rPr>
        <w:t>A Guide for Occupants: Enforcement of the</w:t>
      </w:r>
      <w:r w:rsidR="00360C71" w:rsidRPr="000D0F0F">
        <w:rPr>
          <w:b/>
          <w:sz w:val="28"/>
          <w:szCs w:val="28"/>
          <w:u w:val="single"/>
        </w:rPr>
        <w:t xml:space="preserve"> Massachusetts Housing </w:t>
      </w:r>
      <w:r w:rsidRPr="000D0F0F">
        <w:rPr>
          <w:b/>
          <w:sz w:val="28"/>
          <w:szCs w:val="28"/>
          <w:u w:val="single"/>
        </w:rPr>
        <w:t>Code</w:t>
      </w:r>
    </w:p>
    <w:p w:rsidR="00F92354" w:rsidRPr="009C0B6C" w:rsidRDefault="00F92354" w:rsidP="009C0B6C">
      <w:pPr>
        <w:pStyle w:val="PlainText"/>
        <w:rPr>
          <w:szCs w:val="22"/>
        </w:rPr>
      </w:pPr>
    </w:p>
    <w:p w:rsidR="00820AC0" w:rsidRPr="009C0B6C" w:rsidRDefault="001D1DA7" w:rsidP="00820AC0">
      <w:pPr>
        <w:pStyle w:val="PlainText"/>
        <w:rPr>
          <w:szCs w:val="22"/>
        </w:rPr>
      </w:pPr>
      <w:r w:rsidRPr="009C0B6C">
        <w:rPr>
          <w:szCs w:val="22"/>
        </w:rPr>
        <w:t xml:space="preserve">In Massachusetts the </w:t>
      </w:r>
      <w:r w:rsidR="00DC0DAA">
        <w:rPr>
          <w:szCs w:val="22"/>
        </w:rPr>
        <w:t>L</w:t>
      </w:r>
      <w:r w:rsidRPr="009C0B6C">
        <w:rPr>
          <w:szCs w:val="22"/>
        </w:rPr>
        <w:t xml:space="preserve">ocal </w:t>
      </w:r>
      <w:r w:rsidR="00DC0DAA">
        <w:rPr>
          <w:szCs w:val="22"/>
        </w:rPr>
        <w:t>H</w:t>
      </w:r>
      <w:r w:rsidR="00A728BC">
        <w:rPr>
          <w:szCs w:val="22"/>
        </w:rPr>
        <w:t xml:space="preserve">ealth </w:t>
      </w:r>
      <w:r w:rsidR="00DC0DAA">
        <w:rPr>
          <w:szCs w:val="22"/>
        </w:rPr>
        <w:t>A</w:t>
      </w:r>
      <w:r w:rsidR="00A728BC">
        <w:rPr>
          <w:szCs w:val="22"/>
        </w:rPr>
        <w:t>uthority (LHA)</w:t>
      </w:r>
      <w:r w:rsidRPr="009C0B6C">
        <w:rPr>
          <w:szCs w:val="22"/>
        </w:rPr>
        <w:t xml:space="preserve"> has primary enforcement </w:t>
      </w:r>
      <w:r w:rsidR="00DC0DAA">
        <w:rPr>
          <w:szCs w:val="22"/>
        </w:rPr>
        <w:t>of</w:t>
      </w:r>
      <w:r w:rsidRPr="009C0B6C">
        <w:rPr>
          <w:szCs w:val="22"/>
        </w:rPr>
        <w:t xml:space="preserve"> the </w:t>
      </w:r>
      <w:r w:rsidR="000E5F2A">
        <w:rPr>
          <w:szCs w:val="22"/>
        </w:rPr>
        <w:t>Housing Code, 105 CMR 410.000.</w:t>
      </w:r>
      <w:r w:rsidR="00820AC0">
        <w:rPr>
          <w:szCs w:val="22"/>
        </w:rPr>
        <w:t xml:space="preserve"> </w:t>
      </w:r>
      <w:r w:rsidR="00820AC0" w:rsidRPr="009C0B6C">
        <w:rPr>
          <w:szCs w:val="22"/>
        </w:rPr>
        <w:t>Complaints regarding housing violations must be addressed to the</w:t>
      </w:r>
      <w:r w:rsidR="00A728BC">
        <w:rPr>
          <w:szCs w:val="22"/>
        </w:rPr>
        <w:t xml:space="preserve"> </w:t>
      </w:r>
      <w:r w:rsidR="00CC789F">
        <w:rPr>
          <w:szCs w:val="22"/>
        </w:rPr>
        <w:t xml:space="preserve">LHA, which </w:t>
      </w:r>
      <w:r w:rsidR="00A728BC">
        <w:rPr>
          <w:szCs w:val="22"/>
        </w:rPr>
        <w:t xml:space="preserve">may be </w:t>
      </w:r>
      <w:r w:rsidR="00CC789F">
        <w:rPr>
          <w:szCs w:val="22"/>
        </w:rPr>
        <w:t>the</w:t>
      </w:r>
      <w:r w:rsidR="00820AC0" w:rsidRPr="009C0B6C">
        <w:rPr>
          <w:szCs w:val="22"/>
        </w:rPr>
        <w:t xml:space="preserve"> board of health, </w:t>
      </w:r>
      <w:r w:rsidR="00A728BC">
        <w:rPr>
          <w:szCs w:val="22"/>
        </w:rPr>
        <w:t>h</w:t>
      </w:r>
      <w:r w:rsidR="00820AC0" w:rsidRPr="009C0B6C">
        <w:rPr>
          <w:szCs w:val="22"/>
        </w:rPr>
        <w:t>ealth department, or inspectional services department.</w:t>
      </w:r>
      <w:r w:rsidR="00DC0DAA">
        <w:rPr>
          <w:szCs w:val="22"/>
        </w:rPr>
        <w:t xml:space="preserve"> </w:t>
      </w:r>
      <w:r w:rsidR="000D0F0F">
        <w:rPr>
          <w:szCs w:val="22"/>
        </w:rPr>
        <w:t xml:space="preserve">The </w:t>
      </w:r>
      <w:r w:rsidR="00DC0DAA">
        <w:rPr>
          <w:szCs w:val="22"/>
        </w:rPr>
        <w:t>LHA is responsible for conducting inspections, issuing orders to correct, and enforcement to ensure violations are corrected.</w:t>
      </w:r>
    </w:p>
    <w:p w:rsidR="00820AC0" w:rsidRPr="009C0B6C" w:rsidRDefault="00820AC0" w:rsidP="00820AC0">
      <w:pPr>
        <w:pStyle w:val="PlainText"/>
        <w:rPr>
          <w:szCs w:val="22"/>
        </w:rPr>
      </w:pPr>
    </w:p>
    <w:p w:rsidR="00820AC0" w:rsidRDefault="00820AC0" w:rsidP="00820AC0">
      <w:pPr>
        <w:pStyle w:val="PlainText"/>
        <w:rPr>
          <w:szCs w:val="22"/>
        </w:rPr>
      </w:pPr>
      <w:r>
        <w:rPr>
          <w:szCs w:val="22"/>
        </w:rPr>
        <w:t>The r</w:t>
      </w:r>
      <w:r w:rsidRPr="009C0B6C">
        <w:rPr>
          <w:szCs w:val="22"/>
        </w:rPr>
        <w:t xml:space="preserve">ole of </w:t>
      </w:r>
      <w:r>
        <w:rPr>
          <w:szCs w:val="22"/>
        </w:rPr>
        <w:t xml:space="preserve">the Massachusetts Department of Public Health’s </w:t>
      </w:r>
      <w:r w:rsidRPr="009C0B6C">
        <w:rPr>
          <w:szCs w:val="22"/>
        </w:rPr>
        <w:t xml:space="preserve">Community Sanitation Program </w:t>
      </w:r>
      <w:r>
        <w:rPr>
          <w:szCs w:val="22"/>
        </w:rPr>
        <w:t xml:space="preserve">(CSP) </w:t>
      </w:r>
      <w:r w:rsidRPr="009C0B6C">
        <w:rPr>
          <w:szCs w:val="22"/>
        </w:rPr>
        <w:t>is to provide regulatory interpretations, training, and general information to local health and the general public.</w:t>
      </w:r>
    </w:p>
    <w:p w:rsidR="00820AC0" w:rsidRDefault="00820AC0" w:rsidP="00820AC0">
      <w:pPr>
        <w:pStyle w:val="PlainText"/>
        <w:rPr>
          <w:szCs w:val="22"/>
        </w:rPr>
      </w:pPr>
    </w:p>
    <w:p w:rsidR="00820AC0" w:rsidRPr="009C0B6C" w:rsidRDefault="00820AC0" w:rsidP="00820AC0">
      <w:pPr>
        <w:pStyle w:val="PlainText"/>
        <w:rPr>
          <w:szCs w:val="22"/>
        </w:rPr>
      </w:pPr>
      <w:r>
        <w:rPr>
          <w:szCs w:val="22"/>
        </w:rPr>
        <w:t xml:space="preserve">The CSP receives numerous complaints each year regarding an occupant’s dissatisfaction with the action, or inaction, of their local </w:t>
      </w:r>
      <w:r w:rsidR="00CC789F">
        <w:rPr>
          <w:szCs w:val="22"/>
        </w:rPr>
        <w:t>health authority</w:t>
      </w:r>
      <w:r>
        <w:rPr>
          <w:szCs w:val="22"/>
        </w:rPr>
        <w:t xml:space="preserve">. CSP </w:t>
      </w:r>
      <w:r w:rsidRPr="009C0B6C">
        <w:rPr>
          <w:szCs w:val="22"/>
        </w:rPr>
        <w:t>do</w:t>
      </w:r>
      <w:r>
        <w:rPr>
          <w:szCs w:val="22"/>
        </w:rPr>
        <w:t>es</w:t>
      </w:r>
      <w:r w:rsidRPr="009C0B6C">
        <w:rPr>
          <w:szCs w:val="22"/>
        </w:rPr>
        <w:t xml:space="preserve"> not have </w:t>
      </w:r>
      <w:r>
        <w:rPr>
          <w:szCs w:val="22"/>
        </w:rPr>
        <w:t xml:space="preserve">regulatory </w:t>
      </w:r>
      <w:r w:rsidRPr="009C0B6C">
        <w:rPr>
          <w:szCs w:val="22"/>
        </w:rPr>
        <w:t>authority over local health or the authority to mediate differences between:</w:t>
      </w:r>
    </w:p>
    <w:p w:rsidR="00820AC0" w:rsidRPr="009C0B6C" w:rsidRDefault="00820AC0" w:rsidP="00820AC0">
      <w:pPr>
        <w:pStyle w:val="PlainText"/>
        <w:rPr>
          <w:szCs w:val="22"/>
        </w:rPr>
      </w:pPr>
      <w:r w:rsidRPr="009C0B6C">
        <w:rPr>
          <w:szCs w:val="22"/>
        </w:rPr>
        <w:tab/>
        <w:t>Owner and occupant</w:t>
      </w:r>
    </w:p>
    <w:p w:rsidR="00820AC0" w:rsidRPr="009C0B6C" w:rsidRDefault="00820AC0" w:rsidP="00820AC0">
      <w:pPr>
        <w:pStyle w:val="PlainText"/>
        <w:rPr>
          <w:szCs w:val="22"/>
        </w:rPr>
      </w:pPr>
      <w:r w:rsidRPr="009C0B6C">
        <w:rPr>
          <w:szCs w:val="22"/>
        </w:rPr>
        <w:tab/>
        <w:t>Local health and occupant</w:t>
      </w:r>
    </w:p>
    <w:p w:rsidR="00820AC0" w:rsidRPr="009C0B6C" w:rsidRDefault="00820AC0" w:rsidP="00820AC0">
      <w:pPr>
        <w:pStyle w:val="PlainText"/>
        <w:rPr>
          <w:szCs w:val="22"/>
        </w:rPr>
      </w:pPr>
      <w:r w:rsidRPr="009C0B6C">
        <w:rPr>
          <w:szCs w:val="22"/>
        </w:rPr>
        <w:tab/>
        <w:t>Local health and owner</w:t>
      </w:r>
    </w:p>
    <w:p w:rsidR="00820AC0" w:rsidRDefault="00820AC0" w:rsidP="00820AC0">
      <w:pPr>
        <w:pStyle w:val="PlainText"/>
        <w:rPr>
          <w:szCs w:val="22"/>
        </w:rPr>
      </w:pPr>
      <w:r w:rsidRPr="009C0B6C">
        <w:rPr>
          <w:szCs w:val="22"/>
        </w:rPr>
        <w:tab/>
        <w:t>Occupants of separate units</w:t>
      </w:r>
    </w:p>
    <w:p w:rsidR="00820AC0" w:rsidRDefault="00820AC0" w:rsidP="00820AC0">
      <w:pPr>
        <w:pStyle w:val="PlainText"/>
        <w:rPr>
          <w:szCs w:val="22"/>
        </w:rPr>
      </w:pPr>
    </w:p>
    <w:p w:rsidR="001D1DA7" w:rsidRPr="009C0B6C" w:rsidRDefault="00820AC0" w:rsidP="00820AC0">
      <w:pPr>
        <w:pStyle w:val="PlainText"/>
        <w:rPr>
          <w:szCs w:val="22"/>
        </w:rPr>
      </w:pPr>
      <w:r w:rsidRPr="009C0B6C">
        <w:rPr>
          <w:szCs w:val="22"/>
        </w:rPr>
        <w:t>On occasion CSP may conduct a housing inspection at the request of local health for training purposes and not to assume authority.</w:t>
      </w:r>
    </w:p>
    <w:p w:rsidR="001D1DA7" w:rsidRPr="009C0B6C" w:rsidRDefault="001D1DA7" w:rsidP="009C0B6C">
      <w:pPr>
        <w:pStyle w:val="PlainText"/>
        <w:rPr>
          <w:szCs w:val="22"/>
        </w:rPr>
      </w:pPr>
    </w:p>
    <w:p w:rsidR="00101F5C" w:rsidRPr="009C0B6C" w:rsidRDefault="007F3839" w:rsidP="009C0B6C">
      <w:pPr>
        <w:pStyle w:val="PlainText"/>
        <w:rPr>
          <w:szCs w:val="22"/>
        </w:rPr>
      </w:pPr>
      <w:r w:rsidRPr="009C0B6C">
        <w:rPr>
          <w:szCs w:val="22"/>
        </w:rPr>
        <w:t xml:space="preserve">The references to court action below refer to the preference of using the Housing Court. </w:t>
      </w:r>
      <w:r w:rsidR="00A728BC">
        <w:rPr>
          <w:szCs w:val="22"/>
        </w:rPr>
        <w:t xml:space="preserve">Housing Courts were established specifically to address housing matters and their main goal is to achieve compliance with the regulations rather than prosecute offending parties; however they may conduct trials if necessary. </w:t>
      </w:r>
      <w:r w:rsidRPr="009C0B6C">
        <w:rPr>
          <w:szCs w:val="22"/>
        </w:rPr>
        <w:t>If Housing Court is not available in the occupant’s county, then Superior Court is preferred over District Court.</w:t>
      </w:r>
    </w:p>
    <w:p w:rsidR="0059606D" w:rsidRDefault="0059606D" w:rsidP="009C0B6C">
      <w:pPr>
        <w:pStyle w:val="PlainText"/>
        <w:rPr>
          <w:szCs w:val="22"/>
        </w:rPr>
      </w:pPr>
    </w:p>
    <w:p w:rsidR="00F92354" w:rsidRPr="009C0B6C" w:rsidRDefault="001D1DA7" w:rsidP="009C0B6C">
      <w:pPr>
        <w:pStyle w:val="PlainText"/>
        <w:rPr>
          <w:szCs w:val="22"/>
        </w:rPr>
      </w:pPr>
      <w:r w:rsidRPr="009C0B6C">
        <w:rPr>
          <w:szCs w:val="22"/>
        </w:rPr>
        <w:t>Occupants have</w:t>
      </w:r>
      <w:r w:rsidR="00F92354" w:rsidRPr="009C0B6C">
        <w:rPr>
          <w:szCs w:val="22"/>
        </w:rPr>
        <w:t xml:space="preserve"> the </w:t>
      </w:r>
      <w:r w:rsidRPr="009C0B6C">
        <w:rPr>
          <w:szCs w:val="22"/>
        </w:rPr>
        <w:t xml:space="preserve">right to due process </w:t>
      </w:r>
      <w:r w:rsidR="00F92354" w:rsidRPr="009C0B6C">
        <w:rPr>
          <w:szCs w:val="22"/>
        </w:rPr>
        <w:t>provided by</w:t>
      </w:r>
      <w:r w:rsidRPr="009C0B6C">
        <w:rPr>
          <w:szCs w:val="22"/>
        </w:rPr>
        <w:t xml:space="preserve"> the housing regulat</w:t>
      </w:r>
      <w:r w:rsidR="00F92354" w:rsidRPr="009C0B6C">
        <w:rPr>
          <w:szCs w:val="22"/>
        </w:rPr>
        <w:t>ions</w:t>
      </w:r>
      <w:r w:rsidR="00AB0BDF">
        <w:rPr>
          <w:szCs w:val="22"/>
        </w:rPr>
        <w:t>. Below is a summary of the procedures that the occupant should follow in seeking resolution to their complaint.</w:t>
      </w:r>
    </w:p>
    <w:p w:rsidR="00F92354" w:rsidRPr="009C0B6C" w:rsidRDefault="00F92354" w:rsidP="009C0B6C">
      <w:pPr>
        <w:pStyle w:val="PlainText"/>
        <w:rPr>
          <w:szCs w:val="22"/>
        </w:rPr>
      </w:pPr>
    </w:p>
    <w:p w:rsidR="00820AC0" w:rsidRDefault="00F92354" w:rsidP="009C0B6C">
      <w:pPr>
        <w:pStyle w:val="PlainText"/>
        <w:rPr>
          <w:szCs w:val="22"/>
        </w:rPr>
      </w:pPr>
      <w:r w:rsidRPr="009C0B6C">
        <w:rPr>
          <w:szCs w:val="22"/>
          <w:u w:val="single"/>
        </w:rPr>
        <w:t>410.010(C)</w:t>
      </w:r>
      <w:r w:rsidR="00820AC0">
        <w:rPr>
          <w:szCs w:val="22"/>
          <w:u w:val="single"/>
        </w:rPr>
        <w:t>: Scope</w:t>
      </w:r>
    </w:p>
    <w:p w:rsidR="00820AC0" w:rsidRDefault="00820AC0" w:rsidP="009C0B6C">
      <w:pPr>
        <w:pStyle w:val="PlainText"/>
        <w:rPr>
          <w:szCs w:val="22"/>
        </w:rPr>
      </w:pPr>
    </w:p>
    <w:p w:rsidR="00F92354" w:rsidRPr="009C0B6C" w:rsidRDefault="007F3839" w:rsidP="009C0B6C">
      <w:pPr>
        <w:pStyle w:val="PlainText"/>
        <w:rPr>
          <w:szCs w:val="22"/>
        </w:rPr>
      </w:pPr>
      <w:r w:rsidRPr="009C0B6C">
        <w:rPr>
          <w:szCs w:val="22"/>
        </w:rPr>
        <w:t>“Nothing contained herein shall be construed to limit or otherwise restrict any person from seeking judicial relief in a court of competent jurisdiction notwithstanding any hearing, proceeding or other administrative remedy set forth in 105 CMR 410.000.”</w:t>
      </w:r>
    </w:p>
    <w:p w:rsidR="007F3839" w:rsidRPr="009C0B6C" w:rsidRDefault="007F3839" w:rsidP="009C0B6C">
      <w:pPr>
        <w:pStyle w:val="PlainText"/>
        <w:rPr>
          <w:szCs w:val="22"/>
        </w:rPr>
      </w:pPr>
    </w:p>
    <w:p w:rsidR="00F92354" w:rsidRPr="009C0B6C" w:rsidRDefault="007F3839" w:rsidP="009C0B6C">
      <w:pPr>
        <w:pStyle w:val="PlainText"/>
        <w:rPr>
          <w:szCs w:val="22"/>
        </w:rPr>
      </w:pPr>
      <w:r w:rsidRPr="009C0B6C">
        <w:rPr>
          <w:szCs w:val="22"/>
        </w:rPr>
        <w:t xml:space="preserve">An occupant has the right to pursue a remedy in court </w:t>
      </w:r>
      <w:r w:rsidR="00101F5C" w:rsidRPr="009C0B6C">
        <w:rPr>
          <w:szCs w:val="22"/>
        </w:rPr>
        <w:t>regardless of any current action being taken in regards to their complaint.</w:t>
      </w:r>
    </w:p>
    <w:p w:rsidR="00F92354" w:rsidRPr="009C0B6C" w:rsidRDefault="00F92354" w:rsidP="009C0B6C">
      <w:pPr>
        <w:pStyle w:val="PlainText"/>
        <w:rPr>
          <w:szCs w:val="22"/>
        </w:rPr>
      </w:pPr>
    </w:p>
    <w:p w:rsidR="000B4CE4" w:rsidRPr="009C0B6C" w:rsidRDefault="00B8563E" w:rsidP="009C0B6C">
      <w:pPr>
        <w:pStyle w:val="PlainText"/>
        <w:rPr>
          <w:szCs w:val="22"/>
          <w:u w:val="single"/>
        </w:rPr>
      </w:pPr>
      <w:r w:rsidRPr="009C0B6C">
        <w:rPr>
          <w:szCs w:val="22"/>
          <w:u w:val="single"/>
        </w:rPr>
        <w:t xml:space="preserve">410.850: </w:t>
      </w:r>
      <w:r w:rsidR="000B4CE4" w:rsidRPr="009C0B6C">
        <w:rPr>
          <w:szCs w:val="22"/>
          <w:u w:val="single"/>
        </w:rPr>
        <w:t xml:space="preserve">Right to a </w:t>
      </w:r>
      <w:r w:rsidRPr="009C0B6C">
        <w:rPr>
          <w:szCs w:val="22"/>
          <w:u w:val="single"/>
        </w:rPr>
        <w:t>H</w:t>
      </w:r>
      <w:r w:rsidR="000B4CE4" w:rsidRPr="009C0B6C">
        <w:rPr>
          <w:szCs w:val="22"/>
          <w:u w:val="single"/>
        </w:rPr>
        <w:t>earing</w:t>
      </w:r>
    </w:p>
    <w:p w:rsidR="007173B5" w:rsidRDefault="007173B5" w:rsidP="009C0B6C">
      <w:pPr>
        <w:pStyle w:val="PlainText"/>
        <w:rPr>
          <w:szCs w:val="22"/>
        </w:rPr>
      </w:pPr>
    </w:p>
    <w:p w:rsidR="000B4CE4" w:rsidRPr="009C0B6C" w:rsidRDefault="000B4CE4" w:rsidP="009C0B6C">
      <w:pPr>
        <w:pStyle w:val="PlainText"/>
        <w:rPr>
          <w:szCs w:val="22"/>
        </w:rPr>
      </w:pPr>
      <w:r w:rsidRPr="009C0B6C">
        <w:rPr>
          <w:szCs w:val="22"/>
        </w:rPr>
        <w:t xml:space="preserve">If an occupant has requested an inspection, they have the right to request a hearing with </w:t>
      </w:r>
      <w:r w:rsidR="00A728BC">
        <w:rPr>
          <w:szCs w:val="22"/>
        </w:rPr>
        <w:t>local</w:t>
      </w:r>
      <w:r w:rsidRPr="009C0B6C">
        <w:rPr>
          <w:szCs w:val="22"/>
        </w:rPr>
        <w:t xml:space="preserve"> health if:</w:t>
      </w:r>
    </w:p>
    <w:p w:rsidR="000B4CE4" w:rsidRPr="009C0B6C" w:rsidRDefault="000B4CE4" w:rsidP="009C0B6C">
      <w:pPr>
        <w:pStyle w:val="PlainText"/>
        <w:rPr>
          <w:szCs w:val="22"/>
        </w:rPr>
      </w:pPr>
      <w:r w:rsidRPr="009C0B6C">
        <w:rPr>
          <w:szCs w:val="22"/>
        </w:rPr>
        <w:tab/>
        <w:t xml:space="preserve">The </w:t>
      </w:r>
      <w:r w:rsidR="00A728BC">
        <w:rPr>
          <w:szCs w:val="22"/>
        </w:rPr>
        <w:t>LHA</w:t>
      </w:r>
      <w:r w:rsidRPr="009C0B6C">
        <w:rPr>
          <w:szCs w:val="22"/>
        </w:rPr>
        <w:t xml:space="preserve"> does not conduct an inspection</w:t>
      </w:r>
      <w:r w:rsidR="000130D3">
        <w:rPr>
          <w:szCs w:val="22"/>
        </w:rPr>
        <w:t>.</w:t>
      </w:r>
    </w:p>
    <w:p w:rsidR="000B4CE4" w:rsidRPr="009C0B6C" w:rsidRDefault="000B4CE4" w:rsidP="009C0B6C">
      <w:pPr>
        <w:pStyle w:val="PlainText"/>
        <w:rPr>
          <w:szCs w:val="22"/>
        </w:rPr>
      </w:pPr>
      <w:r w:rsidRPr="009C0B6C">
        <w:rPr>
          <w:szCs w:val="22"/>
        </w:rPr>
        <w:tab/>
        <w:t xml:space="preserve">The </w:t>
      </w:r>
      <w:r w:rsidR="00A728BC">
        <w:rPr>
          <w:szCs w:val="22"/>
        </w:rPr>
        <w:t>LHA</w:t>
      </w:r>
      <w:r w:rsidRPr="009C0B6C">
        <w:rPr>
          <w:szCs w:val="22"/>
        </w:rPr>
        <w:t xml:space="preserve"> does not issue an inspection report</w:t>
      </w:r>
      <w:r w:rsidR="000130D3">
        <w:rPr>
          <w:szCs w:val="22"/>
        </w:rPr>
        <w:t>.</w:t>
      </w:r>
    </w:p>
    <w:p w:rsidR="000B4CE4" w:rsidRPr="009C0B6C" w:rsidRDefault="000B4CE4" w:rsidP="009C0B6C">
      <w:pPr>
        <w:pStyle w:val="PlainText"/>
        <w:rPr>
          <w:szCs w:val="22"/>
        </w:rPr>
      </w:pPr>
      <w:r w:rsidRPr="009C0B6C">
        <w:rPr>
          <w:szCs w:val="22"/>
        </w:rPr>
        <w:tab/>
        <w:t>The</w:t>
      </w:r>
      <w:r w:rsidR="000130D3">
        <w:rPr>
          <w:szCs w:val="22"/>
        </w:rPr>
        <w:t xml:space="preserve"> </w:t>
      </w:r>
      <w:r w:rsidR="00A728BC">
        <w:rPr>
          <w:szCs w:val="22"/>
        </w:rPr>
        <w:t>LHA</w:t>
      </w:r>
      <w:r w:rsidRPr="009C0B6C">
        <w:rPr>
          <w:szCs w:val="22"/>
        </w:rPr>
        <w:t xml:space="preserve"> fails to note violations during the inspection</w:t>
      </w:r>
      <w:r w:rsidR="000130D3">
        <w:rPr>
          <w:szCs w:val="22"/>
        </w:rPr>
        <w:t>.</w:t>
      </w:r>
    </w:p>
    <w:p w:rsidR="000B4CE4" w:rsidRPr="009C0B6C" w:rsidRDefault="000B4CE4" w:rsidP="009C0B6C">
      <w:pPr>
        <w:pStyle w:val="PlainText"/>
        <w:rPr>
          <w:szCs w:val="22"/>
        </w:rPr>
      </w:pPr>
      <w:r w:rsidRPr="009C0B6C">
        <w:rPr>
          <w:szCs w:val="22"/>
        </w:rPr>
        <w:tab/>
        <w:t xml:space="preserve">The </w:t>
      </w:r>
      <w:r w:rsidR="00A728BC">
        <w:rPr>
          <w:szCs w:val="22"/>
        </w:rPr>
        <w:t>LHA</w:t>
      </w:r>
      <w:r w:rsidRPr="009C0B6C">
        <w:rPr>
          <w:szCs w:val="22"/>
        </w:rPr>
        <w:t xml:space="preserve"> does not issue an order to correct </w:t>
      </w:r>
      <w:r w:rsidR="000130D3">
        <w:rPr>
          <w:szCs w:val="22"/>
        </w:rPr>
        <w:t xml:space="preserve">for </w:t>
      </w:r>
      <w:r w:rsidRPr="009C0B6C">
        <w:rPr>
          <w:szCs w:val="22"/>
        </w:rPr>
        <w:t>the violations found</w:t>
      </w:r>
      <w:r w:rsidR="000130D3">
        <w:rPr>
          <w:szCs w:val="22"/>
        </w:rPr>
        <w:t>.</w:t>
      </w:r>
    </w:p>
    <w:p w:rsidR="000B4CE4" w:rsidRPr="009C0B6C" w:rsidRDefault="000B4CE4" w:rsidP="009C0B6C">
      <w:pPr>
        <w:pStyle w:val="PlainText"/>
        <w:rPr>
          <w:szCs w:val="22"/>
        </w:rPr>
      </w:pPr>
    </w:p>
    <w:p w:rsidR="000B4CE4" w:rsidRPr="009C0B6C" w:rsidRDefault="000B4CE4" w:rsidP="009C0B6C">
      <w:pPr>
        <w:pStyle w:val="PlainText"/>
        <w:rPr>
          <w:szCs w:val="22"/>
        </w:rPr>
      </w:pPr>
      <w:r w:rsidRPr="009C0B6C">
        <w:rPr>
          <w:szCs w:val="22"/>
        </w:rPr>
        <w:t>An occupant who wants to request a hearing due to any of the above reasons must file a petition requesting the hearing within 30 days.</w:t>
      </w:r>
    </w:p>
    <w:p w:rsidR="008B269C" w:rsidRDefault="008B269C">
      <w:pPr>
        <w:rPr>
          <w:rFonts w:ascii="Calibri" w:eastAsiaTheme="minorEastAsia" w:hAnsi="Calibri" w:cs="Consolas"/>
        </w:rPr>
      </w:pPr>
      <w:r>
        <w:br w:type="page"/>
      </w:r>
    </w:p>
    <w:p w:rsidR="000B4CE4" w:rsidRPr="009C0B6C" w:rsidRDefault="000130D3" w:rsidP="009C0B6C">
      <w:pPr>
        <w:pStyle w:val="PlainText"/>
        <w:rPr>
          <w:szCs w:val="22"/>
        </w:rPr>
      </w:pPr>
      <w:r>
        <w:rPr>
          <w:szCs w:val="22"/>
        </w:rPr>
        <w:lastRenderedPageBreak/>
        <w:t xml:space="preserve">The petition requesting a hearing must be sent to the </w:t>
      </w:r>
      <w:r w:rsidR="00B8563E" w:rsidRPr="009C0B6C">
        <w:rPr>
          <w:szCs w:val="22"/>
        </w:rPr>
        <w:t>appropriate person:</w:t>
      </w:r>
    </w:p>
    <w:p w:rsidR="00B8563E" w:rsidRPr="009C0B6C" w:rsidRDefault="00B8563E" w:rsidP="009C0B6C">
      <w:pPr>
        <w:pStyle w:val="PlainText"/>
        <w:ind w:left="720"/>
        <w:rPr>
          <w:szCs w:val="22"/>
        </w:rPr>
      </w:pPr>
      <w:r w:rsidRPr="009C0B6C">
        <w:rPr>
          <w:szCs w:val="22"/>
        </w:rPr>
        <w:t>For a community with a board of health and health agent</w:t>
      </w:r>
      <w:r w:rsidR="000D0F0F">
        <w:rPr>
          <w:szCs w:val="22"/>
        </w:rPr>
        <w:t>,</w:t>
      </w:r>
      <w:r w:rsidRPr="009C0B6C">
        <w:rPr>
          <w:szCs w:val="22"/>
        </w:rPr>
        <w:t xml:space="preserve"> the request should be addressed to the chairperson of the board.</w:t>
      </w:r>
    </w:p>
    <w:p w:rsidR="00B8563E" w:rsidRPr="009C0B6C" w:rsidRDefault="00B8563E" w:rsidP="009C0B6C">
      <w:pPr>
        <w:pStyle w:val="PlainText"/>
        <w:ind w:left="720"/>
        <w:rPr>
          <w:szCs w:val="22"/>
        </w:rPr>
      </w:pPr>
      <w:r w:rsidRPr="009C0B6C">
        <w:rPr>
          <w:szCs w:val="22"/>
        </w:rPr>
        <w:t>For a community with a health department and health director</w:t>
      </w:r>
      <w:r w:rsidR="000D0F0F">
        <w:rPr>
          <w:szCs w:val="22"/>
        </w:rPr>
        <w:t>,</w:t>
      </w:r>
      <w:r w:rsidRPr="009C0B6C">
        <w:rPr>
          <w:szCs w:val="22"/>
        </w:rPr>
        <w:t xml:space="preserve"> contact the health director for the appropriate contact as they may have a hearing officer (possibly the health director) rather than a panel or board.</w:t>
      </w:r>
    </w:p>
    <w:p w:rsidR="00B8563E" w:rsidRPr="009C0B6C" w:rsidRDefault="00B8563E" w:rsidP="009C0B6C">
      <w:pPr>
        <w:pStyle w:val="PlainText"/>
        <w:ind w:left="720"/>
        <w:rPr>
          <w:szCs w:val="22"/>
        </w:rPr>
      </w:pPr>
      <w:r w:rsidRPr="009C0B6C">
        <w:rPr>
          <w:szCs w:val="22"/>
        </w:rPr>
        <w:t>For a community with an inspectional services department/division</w:t>
      </w:r>
      <w:r w:rsidR="000D0F0F">
        <w:rPr>
          <w:szCs w:val="22"/>
        </w:rPr>
        <w:t>,</w:t>
      </w:r>
      <w:r w:rsidRPr="009C0B6C">
        <w:rPr>
          <w:szCs w:val="22"/>
        </w:rPr>
        <w:t xml:space="preserve"> contact the commissioner of inspectional services for the appropriate contact.</w:t>
      </w:r>
    </w:p>
    <w:p w:rsidR="00B8563E" w:rsidRPr="009C0B6C" w:rsidRDefault="00B8563E" w:rsidP="009C0B6C">
      <w:pPr>
        <w:pStyle w:val="PlainText"/>
        <w:ind w:left="720"/>
        <w:rPr>
          <w:szCs w:val="22"/>
        </w:rPr>
      </w:pPr>
    </w:p>
    <w:p w:rsidR="00B8563E" w:rsidRPr="009C0B6C" w:rsidRDefault="000130D3" w:rsidP="009C0B6C">
      <w:pPr>
        <w:pStyle w:val="PlainText"/>
        <w:rPr>
          <w:szCs w:val="22"/>
        </w:rPr>
      </w:pPr>
      <w:r>
        <w:rPr>
          <w:szCs w:val="22"/>
        </w:rPr>
        <w:t xml:space="preserve">The community’s website will provide information regarding the local health </w:t>
      </w:r>
      <w:r w:rsidR="00A728BC">
        <w:rPr>
          <w:szCs w:val="22"/>
        </w:rPr>
        <w:t>authority</w:t>
      </w:r>
      <w:r>
        <w:rPr>
          <w:szCs w:val="22"/>
        </w:rPr>
        <w:t xml:space="preserve"> and contact information. CSP does not have this information. </w:t>
      </w:r>
      <w:r w:rsidR="00B8563E" w:rsidRPr="009C0B6C">
        <w:rPr>
          <w:szCs w:val="22"/>
        </w:rPr>
        <w:t>Regardless of the format described above, the occupant has the right to a hearing if filed within 30 days.</w:t>
      </w:r>
    </w:p>
    <w:p w:rsidR="00B8563E" w:rsidRPr="009C0B6C" w:rsidRDefault="00B8563E" w:rsidP="009C0B6C">
      <w:pPr>
        <w:pStyle w:val="PlainText"/>
        <w:rPr>
          <w:szCs w:val="22"/>
        </w:rPr>
      </w:pPr>
    </w:p>
    <w:p w:rsidR="000B4CE4" w:rsidRPr="007173B5" w:rsidRDefault="009C0B6C" w:rsidP="00AE6BBD">
      <w:pPr>
        <w:pStyle w:val="NoSpacing"/>
        <w:rPr>
          <w:u w:val="single"/>
        </w:rPr>
      </w:pPr>
      <w:r w:rsidRPr="007173B5">
        <w:rPr>
          <w:u w:val="single"/>
        </w:rPr>
        <w:t>410.851: Hearing Notice</w:t>
      </w:r>
    </w:p>
    <w:p w:rsidR="009C0B6C" w:rsidRPr="009C0B6C" w:rsidRDefault="009C0B6C" w:rsidP="009C0B6C">
      <w:pPr>
        <w:pStyle w:val="PlainText"/>
        <w:rPr>
          <w:szCs w:val="22"/>
        </w:rPr>
      </w:pPr>
    </w:p>
    <w:p w:rsidR="009C0B6C" w:rsidRPr="009C0B6C" w:rsidRDefault="009C0B6C" w:rsidP="009C0B6C">
      <w:pPr>
        <w:pStyle w:val="PlainText"/>
        <w:rPr>
          <w:szCs w:val="22"/>
        </w:rPr>
      </w:pPr>
      <w:r w:rsidRPr="009C0B6C">
        <w:rPr>
          <w:szCs w:val="22"/>
        </w:rPr>
        <w:t xml:space="preserve">The occupant must receive a notice providing the date, time, and location of the hearing and that the occupant has the right to review </w:t>
      </w:r>
      <w:r w:rsidR="000130D3">
        <w:rPr>
          <w:szCs w:val="22"/>
        </w:rPr>
        <w:t xml:space="preserve">the </w:t>
      </w:r>
      <w:r w:rsidRPr="009C0B6C">
        <w:rPr>
          <w:szCs w:val="22"/>
        </w:rPr>
        <w:t xml:space="preserve">file kept by the </w:t>
      </w:r>
      <w:r w:rsidR="00CC789F">
        <w:rPr>
          <w:szCs w:val="22"/>
        </w:rPr>
        <w:t>local health authority</w:t>
      </w:r>
      <w:r w:rsidRPr="009C0B6C">
        <w:rPr>
          <w:szCs w:val="22"/>
        </w:rPr>
        <w:t>.</w:t>
      </w:r>
    </w:p>
    <w:p w:rsidR="009C0B6C" w:rsidRPr="009C0B6C" w:rsidRDefault="009C0B6C" w:rsidP="009C0B6C">
      <w:pPr>
        <w:pStyle w:val="PlainText"/>
        <w:rPr>
          <w:szCs w:val="22"/>
        </w:rPr>
      </w:pPr>
    </w:p>
    <w:p w:rsidR="009C0B6C" w:rsidRPr="009C0B6C" w:rsidRDefault="009C0B6C" w:rsidP="009C0B6C">
      <w:pPr>
        <w:rPr>
          <w:u w:val="single"/>
        </w:rPr>
      </w:pPr>
      <w:r w:rsidRPr="009C0B6C">
        <w:rPr>
          <w:u w:val="single"/>
        </w:rPr>
        <w:t>410.852: Time for Hearing</w:t>
      </w:r>
    </w:p>
    <w:p w:rsidR="009C0B6C" w:rsidRPr="009C0B6C" w:rsidRDefault="009C0B6C" w:rsidP="009C0B6C">
      <w:r w:rsidRPr="009C0B6C">
        <w:t>The hearing shall be held no more than 14 days after the petition is filed for an occupant citing one or more of the criteria listed in 410.850 above.</w:t>
      </w:r>
    </w:p>
    <w:p w:rsidR="00AE6BBD" w:rsidRDefault="009C0B6C" w:rsidP="00AE6BBD">
      <w:pPr>
        <w:pStyle w:val="NoSpacing"/>
      </w:pPr>
      <w:r w:rsidRPr="007173B5">
        <w:rPr>
          <w:u w:val="single"/>
        </w:rPr>
        <w:t>410.853: Hearing Procedures</w:t>
      </w:r>
    </w:p>
    <w:p w:rsidR="007173B5" w:rsidRDefault="007173B5" w:rsidP="00AE6BBD">
      <w:pPr>
        <w:pStyle w:val="NoSpacing"/>
      </w:pPr>
    </w:p>
    <w:p w:rsidR="007173B5" w:rsidRDefault="007173B5" w:rsidP="00AE6BBD">
      <w:pPr>
        <w:pStyle w:val="NoSpacing"/>
      </w:pPr>
      <w:r>
        <w:t>During the hearing, the occupant will have the opportunity to be heard in order to present their case.</w:t>
      </w:r>
    </w:p>
    <w:p w:rsidR="007173B5" w:rsidRDefault="007173B5" w:rsidP="00AE6BBD">
      <w:pPr>
        <w:pStyle w:val="NoSpacing"/>
      </w:pPr>
    </w:p>
    <w:p w:rsidR="007173B5" w:rsidRDefault="00890BF1" w:rsidP="00AE6BBD">
      <w:pPr>
        <w:pStyle w:val="NoSpacing"/>
      </w:pPr>
      <w:r w:rsidRPr="00890BF1">
        <w:rPr>
          <w:u w:val="single"/>
        </w:rPr>
        <w:t>410.854: Final Decision</w:t>
      </w:r>
      <w:r w:rsidR="00D15E48">
        <w:rPr>
          <w:u w:val="single"/>
        </w:rPr>
        <w:t xml:space="preserve"> &amp; 410.855: Official Hearing Record</w:t>
      </w:r>
    </w:p>
    <w:p w:rsidR="00890BF1" w:rsidRDefault="00890BF1" w:rsidP="00AE6BBD">
      <w:pPr>
        <w:pStyle w:val="NoSpacing"/>
      </w:pPr>
    </w:p>
    <w:p w:rsidR="00890BF1" w:rsidRDefault="00D15E48" w:rsidP="00AE6BBD">
      <w:pPr>
        <w:pStyle w:val="NoSpacing"/>
      </w:pPr>
      <w:r>
        <w:t xml:space="preserve">The final decision must be in writing and shall be kept by the town clerk or </w:t>
      </w:r>
      <w:r w:rsidR="00233709">
        <w:t>LHA</w:t>
      </w:r>
      <w:r>
        <w:t xml:space="preserve"> as public record.</w:t>
      </w:r>
    </w:p>
    <w:p w:rsidR="00D15E48" w:rsidRDefault="00D15E48" w:rsidP="00AE6BBD">
      <w:pPr>
        <w:pStyle w:val="NoSpacing"/>
      </w:pPr>
    </w:p>
    <w:p w:rsidR="00D15E48" w:rsidRPr="00D15E48" w:rsidRDefault="00D15E48" w:rsidP="00AE6BBD">
      <w:pPr>
        <w:pStyle w:val="NoSpacing"/>
        <w:rPr>
          <w:u w:val="single"/>
        </w:rPr>
      </w:pPr>
      <w:r w:rsidRPr="00D15E48">
        <w:rPr>
          <w:u w:val="single"/>
        </w:rPr>
        <w:t>410.860: Appeal of Final Decisions</w:t>
      </w:r>
    </w:p>
    <w:p w:rsidR="00AE6BBD" w:rsidRDefault="00AE6BBD" w:rsidP="00AE6BBD">
      <w:pPr>
        <w:pStyle w:val="NoSpacing"/>
      </w:pPr>
    </w:p>
    <w:p w:rsidR="00D15E48" w:rsidRDefault="00D15E48" w:rsidP="00AE6BBD">
      <w:pPr>
        <w:pStyle w:val="NoSpacing"/>
      </w:pPr>
      <w:r>
        <w:t>If an occupant is not satisfied with the final decision</w:t>
      </w:r>
      <w:r w:rsidR="00233709">
        <w:t xml:space="preserve"> of the LHA</w:t>
      </w:r>
      <w:r>
        <w:t>, they have the right to appeal in court. As previously mentioned</w:t>
      </w:r>
      <w:r w:rsidR="00AB0BDF">
        <w:t>,</w:t>
      </w:r>
      <w:r>
        <w:t xml:space="preserve"> </w:t>
      </w:r>
      <w:r w:rsidR="00B05B20">
        <w:t>Housing</w:t>
      </w:r>
      <w:r>
        <w:t xml:space="preserve"> Court or Sup</w:t>
      </w:r>
      <w:r w:rsidR="002B0D96">
        <w:t>erior</w:t>
      </w:r>
      <w:r>
        <w:t xml:space="preserve"> Court are preferred.</w:t>
      </w:r>
    </w:p>
    <w:p w:rsidR="0086415A" w:rsidRDefault="0086415A" w:rsidP="00AE6BBD">
      <w:pPr>
        <w:pStyle w:val="NoSpacing"/>
      </w:pPr>
    </w:p>
    <w:p w:rsidR="00AB0BDF" w:rsidRPr="000D0F0F" w:rsidRDefault="00AB0BDF" w:rsidP="00AE6BBD">
      <w:pPr>
        <w:pStyle w:val="NoSpacing"/>
        <w:rPr>
          <w:b/>
        </w:rPr>
      </w:pPr>
      <w:r w:rsidRPr="000D0F0F">
        <w:rPr>
          <w:b/>
        </w:rPr>
        <w:t xml:space="preserve">Remember: the Massachusetts Department of Public Health does not have authority over </w:t>
      </w:r>
      <w:r w:rsidR="00017A2A" w:rsidRPr="000D0F0F">
        <w:rPr>
          <w:b/>
        </w:rPr>
        <w:t>the</w:t>
      </w:r>
      <w:r w:rsidRPr="000D0F0F">
        <w:rPr>
          <w:b/>
        </w:rPr>
        <w:t xml:space="preserve"> LHA.</w:t>
      </w:r>
    </w:p>
    <w:p w:rsidR="00AB0BDF" w:rsidRDefault="00AB0BDF" w:rsidP="00AE6BBD">
      <w:pPr>
        <w:pStyle w:val="NoSpacing"/>
      </w:pPr>
    </w:p>
    <w:p w:rsidR="0086415A" w:rsidRDefault="00AB0BDF" w:rsidP="00AB0BDF">
      <w:pPr>
        <w:pStyle w:val="NoSpacing"/>
      </w:pPr>
      <w:r>
        <w:t xml:space="preserve">Occupants are encouraged to use the regulatory procedures outlined above. </w:t>
      </w:r>
      <w:r w:rsidR="0086415A">
        <w:t xml:space="preserve">For additional information </w:t>
      </w:r>
      <w:r w:rsidR="000D0F0F">
        <w:t xml:space="preserve">occupants should </w:t>
      </w:r>
      <w:r w:rsidR="0086415A">
        <w:t xml:space="preserve">contact </w:t>
      </w:r>
      <w:r w:rsidR="000D0F0F">
        <w:t>their</w:t>
      </w:r>
      <w:r w:rsidR="0086415A">
        <w:t xml:space="preserve"> local leg</w:t>
      </w:r>
      <w:r>
        <w:t>al services organization</w:t>
      </w:r>
      <w:r w:rsidR="0086415A">
        <w:t>.</w:t>
      </w:r>
    </w:p>
    <w:p w:rsidR="009C0B6C" w:rsidRDefault="009C0B6C" w:rsidP="00AB0BDF">
      <w:pPr>
        <w:pStyle w:val="NoSpacing"/>
      </w:pPr>
    </w:p>
    <w:p w:rsidR="000130D3" w:rsidRDefault="000130D3" w:rsidP="00360C71">
      <w:pPr>
        <w:pStyle w:val="NoSpacing"/>
      </w:pPr>
      <w:r w:rsidRPr="00360C71">
        <w:rPr>
          <w:u w:val="single"/>
        </w:rPr>
        <w:t>Resources:</w:t>
      </w:r>
    </w:p>
    <w:p w:rsidR="00360C71" w:rsidRPr="00360C71" w:rsidRDefault="00360C71" w:rsidP="00360C71">
      <w:pPr>
        <w:pStyle w:val="NoSpacing"/>
      </w:pPr>
    </w:p>
    <w:p w:rsidR="000130D3" w:rsidRDefault="000130D3" w:rsidP="000130D3">
      <w:pPr>
        <w:pStyle w:val="NoSpacing"/>
      </w:pPr>
      <w:r>
        <w:t xml:space="preserve">Massachusetts Department of Public Health, </w:t>
      </w:r>
      <w:hyperlink r:id="rId7" w:tooltip="MDPH" w:history="1">
        <w:r w:rsidRPr="00254AA6">
          <w:rPr>
            <w:rStyle w:val="Hyperlink"/>
          </w:rPr>
          <w:t>www.mass.gov/dph</w:t>
        </w:r>
      </w:hyperlink>
    </w:p>
    <w:p w:rsidR="000760EC" w:rsidRDefault="000760EC" w:rsidP="000130D3">
      <w:pPr>
        <w:pStyle w:val="NoSpacing"/>
      </w:pPr>
      <w:r>
        <w:t xml:space="preserve">Bureau of Environmental Health, </w:t>
      </w:r>
      <w:hyperlink r:id="rId8" w:tooltip="Bureau of Environmental Health" w:history="1">
        <w:r w:rsidRPr="00254AA6">
          <w:rPr>
            <w:rStyle w:val="Hyperlink"/>
          </w:rPr>
          <w:t>http://www.mass.gov/eohhs/gov/departments/dph/programs/environmental-health/</w:t>
        </w:r>
      </w:hyperlink>
    </w:p>
    <w:p w:rsidR="000130D3" w:rsidRDefault="000130D3" w:rsidP="000130D3">
      <w:pPr>
        <w:pStyle w:val="NoSpacing"/>
        <w:rPr>
          <w:rStyle w:val="Hyperlink"/>
        </w:rPr>
      </w:pPr>
      <w:r>
        <w:t xml:space="preserve">Community Sanitation Program, </w:t>
      </w:r>
      <w:hyperlink r:id="rId9" w:tooltip="Community Sanitation Program" w:history="1">
        <w:r w:rsidRPr="00254AA6">
          <w:rPr>
            <w:rStyle w:val="Hyperlink"/>
          </w:rPr>
          <w:t>www.mass.gov/dph/dcs</w:t>
        </w:r>
      </w:hyperlink>
    </w:p>
    <w:p w:rsidR="000130D3" w:rsidRDefault="000130D3" w:rsidP="000130D3">
      <w:pPr>
        <w:pStyle w:val="NoSpacing"/>
      </w:pPr>
      <w:r>
        <w:t xml:space="preserve">Massachusetts General Laws, </w:t>
      </w:r>
      <w:hyperlink r:id="rId10" w:tooltip="Massachusetts General Laws" w:history="1">
        <w:r w:rsidRPr="00254AA6">
          <w:rPr>
            <w:rStyle w:val="Hyperlink"/>
          </w:rPr>
          <w:t>https://malegislature.gov/Laws/GeneralLaws/Search</w:t>
        </w:r>
      </w:hyperlink>
    </w:p>
    <w:p w:rsidR="00935664" w:rsidRDefault="000130D3" w:rsidP="000130D3">
      <w:pPr>
        <w:pStyle w:val="NoSpacing"/>
      </w:pPr>
      <w:r>
        <w:t xml:space="preserve">Code of Massachusetts Regulations, </w:t>
      </w:r>
      <w:hyperlink r:id="rId11" w:tooltip="Code of Massachusetts Regulations" w:history="1">
        <w:r w:rsidR="00935664" w:rsidRPr="00F7638B">
          <w:rPr>
            <w:rStyle w:val="Hyperlink"/>
          </w:rPr>
          <w:t>http://www.mass.gov/courts/case-legal-res/law-lib/laws-by-source/cmr/</w:t>
        </w:r>
      </w:hyperlink>
    </w:p>
    <w:p w:rsidR="000130D3" w:rsidRDefault="000130D3" w:rsidP="000130D3">
      <w:pPr>
        <w:pStyle w:val="NoSpacing"/>
      </w:pPr>
      <w:r>
        <w:t xml:space="preserve">Massachusetts Trial Court, </w:t>
      </w:r>
      <w:hyperlink r:id="rId12" w:tgtFrame="Massachusetts Trial Court" w:tooltip="Massachusetts Trial Court" w:history="1">
        <w:r w:rsidRPr="009C0B6C">
          <w:rPr>
            <w:rStyle w:val="Hyperlink"/>
          </w:rPr>
          <w:t>http://www.mass.gov/courts/courtsandjudges/courts/index.html</w:t>
        </w:r>
      </w:hyperlink>
    </w:p>
    <w:p w:rsidR="000130D3" w:rsidRDefault="001A6795" w:rsidP="000130D3">
      <w:pPr>
        <w:pStyle w:val="NoSpacing"/>
      </w:pPr>
      <w:r w:rsidRPr="001A6795">
        <w:rPr>
          <w:rStyle w:val="Hyperlink"/>
          <w:color w:val="auto"/>
          <w:u w:val="none"/>
        </w:rPr>
        <w:t>Housing Regulations</w:t>
      </w:r>
      <w:r>
        <w:rPr>
          <w:rStyle w:val="Hyperlink"/>
          <w:color w:val="auto"/>
          <w:u w:val="none"/>
        </w:rPr>
        <w:t xml:space="preserve">, </w:t>
      </w:r>
      <w:hyperlink r:id="rId13" w:tooltip="Housing Regulations" w:history="1">
        <w:r w:rsidRPr="00B61011">
          <w:rPr>
            <w:rStyle w:val="Hyperlink"/>
          </w:rPr>
          <w:t>http://www.mass.gov/eohhs/gov/departments/dph/programs/environmental-health/comm-sanitation/housing.html</w:t>
        </w:r>
      </w:hyperlink>
    </w:p>
    <w:sectPr w:rsidR="000130D3" w:rsidSect="00A728B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6C" w:rsidRDefault="009C0B6C" w:rsidP="009C0B6C">
      <w:pPr>
        <w:spacing w:after="0"/>
      </w:pPr>
      <w:r>
        <w:separator/>
      </w:r>
    </w:p>
  </w:endnote>
  <w:endnote w:type="continuationSeparator" w:id="0">
    <w:p w:rsidR="009C0B6C" w:rsidRDefault="009C0B6C" w:rsidP="009C0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71" w:rsidRPr="00360C71" w:rsidRDefault="000D0F0F">
    <w:pPr>
      <w:pStyle w:val="Footer"/>
      <w:rPr>
        <w:sz w:val="20"/>
        <w:szCs w:val="20"/>
      </w:rPr>
    </w:pPr>
    <w:r>
      <w:rPr>
        <w:sz w:val="20"/>
        <w:szCs w:val="20"/>
      </w:rPr>
      <w:fldChar w:fldCharType="begin"/>
    </w:r>
    <w:r>
      <w:rPr>
        <w:sz w:val="20"/>
        <w:szCs w:val="20"/>
      </w:rPr>
      <w:instrText xml:space="preserve"> FILENAME  \* FirstCap  \* MERGEFORMAT </w:instrText>
    </w:r>
    <w:r>
      <w:rPr>
        <w:sz w:val="20"/>
        <w:szCs w:val="20"/>
      </w:rPr>
      <w:fldChar w:fldCharType="separate"/>
    </w:r>
    <w:r>
      <w:rPr>
        <w:noProof/>
        <w:sz w:val="20"/>
        <w:szCs w:val="20"/>
      </w:rPr>
      <w:t>410-A Guide for Occupants-Enforcement of the Housing Code  10-18-13</w:t>
    </w:r>
    <w:r>
      <w:rPr>
        <w:sz w:val="20"/>
        <w:szCs w:val="20"/>
      </w:rPr>
      <w:fldChar w:fldCharType="end"/>
    </w:r>
    <w:r w:rsidR="00360C71" w:rsidRPr="00360C71">
      <w:rPr>
        <w:sz w:val="20"/>
        <w:szCs w:val="20"/>
      </w:rPr>
      <w:tab/>
      <w:t xml:space="preserve">Page </w:t>
    </w:r>
    <w:r w:rsidR="00360C71" w:rsidRPr="00360C71">
      <w:rPr>
        <w:sz w:val="20"/>
        <w:szCs w:val="20"/>
      </w:rPr>
      <w:fldChar w:fldCharType="begin"/>
    </w:r>
    <w:r w:rsidR="00360C71" w:rsidRPr="00360C71">
      <w:rPr>
        <w:sz w:val="20"/>
        <w:szCs w:val="20"/>
      </w:rPr>
      <w:instrText xml:space="preserve"> PAGE  \* Arabic  \* MERGEFORMAT </w:instrText>
    </w:r>
    <w:r w:rsidR="00360C71" w:rsidRPr="00360C71">
      <w:rPr>
        <w:sz w:val="20"/>
        <w:szCs w:val="20"/>
      </w:rPr>
      <w:fldChar w:fldCharType="separate"/>
    </w:r>
    <w:r w:rsidR="00C8346C">
      <w:rPr>
        <w:noProof/>
        <w:sz w:val="20"/>
        <w:szCs w:val="20"/>
      </w:rPr>
      <w:t>1</w:t>
    </w:r>
    <w:r w:rsidR="00360C71" w:rsidRPr="00360C71">
      <w:rPr>
        <w:sz w:val="20"/>
        <w:szCs w:val="20"/>
      </w:rPr>
      <w:fldChar w:fldCharType="end"/>
    </w:r>
    <w:r w:rsidR="00360C71" w:rsidRPr="00360C71">
      <w:rPr>
        <w:sz w:val="20"/>
        <w:szCs w:val="20"/>
      </w:rPr>
      <w:t xml:space="preserve"> of </w:t>
    </w:r>
    <w:r w:rsidR="00360C71" w:rsidRPr="00360C71">
      <w:rPr>
        <w:sz w:val="20"/>
        <w:szCs w:val="20"/>
      </w:rPr>
      <w:fldChar w:fldCharType="begin"/>
    </w:r>
    <w:r w:rsidR="00360C71" w:rsidRPr="00360C71">
      <w:rPr>
        <w:sz w:val="20"/>
        <w:szCs w:val="20"/>
      </w:rPr>
      <w:instrText xml:space="preserve"> NUMPAGES  \* Arabic  \* MERGEFORMAT </w:instrText>
    </w:r>
    <w:r w:rsidR="00360C71" w:rsidRPr="00360C71">
      <w:rPr>
        <w:sz w:val="20"/>
        <w:szCs w:val="20"/>
      </w:rPr>
      <w:fldChar w:fldCharType="separate"/>
    </w:r>
    <w:r w:rsidR="00C8346C">
      <w:rPr>
        <w:noProof/>
        <w:sz w:val="20"/>
        <w:szCs w:val="20"/>
      </w:rPr>
      <w:t>2</w:t>
    </w:r>
    <w:r w:rsidR="00360C71" w:rsidRPr="00360C7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6C" w:rsidRDefault="009C0B6C" w:rsidP="009C0B6C">
      <w:pPr>
        <w:spacing w:after="0"/>
      </w:pPr>
      <w:r>
        <w:separator/>
      </w:r>
    </w:p>
  </w:footnote>
  <w:footnote w:type="continuationSeparator" w:id="0">
    <w:p w:rsidR="009C0B6C" w:rsidRDefault="009C0B6C" w:rsidP="009C0B6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03"/>
    <w:rsid w:val="000130D3"/>
    <w:rsid w:val="00017A2A"/>
    <w:rsid w:val="0005527B"/>
    <w:rsid w:val="000760EC"/>
    <w:rsid w:val="000B4CE4"/>
    <w:rsid w:val="000D0F0F"/>
    <w:rsid w:val="000E5F2A"/>
    <w:rsid w:val="00101F5C"/>
    <w:rsid w:val="001A6795"/>
    <w:rsid w:val="001D1DA7"/>
    <w:rsid w:val="00233709"/>
    <w:rsid w:val="00244D86"/>
    <w:rsid w:val="002B0D96"/>
    <w:rsid w:val="00360C71"/>
    <w:rsid w:val="00552823"/>
    <w:rsid w:val="0059606D"/>
    <w:rsid w:val="007173B5"/>
    <w:rsid w:val="007F3839"/>
    <w:rsid w:val="007F7A03"/>
    <w:rsid w:val="0080632A"/>
    <w:rsid w:val="00820AC0"/>
    <w:rsid w:val="0086415A"/>
    <w:rsid w:val="008807DC"/>
    <w:rsid w:val="00890BF1"/>
    <w:rsid w:val="008B269C"/>
    <w:rsid w:val="00935664"/>
    <w:rsid w:val="009C0B6C"/>
    <w:rsid w:val="00A728BC"/>
    <w:rsid w:val="00AA4B09"/>
    <w:rsid w:val="00AB0BDF"/>
    <w:rsid w:val="00AB59EF"/>
    <w:rsid w:val="00AE6BBD"/>
    <w:rsid w:val="00B05B20"/>
    <w:rsid w:val="00B3660B"/>
    <w:rsid w:val="00B64D4F"/>
    <w:rsid w:val="00B8563E"/>
    <w:rsid w:val="00C460E3"/>
    <w:rsid w:val="00C8346C"/>
    <w:rsid w:val="00CC789F"/>
    <w:rsid w:val="00D15E48"/>
    <w:rsid w:val="00DC0DAA"/>
    <w:rsid w:val="00EE1DCB"/>
    <w:rsid w:val="00F9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7A03"/>
    <w:pPr>
      <w:spacing w:after="0"/>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7F7A03"/>
    <w:rPr>
      <w:rFonts w:ascii="Calibri" w:eastAsiaTheme="minorEastAsia" w:hAnsi="Calibri" w:cs="Consolas"/>
      <w:szCs w:val="21"/>
    </w:rPr>
  </w:style>
  <w:style w:type="character" w:styleId="Hyperlink">
    <w:name w:val="Hyperlink"/>
    <w:basedOn w:val="DefaultParagraphFont"/>
    <w:uiPriority w:val="99"/>
    <w:unhideWhenUsed/>
    <w:rsid w:val="00101F5C"/>
    <w:rPr>
      <w:color w:val="0000FF" w:themeColor="hyperlink"/>
      <w:u w:val="single"/>
    </w:rPr>
  </w:style>
  <w:style w:type="paragraph" w:styleId="Header">
    <w:name w:val="header"/>
    <w:basedOn w:val="Normal"/>
    <w:link w:val="HeaderChar"/>
    <w:uiPriority w:val="99"/>
    <w:unhideWhenUsed/>
    <w:rsid w:val="009C0B6C"/>
    <w:pPr>
      <w:tabs>
        <w:tab w:val="center" w:pos="4680"/>
        <w:tab w:val="right" w:pos="9360"/>
      </w:tabs>
      <w:spacing w:after="0"/>
    </w:pPr>
  </w:style>
  <w:style w:type="character" w:customStyle="1" w:styleId="HeaderChar">
    <w:name w:val="Header Char"/>
    <w:basedOn w:val="DefaultParagraphFont"/>
    <w:link w:val="Header"/>
    <w:uiPriority w:val="99"/>
    <w:rsid w:val="009C0B6C"/>
  </w:style>
  <w:style w:type="paragraph" w:styleId="Footer">
    <w:name w:val="footer"/>
    <w:basedOn w:val="Normal"/>
    <w:link w:val="FooterChar"/>
    <w:uiPriority w:val="99"/>
    <w:unhideWhenUsed/>
    <w:rsid w:val="009C0B6C"/>
    <w:pPr>
      <w:tabs>
        <w:tab w:val="center" w:pos="4680"/>
        <w:tab w:val="right" w:pos="9360"/>
      </w:tabs>
      <w:spacing w:after="0"/>
    </w:pPr>
  </w:style>
  <w:style w:type="character" w:customStyle="1" w:styleId="FooterChar">
    <w:name w:val="Footer Char"/>
    <w:basedOn w:val="DefaultParagraphFont"/>
    <w:link w:val="Footer"/>
    <w:uiPriority w:val="99"/>
    <w:rsid w:val="009C0B6C"/>
  </w:style>
  <w:style w:type="paragraph" w:styleId="NoSpacing">
    <w:name w:val="No Spacing"/>
    <w:uiPriority w:val="1"/>
    <w:qFormat/>
    <w:rsid w:val="00AE6BBD"/>
    <w:pPr>
      <w:spacing w:after="0"/>
    </w:pPr>
  </w:style>
  <w:style w:type="character" w:styleId="FollowedHyperlink">
    <w:name w:val="FollowedHyperlink"/>
    <w:basedOn w:val="DefaultParagraphFont"/>
    <w:uiPriority w:val="99"/>
    <w:semiHidden/>
    <w:unhideWhenUsed/>
    <w:rsid w:val="000760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7A03"/>
    <w:pPr>
      <w:spacing w:after="0"/>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7F7A03"/>
    <w:rPr>
      <w:rFonts w:ascii="Calibri" w:eastAsiaTheme="minorEastAsia" w:hAnsi="Calibri" w:cs="Consolas"/>
      <w:szCs w:val="21"/>
    </w:rPr>
  </w:style>
  <w:style w:type="character" w:styleId="Hyperlink">
    <w:name w:val="Hyperlink"/>
    <w:basedOn w:val="DefaultParagraphFont"/>
    <w:uiPriority w:val="99"/>
    <w:unhideWhenUsed/>
    <w:rsid w:val="00101F5C"/>
    <w:rPr>
      <w:color w:val="0000FF" w:themeColor="hyperlink"/>
      <w:u w:val="single"/>
    </w:rPr>
  </w:style>
  <w:style w:type="paragraph" w:styleId="Header">
    <w:name w:val="header"/>
    <w:basedOn w:val="Normal"/>
    <w:link w:val="HeaderChar"/>
    <w:uiPriority w:val="99"/>
    <w:unhideWhenUsed/>
    <w:rsid w:val="009C0B6C"/>
    <w:pPr>
      <w:tabs>
        <w:tab w:val="center" w:pos="4680"/>
        <w:tab w:val="right" w:pos="9360"/>
      </w:tabs>
      <w:spacing w:after="0"/>
    </w:pPr>
  </w:style>
  <w:style w:type="character" w:customStyle="1" w:styleId="HeaderChar">
    <w:name w:val="Header Char"/>
    <w:basedOn w:val="DefaultParagraphFont"/>
    <w:link w:val="Header"/>
    <w:uiPriority w:val="99"/>
    <w:rsid w:val="009C0B6C"/>
  </w:style>
  <w:style w:type="paragraph" w:styleId="Footer">
    <w:name w:val="footer"/>
    <w:basedOn w:val="Normal"/>
    <w:link w:val="FooterChar"/>
    <w:uiPriority w:val="99"/>
    <w:unhideWhenUsed/>
    <w:rsid w:val="009C0B6C"/>
    <w:pPr>
      <w:tabs>
        <w:tab w:val="center" w:pos="4680"/>
        <w:tab w:val="right" w:pos="9360"/>
      </w:tabs>
      <w:spacing w:after="0"/>
    </w:pPr>
  </w:style>
  <w:style w:type="character" w:customStyle="1" w:styleId="FooterChar">
    <w:name w:val="Footer Char"/>
    <w:basedOn w:val="DefaultParagraphFont"/>
    <w:link w:val="Footer"/>
    <w:uiPriority w:val="99"/>
    <w:rsid w:val="009C0B6C"/>
  </w:style>
  <w:style w:type="paragraph" w:styleId="NoSpacing">
    <w:name w:val="No Spacing"/>
    <w:uiPriority w:val="1"/>
    <w:qFormat/>
    <w:rsid w:val="00AE6BBD"/>
    <w:pPr>
      <w:spacing w:after="0"/>
    </w:pPr>
  </w:style>
  <w:style w:type="character" w:styleId="FollowedHyperlink">
    <w:name w:val="FollowedHyperlink"/>
    <w:basedOn w:val="DefaultParagraphFont"/>
    <w:uiPriority w:val="99"/>
    <w:semiHidden/>
    <w:unhideWhenUsed/>
    <w:rsid w:val="000760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malegislature.gov/Laws/GeneralLaws/Search"/>
  <Relationship Id="rId11" Type="http://schemas.openxmlformats.org/officeDocument/2006/relationships/hyperlink" TargetMode="External" Target="http://www.mass.gov/courts/case-legal-res/law-lib/laws-by-source/cmr/"/>
  <Relationship Id="rId12" Type="http://schemas.openxmlformats.org/officeDocument/2006/relationships/hyperlink" TargetMode="External" Target="http://www.mass.gov/courts/courtsandjudges/courts/index.html"/>
  <Relationship Id="rId13" Type="http://schemas.openxmlformats.org/officeDocument/2006/relationships/hyperlink" TargetMode="External" Target="http://www.mass.gov/eohhs/gov/departments/dph/programs/environmental-health/comm-sanitation/housing.ht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mass.gov/dph"/>
  <Relationship Id="rId8" Type="http://schemas.openxmlformats.org/officeDocument/2006/relationships/hyperlink" TargetMode="External" Target="http://www.mass.gov/eohhs/gov/departments/dph/programs/environmental-health/"/>
  <Relationship Id="rId9" Type="http://schemas.openxmlformats.org/officeDocument/2006/relationships/hyperlink" TargetMode="External" Target="http://www.mass.gov/dph/d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 Guide for Occupants: Enforcement of the Massachusetts Housing Code</vt:lpstr>
    </vt:vector>
  </TitlesOfParts>
  <Company>EOHHS</Company>
  <LinksUpToDate>false</LinksUpToDate>
  <CharactersWithSpaces>6036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2016-02-29T16:12:00Z</dcterms:created>
  <dc:creator>MDPH - Community Sanitation Program</dc:creator>
  <keywords>Housing Code; 105 CMR 410.000; complaints; inspections, orders to correct; enforcement; regulatory interpretations</keywords>
  <lastModifiedBy/>
  <lastPrinted>2013-10-18T13:55:00Z</lastPrinted>
  <dcterms:modified xsi:type="dcterms:W3CDTF">2016-02-29T16:12:00Z</dcterms:modified>
  <revision>2</revision>
  <dc:subject>In MA the Local Health Authority has primary enforcement of the Housing Code, 105 CMR 410.000. Complaints regarding housing violations must be addressed to the LHA. The LHA is responsible for conducting inspections, issuing orders to correct, and enforcement to ensure violations are corrected. The role of the MDPH’s Community Sanitation Program is to provide regulatory interpretations, training, and general information to local health and the general public.</dc:subject>
  <dc:title>A Guide for Occupants: Enforcement of the Massachusetts Housing Code</dc:title>
</coreProperties>
</file>