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71CA" w14:textId="2C810A41" w:rsidR="00800C6E" w:rsidRPr="00C869FF" w:rsidRDefault="00800C6E" w:rsidP="00C869FF">
      <w:pPr>
        <w:pStyle w:val="Heading1"/>
      </w:pPr>
      <w:r w:rsidRPr="00C869FF">
        <w:t xml:space="preserve">EOHHS Listening Session </w:t>
      </w:r>
    </w:p>
    <w:p w14:paraId="6D731E7A" w14:textId="43E7C9E3" w:rsidR="00800C6E" w:rsidRDefault="00800C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 and Community Based Services (HCBS) Waiver Amendment Application</w:t>
      </w:r>
      <w:r w:rsidR="003B2CD6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:</w:t>
      </w:r>
    </w:p>
    <w:p w14:paraId="76013484" w14:textId="77777777" w:rsidR="003B2CD6" w:rsidRDefault="003B2CD6">
      <w:pPr>
        <w:rPr>
          <w:sz w:val="24"/>
          <w:szCs w:val="24"/>
        </w:rPr>
      </w:pPr>
      <w:r w:rsidRPr="003B2CD6">
        <w:rPr>
          <w:sz w:val="24"/>
          <w:szCs w:val="24"/>
        </w:rPr>
        <w:t>Acquired Brain Injury Waivers and Moving Forward Plan Waivers</w:t>
      </w:r>
    </w:p>
    <w:p w14:paraId="135A6AF7" w14:textId="1E0B7AC5" w:rsidR="00800C6E" w:rsidRPr="00800C6E" w:rsidRDefault="003B2CD6">
      <w:pPr>
        <w:rPr>
          <w:sz w:val="24"/>
          <w:szCs w:val="24"/>
        </w:rPr>
      </w:pPr>
      <w:r>
        <w:rPr>
          <w:sz w:val="24"/>
          <w:szCs w:val="24"/>
        </w:rPr>
        <w:t>October 6</w:t>
      </w:r>
      <w:r w:rsidR="00800C6E">
        <w:rPr>
          <w:sz w:val="24"/>
          <w:szCs w:val="24"/>
        </w:rPr>
        <w:t>, 202</w:t>
      </w:r>
      <w:r w:rsidR="00D977B4">
        <w:rPr>
          <w:sz w:val="24"/>
          <w:szCs w:val="24"/>
        </w:rPr>
        <w:t>2</w:t>
      </w:r>
    </w:p>
    <w:p w14:paraId="53253B7C" w14:textId="77777777" w:rsidR="00800C6E" w:rsidRDefault="00800C6E">
      <w:pPr>
        <w:rPr>
          <w:b/>
          <w:bCs/>
          <w:sz w:val="24"/>
          <w:szCs w:val="24"/>
        </w:rPr>
      </w:pPr>
    </w:p>
    <w:p w14:paraId="02680A18" w14:textId="74EB2091" w:rsidR="00AA65A5" w:rsidRPr="00C869FF" w:rsidRDefault="00D977B4" w:rsidP="00C869FF">
      <w:pPr>
        <w:pStyle w:val="Heading2"/>
      </w:pPr>
      <w:r>
        <w:t>Zoom</w:t>
      </w:r>
      <w:r w:rsidR="00AA65A5" w:rsidRPr="00C869FF">
        <w:t>/Conference Call Logistics</w:t>
      </w:r>
    </w:p>
    <w:p w14:paraId="53874DFE" w14:textId="77777777" w:rsidR="00AA65A5" w:rsidRPr="00AA65A5" w:rsidRDefault="00AA65A5" w:rsidP="00AA65A5">
      <w:pPr>
        <w:pStyle w:val="ListParagraph"/>
        <w:numPr>
          <w:ilvl w:val="0"/>
          <w:numId w:val="1"/>
        </w:numPr>
      </w:pPr>
      <w:r w:rsidRPr="00AA65A5">
        <w:t xml:space="preserve">To avoid echo, background noise, and disruptive feedback on this call, </w:t>
      </w:r>
      <w:r w:rsidRPr="00AA65A5">
        <w:rPr>
          <w:b/>
          <w:bCs/>
        </w:rPr>
        <w:t>please place yourself on MUTE</w:t>
      </w:r>
    </w:p>
    <w:p w14:paraId="08C7F6AC" w14:textId="3F5D2AD4" w:rsidR="00AA65A5" w:rsidRPr="00AA65A5" w:rsidRDefault="00AA65A5" w:rsidP="00AA65A5">
      <w:pPr>
        <w:pStyle w:val="ListParagraph"/>
        <w:numPr>
          <w:ilvl w:val="1"/>
          <w:numId w:val="1"/>
        </w:numPr>
      </w:pPr>
      <w:r w:rsidRPr="00AA65A5">
        <w:t xml:space="preserve">In </w:t>
      </w:r>
      <w:r w:rsidR="00D977B4">
        <w:t>Zoom</w:t>
      </w:r>
      <w:r w:rsidRPr="00AA65A5">
        <w:t>, find the microphone icon and click to MUTE</w:t>
      </w:r>
    </w:p>
    <w:p w14:paraId="7A4EDF73" w14:textId="4382A621" w:rsidR="00AA65A5" w:rsidRPr="00AA65A5" w:rsidRDefault="00AA65A5" w:rsidP="00AA65A5">
      <w:pPr>
        <w:pStyle w:val="ListParagraph"/>
        <w:ind w:left="1440"/>
      </w:pPr>
      <w:r w:rsidRPr="00AA65A5">
        <w:t xml:space="preserve">Or - </w:t>
      </w:r>
    </w:p>
    <w:p w14:paraId="3EDF3D1B" w14:textId="77777777" w:rsidR="00AA65A5" w:rsidRPr="00AA65A5" w:rsidRDefault="00AA65A5" w:rsidP="00AA65A5">
      <w:pPr>
        <w:pStyle w:val="ListParagraph"/>
        <w:numPr>
          <w:ilvl w:val="1"/>
          <w:numId w:val="1"/>
        </w:numPr>
      </w:pPr>
      <w:r w:rsidRPr="00AA65A5">
        <w:t xml:space="preserve">On your telephone, use the MUTE function </w:t>
      </w:r>
    </w:p>
    <w:p w14:paraId="1538183E" w14:textId="77777777" w:rsidR="00AA65A5" w:rsidRPr="00AA65A5" w:rsidRDefault="00AA65A5" w:rsidP="00AA65A5">
      <w:pPr>
        <w:pStyle w:val="ListParagraph"/>
        <w:numPr>
          <w:ilvl w:val="0"/>
          <w:numId w:val="1"/>
        </w:numPr>
      </w:pPr>
      <w:r w:rsidRPr="00AA65A5">
        <w:t>If you would like to speak after our brief presentation</w:t>
      </w:r>
    </w:p>
    <w:p w14:paraId="2406B76D" w14:textId="66E166F7" w:rsidR="00AA65A5" w:rsidRPr="00AA65A5" w:rsidRDefault="00AA65A5" w:rsidP="00AA65A5">
      <w:pPr>
        <w:pStyle w:val="ListParagraph"/>
        <w:numPr>
          <w:ilvl w:val="1"/>
          <w:numId w:val="1"/>
        </w:numPr>
      </w:pPr>
      <w:r w:rsidRPr="00AA65A5">
        <w:t xml:space="preserve">In </w:t>
      </w:r>
      <w:r w:rsidR="00D977B4">
        <w:t>Zoom</w:t>
      </w:r>
      <w:r w:rsidRPr="00AA65A5">
        <w:t>, use the “raise hand” or chat function to alert moderator that you wish to speak</w:t>
      </w:r>
    </w:p>
    <w:p w14:paraId="30B78D37" w14:textId="75CB5E40" w:rsidR="00AA65A5" w:rsidRPr="00AA65A5" w:rsidRDefault="00AA65A5" w:rsidP="00AA65A5">
      <w:pPr>
        <w:pStyle w:val="ListParagraph"/>
        <w:ind w:left="1440"/>
      </w:pPr>
      <w:r w:rsidRPr="00AA65A5">
        <w:t xml:space="preserve">Or - </w:t>
      </w:r>
    </w:p>
    <w:p w14:paraId="0CB14ECD" w14:textId="77777777" w:rsidR="00AA65A5" w:rsidRPr="00AA65A5" w:rsidRDefault="00AA65A5" w:rsidP="00AA65A5">
      <w:pPr>
        <w:pStyle w:val="ListParagraph"/>
        <w:numPr>
          <w:ilvl w:val="1"/>
          <w:numId w:val="1"/>
        </w:numPr>
      </w:pPr>
      <w:r w:rsidRPr="00AA65A5">
        <w:t>On your telephone, briefly unmute yourself and let us know you wish to speak</w:t>
      </w:r>
    </w:p>
    <w:p w14:paraId="1F32B9C6" w14:textId="679BB063" w:rsidR="00AA65A5" w:rsidRPr="00BA24FB" w:rsidRDefault="00AA65A5" w:rsidP="00AA65A5">
      <w:pPr>
        <w:jc w:val="center"/>
        <w:rPr>
          <w:b/>
          <w:bCs/>
          <w:i/>
          <w:iCs/>
        </w:rPr>
      </w:pPr>
      <w:r w:rsidRPr="00BA24FB">
        <w:rPr>
          <w:b/>
          <w:bCs/>
          <w:i/>
          <w:iCs/>
        </w:rPr>
        <w:t>Thank you!</w:t>
      </w:r>
    </w:p>
    <w:p w14:paraId="34616E33" w14:textId="55E85FDC" w:rsidR="00AA65A5" w:rsidRPr="00BA24FB" w:rsidRDefault="00AA65A5" w:rsidP="00C869FF">
      <w:pPr>
        <w:pStyle w:val="Heading2"/>
      </w:pPr>
      <w:r w:rsidRPr="00BA24FB">
        <w:t>Agenda</w:t>
      </w:r>
    </w:p>
    <w:p w14:paraId="6CA16710" w14:textId="77777777" w:rsidR="00AA65A5" w:rsidRPr="00AA65A5" w:rsidRDefault="00AA65A5" w:rsidP="00AA65A5">
      <w:pPr>
        <w:pStyle w:val="ListParagraph"/>
        <w:numPr>
          <w:ilvl w:val="0"/>
          <w:numId w:val="2"/>
        </w:numPr>
      </w:pPr>
      <w:r w:rsidRPr="00AA65A5">
        <w:t xml:space="preserve">Introductions </w:t>
      </w:r>
    </w:p>
    <w:p w14:paraId="53D617D5" w14:textId="3DEAA24B" w:rsidR="003B2CD6" w:rsidRDefault="00AA65A5" w:rsidP="00AA65A5">
      <w:pPr>
        <w:pStyle w:val="ListParagraph"/>
        <w:numPr>
          <w:ilvl w:val="0"/>
          <w:numId w:val="2"/>
        </w:numPr>
      </w:pPr>
      <w:r w:rsidRPr="00AA65A5">
        <w:t xml:space="preserve">Overview of Waiver </w:t>
      </w:r>
      <w:r w:rsidR="003B2CD6">
        <w:t>Renewals</w:t>
      </w:r>
    </w:p>
    <w:p w14:paraId="06FBCBD9" w14:textId="02059ED0" w:rsidR="00AA65A5" w:rsidRPr="00AA65A5" w:rsidRDefault="00AA65A5" w:rsidP="00AA65A5">
      <w:pPr>
        <w:pStyle w:val="ListParagraph"/>
        <w:numPr>
          <w:ilvl w:val="0"/>
          <w:numId w:val="2"/>
        </w:numPr>
      </w:pPr>
      <w:r w:rsidRPr="00AA65A5">
        <w:t xml:space="preserve"> </w:t>
      </w:r>
      <w:r w:rsidR="003B2CD6">
        <w:t>Summary of Changes Being Proposed</w:t>
      </w:r>
    </w:p>
    <w:p w14:paraId="04C80134" w14:textId="03DC82E3" w:rsidR="00AA65A5" w:rsidRPr="00AA65A5" w:rsidRDefault="00AA65A5" w:rsidP="00AA65A5">
      <w:pPr>
        <w:pStyle w:val="ListParagraph"/>
        <w:numPr>
          <w:ilvl w:val="0"/>
          <w:numId w:val="2"/>
        </w:numPr>
      </w:pPr>
      <w:r w:rsidRPr="00AA65A5">
        <w:t>Process &amp; Timeline</w:t>
      </w:r>
    </w:p>
    <w:p w14:paraId="07E2D24E" w14:textId="43B86F99" w:rsidR="00AA65A5" w:rsidRDefault="00AA65A5" w:rsidP="00AA65A5">
      <w:pPr>
        <w:pStyle w:val="ListParagraph"/>
        <w:numPr>
          <w:ilvl w:val="0"/>
          <w:numId w:val="2"/>
        </w:numPr>
      </w:pPr>
      <w:r w:rsidRPr="00AA65A5">
        <w:t>Public Comments</w:t>
      </w:r>
    </w:p>
    <w:p w14:paraId="159E0FA2" w14:textId="4F7796C1" w:rsidR="00AA65A5" w:rsidRDefault="00AA65A5" w:rsidP="00AA65A5"/>
    <w:p w14:paraId="39DF3EB5" w14:textId="47C589F8" w:rsidR="00AA65A5" w:rsidRPr="00BA24FB" w:rsidRDefault="00AA65A5" w:rsidP="00C869FF">
      <w:pPr>
        <w:pStyle w:val="Heading2"/>
      </w:pPr>
      <w:r w:rsidRPr="00BA24FB">
        <w:t>Common Acronyms and Terms</w:t>
      </w:r>
    </w:p>
    <w:p w14:paraId="004AD6B9" w14:textId="78BEDE9E" w:rsidR="00AA65A5" w:rsidRDefault="00AA65A5" w:rsidP="00AA65A5">
      <w:r>
        <w:t xml:space="preserve">CMS </w:t>
      </w:r>
      <w:r w:rsidR="00BA24FB">
        <w:t xml:space="preserve">- </w:t>
      </w:r>
      <w:r>
        <w:t>Centers for Medicate and Medicaid Services</w:t>
      </w:r>
    </w:p>
    <w:p w14:paraId="41890D20" w14:textId="3F88B37D" w:rsidR="00AA65A5" w:rsidRDefault="00AA65A5" w:rsidP="00AA65A5">
      <w:r>
        <w:t xml:space="preserve">EOHHS </w:t>
      </w:r>
      <w:r w:rsidR="00BA24FB">
        <w:t xml:space="preserve">- </w:t>
      </w:r>
      <w:r>
        <w:t>Executive Office of Health and Human Services</w:t>
      </w:r>
    </w:p>
    <w:p w14:paraId="59FA6C24" w14:textId="03709AAC" w:rsidR="00AA65A5" w:rsidRDefault="00AA65A5" w:rsidP="00AA65A5">
      <w:r>
        <w:t xml:space="preserve">HCBS </w:t>
      </w:r>
      <w:r w:rsidR="00BA24FB">
        <w:t xml:space="preserve">- </w:t>
      </w:r>
      <w:r>
        <w:t>Home and Community Based Services</w:t>
      </w:r>
    </w:p>
    <w:p w14:paraId="4363142A" w14:textId="6A4AC1E1" w:rsidR="00AA65A5" w:rsidRDefault="00AA65A5" w:rsidP="00AA65A5">
      <w:r>
        <w:t xml:space="preserve">MassHealth </w:t>
      </w:r>
      <w:r w:rsidR="00BA24FB">
        <w:t xml:space="preserve">- </w:t>
      </w:r>
      <w:r>
        <w:t>The Massachusetts Medicaid Program</w:t>
      </w:r>
    </w:p>
    <w:p w14:paraId="1D916681" w14:textId="77777777" w:rsidR="003B2CD6" w:rsidRDefault="00D977B4" w:rsidP="00AA65A5">
      <w:r>
        <w:t>DDS</w:t>
      </w:r>
      <w:r w:rsidR="00BA24FB">
        <w:t xml:space="preserve"> </w:t>
      </w:r>
      <w:r>
        <w:t>–</w:t>
      </w:r>
      <w:r w:rsidR="00BA24FB">
        <w:t xml:space="preserve"> </w:t>
      </w:r>
      <w:r>
        <w:t xml:space="preserve">Department of Developmental Services </w:t>
      </w:r>
    </w:p>
    <w:p w14:paraId="04EAE40C" w14:textId="5E74D253" w:rsidR="003B2CD6" w:rsidRPr="003B2CD6" w:rsidRDefault="003B2CD6" w:rsidP="003B2CD6">
      <w:r>
        <w:t>MRC -</w:t>
      </w:r>
      <w:r w:rsidR="00AA65A5">
        <w:t xml:space="preserve"> </w:t>
      </w:r>
      <w:r w:rsidRPr="003B2CD6">
        <w:t xml:space="preserve">Massachusetts Rehabilitation Commission </w:t>
      </w:r>
    </w:p>
    <w:p w14:paraId="0B3421F1" w14:textId="423B405B" w:rsidR="00AA65A5" w:rsidRDefault="00AA65A5" w:rsidP="00AA65A5"/>
    <w:p w14:paraId="01BF0AFB" w14:textId="7058D247" w:rsidR="00D977B4" w:rsidRPr="00D977B4" w:rsidRDefault="00D977B4" w:rsidP="00D977B4">
      <w:r w:rsidRPr="00D977B4">
        <w:rPr>
          <w:b/>
          <w:bCs/>
          <w:sz w:val="24"/>
          <w:szCs w:val="24"/>
        </w:rPr>
        <w:t xml:space="preserve">Overview: </w:t>
      </w:r>
      <w:r w:rsidR="003B2CD6" w:rsidRPr="003B2CD6">
        <w:rPr>
          <w:b/>
          <w:bCs/>
          <w:sz w:val="24"/>
          <w:szCs w:val="24"/>
        </w:rPr>
        <w:t>Waiver Renewal Process</w:t>
      </w:r>
    </w:p>
    <w:p w14:paraId="3AC7AC47" w14:textId="77777777" w:rsidR="00D977B4" w:rsidRPr="00D977B4" w:rsidRDefault="00D977B4" w:rsidP="00BD7605">
      <w:pPr>
        <w:pStyle w:val="Heading2"/>
        <w:numPr>
          <w:ilvl w:val="0"/>
          <w:numId w:val="8"/>
        </w:numPr>
        <w:spacing w:after="0"/>
        <w:rPr>
          <w:b w:val="0"/>
          <w:bCs w:val="0"/>
          <w:sz w:val="22"/>
          <w:szCs w:val="22"/>
        </w:rPr>
      </w:pPr>
      <w:r w:rsidRPr="00D977B4">
        <w:rPr>
          <w:b w:val="0"/>
          <w:bCs w:val="0"/>
          <w:sz w:val="22"/>
          <w:szCs w:val="22"/>
        </w:rPr>
        <w:lastRenderedPageBreak/>
        <w:t>CMS typically approves Home and Community Based Services waivers for a period of five years.</w:t>
      </w:r>
    </w:p>
    <w:p w14:paraId="46DEE864" w14:textId="77777777" w:rsidR="003B2CD6" w:rsidRDefault="003B2CD6" w:rsidP="00BD7605">
      <w:pPr>
        <w:pStyle w:val="Heading2"/>
        <w:numPr>
          <w:ilvl w:val="0"/>
          <w:numId w:val="8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Waivers must then be renewed with CMS.</w:t>
      </w:r>
    </w:p>
    <w:p w14:paraId="53BB707F" w14:textId="53B3EC4B" w:rsidR="00D977B4" w:rsidRPr="00D977B4" w:rsidRDefault="00D977B4" w:rsidP="00BD7605">
      <w:pPr>
        <w:pStyle w:val="Heading2"/>
        <w:numPr>
          <w:ilvl w:val="0"/>
          <w:numId w:val="8"/>
        </w:numPr>
        <w:spacing w:after="0"/>
        <w:rPr>
          <w:b w:val="0"/>
          <w:bCs w:val="0"/>
          <w:sz w:val="22"/>
          <w:szCs w:val="22"/>
        </w:rPr>
      </w:pPr>
      <w:r w:rsidRPr="00D977B4">
        <w:rPr>
          <w:b w:val="0"/>
          <w:bCs w:val="0"/>
          <w:sz w:val="22"/>
          <w:szCs w:val="22"/>
        </w:rPr>
        <w:t>MassHealth</w:t>
      </w:r>
      <w:r w:rsidR="003B2CD6">
        <w:rPr>
          <w:b w:val="0"/>
          <w:bCs w:val="0"/>
          <w:sz w:val="22"/>
          <w:szCs w:val="22"/>
        </w:rPr>
        <w:t xml:space="preserve">, </w:t>
      </w:r>
      <w:r w:rsidRPr="00D977B4">
        <w:rPr>
          <w:b w:val="0"/>
          <w:bCs w:val="0"/>
          <w:sz w:val="22"/>
          <w:szCs w:val="22"/>
        </w:rPr>
        <w:t>DDS</w:t>
      </w:r>
      <w:r w:rsidR="003B2CD6">
        <w:rPr>
          <w:b w:val="0"/>
          <w:bCs w:val="0"/>
          <w:sz w:val="22"/>
          <w:szCs w:val="22"/>
        </w:rPr>
        <w:t>, and MRC</w:t>
      </w:r>
      <w:r w:rsidRPr="00D977B4">
        <w:rPr>
          <w:b w:val="0"/>
          <w:bCs w:val="0"/>
          <w:sz w:val="22"/>
          <w:szCs w:val="22"/>
        </w:rPr>
        <w:t xml:space="preserve"> jointly developed the </w:t>
      </w:r>
      <w:r w:rsidR="003B2CD6">
        <w:rPr>
          <w:b w:val="0"/>
          <w:bCs w:val="0"/>
          <w:sz w:val="22"/>
          <w:szCs w:val="22"/>
        </w:rPr>
        <w:t>renewal</w:t>
      </w:r>
      <w:r w:rsidRPr="00D977B4">
        <w:rPr>
          <w:b w:val="0"/>
          <w:bCs w:val="0"/>
          <w:sz w:val="22"/>
          <w:szCs w:val="22"/>
        </w:rPr>
        <w:t xml:space="preserve"> applications.</w:t>
      </w:r>
    </w:p>
    <w:p w14:paraId="58D7A395" w14:textId="0E79E725" w:rsidR="00D977B4" w:rsidRPr="00D977B4" w:rsidRDefault="00D977B4" w:rsidP="00BD7605">
      <w:pPr>
        <w:pStyle w:val="Heading2"/>
        <w:numPr>
          <w:ilvl w:val="0"/>
          <w:numId w:val="8"/>
        </w:numPr>
        <w:spacing w:after="0"/>
        <w:rPr>
          <w:b w:val="0"/>
          <w:bCs w:val="0"/>
          <w:sz w:val="22"/>
          <w:szCs w:val="22"/>
        </w:rPr>
      </w:pPr>
      <w:r w:rsidRPr="00D977B4">
        <w:rPr>
          <w:b w:val="0"/>
          <w:bCs w:val="0"/>
          <w:sz w:val="22"/>
          <w:szCs w:val="22"/>
        </w:rPr>
        <w:t xml:space="preserve">The draft waiver amendment applications are posted for a 30-day public comment period that ends on </w:t>
      </w:r>
      <w:r w:rsidR="003B2CD6">
        <w:rPr>
          <w:b w:val="0"/>
          <w:bCs w:val="0"/>
          <w:sz w:val="22"/>
          <w:szCs w:val="22"/>
        </w:rPr>
        <w:t>October 2</w:t>
      </w:r>
      <w:r w:rsidRPr="00D977B4">
        <w:rPr>
          <w:b w:val="0"/>
          <w:bCs w:val="0"/>
          <w:sz w:val="22"/>
          <w:szCs w:val="22"/>
        </w:rPr>
        <w:t>0, 2022.</w:t>
      </w:r>
    </w:p>
    <w:p w14:paraId="76AE8F1F" w14:textId="54553743" w:rsidR="00D977B4" w:rsidRPr="00D977B4" w:rsidRDefault="00D977B4" w:rsidP="00BD7605">
      <w:pPr>
        <w:pStyle w:val="Heading2"/>
        <w:numPr>
          <w:ilvl w:val="0"/>
          <w:numId w:val="8"/>
        </w:numPr>
        <w:spacing w:after="0"/>
      </w:pPr>
      <w:r w:rsidRPr="00D977B4">
        <w:rPr>
          <w:b w:val="0"/>
          <w:bCs w:val="0"/>
          <w:sz w:val="22"/>
          <w:szCs w:val="22"/>
        </w:rPr>
        <w:t xml:space="preserve">Today we are holding a listening session to hear public comments about the </w:t>
      </w:r>
      <w:r w:rsidR="003B2CD6">
        <w:rPr>
          <w:b w:val="0"/>
          <w:bCs w:val="0"/>
          <w:sz w:val="22"/>
          <w:szCs w:val="22"/>
        </w:rPr>
        <w:t>renewal</w:t>
      </w:r>
      <w:r w:rsidRPr="00D977B4">
        <w:rPr>
          <w:b w:val="0"/>
          <w:bCs w:val="0"/>
          <w:sz w:val="22"/>
          <w:szCs w:val="22"/>
        </w:rPr>
        <w:t xml:space="preserve"> applications. </w:t>
      </w:r>
    </w:p>
    <w:p w14:paraId="3A56780E" w14:textId="77777777" w:rsidR="00BD7605" w:rsidRDefault="00BD7605" w:rsidP="003B2CD6">
      <w:pPr>
        <w:pStyle w:val="Heading2"/>
      </w:pPr>
    </w:p>
    <w:p w14:paraId="09440A58" w14:textId="06E5D62F" w:rsidR="003B2CD6" w:rsidRPr="00BA24FB" w:rsidRDefault="003B2CD6" w:rsidP="003B2CD6">
      <w:pPr>
        <w:pStyle w:val="Heading2"/>
      </w:pPr>
      <w:r>
        <w:t>Overview</w:t>
      </w:r>
      <w:r w:rsidRPr="003B2CD6">
        <w:t>: Massachusetts is Renewing Four of its Home and Community Based Services (HCBS) Waivers</w:t>
      </w:r>
    </w:p>
    <w:p w14:paraId="0E113E70" w14:textId="4B76C2BD" w:rsidR="003B2CD6" w:rsidRPr="003B2CD6" w:rsidRDefault="003B2CD6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Acquired Brain Injury Non-Residential Habilitation Waiver (ABI-N)</w:t>
      </w:r>
    </w:p>
    <w:p w14:paraId="5DE29288" w14:textId="4E0276BE" w:rsidR="003B2CD6" w:rsidRPr="003B2CD6" w:rsidRDefault="003B2CD6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Acquired Brain Injury with Residential Habilitation Waiver (ABI-RH)</w:t>
      </w:r>
    </w:p>
    <w:p w14:paraId="5187BD50" w14:textId="42AB9A15" w:rsidR="003B2CD6" w:rsidRPr="003B2CD6" w:rsidRDefault="003B2CD6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Moving Forward Plan – Community Living Waiver (MFP-CL)</w:t>
      </w:r>
    </w:p>
    <w:p w14:paraId="6306B0B4" w14:textId="2CE90944" w:rsidR="003B2CD6" w:rsidRPr="003B2CD6" w:rsidRDefault="003B2CD6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Moving Forward Plan – Residential Supports Waiver (MFP-RS)</w:t>
      </w:r>
    </w:p>
    <w:p w14:paraId="66E9483C" w14:textId="7274DE18" w:rsidR="003B2CD6" w:rsidRPr="003B2CD6" w:rsidRDefault="003B2CD6" w:rsidP="00BD7605">
      <w:pPr>
        <w:pStyle w:val="Heading2"/>
        <w:numPr>
          <w:ilvl w:val="1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ABI-N &amp; MFP-CL: serves individuals who do not need 24 hour supports or supervision, and who can live in their own home/apartment, family home, or Adult Foster Care setting</w:t>
      </w:r>
    </w:p>
    <w:p w14:paraId="32BFEAE7" w14:textId="07A3709F" w:rsidR="003B2CD6" w:rsidRDefault="003B2CD6" w:rsidP="00BD7605">
      <w:pPr>
        <w:pStyle w:val="Heading2"/>
        <w:numPr>
          <w:ilvl w:val="1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ABI-RH &amp; MFP-RS: serves individuals who need 24-hour supervision and staffing in a provider-operated and staffed setting.</w:t>
      </w:r>
      <w:r>
        <w:rPr>
          <w:b w:val="0"/>
          <w:bCs w:val="0"/>
          <w:sz w:val="22"/>
          <w:szCs w:val="22"/>
        </w:rPr>
        <w:t xml:space="preserve"> </w:t>
      </w:r>
    </w:p>
    <w:p w14:paraId="15B2C96B" w14:textId="77777777" w:rsidR="00BD7605" w:rsidRDefault="00BD7605" w:rsidP="00D977B4">
      <w:pPr>
        <w:pStyle w:val="Heading2"/>
      </w:pPr>
    </w:p>
    <w:p w14:paraId="245F1DA9" w14:textId="023A67F5" w:rsidR="003B2CD6" w:rsidRDefault="003B2CD6" w:rsidP="00D977B4">
      <w:pPr>
        <w:pStyle w:val="Heading2"/>
      </w:pPr>
      <w:r w:rsidRPr="003B2CD6">
        <w:t>Overview: ABI/MFP Waivers</w:t>
      </w:r>
    </w:p>
    <w:p w14:paraId="70587738" w14:textId="77777777" w:rsidR="003B2CD6" w:rsidRPr="003B2CD6" w:rsidRDefault="003B2CD6" w:rsidP="00BD7605">
      <w:pPr>
        <w:spacing w:after="0"/>
      </w:pPr>
      <w:r w:rsidRPr="003B2CD6">
        <w:t>The ABI and MFP waivers are for individuals living in a nursing facilities or long stay hospitals, who may be able to move out and live more independently with waiver services and supports.</w:t>
      </w:r>
    </w:p>
    <w:p w14:paraId="0CE2A59E" w14:textId="77777777" w:rsidR="003B2CD6" w:rsidRPr="003B2CD6" w:rsidRDefault="003B2CD6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To qualify for the ABI/MFP Waivers, individuals must apply while living in a facility, and their facility stay must be at least 90 days.</w:t>
      </w:r>
    </w:p>
    <w:p w14:paraId="6DF8650E" w14:textId="77777777" w:rsidR="003B2CD6" w:rsidRPr="003B2CD6" w:rsidRDefault="003B2CD6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ABI Waivers serve individuals:</w:t>
      </w:r>
    </w:p>
    <w:p w14:paraId="6D49AEF0" w14:textId="77777777" w:rsidR="003B2CD6" w:rsidRPr="003B2CD6" w:rsidRDefault="003B2CD6" w:rsidP="00BD7605">
      <w:pPr>
        <w:pStyle w:val="Heading2"/>
        <w:numPr>
          <w:ilvl w:val="1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22 years of age or older and, if younger than 65 years old, is disabled</w:t>
      </w:r>
    </w:p>
    <w:p w14:paraId="375FFF89" w14:textId="536C7BA8" w:rsidR="00C85343" w:rsidRPr="00BD7605" w:rsidRDefault="003B2CD6" w:rsidP="00BD7605">
      <w:pPr>
        <w:pStyle w:val="Heading2"/>
        <w:numPr>
          <w:ilvl w:val="1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 xml:space="preserve">has an acquired brain injury that was sustained at age 22 or </w:t>
      </w:r>
      <w:proofErr w:type="gramStart"/>
      <w:r w:rsidRPr="003B2CD6">
        <w:rPr>
          <w:b w:val="0"/>
          <w:bCs w:val="0"/>
          <w:sz w:val="22"/>
          <w:szCs w:val="22"/>
        </w:rPr>
        <w:t>older</w:t>
      </w:r>
      <w:proofErr w:type="gramEnd"/>
    </w:p>
    <w:p w14:paraId="43F3C8B3" w14:textId="77777777" w:rsidR="003B2CD6" w:rsidRPr="003B2CD6" w:rsidRDefault="003B2CD6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MFP Waivers serve individuals:</w:t>
      </w:r>
    </w:p>
    <w:p w14:paraId="6570FB2E" w14:textId="71055B4C" w:rsidR="00C85343" w:rsidRPr="00BD7605" w:rsidRDefault="003B2CD6" w:rsidP="00BD7605">
      <w:pPr>
        <w:pStyle w:val="Heading2"/>
        <w:numPr>
          <w:ilvl w:val="1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18 years of age or older and, if younger than 65 years old, is disabled</w:t>
      </w:r>
    </w:p>
    <w:p w14:paraId="09DECE52" w14:textId="5DEF6F0F" w:rsidR="003B2CD6" w:rsidRDefault="003B2CD6" w:rsidP="00D977B4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3B2CD6">
        <w:rPr>
          <w:b w:val="0"/>
          <w:bCs w:val="0"/>
          <w:sz w:val="22"/>
          <w:szCs w:val="22"/>
        </w:rPr>
        <w:t>ABI and MFP Waiver applicants must also meet clinical and financial eligibility criteria</w:t>
      </w:r>
    </w:p>
    <w:p w14:paraId="45847761" w14:textId="77777777" w:rsidR="00BD7605" w:rsidRPr="00BD7605" w:rsidRDefault="00BD7605" w:rsidP="00BD7605"/>
    <w:p w14:paraId="221049B3" w14:textId="617CD244" w:rsidR="00AA65A5" w:rsidRDefault="00AA65A5" w:rsidP="00D977B4">
      <w:pPr>
        <w:pStyle w:val="Heading2"/>
      </w:pPr>
      <w:r w:rsidRPr="00BA24FB">
        <w:t>Summary of</w:t>
      </w:r>
      <w:r w:rsidR="00C85343">
        <w:t xml:space="preserve"> Proposed</w:t>
      </w:r>
      <w:r w:rsidRPr="00BA24FB">
        <w:t xml:space="preserve"> Changes</w:t>
      </w:r>
      <w:r w:rsidR="00C85343">
        <w:t xml:space="preserve"> in this Renewal</w:t>
      </w:r>
    </w:p>
    <w:p w14:paraId="500B0C78" w14:textId="77777777" w:rsidR="00C85343" w:rsidRPr="00C85343" w:rsidRDefault="00C85343" w:rsidP="00C85343">
      <w:r w:rsidRPr="00C85343">
        <w:t>This renewal is an opportunity to align the services and options available in the ABI Waivers with the services and options currently available in the MFP Waivers.</w:t>
      </w:r>
    </w:p>
    <w:p w14:paraId="52EA492F" w14:textId="77777777" w:rsidR="00C85343" w:rsidRPr="00C85343" w:rsidRDefault="00C85343" w:rsidP="00BD7605">
      <w:pPr>
        <w:spacing w:after="0"/>
      </w:pPr>
      <w:r w:rsidRPr="00C85343">
        <w:t xml:space="preserve">This involves the following proposed changes: </w:t>
      </w:r>
    </w:p>
    <w:p w14:paraId="01067801" w14:textId="77777777" w:rsidR="00C85343" w:rsidRPr="00C85343" w:rsidRDefault="00C85343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C85343">
        <w:rPr>
          <w:b w:val="0"/>
          <w:bCs w:val="0"/>
          <w:sz w:val="22"/>
          <w:szCs w:val="22"/>
        </w:rPr>
        <w:t>Added services to the ABI-N Waiver to mirror what is available in the MFP-CL Waiver.</w:t>
      </w:r>
    </w:p>
    <w:p w14:paraId="70366F5D" w14:textId="77777777" w:rsidR="00C85343" w:rsidRPr="00C85343" w:rsidRDefault="00C85343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C85343">
        <w:rPr>
          <w:b w:val="0"/>
          <w:bCs w:val="0"/>
          <w:sz w:val="22"/>
          <w:szCs w:val="22"/>
        </w:rPr>
        <w:t>Added services to the ABI-RH Waiver to mirror what is available in the MFP-RS Waiver.</w:t>
      </w:r>
    </w:p>
    <w:p w14:paraId="735B3B0B" w14:textId="77777777" w:rsidR="00C85343" w:rsidRPr="00C85343" w:rsidRDefault="00C85343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C85343">
        <w:rPr>
          <w:b w:val="0"/>
          <w:bCs w:val="0"/>
          <w:sz w:val="22"/>
          <w:szCs w:val="22"/>
        </w:rPr>
        <w:t>Added the opportunity for participant self-direction of certain services in the ABI Waivers.</w:t>
      </w:r>
    </w:p>
    <w:p w14:paraId="0DF50EE8" w14:textId="77777777" w:rsidR="00C85343" w:rsidRPr="00C85343" w:rsidRDefault="00C85343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C85343">
        <w:rPr>
          <w:b w:val="0"/>
          <w:bCs w:val="0"/>
          <w:sz w:val="22"/>
          <w:szCs w:val="22"/>
        </w:rPr>
        <w:lastRenderedPageBreak/>
        <w:t>Added psychiatric hospitals to the list of acceptable inpatient facilities at which a 90-day stay may qualify an individual for the ABI Waivers.</w:t>
      </w:r>
    </w:p>
    <w:p w14:paraId="0D49A224" w14:textId="37E53BAB" w:rsidR="00C85343" w:rsidRDefault="00C85343" w:rsidP="00BD7605">
      <w:pPr>
        <w:pStyle w:val="Heading2"/>
        <w:numPr>
          <w:ilvl w:val="0"/>
          <w:numId w:val="9"/>
        </w:numPr>
        <w:spacing w:after="0"/>
        <w:rPr>
          <w:b w:val="0"/>
          <w:bCs w:val="0"/>
          <w:sz w:val="22"/>
          <w:szCs w:val="22"/>
        </w:rPr>
      </w:pPr>
      <w:r w:rsidRPr="00C85343">
        <w:rPr>
          <w:b w:val="0"/>
          <w:bCs w:val="0"/>
          <w:sz w:val="22"/>
          <w:szCs w:val="22"/>
        </w:rPr>
        <w:t>Made non-substantive wording changes throughout the ABI Waivers, to mirror the language used in the MFP Waivers.</w:t>
      </w:r>
    </w:p>
    <w:p w14:paraId="702ED254" w14:textId="77777777" w:rsidR="00C85343" w:rsidRPr="00C85343" w:rsidRDefault="00C85343" w:rsidP="00BD7605"/>
    <w:p w14:paraId="0C9B71EB" w14:textId="23D9B179" w:rsidR="00C85343" w:rsidRDefault="00C85343" w:rsidP="00C85343">
      <w:pPr>
        <w:pStyle w:val="Heading2"/>
      </w:pPr>
      <w:r w:rsidRPr="00C85343">
        <w:t>Aligning Services Across Waivers</w:t>
      </w:r>
    </w:p>
    <w:p w14:paraId="3E46E766" w14:textId="4A979261" w:rsidR="00C85343" w:rsidRDefault="00C85343" w:rsidP="00C85343">
      <w:r w:rsidRPr="00C85343">
        <w:t>Added to ABI-N</w:t>
      </w:r>
      <w:r>
        <w:t xml:space="preserve"> </w:t>
      </w:r>
      <w:r w:rsidRPr="00C85343">
        <w:t>(to align with MFP-CL)</w:t>
      </w:r>
      <w:r>
        <w:t xml:space="preserve">: </w:t>
      </w:r>
      <w:r w:rsidRPr="00C85343">
        <w:t>Community Behavioral Health Support and Navigation</w:t>
      </w:r>
      <w:r>
        <w:t xml:space="preserve">, </w:t>
      </w:r>
      <w:r w:rsidRPr="00C85343">
        <w:t>Community Family Training</w:t>
      </w:r>
      <w:r>
        <w:t>, Home Health Aide, Independent Living Supports, Orientation and Mobility Services, Peer Support, Prevocational Services, Shared Home Supports, Skilled Nursing, Supportive Home Care Aide, and Vehicle Modification.</w:t>
      </w:r>
    </w:p>
    <w:p w14:paraId="5B55AE9A" w14:textId="69163A3B" w:rsidR="00C85343" w:rsidRDefault="00C85343" w:rsidP="00C85343">
      <w:r w:rsidRPr="00C85343">
        <w:t>Added to ABI-RH</w:t>
      </w:r>
      <w:r>
        <w:t xml:space="preserve"> </w:t>
      </w:r>
      <w:r w:rsidRPr="00C85343">
        <w:t>(to align with MFP-RS)</w:t>
      </w:r>
      <w:r>
        <w:t xml:space="preserve">: </w:t>
      </w:r>
      <w:r w:rsidRPr="00C85343">
        <w:t>Community Behavioral Health Support and Navigation</w:t>
      </w:r>
      <w:r>
        <w:t xml:space="preserve">, </w:t>
      </w:r>
      <w:r w:rsidRPr="00C85343">
        <w:t>Home Accessibility Adaptations</w:t>
      </w:r>
      <w:r>
        <w:t xml:space="preserve">, </w:t>
      </w:r>
      <w:r w:rsidRPr="00C85343">
        <w:t>Individual Support and Community Habilitation</w:t>
      </w:r>
      <w:proofErr w:type="gramStart"/>
      <w:r>
        <w:t xml:space="preserve">, </w:t>
      </w:r>
      <w:r>
        <w:t>,</w:t>
      </w:r>
      <w:proofErr w:type="gramEnd"/>
      <w:r>
        <w:t xml:space="preserve"> Orientation and Mobility Services, Peer Support, Prevocational Services,</w:t>
      </w:r>
      <w:r>
        <w:t xml:space="preserve"> Residential Family Training, and Skilled Nursing.</w:t>
      </w:r>
    </w:p>
    <w:p w14:paraId="14C4D75B" w14:textId="1C78C3B3" w:rsidR="00C85343" w:rsidRPr="00C85343" w:rsidRDefault="00C85343" w:rsidP="00C85343">
      <w:pPr>
        <w:pStyle w:val="Heading2"/>
      </w:pPr>
      <w:r w:rsidRPr="00C85343">
        <w:t>Summary of Proposed Changes in this Renewal</w:t>
      </w:r>
    </w:p>
    <w:p w14:paraId="1581C7C2" w14:textId="77777777" w:rsidR="00C85343" w:rsidRDefault="00C85343" w:rsidP="00BD7605">
      <w:pPr>
        <w:spacing w:after="0"/>
      </w:pPr>
      <w:r w:rsidRPr="00C85343">
        <w:t>The opportunity for participant self-direction has been added to the following services:</w:t>
      </w:r>
    </w:p>
    <w:p w14:paraId="076014A4" w14:textId="6F1DC666" w:rsidR="00C85343" w:rsidRDefault="00C85343" w:rsidP="00BD7605">
      <w:pPr>
        <w:pStyle w:val="ListParagraph"/>
        <w:numPr>
          <w:ilvl w:val="0"/>
          <w:numId w:val="12"/>
        </w:numPr>
        <w:spacing w:after="0"/>
      </w:pPr>
      <w:r w:rsidRPr="00C85343">
        <w:t>ABI-N Waiver: Individual Support and Community Habilitation, Peer Support, Personal Care, Adult Companion, Chore Service, and Homemaker.</w:t>
      </w:r>
    </w:p>
    <w:p w14:paraId="717A38AF" w14:textId="0C0479C0" w:rsidR="00C85343" w:rsidRDefault="00C85343" w:rsidP="00BD7605">
      <w:pPr>
        <w:pStyle w:val="ListParagraph"/>
        <w:numPr>
          <w:ilvl w:val="0"/>
          <w:numId w:val="12"/>
        </w:numPr>
        <w:spacing w:after="0"/>
      </w:pPr>
      <w:r w:rsidRPr="00C85343">
        <w:t>ABI-RH Waiver: Individual Support and Community Habilitation and Peer Support.</w:t>
      </w:r>
    </w:p>
    <w:p w14:paraId="1712DB25" w14:textId="77777777" w:rsidR="00BD7605" w:rsidRDefault="00BD7605" w:rsidP="00C85343">
      <w:pPr>
        <w:pStyle w:val="Heading2"/>
      </w:pPr>
    </w:p>
    <w:p w14:paraId="51658F28" w14:textId="64511EAE" w:rsidR="00C85343" w:rsidRDefault="00C85343" w:rsidP="00C85343">
      <w:pPr>
        <w:pStyle w:val="Heading2"/>
      </w:pPr>
      <w:r w:rsidRPr="00C85343">
        <w:t>Summary of Proposed Changes in this Renewal</w:t>
      </w:r>
    </w:p>
    <w:p w14:paraId="47C65EB6" w14:textId="77777777" w:rsidR="00C85343" w:rsidRPr="00C85343" w:rsidRDefault="00C85343" w:rsidP="00BD7605">
      <w:pPr>
        <w:spacing w:after="0"/>
      </w:pPr>
      <w:r w:rsidRPr="00C85343">
        <w:t>The following changes are proposed, across all 4 waivers, to address certain needs that were identified during the COVID-19 emergency and that are anticipated to continue beyond the Public Health Emergency (PHE).</w:t>
      </w:r>
    </w:p>
    <w:p w14:paraId="202C5997" w14:textId="77777777" w:rsidR="00C85343" w:rsidRPr="00C85343" w:rsidRDefault="00C85343" w:rsidP="00C85343">
      <w:pPr>
        <w:pStyle w:val="ListParagraph"/>
        <w:numPr>
          <w:ilvl w:val="0"/>
          <w:numId w:val="12"/>
        </w:numPr>
      </w:pPr>
      <w:r w:rsidRPr="00C85343">
        <w:t>Technical changes to increase flexibility for service planning and case management to occur remotely/via telehealth by removing some references to specific modalities (i.e., “in person”, “telephone”) while maintaining operational integrity.</w:t>
      </w:r>
    </w:p>
    <w:p w14:paraId="6075C56D" w14:textId="77777777" w:rsidR="00C85343" w:rsidRPr="00C85343" w:rsidRDefault="00C85343" w:rsidP="00C85343">
      <w:pPr>
        <w:pStyle w:val="ListParagraph"/>
        <w:numPr>
          <w:ilvl w:val="0"/>
          <w:numId w:val="12"/>
        </w:numPr>
      </w:pPr>
      <w:r w:rsidRPr="00C85343">
        <w:t>Added telehealth as a delivery option for certain waiver services.</w:t>
      </w:r>
    </w:p>
    <w:p w14:paraId="2123E30E" w14:textId="77777777" w:rsidR="00C85343" w:rsidRPr="00C85343" w:rsidRDefault="00C85343" w:rsidP="00C85343">
      <w:pPr>
        <w:pStyle w:val="ListParagraph"/>
        <w:numPr>
          <w:ilvl w:val="0"/>
          <w:numId w:val="12"/>
        </w:numPr>
      </w:pPr>
      <w:r w:rsidRPr="00C85343">
        <w:t>Added assurances that providers who offer services via telehealth are following HIPAA requirements.</w:t>
      </w:r>
    </w:p>
    <w:p w14:paraId="78CA5E9C" w14:textId="77777777" w:rsidR="00C85343" w:rsidRPr="00C85343" w:rsidRDefault="00C85343" w:rsidP="00C85343">
      <w:pPr>
        <w:pStyle w:val="ListParagraph"/>
        <w:numPr>
          <w:ilvl w:val="0"/>
          <w:numId w:val="12"/>
        </w:numPr>
      </w:pPr>
      <w:r w:rsidRPr="00C85343">
        <w:t xml:space="preserve">Added a unit rate for Partial Day – Day Services, </w:t>
      </w:r>
      <w:proofErr w:type="gramStart"/>
      <w:r w:rsidRPr="00C85343">
        <w:t>in order to</w:t>
      </w:r>
      <w:proofErr w:type="gramEnd"/>
      <w:r w:rsidRPr="00C85343">
        <w:t xml:space="preserve"> continue offering Day Services at a less than per diem rate, as has been authorized through the PHE.</w:t>
      </w:r>
    </w:p>
    <w:p w14:paraId="0AA3D518" w14:textId="77777777" w:rsidR="00BD7605" w:rsidRDefault="00BD7605" w:rsidP="00BD7605">
      <w:pPr>
        <w:pStyle w:val="Heading2"/>
      </w:pPr>
      <w:r w:rsidRPr="00C85343">
        <w:t>Summary of Proposed Changes in this Renewal</w:t>
      </w:r>
    </w:p>
    <w:p w14:paraId="73AC46E2" w14:textId="77777777" w:rsidR="00BD7605" w:rsidRPr="00BD7605" w:rsidRDefault="00BD7605" w:rsidP="00027E3C">
      <w:pPr>
        <w:spacing w:after="0"/>
      </w:pPr>
      <w:r w:rsidRPr="00BD7605">
        <w:t>Additional changes proposed across all 4 waivers include:</w:t>
      </w:r>
    </w:p>
    <w:p w14:paraId="3328451D" w14:textId="77777777" w:rsidR="00BD7605" w:rsidRPr="00BD7605" w:rsidRDefault="00BD7605" w:rsidP="00BD7605">
      <w:pPr>
        <w:pStyle w:val="ListParagraph"/>
        <w:numPr>
          <w:ilvl w:val="0"/>
          <w:numId w:val="12"/>
        </w:numPr>
      </w:pPr>
      <w:r w:rsidRPr="00BD7605">
        <w:t>Increased the number of participants that can be served.</w:t>
      </w:r>
    </w:p>
    <w:p w14:paraId="2AF02A80" w14:textId="77777777" w:rsidR="00BD7605" w:rsidRPr="00BD7605" w:rsidRDefault="00BD7605" w:rsidP="00BD7605">
      <w:pPr>
        <w:pStyle w:val="ListParagraph"/>
        <w:numPr>
          <w:ilvl w:val="0"/>
          <w:numId w:val="12"/>
        </w:numPr>
      </w:pPr>
      <w:r w:rsidRPr="00BD7605">
        <w:t>Added a new Assistive Technology service, in part to cover devices that enable participants to engage in waiver services.</w:t>
      </w:r>
    </w:p>
    <w:p w14:paraId="5A9B367B" w14:textId="77777777" w:rsidR="00BD7605" w:rsidRPr="00BD7605" w:rsidRDefault="00BD7605" w:rsidP="00BD7605">
      <w:pPr>
        <w:pStyle w:val="ListParagraph"/>
        <w:numPr>
          <w:ilvl w:val="0"/>
          <w:numId w:val="12"/>
        </w:numPr>
      </w:pPr>
      <w:r w:rsidRPr="00BD7605">
        <w:t>Updated verification of provider qualifications from annual to every two-years for many providers.</w:t>
      </w:r>
    </w:p>
    <w:p w14:paraId="0F85FF8D" w14:textId="77777777" w:rsidR="00BD7605" w:rsidRPr="00BD7605" w:rsidRDefault="00BD7605" w:rsidP="00BD7605">
      <w:pPr>
        <w:pStyle w:val="ListParagraph"/>
        <w:numPr>
          <w:ilvl w:val="0"/>
          <w:numId w:val="12"/>
        </w:numPr>
      </w:pPr>
      <w:r w:rsidRPr="00BD7605">
        <w:lastRenderedPageBreak/>
        <w:t>Modified language to reflect that MFP Demonstration eligibility has changed from 90 day to 60-day facility stay; this may impact MFP Demo participants ability to transfer to a waiver if their initial facility stay was shorter than 90 days.</w:t>
      </w:r>
    </w:p>
    <w:p w14:paraId="22A98929" w14:textId="77777777" w:rsidR="00BD7605" w:rsidRPr="00BD7605" w:rsidRDefault="00BD7605" w:rsidP="00BD7605">
      <w:pPr>
        <w:pStyle w:val="ListParagraph"/>
        <w:numPr>
          <w:ilvl w:val="0"/>
          <w:numId w:val="12"/>
        </w:numPr>
      </w:pPr>
      <w:r w:rsidRPr="00BD7605">
        <w:t>Updated data sources and sampling approaches for several performance measures.</w:t>
      </w:r>
    </w:p>
    <w:p w14:paraId="22BF67A2" w14:textId="5CFFA191" w:rsidR="00C85343" w:rsidRDefault="00BD7605" w:rsidP="00BD7605">
      <w:pPr>
        <w:pStyle w:val="ListParagraph"/>
        <w:numPr>
          <w:ilvl w:val="0"/>
          <w:numId w:val="12"/>
        </w:numPr>
      </w:pPr>
      <w:r w:rsidRPr="00BD7605">
        <w:t>Updated pronouns throughout to be gender neutral.</w:t>
      </w:r>
    </w:p>
    <w:p w14:paraId="0DFEF54E" w14:textId="77777777" w:rsidR="00027E3C" w:rsidRDefault="00027E3C" w:rsidP="00027E3C">
      <w:pPr>
        <w:pStyle w:val="Heading2"/>
      </w:pPr>
      <w:r w:rsidRPr="00C85343">
        <w:t>Summary of Proposed Changes in this Renewal</w:t>
      </w:r>
    </w:p>
    <w:p w14:paraId="166273D0" w14:textId="77777777" w:rsidR="00027E3C" w:rsidRPr="00027E3C" w:rsidRDefault="00027E3C" w:rsidP="00027E3C">
      <w:pPr>
        <w:spacing w:after="0"/>
      </w:pPr>
      <w:r w:rsidRPr="00027E3C">
        <w:t>Added new services to the non-residential waivers (MFP-CL and ABI-N):</w:t>
      </w:r>
    </w:p>
    <w:p w14:paraId="5A01B46D" w14:textId="77777777" w:rsidR="00027E3C" w:rsidRPr="00027E3C" w:rsidRDefault="00027E3C" w:rsidP="00027E3C">
      <w:pPr>
        <w:pStyle w:val="ListParagraph"/>
        <w:numPr>
          <w:ilvl w:val="0"/>
          <w:numId w:val="12"/>
        </w:numPr>
      </w:pPr>
      <w:r w:rsidRPr="00027E3C">
        <w:t xml:space="preserve">Home Delivered Meals: this service has been allowable during the </w:t>
      </w:r>
      <w:proofErr w:type="gramStart"/>
      <w:r w:rsidRPr="00027E3C">
        <w:t>PHE</w:t>
      </w:r>
      <w:proofErr w:type="gramEnd"/>
      <w:r w:rsidRPr="00027E3C">
        <w:t xml:space="preserve"> and the state proposes to make it a permanent waiver service.</w:t>
      </w:r>
    </w:p>
    <w:p w14:paraId="0E739D7B" w14:textId="77777777" w:rsidR="00027E3C" w:rsidRPr="00027E3C" w:rsidRDefault="00027E3C" w:rsidP="00027E3C">
      <w:pPr>
        <w:pStyle w:val="ListParagraph"/>
        <w:numPr>
          <w:ilvl w:val="0"/>
          <w:numId w:val="12"/>
        </w:numPr>
      </w:pPr>
      <w:r w:rsidRPr="00027E3C">
        <w:t>Laundry: this has been successfully offered in the Frail Elder Waiver and the state proposes to make it an available service in these waivers.</w:t>
      </w:r>
    </w:p>
    <w:p w14:paraId="2A4E78E6" w14:textId="77777777" w:rsidR="00027E3C" w:rsidRDefault="00027E3C" w:rsidP="00027E3C">
      <w:pPr>
        <w:pStyle w:val="Heading2"/>
      </w:pPr>
      <w:r w:rsidRPr="00C85343">
        <w:t>Summary of Proposed Changes in this Renewal</w:t>
      </w:r>
    </w:p>
    <w:p w14:paraId="0400469E" w14:textId="6844E4E2" w:rsidR="00027E3C" w:rsidRPr="00027E3C" w:rsidRDefault="00027E3C" w:rsidP="00027E3C">
      <w:pPr>
        <w:spacing w:after="0"/>
      </w:pPr>
      <w:r w:rsidRPr="00027E3C">
        <w:t>Updated language in the residential waivers (MFP-RS and ABI-RH):</w:t>
      </w:r>
    </w:p>
    <w:p w14:paraId="7036B149" w14:textId="280BD05A" w:rsidR="00027E3C" w:rsidRPr="00027E3C" w:rsidRDefault="00027E3C" w:rsidP="00027E3C">
      <w:pPr>
        <w:pStyle w:val="ListParagraph"/>
        <w:numPr>
          <w:ilvl w:val="0"/>
          <w:numId w:val="12"/>
        </w:numPr>
      </w:pPr>
      <w:r w:rsidRPr="00027E3C">
        <w:t>Added a description of how DDS utilizes Positive Behavior Supports.</w:t>
      </w:r>
    </w:p>
    <w:p w14:paraId="5E679D95" w14:textId="7D3C2C2F" w:rsidR="00C85343" w:rsidRDefault="00027E3C" w:rsidP="00027E3C">
      <w:pPr>
        <w:pStyle w:val="ListParagraph"/>
        <w:numPr>
          <w:ilvl w:val="0"/>
          <w:numId w:val="12"/>
        </w:numPr>
      </w:pPr>
      <w:r w:rsidRPr="00027E3C">
        <w:t xml:space="preserve">Updated language related to policies, training, and reporting requirements on restraints, restrictive interventions, and seclusion to </w:t>
      </w:r>
      <w:proofErr w:type="gramStart"/>
      <w:r w:rsidRPr="00027E3C">
        <w:t>more accurately reflect current requirements</w:t>
      </w:r>
      <w:proofErr w:type="gramEnd"/>
      <w:r w:rsidRPr="00027E3C">
        <w:t>.</w:t>
      </w:r>
    </w:p>
    <w:p w14:paraId="74E42BFB" w14:textId="77777777" w:rsidR="00C85343" w:rsidRPr="00C85343" w:rsidRDefault="00C85343" w:rsidP="00C85343"/>
    <w:p w14:paraId="79599469" w14:textId="48889908" w:rsidR="00AA65A5" w:rsidRPr="00BA24FB" w:rsidRDefault="00AA65A5" w:rsidP="00D977B4">
      <w:pPr>
        <w:pStyle w:val="Heading2"/>
      </w:pPr>
      <w:r w:rsidRPr="00BA24FB">
        <w:t xml:space="preserve">Process: HCBS Waiver </w:t>
      </w:r>
      <w:r w:rsidR="00027E3C">
        <w:t>Renewal</w:t>
      </w:r>
    </w:p>
    <w:p w14:paraId="203F1EAF" w14:textId="3FE1EFE7" w:rsidR="00AA65A5" w:rsidRPr="00AA65A5" w:rsidRDefault="00D977B4" w:rsidP="00AA65A5">
      <w:pPr>
        <w:numPr>
          <w:ilvl w:val="1"/>
          <w:numId w:val="4"/>
        </w:numPr>
      </w:pPr>
      <w:r>
        <w:t>DDS</w:t>
      </w:r>
      <w:r w:rsidR="00027E3C">
        <w:t>, MRC</w:t>
      </w:r>
      <w:r w:rsidR="00AA65A5" w:rsidRPr="00AA65A5">
        <w:t xml:space="preserve"> and MassHealth collaborate to identify updates </w:t>
      </w:r>
    </w:p>
    <w:p w14:paraId="3088E1F6" w14:textId="77777777" w:rsidR="00AA65A5" w:rsidRPr="00AA65A5" w:rsidRDefault="00AA65A5" w:rsidP="00AA65A5">
      <w:pPr>
        <w:numPr>
          <w:ilvl w:val="1"/>
          <w:numId w:val="4"/>
        </w:numPr>
      </w:pPr>
      <w:r w:rsidRPr="00AA65A5">
        <w:t>Gather public input</w:t>
      </w:r>
    </w:p>
    <w:p w14:paraId="0E5171A9" w14:textId="0A3283F8" w:rsidR="00AA65A5" w:rsidRPr="00AA65A5" w:rsidRDefault="00AA65A5" w:rsidP="00AA65A5">
      <w:pPr>
        <w:numPr>
          <w:ilvl w:val="1"/>
          <w:numId w:val="4"/>
        </w:numPr>
      </w:pPr>
      <w:r w:rsidRPr="00AA65A5">
        <w:t xml:space="preserve">Review public comments and make additional revisions to </w:t>
      </w:r>
      <w:r w:rsidR="00027E3C">
        <w:t>renewed</w:t>
      </w:r>
      <w:r w:rsidRPr="00AA65A5">
        <w:t xml:space="preserve"> application where appropriate</w:t>
      </w:r>
    </w:p>
    <w:p w14:paraId="65822B52" w14:textId="77777777" w:rsidR="00AA65A5" w:rsidRPr="00AA65A5" w:rsidRDefault="00AA65A5" w:rsidP="00AA65A5">
      <w:pPr>
        <w:numPr>
          <w:ilvl w:val="1"/>
          <w:numId w:val="4"/>
        </w:numPr>
      </w:pPr>
      <w:r w:rsidRPr="00AA65A5">
        <w:t xml:space="preserve">Request CMS approval </w:t>
      </w:r>
    </w:p>
    <w:p w14:paraId="4DC4DB34" w14:textId="68F983DF" w:rsidR="00AA65A5" w:rsidRPr="00AA65A5" w:rsidRDefault="00AA65A5" w:rsidP="00AA65A5">
      <w:pPr>
        <w:numPr>
          <w:ilvl w:val="1"/>
          <w:numId w:val="4"/>
        </w:numPr>
      </w:pPr>
      <w:r w:rsidRPr="00AA65A5">
        <w:t xml:space="preserve">Implement updates when waiver </w:t>
      </w:r>
      <w:r w:rsidR="00027E3C">
        <w:t>renewal</w:t>
      </w:r>
      <w:r w:rsidRPr="00AA65A5">
        <w:t xml:space="preserve"> authorization period begins</w:t>
      </w:r>
    </w:p>
    <w:p w14:paraId="4239DDFD" w14:textId="77777777" w:rsidR="00BA24FB" w:rsidRDefault="00BA24FB" w:rsidP="00AA65A5">
      <w:pPr>
        <w:rPr>
          <w:b/>
          <w:bCs/>
        </w:rPr>
      </w:pPr>
    </w:p>
    <w:p w14:paraId="2B48FB7E" w14:textId="1C5D4C03" w:rsidR="00AA65A5" w:rsidRPr="00BA24FB" w:rsidRDefault="00AA65A5" w:rsidP="00C869FF">
      <w:pPr>
        <w:pStyle w:val="Heading2"/>
      </w:pPr>
      <w:r w:rsidRPr="00BA24FB">
        <w:t>Timeline</w:t>
      </w:r>
    </w:p>
    <w:p w14:paraId="15758164" w14:textId="57F18AA1" w:rsidR="00800C6E" w:rsidRPr="00AA65A5" w:rsidRDefault="00AA65A5" w:rsidP="00AA65A5">
      <w:r w:rsidRPr="00AA65A5">
        <w:t>Request approval from CMS at least three months prior to desired effective date</w:t>
      </w:r>
    </w:p>
    <w:p w14:paraId="54FAA255" w14:textId="77777777" w:rsidR="00CF7781" w:rsidRDefault="00800C6E" w:rsidP="00C869FF">
      <w:pPr>
        <w:pStyle w:val="Heading2"/>
      </w:pPr>
      <w:r w:rsidRPr="00AA65A5">
        <w:t>Target submission date</w:t>
      </w:r>
      <w:r>
        <w:tab/>
      </w:r>
      <w:r>
        <w:tab/>
      </w:r>
    </w:p>
    <w:p w14:paraId="0D7EF81D" w14:textId="2148222F" w:rsidR="00CF7781" w:rsidRDefault="00027E3C" w:rsidP="00AA65A5">
      <w:pPr>
        <w:rPr>
          <w:b/>
          <w:bCs/>
        </w:rPr>
      </w:pPr>
      <w:r>
        <w:t>December</w:t>
      </w:r>
      <w:r w:rsidR="00D977B4">
        <w:t xml:space="preserve"> 2022</w:t>
      </w:r>
      <w:r w:rsidR="00800C6E">
        <w:rPr>
          <w:b/>
          <w:bCs/>
        </w:rPr>
        <w:tab/>
      </w:r>
      <w:r w:rsidR="00800C6E">
        <w:rPr>
          <w:b/>
          <w:bCs/>
        </w:rPr>
        <w:tab/>
      </w:r>
      <w:r w:rsidR="00800C6E">
        <w:rPr>
          <w:b/>
          <w:bCs/>
        </w:rPr>
        <w:tab/>
      </w:r>
    </w:p>
    <w:p w14:paraId="5C296100" w14:textId="2010DD4E" w:rsidR="00CF7781" w:rsidRDefault="00800C6E" w:rsidP="00C869FF">
      <w:pPr>
        <w:pStyle w:val="Heading2"/>
      </w:pPr>
      <w:r w:rsidRPr="00AA65A5">
        <w:t>Target effective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C3050D" w14:textId="77777777" w:rsidR="00027E3C" w:rsidRPr="00027E3C" w:rsidRDefault="00027E3C" w:rsidP="00027E3C">
      <w:r w:rsidRPr="00027E3C">
        <w:t>MFP: April 1, 2023</w:t>
      </w:r>
    </w:p>
    <w:p w14:paraId="16C7063A" w14:textId="03A5B9F7" w:rsidR="00CF7781" w:rsidRDefault="00027E3C" w:rsidP="00027E3C">
      <w:pPr>
        <w:rPr>
          <w:b/>
          <w:bCs/>
          <w:sz w:val="24"/>
          <w:szCs w:val="24"/>
        </w:rPr>
      </w:pPr>
      <w:r w:rsidRPr="00027E3C">
        <w:t>ABI: May 1, 2023</w:t>
      </w:r>
    </w:p>
    <w:p w14:paraId="0AB6A392" w14:textId="13DE27A3" w:rsidR="00AA65A5" w:rsidRPr="00BA24FB" w:rsidRDefault="00AA65A5" w:rsidP="00C869FF">
      <w:pPr>
        <w:pStyle w:val="Heading2"/>
      </w:pPr>
      <w:r w:rsidRPr="00BA24FB">
        <w:lastRenderedPageBreak/>
        <w:t xml:space="preserve">Public Comment: </w:t>
      </w:r>
      <w:r w:rsidRPr="00BA24FB">
        <w:br/>
      </w:r>
      <w:r w:rsidR="00027E3C">
        <w:t>EOHHS</w:t>
      </w:r>
      <w:r w:rsidRPr="00BA24FB">
        <w:t xml:space="preserve"> requests public input</w:t>
      </w:r>
    </w:p>
    <w:p w14:paraId="3E95AFA8" w14:textId="1154C657" w:rsidR="00AA65A5" w:rsidRPr="00AA65A5" w:rsidRDefault="00AA65A5" w:rsidP="002E4544">
      <w:pPr>
        <w:pStyle w:val="ListParagraph"/>
        <w:numPr>
          <w:ilvl w:val="0"/>
          <w:numId w:val="6"/>
        </w:numPr>
      </w:pPr>
      <w:r w:rsidRPr="00AA65A5">
        <w:t>Last day to submit co</w:t>
      </w:r>
      <w:r w:rsidR="00CF7781">
        <w:t>m</w:t>
      </w:r>
      <w:r w:rsidRPr="00AA65A5">
        <w:t xml:space="preserve">ments: </w:t>
      </w:r>
      <w:r w:rsidR="00027E3C">
        <w:rPr>
          <w:b/>
          <w:bCs/>
        </w:rPr>
        <w:t>October 2</w:t>
      </w:r>
      <w:r w:rsidR="00D977B4">
        <w:rPr>
          <w:b/>
          <w:bCs/>
        </w:rPr>
        <w:t>0, 2022</w:t>
      </w:r>
    </w:p>
    <w:p w14:paraId="0F8090A8" w14:textId="77777777" w:rsidR="00AA65A5" w:rsidRPr="00AA65A5" w:rsidRDefault="00AA65A5" w:rsidP="00BA24FB">
      <w:pPr>
        <w:pStyle w:val="ListParagraph"/>
        <w:numPr>
          <w:ilvl w:val="0"/>
          <w:numId w:val="6"/>
        </w:numPr>
      </w:pPr>
      <w:r w:rsidRPr="00AA65A5">
        <w:t>Comments can be emailed to EOHHS:</w:t>
      </w:r>
    </w:p>
    <w:p w14:paraId="523A4197" w14:textId="2EABA4F8" w:rsidR="00AA65A5" w:rsidRPr="00AA65A5" w:rsidRDefault="00894C85" w:rsidP="00BA24FB">
      <w:pPr>
        <w:pStyle w:val="ListParagraph"/>
        <w:numPr>
          <w:ilvl w:val="1"/>
          <w:numId w:val="6"/>
        </w:numPr>
      </w:pPr>
      <w:hyperlink r:id="rId8" w:history="1">
        <w:r w:rsidR="00BA24FB" w:rsidRPr="00DB4E17">
          <w:rPr>
            <w:rStyle w:val="Hyperlink"/>
          </w:rPr>
          <w:t>HCBSWaivers@mass.gov</w:t>
        </w:r>
      </w:hyperlink>
      <w:r w:rsidR="00AA65A5" w:rsidRPr="00AA65A5">
        <w:t xml:space="preserve"> (Please state “</w:t>
      </w:r>
      <w:r w:rsidR="00495E7D">
        <w:t>ABI/MFP</w:t>
      </w:r>
      <w:r w:rsidR="00D977B4">
        <w:t xml:space="preserve"> Waiver</w:t>
      </w:r>
      <w:r w:rsidR="00495E7D">
        <w:t xml:space="preserve"> Renewal</w:t>
      </w:r>
      <w:r w:rsidR="00AA65A5" w:rsidRPr="00AA65A5">
        <w:t xml:space="preserve"> Comments” in the subject line) </w:t>
      </w:r>
    </w:p>
    <w:p w14:paraId="1FF31F6A" w14:textId="2E48C9EC" w:rsidR="00AA65A5" w:rsidRPr="00AA65A5" w:rsidRDefault="00AA65A5" w:rsidP="00BA24FB">
      <w:pPr>
        <w:pStyle w:val="ListParagraph"/>
        <w:numPr>
          <w:ilvl w:val="0"/>
          <w:numId w:val="6"/>
        </w:numPr>
      </w:pPr>
      <w:r w:rsidRPr="00AA65A5">
        <w:t>Application</w:t>
      </w:r>
      <w:r w:rsidR="00894C85">
        <w:t>s</w:t>
      </w:r>
      <w:r w:rsidRPr="00AA65A5">
        <w:t xml:space="preserve"> with the proposed </w:t>
      </w:r>
      <w:r w:rsidR="00894C85">
        <w:t>changes</w:t>
      </w:r>
      <w:r w:rsidRPr="00AA65A5">
        <w:t xml:space="preserve"> and this presentation are posted online:</w:t>
      </w:r>
    </w:p>
    <w:p w14:paraId="2AA956E9" w14:textId="1B2FEA41" w:rsidR="00894C85" w:rsidRDefault="00894C85" w:rsidP="00894C85">
      <w:pPr>
        <w:pStyle w:val="ListParagraph"/>
        <w:numPr>
          <w:ilvl w:val="1"/>
          <w:numId w:val="6"/>
        </w:numPr>
      </w:pPr>
      <w:hyperlink r:id="rId9" w:history="1">
        <w:r w:rsidRPr="008731C4">
          <w:rPr>
            <w:rStyle w:val="Hyperlink"/>
          </w:rPr>
          <w:t>https://www.mass.gov/info-details/home-and-community-based-services-waiver-renewal-and-amendment-applications-public-input-process</w:t>
        </w:r>
      </w:hyperlink>
    </w:p>
    <w:p w14:paraId="6A532C5E" w14:textId="40890A54" w:rsidR="00AA65A5" w:rsidRPr="00AA65A5" w:rsidRDefault="00AA65A5" w:rsidP="00894C85">
      <w:pPr>
        <w:pStyle w:val="ListParagraph"/>
        <w:numPr>
          <w:ilvl w:val="1"/>
          <w:numId w:val="6"/>
        </w:numPr>
      </w:pPr>
      <w:r w:rsidRPr="00AA65A5">
        <w:t xml:space="preserve">Hard copies of the application with proposed </w:t>
      </w:r>
      <w:r w:rsidR="00894C85">
        <w:t>changes are</w:t>
      </w:r>
      <w:r w:rsidRPr="00AA65A5">
        <w:t xml:space="preserve"> available upon request. </w:t>
      </w:r>
    </w:p>
    <w:p w14:paraId="13DA06F7" w14:textId="10144FC4" w:rsidR="00AA65A5" w:rsidRPr="00AA65A5" w:rsidRDefault="00AA65A5" w:rsidP="00BA24FB">
      <w:pPr>
        <w:pStyle w:val="ListParagraph"/>
        <w:numPr>
          <w:ilvl w:val="1"/>
          <w:numId w:val="6"/>
        </w:numPr>
      </w:pPr>
      <w:r w:rsidRPr="00AA65A5">
        <w:t xml:space="preserve">Email request to </w:t>
      </w:r>
      <w:hyperlink r:id="rId10" w:history="1">
        <w:r w:rsidRPr="00AA65A5">
          <w:rPr>
            <w:rStyle w:val="Hyperlink"/>
          </w:rPr>
          <w:t>HCBSWaivers@mass.gov</w:t>
        </w:r>
      </w:hyperlink>
      <w:r w:rsidRPr="00AA65A5">
        <w:t xml:space="preserve"> (Please state “</w:t>
      </w:r>
      <w:r w:rsidR="00894C85" w:rsidRPr="00894C85">
        <w:t>ABI/MFP Waiver Renewal Comments</w:t>
      </w:r>
      <w:r w:rsidRPr="00AA65A5">
        <w:t xml:space="preserve">” in the subject line) </w:t>
      </w:r>
    </w:p>
    <w:p w14:paraId="613492FA" w14:textId="044D1EA1" w:rsidR="00AA65A5" w:rsidRPr="00BA24FB" w:rsidRDefault="00AA65A5" w:rsidP="00C869FF">
      <w:pPr>
        <w:pStyle w:val="Heading2"/>
      </w:pPr>
      <w:r w:rsidRPr="00BA24FB">
        <w:t xml:space="preserve">Public Comment: </w:t>
      </w:r>
      <w:r w:rsidRPr="00BA24FB">
        <w:br/>
        <w:t>Oral Comment at Today’s Listening Session</w:t>
      </w:r>
    </w:p>
    <w:p w14:paraId="41600A62" w14:textId="77777777" w:rsidR="00AA65A5" w:rsidRPr="00AA65A5" w:rsidRDefault="00AA65A5" w:rsidP="00BA24FB">
      <w:pPr>
        <w:pStyle w:val="ListParagraph"/>
        <w:numPr>
          <w:ilvl w:val="0"/>
          <w:numId w:val="7"/>
        </w:numPr>
      </w:pPr>
      <w:r w:rsidRPr="00AA65A5">
        <w:t>Share your input with us today</w:t>
      </w:r>
    </w:p>
    <w:p w14:paraId="1C7B2932" w14:textId="77777777" w:rsidR="00AA65A5" w:rsidRPr="00AA65A5" w:rsidRDefault="00AA65A5" w:rsidP="00BA24FB">
      <w:pPr>
        <w:pStyle w:val="ListParagraph"/>
        <w:numPr>
          <w:ilvl w:val="0"/>
          <w:numId w:val="7"/>
        </w:numPr>
      </w:pPr>
      <w:r w:rsidRPr="00AA65A5">
        <w:t>Please state your name and affiliation (e.g., waiver participant, family member, waiver service provider, etc.)</w:t>
      </w:r>
    </w:p>
    <w:p w14:paraId="3BE8239A" w14:textId="77777777" w:rsidR="00AA65A5" w:rsidRPr="00AA65A5" w:rsidRDefault="00AA65A5" w:rsidP="00BA24FB">
      <w:pPr>
        <w:pStyle w:val="ListParagraph"/>
        <w:numPr>
          <w:ilvl w:val="0"/>
          <w:numId w:val="7"/>
        </w:numPr>
      </w:pPr>
      <w:r w:rsidRPr="00AA65A5">
        <w:t xml:space="preserve">Oral comment at today’s session does </w:t>
      </w:r>
      <w:r w:rsidRPr="00BA24FB">
        <w:rPr>
          <w:b/>
          <w:bCs/>
        </w:rPr>
        <w:t>not</w:t>
      </w:r>
      <w:r w:rsidRPr="00AA65A5">
        <w:t xml:space="preserve"> need to be submitted in writing</w:t>
      </w:r>
    </w:p>
    <w:p w14:paraId="53AAACE0" w14:textId="7402566F" w:rsidR="00AA65A5" w:rsidRPr="00AA65A5" w:rsidRDefault="00AA65A5" w:rsidP="00BA24FB">
      <w:pPr>
        <w:pStyle w:val="ListParagraph"/>
        <w:numPr>
          <w:ilvl w:val="0"/>
          <w:numId w:val="7"/>
        </w:numPr>
      </w:pPr>
      <w:r w:rsidRPr="00AA65A5">
        <w:t xml:space="preserve">If you wish to provide comments but are unable to do so during today’s session, please email your comments to </w:t>
      </w:r>
      <w:hyperlink r:id="rId11" w:history="1">
        <w:r w:rsidRPr="00AA65A5">
          <w:rPr>
            <w:rStyle w:val="Hyperlink"/>
          </w:rPr>
          <w:t>HCBSWaivers@mass.gov</w:t>
        </w:r>
      </w:hyperlink>
      <w:r w:rsidRPr="00AA65A5">
        <w:t xml:space="preserve"> (Please state “</w:t>
      </w:r>
      <w:r w:rsidR="00894C85" w:rsidRPr="00894C85">
        <w:t>ABI/MFP Waiver Renewal Comments</w:t>
      </w:r>
      <w:r w:rsidRPr="00AA65A5">
        <w:t>” in the subject line</w:t>
      </w:r>
      <w:r w:rsidR="00894C85" w:rsidRPr="00894C85">
        <w:t xml:space="preserve"> </w:t>
      </w:r>
      <w:r w:rsidR="00894C85" w:rsidRPr="00894C85">
        <w:rPr>
          <w:b/>
          <w:bCs/>
        </w:rPr>
        <w:t>October 2</w:t>
      </w:r>
      <w:r w:rsidR="00D977B4" w:rsidRPr="00894C85">
        <w:rPr>
          <w:b/>
          <w:bCs/>
        </w:rPr>
        <w:t>0</w:t>
      </w:r>
      <w:r w:rsidR="00D977B4">
        <w:rPr>
          <w:b/>
          <w:bCs/>
        </w:rPr>
        <w:t>, 2022</w:t>
      </w:r>
      <w:r w:rsidRPr="00BA24FB">
        <w:rPr>
          <w:b/>
          <w:bCs/>
        </w:rPr>
        <w:t xml:space="preserve">. </w:t>
      </w:r>
    </w:p>
    <w:p w14:paraId="55B6F6B9" w14:textId="77777777" w:rsidR="00AA65A5" w:rsidRPr="00AA65A5" w:rsidRDefault="00AA65A5" w:rsidP="00BA24FB">
      <w:pPr>
        <w:jc w:val="center"/>
      </w:pPr>
      <w:r w:rsidRPr="00AA65A5">
        <w:rPr>
          <w:b/>
          <w:bCs/>
          <w:i/>
          <w:iCs/>
        </w:rPr>
        <w:t>Thank you!</w:t>
      </w:r>
    </w:p>
    <w:p w14:paraId="1D9CB4B9" w14:textId="77777777" w:rsidR="00AA65A5" w:rsidRPr="00AA65A5" w:rsidRDefault="00AA65A5" w:rsidP="00AA65A5"/>
    <w:p w14:paraId="4EB250A4" w14:textId="77777777" w:rsidR="00AA65A5" w:rsidRPr="00AA65A5" w:rsidRDefault="00AA65A5" w:rsidP="00AA65A5"/>
    <w:sectPr w:rsidR="00AA65A5" w:rsidRPr="00AA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63D"/>
    <w:multiLevelType w:val="hybridMultilevel"/>
    <w:tmpl w:val="87A8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5A5F"/>
    <w:multiLevelType w:val="hybridMultilevel"/>
    <w:tmpl w:val="90F2388C"/>
    <w:lvl w:ilvl="0" w:tplc="AD263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47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28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AD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A1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EA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4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24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2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D806A5"/>
    <w:multiLevelType w:val="hybridMultilevel"/>
    <w:tmpl w:val="468A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240C"/>
    <w:multiLevelType w:val="hybridMultilevel"/>
    <w:tmpl w:val="2DE88B26"/>
    <w:lvl w:ilvl="0" w:tplc="BC78C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4B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84E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05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EA4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09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66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CA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C1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9640E"/>
    <w:multiLevelType w:val="hybridMultilevel"/>
    <w:tmpl w:val="9660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5849"/>
    <w:multiLevelType w:val="hybridMultilevel"/>
    <w:tmpl w:val="3D0A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2746"/>
    <w:multiLevelType w:val="hybridMultilevel"/>
    <w:tmpl w:val="C214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F7BC7"/>
    <w:multiLevelType w:val="hybridMultilevel"/>
    <w:tmpl w:val="0C5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2E0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21286"/>
    <w:multiLevelType w:val="hybridMultilevel"/>
    <w:tmpl w:val="864A4008"/>
    <w:lvl w:ilvl="0" w:tplc="D21C2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EE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45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AA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01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CD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0A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88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4F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300D9F"/>
    <w:multiLevelType w:val="hybridMultilevel"/>
    <w:tmpl w:val="8B54B27A"/>
    <w:lvl w:ilvl="0" w:tplc="9AEE4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00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4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AC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C7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89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23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48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3F10B7"/>
    <w:multiLevelType w:val="hybridMultilevel"/>
    <w:tmpl w:val="E1EC99EA"/>
    <w:lvl w:ilvl="0" w:tplc="14D48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C49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AD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22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C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4F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26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21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85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537366A"/>
    <w:multiLevelType w:val="hybridMultilevel"/>
    <w:tmpl w:val="8EC0CBFA"/>
    <w:lvl w:ilvl="0" w:tplc="AA8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EE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86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83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07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A3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06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3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03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8C5C49"/>
    <w:multiLevelType w:val="hybridMultilevel"/>
    <w:tmpl w:val="2C10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C4D66"/>
    <w:multiLevelType w:val="hybridMultilevel"/>
    <w:tmpl w:val="E2F8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2E0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F6FE4"/>
    <w:multiLevelType w:val="hybridMultilevel"/>
    <w:tmpl w:val="9CC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A5"/>
    <w:rsid w:val="00027E3C"/>
    <w:rsid w:val="0024012A"/>
    <w:rsid w:val="0029325A"/>
    <w:rsid w:val="002E4544"/>
    <w:rsid w:val="003B2CD6"/>
    <w:rsid w:val="00495E7D"/>
    <w:rsid w:val="00800C6E"/>
    <w:rsid w:val="00894C85"/>
    <w:rsid w:val="00AA65A5"/>
    <w:rsid w:val="00BA24FB"/>
    <w:rsid w:val="00BD7605"/>
    <w:rsid w:val="00C85343"/>
    <w:rsid w:val="00C869FF"/>
    <w:rsid w:val="00CF7781"/>
    <w:rsid w:val="00D9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E8C7"/>
  <w15:chartTrackingRefBased/>
  <w15:docId w15:val="{1AEDDDD7-DCAD-4215-986C-74E58A4E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9FF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9FF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5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5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69F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69FF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3595">
          <w:marLeft w:val="83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637">
          <w:marLeft w:val="83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364">
          <w:marLeft w:val="83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112">
          <w:marLeft w:val="83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968">
          <w:marLeft w:val="83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9602">
          <w:marLeft w:val="720"/>
          <w:marRight w:val="0"/>
          <w:marTop w:val="28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292">
          <w:marLeft w:val="720"/>
          <w:marRight w:val="0"/>
          <w:marTop w:val="28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733">
          <w:marLeft w:val="720"/>
          <w:marRight w:val="0"/>
          <w:marTop w:val="28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025">
          <w:marLeft w:val="720"/>
          <w:marRight w:val="0"/>
          <w:marTop w:val="28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331">
          <w:marLeft w:val="720"/>
          <w:marRight w:val="0"/>
          <w:marTop w:val="28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00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9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2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BSWaivers@mass.gov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CBSWaivers@mass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HCBSWaivers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ss.gov/info-details/home-and-community-based-services-waiver-renewal-and-amendment-applications-public-input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E79CFCC21E4BB8F8B3EBDDCB45F6" ma:contentTypeVersion="4" ma:contentTypeDescription="Create a new document." ma:contentTypeScope="" ma:versionID="71438e9b4f308010e0cab050b2e649e7">
  <xsd:schema xmlns:xsd="http://www.w3.org/2001/XMLSchema" xmlns:xs="http://www.w3.org/2001/XMLSchema" xmlns:p="http://schemas.microsoft.com/office/2006/metadata/properties" xmlns:ns2="02a64acd-37b4-4213-adcf-69e7bb6f99b3" xmlns:ns3="bfbac546-a2fc-4229-9ece-d0acbd3b42bf" targetNamespace="http://schemas.microsoft.com/office/2006/metadata/properties" ma:root="true" ma:fieldsID="ce760d65b5ae12c03192d9e7a49590ad" ns2:_="" ns3:_="">
    <xsd:import namespace="02a64acd-37b4-4213-adcf-69e7bb6f99b3"/>
    <xsd:import namespace="bfbac546-a2fc-4229-9ece-d0acbd3b4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64acd-37b4-4213-adcf-69e7bb6f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c546-a2fc-4229-9ece-d0acbd3b4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66C4F-DFC0-4982-A1BA-2BFB80873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64acd-37b4-4213-adcf-69e7bb6f99b3"/>
    <ds:schemaRef ds:uri="bfbac546-a2fc-4229-9ece-d0acbd3b4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61C85-32E2-4CBC-B7E4-D8EBF9975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D5535-7B86-444B-82C6-42DC82410BE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2a64acd-37b4-4213-adcf-69e7bb6f99b3"/>
    <ds:schemaRef ds:uri="bfbac546-a2fc-4229-9ece-d0acbd3b42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Giacomini, Tainara G. (EHS)</dc:creator>
  <cp:keywords/>
  <dc:description/>
  <cp:lastModifiedBy>Menz, Erica C. (EHS)</cp:lastModifiedBy>
  <cp:revision>2</cp:revision>
  <dcterms:created xsi:type="dcterms:W3CDTF">2022-10-06T17:58:00Z</dcterms:created>
  <dcterms:modified xsi:type="dcterms:W3CDTF">2022-10-06T17:58:00Z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0x0101000551E79CFCC21E4BB8F8B3EBDDCB45F6</vt:lpwstr>
  </property>
</Properties>
</file>