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4F6D" w14:textId="77777777" w:rsidR="00FE3ED7" w:rsidRDefault="00000000">
      <w:pPr>
        <w:pStyle w:val="Heading1"/>
      </w:pPr>
      <w:r>
        <w:rPr>
          <w:noProof/>
        </w:rPr>
        <w:drawing>
          <wp:anchor distT="0" distB="0" distL="0" distR="0" simplePos="0" relativeHeight="15728640" behindDoc="0" locked="0" layoutInCell="1" allowOverlap="1" wp14:anchorId="1FBB1C6D" wp14:editId="1D5C208B">
            <wp:simplePos x="0" y="0"/>
            <wp:positionH relativeFrom="page">
              <wp:posOffset>685800</wp:posOffset>
            </wp:positionH>
            <wp:positionV relativeFrom="paragraph">
              <wp:posOffset>155562</wp:posOffset>
            </wp:positionV>
            <wp:extent cx="647699" cy="647699"/>
            <wp:effectExtent l="0" t="0" r="0" b="0"/>
            <wp:wrapNone/>
            <wp:docPr id="3" name="Image 3"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state seal"/>
                    <pic:cNvPicPr/>
                  </pic:nvPicPr>
                  <pic:blipFill>
                    <a:blip r:embed="rId6" cstate="print"/>
                    <a:stretch>
                      <a:fillRect/>
                    </a:stretch>
                  </pic:blipFill>
                  <pic:spPr>
                    <a:xfrm>
                      <a:off x="0" y="0"/>
                      <a:ext cx="647699" cy="647699"/>
                    </a:xfrm>
                    <a:prstGeom prst="rect">
                      <a:avLst/>
                    </a:prstGeom>
                  </pic:spPr>
                </pic:pic>
              </a:graphicData>
            </a:graphic>
          </wp:anchor>
        </w:drawing>
      </w:r>
      <w:r>
        <w:rPr>
          <w:color w:val="13548F"/>
        </w:rPr>
        <w:t>Accelerating</w:t>
      </w:r>
      <w:r>
        <w:rPr>
          <w:color w:val="13548F"/>
          <w:spacing w:val="-14"/>
        </w:rPr>
        <w:t xml:space="preserve"> </w:t>
      </w:r>
      <w:r>
        <w:rPr>
          <w:color w:val="13548F"/>
        </w:rPr>
        <w:t>Capital</w:t>
      </w:r>
      <w:r>
        <w:rPr>
          <w:color w:val="13548F"/>
          <w:spacing w:val="-14"/>
        </w:rPr>
        <w:t xml:space="preserve"> </w:t>
      </w:r>
      <w:r>
        <w:rPr>
          <w:color w:val="13548F"/>
        </w:rPr>
        <w:t>Investments</w:t>
      </w:r>
      <w:r>
        <w:rPr>
          <w:color w:val="13548F"/>
          <w:spacing w:val="-14"/>
        </w:rPr>
        <w:t xml:space="preserve"> </w:t>
      </w:r>
      <w:r>
        <w:rPr>
          <w:color w:val="13548F"/>
        </w:rPr>
        <w:t>with Pay-As-You-Go Funding</w:t>
      </w:r>
    </w:p>
    <w:p w14:paraId="45D9C716" w14:textId="77777777" w:rsidR="00FE3ED7" w:rsidRDefault="00000000">
      <w:pPr>
        <w:pStyle w:val="Heading2"/>
      </w:pPr>
      <w:r>
        <w:rPr>
          <w:color w:val="13548F"/>
        </w:rPr>
        <w:t>Executive</w:t>
      </w:r>
      <w:r>
        <w:rPr>
          <w:color w:val="13548F"/>
          <w:spacing w:val="-17"/>
        </w:rPr>
        <w:t xml:space="preserve"> </w:t>
      </w:r>
      <w:r>
        <w:rPr>
          <w:color w:val="13548F"/>
        </w:rPr>
        <w:t>Office</w:t>
      </w:r>
      <w:r>
        <w:rPr>
          <w:color w:val="13548F"/>
          <w:spacing w:val="-14"/>
        </w:rPr>
        <w:t xml:space="preserve"> </w:t>
      </w:r>
      <w:r>
        <w:rPr>
          <w:color w:val="13548F"/>
        </w:rPr>
        <w:t>for</w:t>
      </w:r>
      <w:r>
        <w:rPr>
          <w:color w:val="13548F"/>
          <w:spacing w:val="-20"/>
        </w:rPr>
        <w:t xml:space="preserve"> </w:t>
      </w:r>
      <w:r>
        <w:rPr>
          <w:color w:val="13548F"/>
        </w:rPr>
        <w:t>Administration</w:t>
      </w:r>
      <w:r>
        <w:rPr>
          <w:color w:val="13548F"/>
          <w:spacing w:val="-14"/>
        </w:rPr>
        <w:t xml:space="preserve"> </w:t>
      </w:r>
      <w:r>
        <w:rPr>
          <w:color w:val="13548F"/>
        </w:rPr>
        <w:t>and</w:t>
      </w:r>
      <w:r>
        <w:rPr>
          <w:color w:val="13548F"/>
          <w:spacing w:val="-13"/>
        </w:rPr>
        <w:t xml:space="preserve"> </w:t>
      </w:r>
      <w:r>
        <w:rPr>
          <w:color w:val="13548F"/>
          <w:spacing w:val="-2"/>
        </w:rPr>
        <w:t>Finance</w:t>
      </w:r>
    </w:p>
    <w:p w14:paraId="4EB78390" w14:textId="77777777" w:rsidR="00FE3ED7" w:rsidRDefault="00FE3ED7">
      <w:pPr>
        <w:pStyle w:val="BodyText"/>
        <w:spacing w:before="228"/>
        <w:rPr>
          <w:b/>
          <w:i/>
        </w:rPr>
      </w:pPr>
    </w:p>
    <w:p w14:paraId="713F0CB7" w14:textId="77777777" w:rsidR="00FE3ED7" w:rsidRDefault="00000000">
      <w:pPr>
        <w:pStyle w:val="Heading3"/>
      </w:pPr>
      <w:r>
        <w:rPr>
          <w:noProof/>
        </w:rPr>
        <mc:AlternateContent>
          <mc:Choice Requires="wps">
            <w:drawing>
              <wp:anchor distT="0" distB="0" distL="0" distR="0" simplePos="0" relativeHeight="15729152" behindDoc="0" locked="0" layoutInCell="1" allowOverlap="1" wp14:anchorId="36A93E83" wp14:editId="15D006C0">
                <wp:simplePos x="0" y="0"/>
                <wp:positionH relativeFrom="page">
                  <wp:posOffset>704850</wp:posOffset>
                </wp:positionH>
                <wp:positionV relativeFrom="paragraph">
                  <wp:posOffset>-149223</wp:posOffset>
                </wp:positionV>
                <wp:extent cx="63817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6FE1CB" id="Graphic 4" o:spid="_x0000_s1026" style="position:absolute;margin-left:55.5pt;margin-top:-11.75pt;width:502.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gDQIAAFs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" path="m,l6381750,e" filled="f" strokeweight=".5pt">
                <v:path arrowok="t"/>
                <w10:wrap anchorx="page"/>
              </v:shape>
            </w:pict>
          </mc:Fallback>
        </mc:AlternateContent>
      </w:r>
      <w:r>
        <w:t>Accelerating</w:t>
      </w:r>
      <w:r>
        <w:rPr>
          <w:spacing w:val="-8"/>
        </w:rPr>
        <w:t xml:space="preserve"> </w:t>
      </w:r>
      <w:r>
        <w:t>Critical</w:t>
      </w:r>
      <w:r>
        <w:rPr>
          <w:spacing w:val="-7"/>
        </w:rPr>
        <w:t xml:space="preserve"> </w:t>
      </w:r>
      <w:r>
        <w:t>Investments</w:t>
      </w:r>
      <w:r>
        <w:rPr>
          <w:spacing w:val="-6"/>
        </w:rPr>
        <w:t xml:space="preserve"> </w:t>
      </w:r>
      <w:r>
        <w:t>in</w:t>
      </w:r>
      <w:r>
        <w:rPr>
          <w:spacing w:val="-6"/>
        </w:rPr>
        <w:t xml:space="preserve"> </w:t>
      </w:r>
      <w:r>
        <w:t>the</w:t>
      </w:r>
      <w:r>
        <w:rPr>
          <w:spacing w:val="-7"/>
        </w:rPr>
        <w:t xml:space="preserve"> </w:t>
      </w:r>
      <w:r>
        <w:t>Commonwealth’s</w:t>
      </w:r>
      <w:r>
        <w:rPr>
          <w:spacing w:val="-5"/>
        </w:rPr>
        <w:t xml:space="preserve"> </w:t>
      </w:r>
      <w:r>
        <w:rPr>
          <w:spacing w:val="-2"/>
        </w:rPr>
        <w:t>Infrastructure</w:t>
      </w:r>
    </w:p>
    <w:p w14:paraId="1AD7CDC8" w14:textId="77777777" w:rsidR="00FE3ED7" w:rsidRDefault="00000000">
      <w:pPr>
        <w:pStyle w:val="BodyText"/>
        <w:spacing w:before="181" w:line="259" w:lineRule="auto"/>
        <w:ind w:left="360"/>
      </w:pPr>
      <w:r>
        <w:t>Investing in the physical infrastructure of Massachusetts is a priority of the Healey-Driscoll Administration.</w:t>
      </w:r>
      <w:r>
        <w:rPr>
          <w:spacing w:val="-16"/>
        </w:rPr>
        <w:t xml:space="preserve"> </w:t>
      </w:r>
      <w:r>
        <w:t>As</w:t>
      </w:r>
      <w:r>
        <w:rPr>
          <w:spacing w:val="-4"/>
        </w:rPr>
        <w:t xml:space="preserve"> </w:t>
      </w:r>
      <w:r>
        <w:t>demonstrated</w:t>
      </w:r>
      <w:r>
        <w:rPr>
          <w:spacing w:val="-5"/>
        </w:rPr>
        <w:t xml:space="preserve"> </w:t>
      </w:r>
      <w:r>
        <w:t>in</w:t>
      </w:r>
      <w:r>
        <w:rPr>
          <w:spacing w:val="-4"/>
        </w:rPr>
        <w:t xml:space="preserve"> </w:t>
      </w:r>
      <w:r>
        <w:t>the</w:t>
      </w:r>
      <w:r>
        <w:rPr>
          <w:spacing w:val="-4"/>
        </w:rPr>
        <w:t xml:space="preserve"> </w:t>
      </w:r>
      <w:r>
        <w:t>FY24-FY28</w:t>
      </w:r>
      <w:r>
        <w:rPr>
          <w:spacing w:val="-4"/>
        </w:rPr>
        <w:t xml:space="preserve"> </w:t>
      </w:r>
      <w:r>
        <w:t>Capital</w:t>
      </w:r>
      <w:r>
        <w:rPr>
          <w:spacing w:val="-4"/>
        </w:rPr>
        <w:t xml:space="preserve"> </w:t>
      </w:r>
      <w:r>
        <w:t>Investment</w:t>
      </w:r>
      <w:r>
        <w:rPr>
          <w:spacing w:val="-3"/>
        </w:rPr>
        <w:t xml:space="preserve"> </w:t>
      </w:r>
      <w:r>
        <w:t>Plan,</w:t>
      </w:r>
      <w:r>
        <w:rPr>
          <w:spacing w:val="-3"/>
        </w:rPr>
        <w:t xml:space="preserve"> </w:t>
      </w:r>
      <w:r>
        <w:t>over</w:t>
      </w:r>
      <w:r>
        <w:rPr>
          <w:spacing w:val="-3"/>
        </w:rPr>
        <w:t xml:space="preserve"> </w:t>
      </w:r>
      <w:r>
        <w:t>$14</w:t>
      </w:r>
      <w:r>
        <w:rPr>
          <w:spacing w:val="-4"/>
        </w:rPr>
        <w:t xml:space="preserve"> </w:t>
      </w:r>
      <w:r>
        <w:t>billion</w:t>
      </w:r>
      <w:r>
        <w:rPr>
          <w:spacing w:val="-4"/>
        </w:rPr>
        <w:t xml:space="preserve"> </w:t>
      </w:r>
      <w:r>
        <w:t>in capital upgrades through renovation, repair, and new construction are planned over the next five years. The</w:t>
      </w:r>
      <w:r>
        <w:rPr>
          <w:spacing w:val="-5"/>
        </w:rPr>
        <w:t xml:space="preserve"> </w:t>
      </w:r>
      <w:r>
        <w:t>Administration’s first capital plan makes historic investments in housing production and preservation, fully commits to meeting the Commonwealth’s climate goals, provides essential resources to drive economic development, preserves and modernizes our state infrastructure, invests in cities and towns from Pittsfield to Provincetown, and makes government more efficient and effective for its residents.</w:t>
      </w:r>
    </w:p>
    <w:p w14:paraId="63FE2A86" w14:textId="77777777" w:rsidR="00FE3ED7" w:rsidRDefault="00000000">
      <w:pPr>
        <w:pStyle w:val="BodyText"/>
        <w:spacing w:before="158" w:line="259" w:lineRule="auto"/>
        <w:ind w:left="359" w:right="69"/>
      </w:pPr>
      <w:r>
        <w:t>Despite these bold investments, there remains a significant need for investment in deferred maintenance</w:t>
      </w:r>
      <w:r>
        <w:rPr>
          <w:spacing w:val="-1"/>
        </w:rPr>
        <w:t xml:space="preserve"> </w:t>
      </w:r>
      <w:r>
        <w:t>across</w:t>
      </w:r>
      <w:r>
        <w:rPr>
          <w:spacing w:val="-1"/>
        </w:rPr>
        <w:t xml:space="preserve"> </w:t>
      </w:r>
      <w:r>
        <w:t>the</w:t>
      </w:r>
      <w:r>
        <w:rPr>
          <w:spacing w:val="-1"/>
        </w:rPr>
        <w:t xml:space="preserve"> </w:t>
      </w:r>
      <w:r>
        <w:t>state’s</w:t>
      </w:r>
      <w:r>
        <w:rPr>
          <w:spacing w:val="-1"/>
        </w:rPr>
        <w:t xml:space="preserve"> </w:t>
      </w:r>
      <w:r>
        <w:t>asset portfolio. Long-term commitments</w:t>
      </w:r>
      <w:r>
        <w:rPr>
          <w:spacing w:val="-1"/>
        </w:rPr>
        <w:t xml:space="preserve"> </w:t>
      </w:r>
      <w:r>
        <w:t>of substantial</w:t>
      </w:r>
      <w:r>
        <w:rPr>
          <w:spacing w:val="-1"/>
        </w:rPr>
        <w:t xml:space="preserve"> </w:t>
      </w:r>
      <w:r>
        <w:t>funding are required to address the state’s deferred maintenance backlog, beyond the capacity of the current capital plan.</w:t>
      </w:r>
      <w:r>
        <w:rPr>
          <w:spacing w:val="-6"/>
        </w:rPr>
        <w:t xml:space="preserve"> </w:t>
      </w:r>
      <w:r>
        <w:t>Additional pay-as-you-go (PAYGO) funding, as proposed, would accelerate</w:t>
      </w:r>
      <w:r>
        <w:rPr>
          <w:spacing w:val="-4"/>
        </w:rPr>
        <w:t xml:space="preserve"> </w:t>
      </w:r>
      <w:r>
        <w:t>the</w:t>
      </w:r>
      <w:r>
        <w:rPr>
          <w:spacing w:val="-4"/>
        </w:rPr>
        <w:t xml:space="preserve"> </w:t>
      </w:r>
      <w:r>
        <w:t>state’s</w:t>
      </w:r>
      <w:r>
        <w:rPr>
          <w:spacing w:val="-5"/>
        </w:rPr>
        <w:t xml:space="preserve"> </w:t>
      </w:r>
      <w:r>
        <w:t>ability</w:t>
      </w:r>
      <w:r>
        <w:rPr>
          <w:spacing w:val="-4"/>
        </w:rPr>
        <w:t xml:space="preserve"> </w:t>
      </w:r>
      <w:r>
        <w:t>to</w:t>
      </w:r>
      <w:r>
        <w:rPr>
          <w:spacing w:val="-4"/>
        </w:rPr>
        <w:t xml:space="preserve"> </w:t>
      </w:r>
      <w:r>
        <w:t>make</w:t>
      </w:r>
      <w:r>
        <w:rPr>
          <w:spacing w:val="-4"/>
        </w:rPr>
        <w:t xml:space="preserve"> </w:t>
      </w:r>
      <w:r>
        <w:t>these</w:t>
      </w:r>
      <w:r>
        <w:rPr>
          <w:spacing w:val="-4"/>
        </w:rPr>
        <w:t xml:space="preserve"> </w:t>
      </w:r>
      <w:r>
        <w:t>critical</w:t>
      </w:r>
      <w:r>
        <w:rPr>
          <w:spacing w:val="-4"/>
        </w:rPr>
        <w:t xml:space="preserve"> </w:t>
      </w:r>
      <w:r>
        <w:t>investments</w:t>
      </w:r>
      <w:r>
        <w:rPr>
          <w:spacing w:val="-4"/>
        </w:rPr>
        <w:t xml:space="preserve"> </w:t>
      </w:r>
      <w:r>
        <w:t>and</w:t>
      </w:r>
      <w:r>
        <w:rPr>
          <w:spacing w:val="-5"/>
        </w:rPr>
        <w:t xml:space="preserve"> </w:t>
      </w:r>
      <w:r>
        <w:t>reduce</w:t>
      </w:r>
      <w:r>
        <w:rPr>
          <w:spacing w:val="-4"/>
        </w:rPr>
        <w:t xml:space="preserve"> </w:t>
      </w:r>
      <w:r>
        <w:t>the</w:t>
      </w:r>
      <w:r>
        <w:rPr>
          <w:spacing w:val="-4"/>
        </w:rPr>
        <w:t xml:space="preserve"> </w:t>
      </w:r>
      <w:r>
        <w:t>long-term</w:t>
      </w:r>
      <w:r>
        <w:rPr>
          <w:spacing w:val="-5"/>
        </w:rPr>
        <w:t xml:space="preserve"> </w:t>
      </w:r>
      <w:r>
        <w:t>need for debt issuance to support state assets.</w:t>
      </w:r>
    </w:p>
    <w:p w14:paraId="28B251B7" w14:textId="77777777" w:rsidR="00FE3ED7" w:rsidRDefault="00FE3ED7">
      <w:pPr>
        <w:pStyle w:val="BodyText"/>
      </w:pPr>
    </w:p>
    <w:p w14:paraId="5BF596B2" w14:textId="77777777" w:rsidR="00FE3ED7" w:rsidRDefault="00FE3ED7">
      <w:pPr>
        <w:pStyle w:val="BodyText"/>
        <w:spacing w:before="65"/>
      </w:pPr>
    </w:p>
    <w:p w14:paraId="77A313DC" w14:textId="77777777" w:rsidR="00FE3ED7" w:rsidRDefault="00000000">
      <w:pPr>
        <w:pStyle w:val="Heading3"/>
        <w:ind w:left="359"/>
      </w:pPr>
      <w:r>
        <w:t>Leveraging</w:t>
      </w:r>
      <w:r>
        <w:rPr>
          <w:spacing w:val="-6"/>
        </w:rPr>
        <w:t xml:space="preserve"> </w:t>
      </w:r>
      <w:r>
        <w:t>the</w:t>
      </w:r>
      <w:r>
        <w:rPr>
          <w:spacing w:val="-6"/>
        </w:rPr>
        <w:t xml:space="preserve"> </w:t>
      </w:r>
      <w:r>
        <w:t>Commonwealth’s</w:t>
      </w:r>
      <w:r>
        <w:rPr>
          <w:spacing w:val="-6"/>
        </w:rPr>
        <w:t xml:space="preserve"> </w:t>
      </w:r>
      <w:r>
        <w:t>Resources</w:t>
      </w:r>
      <w:r>
        <w:rPr>
          <w:spacing w:val="-6"/>
        </w:rPr>
        <w:t xml:space="preserve"> </w:t>
      </w:r>
      <w:r>
        <w:t>with</w:t>
      </w:r>
      <w:r>
        <w:rPr>
          <w:spacing w:val="-6"/>
        </w:rPr>
        <w:t xml:space="preserve"> </w:t>
      </w:r>
      <w:r>
        <w:rPr>
          <w:spacing w:val="-2"/>
        </w:rPr>
        <w:t>PAYGO</w:t>
      </w:r>
    </w:p>
    <w:p w14:paraId="463DE006" w14:textId="77777777" w:rsidR="00FE3ED7" w:rsidRDefault="00000000">
      <w:pPr>
        <w:pStyle w:val="BodyText"/>
        <w:spacing w:before="181" w:line="259" w:lineRule="auto"/>
        <w:ind w:left="359"/>
      </w:pPr>
      <w:r>
        <w:t>PAYGO capital funding is a critical component of most states’</w:t>
      </w:r>
      <w:r>
        <w:rPr>
          <w:spacing w:val="-4"/>
        </w:rPr>
        <w:t xml:space="preserve"> </w:t>
      </w:r>
      <w:r>
        <w:t>capital programs and has historically</w:t>
      </w:r>
      <w:r>
        <w:rPr>
          <w:spacing w:val="-4"/>
        </w:rPr>
        <w:t xml:space="preserve"> </w:t>
      </w:r>
      <w:r>
        <w:t>also</w:t>
      </w:r>
      <w:r>
        <w:rPr>
          <w:spacing w:val="-4"/>
        </w:rPr>
        <w:t xml:space="preserve"> </w:t>
      </w:r>
      <w:r>
        <w:t>been</w:t>
      </w:r>
      <w:r>
        <w:rPr>
          <w:spacing w:val="-3"/>
        </w:rPr>
        <w:t xml:space="preserve"> </w:t>
      </w:r>
      <w:r>
        <w:t>used</w:t>
      </w:r>
      <w:r>
        <w:rPr>
          <w:spacing w:val="-4"/>
        </w:rPr>
        <w:t xml:space="preserve"> </w:t>
      </w:r>
      <w:r>
        <w:t>in</w:t>
      </w:r>
      <w:r>
        <w:rPr>
          <w:spacing w:val="-4"/>
        </w:rPr>
        <w:t xml:space="preserve"> </w:t>
      </w:r>
      <w:r>
        <w:t>Massachusetts.</w:t>
      </w:r>
      <w:r>
        <w:rPr>
          <w:spacing w:val="-3"/>
        </w:rPr>
        <w:t xml:space="preserve"> </w:t>
      </w:r>
      <w:r>
        <w:t>From</w:t>
      </w:r>
      <w:r>
        <w:rPr>
          <w:spacing w:val="-5"/>
        </w:rPr>
        <w:t xml:space="preserve"> </w:t>
      </w:r>
      <w:r>
        <w:t>1997</w:t>
      </w:r>
      <w:r>
        <w:rPr>
          <w:spacing w:val="-4"/>
        </w:rPr>
        <w:t xml:space="preserve"> </w:t>
      </w:r>
      <w:r>
        <w:t>to</w:t>
      </w:r>
      <w:r>
        <w:rPr>
          <w:spacing w:val="-4"/>
        </w:rPr>
        <w:t xml:space="preserve"> </w:t>
      </w:r>
      <w:r>
        <w:t>2010,</w:t>
      </w:r>
      <w:r>
        <w:rPr>
          <w:spacing w:val="-3"/>
        </w:rPr>
        <w:t xml:space="preserve"> </w:t>
      </w:r>
      <w:r>
        <w:t>the</w:t>
      </w:r>
      <w:r>
        <w:rPr>
          <w:spacing w:val="-4"/>
        </w:rPr>
        <w:t xml:space="preserve"> </w:t>
      </w:r>
      <w:r>
        <w:t>Capital</w:t>
      </w:r>
      <w:r>
        <w:rPr>
          <w:spacing w:val="-3"/>
        </w:rPr>
        <w:t xml:space="preserve"> </w:t>
      </w:r>
      <w:r>
        <w:t>Investment</w:t>
      </w:r>
      <w:r>
        <w:rPr>
          <w:spacing w:val="-8"/>
        </w:rPr>
        <w:t xml:space="preserve"> </w:t>
      </w:r>
      <w:r>
        <w:t>Trust Fund</w:t>
      </w:r>
      <w:r>
        <w:rPr>
          <w:spacing w:val="-5"/>
        </w:rPr>
        <w:t xml:space="preserve"> </w:t>
      </w:r>
      <w:r>
        <w:t>was</w:t>
      </w:r>
      <w:r>
        <w:rPr>
          <w:spacing w:val="-4"/>
        </w:rPr>
        <w:t xml:space="preserve"> </w:t>
      </w:r>
      <w:r>
        <w:t>used</w:t>
      </w:r>
      <w:r>
        <w:rPr>
          <w:spacing w:val="-5"/>
        </w:rPr>
        <w:t xml:space="preserve"> </w:t>
      </w:r>
      <w:r>
        <w:t>to</w:t>
      </w:r>
      <w:r>
        <w:rPr>
          <w:spacing w:val="-5"/>
        </w:rPr>
        <w:t xml:space="preserve"> </w:t>
      </w:r>
      <w:r>
        <w:t>make</w:t>
      </w:r>
      <w:r>
        <w:rPr>
          <w:spacing w:val="-5"/>
        </w:rPr>
        <w:t xml:space="preserve"> </w:t>
      </w:r>
      <w:r>
        <w:t>PAYGO</w:t>
      </w:r>
      <w:r>
        <w:rPr>
          <w:spacing w:val="-6"/>
        </w:rPr>
        <w:t xml:space="preserve"> </w:t>
      </w:r>
      <w:r>
        <w:t>investments</w:t>
      </w:r>
      <w:r>
        <w:rPr>
          <w:spacing w:val="-5"/>
        </w:rPr>
        <w:t xml:space="preserve"> </w:t>
      </w:r>
      <w:r>
        <w:t>in</w:t>
      </w:r>
      <w:r>
        <w:rPr>
          <w:spacing w:val="-5"/>
        </w:rPr>
        <w:t xml:space="preserve"> </w:t>
      </w:r>
      <w:r>
        <w:t>capital</w:t>
      </w:r>
      <w:r>
        <w:rPr>
          <w:spacing w:val="-5"/>
        </w:rPr>
        <w:t xml:space="preserve"> </w:t>
      </w:r>
      <w:r>
        <w:t>infrastructure</w:t>
      </w:r>
      <w:r>
        <w:rPr>
          <w:spacing w:val="-5"/>
        </w:rPr>
        <w:t xml:space="preserve"> </w:t>
      </w:r>
      <w:r>
        <w:t>across</w:t>
      </w:r>
      <w:r>
        <w:rPr>
          <w:spacing w:val="-5"/>
        </w:rPr>
        <w:t xml:space="preserve"> </w:t>
      </w:r>
      <w:r>
        <w:t>the</w:t>
      </w:r>
      <w:r>
        <w:rPr>
          <w:spacing w:val="-5"/>
        </w:rPr>
        <w:t xml:space="preserve"> </w:t>
      </w:r>
      <w:r>
        <w:t>state.</w:t>
      </w:r>
      <w:r>
        <w:rPr>
          <w:spacing w:val="-6"/>
        </w:rPr>
        <w:t xml:space="preserve"> </w:t>
      </w:r>
      <w:r>
        <w:t xml:space="preserve">PAYGO is </w:t>
      </w:r>
      <w:proofErr w:type="gramStart"/>
      <w:r>
        <w:t>a best</w:t>
      </w:r>
      <w:proofErr w:type="gramEnd"/>
      <w:r>
        <w:t xml:space="preserve"> practice in capital budgeting, enabling governments to reduce reliance on long-term debt and make timely investments in critical infrastructure.</w:t>
      </w:r>
    </w:p>
    <w:p w14:paraId="4EC81ED2" w14:textId="77777777" w:rsidR="00FE3ED7" w:rsidRDefault="00000000">
      <w:pPr>
        <w:pStyle w:val="BodyText"/>
        <w:spacing w:before="160" w:line="259" w:lineRule="auto"/>
        <w:ind w:left="359" w:right="69"/>
      </w:pPr>
      <w:r>
        <w:t>Currently, Massachusetts utilizes a diverse mix of funding sources to make capital investments.</w:t>
      </w:r>
      <w:r>
        <w:rPr>
          <w:spacing w:val="-16"/>
        </w:rPr>
        <w:t xml:space="preserve"> </w:t>
      </w:r>
      <w:r>
        <w:t>As</w:t>
      </w:r>
      <w:r>
        <w:rPr>
          <w:spacing w:val="-3"/>
        </w:rPr>
        <w:t xml:space="preserve"> </w:t>
      </w:r>
      <w:r>
        <w:t>detailed</w:t>
      </w:r>
      <w:r>
        <w:rPr>
          <w:spacing w:val="-3"/>
        </w:rPr>
        <w:t xml:space="preserve"> </w:t>
      </w:r>
      <w:r>
        <w:t>in</w:t>
      </w:r>
      <w:r>
        <w:rPr>
          <w:spacing w:val="-3"/>
        </w:rPr>
        <w:t xml:space="preserve"> </w:t>
      </w:r>
      <w:r>
        <w:t>the</w:t>
      </w:r>
      <w:r>
        <w:rPr>
          <w:spacing w:val="-3"/>
        </w:rPr>
        <w:t xml:space="preserve"> </w:t>
      </w:r>
      <w:proofErr w:type="gramStart"/>
      <w:r>
        <w:t>below</w:t>
      </w:r>
      <w:r>
        <w:rPr>
          <w:spacing w:val="-3"/>
        </w:rPr>
        <w:t xml:space="preserve"> </w:t>
      </w:r>
      <w:r>
        <w:t>table</w:t>
      </w:r>
      <w:proofErr w:type="gramEnd"/>
      <w:r>
        <w:rPr>
          <w:spacing w:val="-3"/>
        </w:rPr>
        <w:t xml:space="preserve"> </w:t>
      </w:r>
      <w:r>
        <w:t>from</w:t>
      </w:r>
      <w:r>
        <w:rPr>
          <w:spacing w:val="-3"/>
        </w:rPr>
        <w:t xml:space="preserve"> </w:t>
      </w:r>
      <w:r>
        <w:t>the</w:t>
      </w:r>
      <w:r>
        <w:rPr>
          <w:spacing w:val="-3"/>
        </w:rPr>
        <w:t xml:space="preserve"> </w:t>
      </w:r>
      <w:r>
        <w:t>FY24-FY28</w:t>
      </w:r>
      <w:r>
        <w:rPr>
          <w:spacing w:val="-3"/>
        </w:rPr>
        <w:t xml:space="preserve"> </w:t>
      </w:r>
      <w:r>
        <w:t>Capital</w:t>
      </w:r>
      <w:r>
        <w:rPr>
          <w:spacing w:val="-3"/>
        </w:rPr>
        <w:t xml:space="preserve"> </w:t>
      </w:r>
      <w:r>
        <w:t>Investment</w:t>
      </w:r>
      <w:r>
        <w:rPr>
          <w:spacing w:val="-3"/>
        </w:rPr>
        <w:t xml:space="preserve"> </w:t>
      </w:r>
      <w:r>
        <w:t>Plan,</w:t>
      </w:r>
      <w:r>
        <w:rPr>
          <w:spacing w:val="-3"/>
        </w:rPr>
        <w:t xml:space="preserve"> </w:t>
      </w:r>
      <w:r>
        <w:t>the Commonwealth primarily utilizes general obligation bonds to fund capital investments. The capital plan also heavily leverages federal funds and includes some current-year revenues – mainly for transportation investments funded by tolls and other MassDOT revenue.</w:t>
      </w:r>
    </w:p>
    <w:p w14:paraId="6E53338E" w14:textId="77777777" w:rsidR="00FE3ED7" w:rsidRDefault="00FE3ED7">
      <w:pPr>
        <w:pStyle w:val="BodyText"/>
        <w:spacing w:before="8"/>
        <w:rPr>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55"/>
        <w:gridCol w:w="1407"/>
        <w:gridCol w:w="1652"/>
      </w:tblGrid>
      <w:tr w:rsidR="00FE3ED7" w14:paraId="3762616B" w14:textId="77777777">
        <w:trPr>
          <w:trHeight w:val="581"/>
        </w:trPr>
        <w:tc>
          <w:tcPr>
            <w:tcW w:w="5755" w:type="dxa"/>
            <w:shd w:val="clear" w:color="auto" w:fill="13548F"/>
          </w:tcPr>
          <w:p w14:paraId="08EDC38D" w14:textId="77777777" w:rsidR="00FE3ED7" w:rsidRDefault="00000000">
            <w:pPr>
              <w:pStyle w:val="TableParagraph"/>
              <w:spacing w:before="154" w:line="240" w:lineRule="auto"/>
              <w:ind w:left="1529"/>
              <w:jc w:val="left"/>
              <w:rPr>
                <w:b/>
                <w:sz w:val="24"/>
              </w:rPr>
            </w:pPr>
            <w:r>
              <w:rPr>
                <w:b/>
                <w:color w:val="FFFFFF"/>
                <w:sz w:val="24"/>
              </w:rPr>
              <w:t>Capital</w:t>
            </w:r>
            <w:r>
              <w:rPr>
                <w:b/>
                <w:color w:val="FFFFFF"/>
                <w:spacing w:val="-4"/>
                <w:sz w:val="24"/>
              </w:rPr>
              <w:t xml:space="preserve"> </w:t>
            </w:r>
            <w:r>
              <w:rPr>
                <w:b/>
                <w:color w:val="FFFFFF"/>
                <w:sz w:val="24"/>
              </w:rPr>
              <w:t>Funding</w:t>
            </w:r>
            <w:r>
              <w:rPr>
                <w:b/>
                <w:color w:val="FFFFFF"/>
                <w:spacing w:val="-4"/>
                <w:sz w:val="24"/>
              </w:rPr>
              <w:t xml:space="preserve"> </w:t>
            </w:r>
            <w:r>
              <w:rPr>
                <w:b/>
                <w:color w:val="FFFFFF"/>
                <w:spacing w:val="-2"/>
                <w:sz w:val="24"/>
              </w:rPr>
              <w:t>Source</w:t>
            </w:r>
          </w:p>
        </w:tc>
        <w:tc>
          <w:tcPr>
            <w:tcW w:w="1407" w:type="dxa"/>
            <w:shd w:val="clear" w:color="auto" w:fill="13548F"/>
          </w:tcPr>
          <w:p w14:paraId="2473C088" w14:textId="77777777" w:rsidR="00FE3ED7" w:rsidRDefault="00000000">
            <w:pPr>
              <w:pStyle w:val="TableParagraph"/>
              <w:spacing w:before="16" w:line="240" w:lineRule="auto"/>
              <w:ind w:left="10"/>
              <w:jc w:val="center"/>
              <w:rPr>
                <w:b/>
                <w:sz w:val="24"/>
              </w:rPr>
            </w:pPr>
            <w:r>
              <w:rPr>
                <w:b/>
                <w:color w:val="FFFFFF"/>
                <w:spacing w:val="-4"/>
                <w:sz w:val="24"/>
              </w:rPr>
              <w:t>FY24</w:t>
            </w:r>
          </w:p>
          <w:p w14:paraId="07ADDFC0" w14:textId="77777777" w:rsidR="00FE3ED7" w:rsidRDefault="00000000">
            <w:pPr>
              <w:pStyle w:val="TableParagraph"/>
              <w:spacing w:before="0" w:line="270" w:lineRule="exact"/>
              <w:ind w:left="10"/>
              <w:jc w:val="center"/>
              <w:rPr>
                <w:b/>
                <w:sz w:val="18"/>
              </w:rPr>
            </w:pPr>
            <w:r>
              <w:rPr>
                <w:b/>
                <w:color w:val="FFFFFF"/>
                <w:sz w:val="24"/>
              </w:rPr>
              <w:t>(</w:t>
            </w:r>
            <w:r>
              <w:rPr>
                <w:b/>
                <w:color w:val="FFFFFF"/>
                <w:sz w:val="18"/>
              </w:rPr>
              <w:t>$</w:t>
            </w:r>
            <w:r>
              <w:rPr>
                <w:b/>
                <w:color w:val="FFFFFF"/>
                <w:spacing w:val="-1"/>
                <w:sz w:val="18"/>
              </w:rPr>
              <w:t xml:space="preserve"> </w:t>
            </w:r>
            <w:r>
              <w:rPr>
                <w:b/>
                <w:color w:val="FFFFFF"/>
                <w:spacing w:val="-2"/>
                <w:sz w:val="18"/>
              </w:rPr>
              <w:t>millions)</w:t>
            </w:r>
          </w:p>
        </w:tc>
        <w:tc>
          <w:tcPr>
            <w:tcW w:w="1652" w:type="dxa"/>
            <w:shd w:val="clear" w:color="auto" w:fill="13548F"/>
          </w:tcPr>
          <w:p w14:paraId="346D8106" w14:textId="77777777" w:rsidR="00FE3ED7" w:rsidRDefault="00000000">
            <w:pPr>
              <w:pStyle w:val="TableParagraph"/>
              <w:spacing w:before="16" w:line="240" w:lineRule="auto"/>
              <w:ind w:left="13" w:right="1"/>
              <w:jc w:val="center"/>
              <w:rPr>
                <w:b/>
                <w:sz w:val="24"/>
              </w:rPr>
            </w:pPr>
            <w:r>
              <w:rPr>
                <w:b/>
                <w:color w:val="FFFFFF"/>
                <w:spacing w:val="-2"/>
                <w:sz w:val="24"/>
              </w:rPr>
              <w:t>FY24–</w:t>
            </w:r>
            <w:r>
              <w:rPr>
                <w:b/>
                <w:color w:val="FFFFFF"/>
                <w:spacing w:val="-4"/>
                <w:sz w:val="24"/>
              </w:rPr>
              <w:t>FY28</w:t>
            </w:r>
          </w:p>
          <w:p w14:paraId="67FB8677" w14:textId="77777777" w:rsidR="00FE3ED7" w:rsidRDefault="00000000">
            <w:pPr>
              <w:pStyle w:val="TableParagraph"/>
              <w:spacing w:before="0" w:line="270" w:lineRule="exact"/>
              <w:ind w:left="13"/>
              <w:jc w:val="center"/>
              <w:rPr>
                <w:b/>
                <w:sz w:val="18"/>
              </w:rPr>
            </w:pPr>
            <w:r>
              <w:rPr>
                <w:b/>
                <w:color w:val="FFFFFF"/>
                <w:sz w:val="24"/>
              </w:rPr>
              <w:t>(</w:t>
            </w:r>
            <w:r>
              <w:rPr>
                <w:b/>
                <w:color w:val="FFFFFF"/>
                <w:sz w:val="18"/>
              </w:rPr>
              <w:t>$</w:t>
            </w:r>
            <w:r>
              <w:rPr>
                <w:b/>
                <w:color w:val="FFFFFF"/>
                <w:spacing w:val="-1"/>
                <w:sz w:val="18"/>
              </w:rPr>
              <w:t xml:space="preserve"> </w:t>
            </w:r>
            <w:r>
              <w:rPr>
                <w:b/>
                <w:color w:val="FFFFFF"/>
                <w:spacing w:val="-2"/>
                <w:sz w:val="18"/>
              </w:rPr>
              <w:t>millions)</w:t>
            </w:r>
          </w:p>
        </w:tc>
      </w:tr>
      <w:tr w:rsidR="00FE3ED7" w14:paraId="46C553CB" w14:textId="77777777">
        <w:trPr>
          <w:trHeight w:val="315"/>
        </w:trPr>
        <w:tc>
          <w:tcPr>
            <w:tcW w:w="5755" w:type="dxa"/>
          </w:tcPr>
          <w:p w14:paraId="544005B6" w14:textId="77777777" w:rsidR="00FE3ED7" w:rsidRDefault="00000000">
            <w:pPr>
              <w:pStyle w:val="TableParagraph"/>
              <w:spacing w:before="25" w:line="270" w:lineRule="exact"/>
              <w:ind w:left="107"/>
              <w:jc w:val="left"/>
              <w:rPr>
                <w:sz w:val="24"/>
              </w:rPr>
            </w:pPr>
            <w:r>
              <w:rPr>
                <w:sz w:val="24"/>
              </w:rPr>
              <w:t>General</w:t>
            </w:r>
            <w:r>
              <w:rPr>
                <w:spacing w:val="-5"/>
                <w:sz w:val="24"/>
              </w:rPr>
              <w:t xml:space="preserve"> </w:t>
            </w:r>
            <w:r>
              <w:rPr>
                <w:sz w:val="24"/>
              </w:rPr>
              <w:t>Obligation</w:t>
            </w:r>
            <w:r>
              <w:rPr>
                <w:spacing w:val="-4"/>
                <w:sz w:val="24"/>
              </w:rPr>
              <w:t xml:space="preserve"> </w:t>
            </w:r>
            <w:r>
              <w:rPr>
                <w:sz w:val="24"/>
              </w:rPr>
              <w:t>(G.O.)</w:t>
            </w:r>
            <w:r>
              <w:rPr>
                <w:spacing w:val="-2"/>
                <w:sz w:val="24"/>
              </w:rPr>
              <w:t xml:space="preserve"> Bonds</w:t>
            </w:r>
          </w:p>
        </w:tc>
        <w:tc>
          <w:tcPr>
            <w:tcW w:w="1407" w:type="dxa"/>
          </w:tcPr>
          <w:p w14:paraId="3727E7AA" w14:textId="77777777" w:rsidR="00FE3ED7" w:rsidRDefault="00000000">
            <w:pPr>
              <w:pStyle w:val="TableParagraph"/>
              <w:spacing w:before="25" w:line="270" w:lineRule="exact"/>
              <w:ind w:right="95"/>
              <w:rPr>
                <w:sz w:val="24"/>
              </w:rPr>
            </w:pPr>
            <w:r>
              <w:rPr>
                <w:spacing w:val="-4"/>
                <w:sz w:val="24"/>
              </w:rPr>
              <w:t>2,905</w:t>
            </w:r>
          </w:p>
        </w:tc>
        <w:tc>
          <w:tcPr>
            <w:tcW w:w="1652" w:type="dxa"/>
          </w:tcPr>
          <w:p w14:paraId="10EF48B7" w14:textId="77777777" w:rsidR="00FE3ED7" w:rsidRDefault="00000000">
            <w:pPr>
              <w:pStyle w:val="TableParagraph"/>
              <w:spacing w:before="25" w:line="270" w:lineRule="exact"/>
              <w:ind w:right="93"/>
              <w:rPr>
                <w:sz w:val="24"/>
              </w:rPr>
            </w:pPr>
            <w:r>
              <w:rPr>
                <w:spacing w:val="-2"/>
                <w:sz w:val="24"/>
              </w:rPr>
              <w:t>14,525</w:t>
            </w:r>
          </w:p>
        </w:tc>
      </w:tr>
      <w:tr w:rsidR="00FE3ED7" w14:paraId="4FBC8D05" w14:textId="77777777">
        <w:trPr>
          <w:trHeight w:val="315"/>
        </w:trPr>
        <w:tc>
          <w:tcPr>
            <w:tcW w:w="5755" w:type="dxa"/>
          </w:tcPr>
          <w:p w14:paraId="1B2C7F3F" w14:textId="77777777" w:rsidR="00FE3ED7" w:rsidRDefault="00000000">
            <w:pPr>
              <w:pStyle w:val="TableParagraph"/>
              <w:ind w:left="107"/>
              <w:jc w:val="left"/>
              <w:rPr>
                <w:sz w:val="24"/>
              </w:rPr>
            </w:pPr>
            <w:r>
              <w:rPr>
                <w:sz w:val="24"/>
              </w:rPr>
              <w:t>Federal</w:t>
            </w:r>
            <w:r>
              <w:rPr>
                <w:spacing w:val="-5"/>
                <w:sz w:val="24"/>
              </w:rPr>
              <w:t xml:space="preserve"> </w:t>
            </w:r>
            <w:r>
              <w:rPr>
                <w:spacing w:val="-2"/>
                <w:sz w:val="24"/>
              </w:rPr>
              <w:t>Funds</w:t>
            </w:r>
          </w:p>
        </w:tc>
        <w:tc>
          <w:tcPr>
            <w:tcW w:w="1407" w:type="dxa"/>
          </w:tcPr>
          <w:p w14:paraId="151A47F7" w14:textId="77777777" w:rsidR="00FE3ED7" w:rsidRDefault="00000000">
            <w:pPr>
              <w:pStyle w:val="TableParagraph"/>
              <w:ind w:right="95"/>
              <w:rPr>
                <w:sz w:val="24"/>
              </w:rPr>
            </w:pPr>
            <w:r>
              <w:rPr>
                <w:spacing w:val="-4"/>
                <w:sz w:val="24"/>
              </w:rPr>
              <w:t>1,515</w:t>
            </w:r>
          </w:p>
        </w:tc>
        <w:tc>
          <w:tcPr>
            <w:tcW w:w="1652" w:type="dxa"/>
          </w:tcPr>
          <w:p w14:paraId="2C478B6D" w14:textId="77777777" w:rsidR="00FE3ED7" w:rsidRDefault="00000000">
            <w:pPr>
              <w:pStyle w:val="TableParagraph"/>
              <w:ind w:right="93"/>
              <w:rPr>
                <w:sz w:val="24"/>
              </w:rPr>
            </w:pPr>
            <w:r>
              <w:rPr>
                <w:spacing w:val="-4"/>
                <w:sz w:val="24"/>
              </w:rPr>
              <w:t>8,013</w:t>
            </w:r>
          </w:p>
        </w:tc>
      </w:tr>
      <w:tr w:rsidR="00FE3ED7" w14:paraId="1D5691B7" w14:textId="77777777">
        <w:trPr>
          <w:trHeight w:val="315"/>
        </w:trPr>
        <w:tc>
          <w:tcPr>
            <w:tcW w:w="5755" w:type="dxa"/>
          </w:tcPr>
          <w:p w14:paraId="0F7ACA0B" w14:textId="77777777" w:rsidR="00FE3ED7" w:rsidRDefault="00000000">
            <w:pPr>
              <w:pStyle w:val="TableParagraph"/>
              <w:ind w:left="107"/>
              <w:jc w:val="left"/>
              <w:rPr>
                <w:sz w:val="24"/>
              </w:rPr>
            </w:pPr>
            <w:r>
              <w:rPr>
                <w:sz w:val="24"/>
              </w:rPr>
              <w:t>Special</w:t>
            </w:r>
            <w:r>
              <w:rPr>
                <w:spacing w:val="-5"/>
                <w:sz w:val="24"/>
              </w:rPr>
              <w:t xml:space="preserve"> </w:t>
            </w:r>
            <w:r>
              <w:rPr>
                <w:sz w:val="24"/>
              </w:rPr>
              <w:t>Obligation</w:t>
            </w:r>
            <w:r>
              <w:rPr>
                <w:spacing w:val="-5"/>
                <w:sz w:val="24"/>
              </w:rPr>
              <w:t xml:space="preserve"> </w:t>
            </w:r>
            <w:r>
              <w:rPr>
                <w:spacing w:val="-4"/>
                <w:sz w:val="24"/>
              </w:rPr>
              <w:t>Bonds</w:t>
            </w:r>
          </w:p>
        </w:tc>
        <w:tc>
          <w:tcPr>
            <w:tcW w:w="1407" w:type="dxa"/>
          </w:tcPr>
          <w:p w14:paraId="74A5B793" w14:textId="77777777" w:rsidR="00FE3ED7" w:rsidRDefault="00000000">
            <w:pPr>
              <w:pStyle w:val="TableParagraph"/>
              <w:ind w:right="95"/>
              <w:rPr>
                <w:sz w:val="24"/>
              </w:rPr>
            </w:pPr>
            <w:r>
              <w:rPr>
                <w:spacing w:val="-5"/>
                <w:sz w:val="24"/>
              </w:rPr>
              <w:t>390</w:t>
            </w:r>
          </w:p>
        </w:tc>
        <w:tc>
          <w:tcPr>
            <w:tcW w:w="1652" w:type="dxa"/>
          </w:tcPr>
          <w:p w14:paraId="1480695B" w14:textId="77777777" w:rsidR="00FE3ED7" w:rsidRDefault="00000000">
            <w:pPr>
              <w:pStyle w:val="TableParagraph"/>
              <w:ind w:right="93"/>
              <w:rPr>
                <w:sz w:val="24"/>
              </w:rPr>
            </w:pPr>
            <w:r>
              <w:rPr>
                <w:spacing w:val="-4"/>
                <w:sz w:val="24"/>
              </w:rPr>
              <w:t>1,639</w:t>
            </w:r>
          </w:p>
        </w:tc>
      </w:tr>
      <w:tr w:rsidR="00FE3ED7" w14:paraId="173C4DC5" w14:textId="77777777">
        <w:trPr>
          <w:trHeight w:val="315"/>
        </w:trPr>
        <w:tc>
          <w:tcPr>
            <w:tcW w:w="5755" w:type="dxa"/>
          </w:tcPr>
          <w:p w14:paraId="1D20E22A" w14:textId="77777777" w:rsidR="00FE3ED7" w:rsidRDefault="00000000">
            <w:pPr>
              <w:pStyle w:val="TableParagraph"/>
              <w:ind w:left="107"/>
              <w:jc w:val="left"/>
              <w:rPr>
                <w:sz w:val="24"/>
              </w:rPr>
            </w:pPr>
            <w:r>
              <w:rPr>
                <w:sz w:val="24"/>
              </w:rPr>
              <w:t>Other</w:t>
            </w:r>
            <w:r>
              <w:rPr>
                <w:spacing w:val="-1"/>
                <w:sz w:val="24"/>
              </w:rPr>
              <w:t xml:space="preserve"> </w:t>
            </w:r>
            <w:r>
              <w:rPr>
                <w:spacing w:val="-2"/>
                <w:sz w:val="24"/>
              </w:rPr>
              <w:t>Contributions</w:t>
            </w:r>
          </w:p>
        </w:tc>
        <w:tc>
          <w:tcPr>
            <w:tcW w:w="1407" w:type="dxa"/>
          </w:tcPr>
          <w:p w14:paraId="11912014" w14:textId="77777777" w:rsidR="00FE3ED7" w:rsidRDefault="00000000">
            <w:pPr>
              <w:pStyle w:val="TableParagraph"/>
              <w:ind w:right="95"/>
              <w:rPr>
                <w:sz w:val="24"/>
              </w:rPr>
            </w:pPr>
            <w:r>
              <w:rPr>
                <w:spacing w:val="-5"/>
                <w:sz w:val="24"/>
              </w:rPr>
              <w:t>229</w:t>
            </w:r>
          </w:p>
        </w:tc>
        <w:tc>
          <w:tcPr>
            <w:tcW w:w="1652" w:type="dxa"/>
          </w:tcPr>
          <w:p w14:paraId="0788694C" w14:textId="77777777" w:rsidR="00FE3ED7" w:rsidRDefault="00000000">
            <w:pPr>
              <w:pStyle w:val="TableParagraph"/>
              <w:ind w:right="93"/>
              <w:rPr>
                <w:sz w:val="24"/>
              </w:rPr>
            </w:pPr>
            <w:r>
              <w:rPr>
                <w:spacing w:val="-4"/>
                <w:sz w:val="24"/>
              </w:rPr>
              <w:t>1,034</w:t>
            </w:r>
          </w:p>
        </w:tc>
      </w:tr>
      <w:tr w:rsidR="00FE3ED7" w14:paraId="0EB7A1B1" w14:textId="77777777">
        <w:trPr>
          <w:trHeight w:val="313"/>
        </w:trPr>
        <w:tc>
          <w:tcPr>
            <w:tcW w:w="5755" w:type="dxa"/>
          </w:tcPr>
          <w:p w14:paraId="7F804B24" w14:textId="77777777" w:rsidR="00FE3ED7" w:rsidRDefault="00000000">
            <w:pPr>
              <w:pStyle w:val="TableParagraph"/>
              <w:spacing w:line="270" w:lineRule="exact"/>
              <w:ind w:left="107"/>
              <w:jc w:val="left"/>
              <w:rPr>
                <w:sz w:val="24"/>
              </w:rPr>
            </w:pPr>
            <w:r>
              <w:rPr>
                <w:sz w:val="24"/>
              </w:rPr>
              <w:t>Current-Year</w:t>
            </w:r>
            <w:r>
              <w:rPr>
                <w:spacing w:val="-6"/>
                <w:sz w:val="24"/>
              </w:rPr>
              <w:t xml:space="preserve"> </w:t>
            </w:r>
            <w:r>
              <w:rPr>
                <w:spacing w:val="-2"/>
                <w:sz w:val="24"/>
              </w:rPr>
              <w:t>Revenues</w:t>
            </w:r>
          </w:p>
        </w:tc>
        <w:tc>
          <w:tcPr>
            <w:tcW w:w="1407" w:type="dxa"/>
          </w:tcPr>
          <w:p w14:paraId="77CF9657" w14:textId="77777777" w:rsidR="00FE3ED7" w:rsidRDefault="00000000">
            <w:pPr>
              <w:pStyle w:val="TableParagraph"/>
              <w:spacing w:line="270" w:lineRule="exact"/>
              <w:ind w:right="95"/>
              <w:rPr>
                <w:sz w:val="24"/>
              </w:rPr>
            </w:pPr>
            <w:r>
              <w:rPr>
                <w:spacing w:val="-5"/>
                <w:sz w:val="24"/>
              </w:rPr>
              <w:t>345</w:t>
            </w:r>
          </w:p>
        </w:tc>
        <w:tc>
          <w:tcPr>
            <w:tcW w:w="1652" w:type="dxa"/>
          </w:tcPr>
          <w:p w14:paraId="71C787F4" w14:textId="77777777" w:rsidR="00FE3ED7" w:rsidRDefault="00000000">
            <w:pPr>
              <w:pStyle w:val="TableParagraph"/>
              <w:spacing w:line="270" w:lineRule="exact"/>
              <w:ind w:right="93"/>
              <w:rPr>
                <w:sz w:val="24"/>
              </w:rPr>
            </w:pPr>
            <w:r>
              <w:rPr>
                <w:spacing w:val="-4"/>
                <w:sz w:val="24"/>
              </w:rPr>
              <w:t>1,508</w:t>
            </w:r>
          </w:p>
        </w:tc>
      </w:tr>
      <w:tr w:rsidR="00FE3ED7" w14:paraId="333C6107" w14:textId="77777777">
        <w:trPr>
          <w:trHeight w:val="315"/>
        </w:trPr>
        <w:tc>
          <w:tcPr>
            <w:tcW w:w="5755" w:type="dxa"/>
          </w:tcPr>
          <w:p w14:paraId="35C2B521" w14:textId="77777777" w:rsidR="00FE3ED7" w:rsidRDefault="00000000">
            <w:pPr>
              <w:pStyle w:val="TableParagraph"/>
              <w:spacing w:before="25" w:line="270" w:lineRule="exact"/>
              <w:ind w:left="107"/>
              <w:jc w:val="left"/>
              <w:rPr>
                <w:sz w:val="24"/>
              </w:rPr>
            </w:pPr>
            <w:r>
              <w:rPr>
                <w:sz w:val="24"/>
              </w:rPr>
              <w:t>Project</w:t>
            </w:r>
            <w:r>
              <w:rPr>
                <w:spacing w:val="-3"/>
                <w:sz w:val="24"/>
              </w:rPr>
              <w:t xml:space="preserve"> </w:t>
            </w:r>
            <w:r>
              <w:rPr>
                <w:sz w:val="24"/>
              </w:rPr>
              <w:t>/</w:t>
            </w:r>
            <w:r>
              <w:rPr>
                <w:spacing w:val="-2"/>
                <w:sz w:val="24"/>
              </w:rPr>
              <w:t xml:space="preserve"> </w:t>
            </w:r>
            <w:r>
              <w:rPr>
                <w:sz w:val="24"/>
              </w:rPr>
              <w:t>Self-</w:t>
            </w:r>
            <w:r>
              <w:rPr>
                <w:spacing w:val="-2"/>
                <w:sz w:val="24"/>
              </w:rPr>
              <w:t>Funded</w:t>
            </w:r>
          </w:p>
        </w:tc>
        <w:tc>
          <w:tcPr>
            <w:tcW w:w="1407" w:type="dxa"/>
          </w:tcPr>
          <w:p w14:paraId="09AB84D0" w14:textId="77777777" w:rsidR="00FE3ED7" w:rsidRDefault="00000000">
            <w:pPr>
              <w:pStyle w:val="TableParagraph"/>
              <w:spacing w:before="25" w:line="270" w:lineRule="exact"/>
              <w:ind w:right="95"/>
              <w:rPr>
                <w:sz w:val="24"/>
              </w:rPr>
            </w:pPr>
            <w:r>
              <w:rPr>
                <w:spacing w:val="-5"/>
                <w:sz w:val="24"/>
              </w:rPr>
              <w:t>130</w:t>
            </w:r>
          </w:p>
        </w:tc>
        <w:tc>
          <w:tcPr>
            <w:tcW w:w="1652" w:type="dxa"/>
          </w:tcPr>
          <w:p w14:paraId="1412E087" w14:textId="77777777" w:rsidR="00FE3ED7" w:rsidRDefault="00000000">
            <w:pPr>
              <w:pStyle w:val="TableParagraph"/>
              <w:spacing w:before="25" w:line="270" w:lineRule="exact"/>
              <w:ind w:right="93"/>
              <w:rPr>
                <w:sz w:val="24"/>
              </w:rPr>
            </w:pPr>
            <w:r>
              <w:rPr>
                <w:spacing w:val="-5"/>
                <w:sz w:val="24"/>
              </w:rPr>
              <w:t>406</w:t>
            </w:r>
          </w:p>
        </w:tc>
      </w:tr>
      <w:tr w:rsidR="00FE3ED7" w14:paraId="2877B86C" w14:textId="77777777">
        <w:trPr>
          <w:trHeight w:val="330"/>
        </w:trPr>
        <w:tc>
          <w:tcPr>
            <w:tcW w:w="5755" w:type="dxa"/>
          </w:tcPr>
          <w:p w14:paraId="2E63160C" w14:textId="77777777" w:rsidR="00FE3ED7" w:rsidRDefault="00000000">
            <w:pPr>
              <w:pStyle w:val="TableParagraph"/>
              <w:spacing w:before="40"/>
              <w:ind w:left="107"/>
              <w:jc w:val="left"/>
              <w:rPr>
                <w:b/>
                <w:sz w:val="24"/>
              </w:rPr>
            </w:pPr>
            <w:r>
              <w:rPr>
                <w:b/>
                <w:sz w:val="24"/>
              </w:rPr>
              <w:t>Capital</w:t>
            </w:r>
            <w:r>
              <w:rPr>
                <w:b/>
                <w:spacing w:val="-4"/>
                <w:sz w:val="24"/>
              </w:rPr>
              <w:t xml:space="preserve"> </w:t>
            </w:r>
            <w:r>
              <w:rPr>
                <w:b/>
                <w:sz w:val="24"/>
              </w:rPr>
              <w:t>Investment</w:t>
            </w:r>
            <w:r>
              <w:rPr>
                <w:b/>
                <w:spacing w:val="-4"/>
                <w:sz w:val="24"/>
              </w:rPr>
              <w:t xml:space="preserve"> </w:t>
            </w:r>
            <w:r>
              <w:rPr>
                <w:b/>
                <w:sz w:val="24"/>
              </w:rPr>
              <w:t>Plan</w:t>
            </w:r>
            <w:r>
              <w:rPr>
                <w:b/>
                <w:spacing w:val="-4"/>
                <w:sz w:val="24"/>
              </w:rPr>
              <w:t xml:space="preserve"> Total</w:t>
            </w:r>
          </w:p>
        </w:tc>
        <w:tc>
          <w:tcPr>
            <w:tcW w:w="1407" w:type="dxa"/>
          </w:tcPr>
          <w:p w14:paraId="2A518F4C" w14:textId="77777777" w:rsidR="00FE3ED7" w:rsidRDefault="00000000">
            <w:pPr>
              <w:pStyle w:val="TableParagraph"/>
              <w:spacing w:before="40"/>
              <w:ind w:right="95"/>
              <w:rPr>
                <w:b/>
                <w:sz w:val="24"/>
              </w:rPr>
            </w:pPr>
            <w:r>
              <w:rPr>
                <w:b/>
                <w:spacing w:val="-4"/>
                <w:sz w:val="24"/>
              </w:rPr>
              <w:t>5,513</w:t>
            </w:r>
          </w:p>
        </w:tc>
        <w:tc>
          <w:tcPr>
            <w:tcW w:w="1652" w:type="dxa"/>
          </w:tcPr>
          <w:p w14:paraId="15F30E49" w14:textId="77777777" w:rsidR="00FE3ED7" w:rsidRDefault="00000000">
            <w:pPr>
              <w:pStyle w:val="TableParagraph"/>
              <w:spacing w:before="40"/>
              <w:ind w:right="93"/>
              <w:rPr>
                <w:b/>
                <w:sz w:val="24"/>
              </w:rPr>
            </w:pPr>
            <w:r>
              <w:rPr>
                <w:b/>
                <w:spacing w:val="-2"/>
                <w:sz w:val="24"/>
              </w:rPr>
              <w:t>27,125</w:t>
            </w:r>
          </w:p>
        </w:tc>
      </w:tr>
    </w:tbl>
    <w:p w14:paraId="13EAE007" w14:textId="77777777" w:rsidR="00FE3ED7" w:rsidRDefault="00FE3ED7">
      <w:pPr>
        <w:pStyle w:val="TableParagraph"/>
        <w:rPr>
          <w:b/>
          <w:sz w:val="24"/>
        </w:rPr>
        <w:sectPr w:rsidR="00FE3ED7">
          <w:footerReference w:type="default" r:id="rId7"/>
          <w:type w:val="continuous"/>
          <w:pgSz w:w="12240" w:h="15840"/>
          <w:pgMar w:top="620" w:right="1080" w:bottom="620" w:left="720" w:header="0" w:footer="438" w:gutter="0"/>
          <w:pgNumType w:start="1"/>
          <w:cols w:space="720"/>
        </w:sectPr>
      </w:pPr>
    </w:p>
    <w:p w14:paraId="34A12963" w14:textId="77777777" w:rsidR="00FE3ED7" w:rsidRDefault="00000000">
      <w:pPr>
        <w:pStyle w:val="BodyText"/>
        <w:spacing w:before="149" w:line="259" w:lineRule="auto"/>
        <w:ind w:left="359"/>
      </w:pPr>
      <w:r>
        <w:lastRenderedPageBreak/>
        <w:t>Reinstating the role of PAYGO in the Commonwealth’s capital strategy creates substantial benefits, including reducing the state’s reliance on debt to fund deferred maintenance and accelerating capital renewal to address liabilities and systemic risks.</w:t>
      </w:r>
      <w:r>
        <w:rPr>
          <w:spacing w:val="-13"/>
        </w:rPr>
        <w:t xml:space="preserve"> </w:t>
      </w:r>
      <w:r>
        <w:t>As inflationary pressures drive</w:t>
      </w:r>
      <w:r>
        <w:rPr>
          <w:spacing w:val="-3"/>
        </w:rPr>
        <w:t xml:space="preserve"> </w:t>
      </w:r>
      <w:r>
        <w:t>increased</w:t>
      </w:r>
      <w:r>
        <w:rPr>
          <w:spacing w:val="-3"/>
        </w:rPr>
        <w:t xml:space="preserve"> </w:t>
      </w:r>
      <w:r>
        <w:t>construction</w:t>
      </w:r>
      <w:r>
        <w:rPr>
          <w:spacing w:val="-3"/>
        </w:rPr>
        <w:t xml:space="preserve"> </w:t>
      </w:r>
      <w:r>
        <w:t>costs,</w:t>
      </w:r>
      <w:r>
        <w:rPr>
          <w:spacing w:val="-2"/>
        </w:rPr>
        <w:t xml:space="preserve"> </w:t>
      </w:r>
      <w:r>
        <w:t>the</w:t>
      </w:r>
      <w:r>
        <w:rPr>
          <w:spacing w:val="-3"/>
        </w:rPr>
        <w:t xml:space="preserve"> </w:t>
      </w:r>
      <w:r>
        <w:t>ability</w:t>
      </w:r>
      <w:r>
        <w:rPr>
          <w:spacing w:val="-3"/>
        </w:rPr>
        <w:t xml:space="preserve"> </w:t>
      </w:r>
      <w:r>
        <w:t>to</w:t>
      </w:r>
      <w:r>
        <w:rPr>
          <w:spacing w:val="-5"/>
        </w:rPr>
        <w:t xml:space="preserve"> </w:t>
      </w:r>
      <w:r>
        <w:t>fund</w:t>
      </w:r>
      <w:r>
        <w:rPr>
          <w:spacing w:val="-3"/>
        </w:rPr>
        <w:t xml:space="preserve"> </w:t>
      </w:r>
      <w:r>
        <w:t>additional</w:t>
      </w:r>
      <w:r>
        <w:rPr>
          <w:spacing w:val="-3"/>
        </w:rPr>
        <w:t xml:space="preserve"> </w:t>
      </w:r>
      <w:r>
        <w:t>capital</w:t>
      </w:r>
      <w:r>
        <w:rPr>
          <w:spacing w:val="-3"/>
        </w:rPr>
        <w:t xml:space="preserve"> </w:t>
      </w:r>
      <w:r>
        <w:t>needs</w:t>
      </w:r>
      <w:r>
        <w:rPr>
          <w:spacing w:val="-2"/>
        </w:rPr>
        <w:t xml:space="preserve"> </w:t>
      </w:r>
      <w:r>
        <w:t>with</w:t>
      </w:r>
      <w:r>
        <w:rPr>
          <w:spacing w:val="-3"/>
        </w:rPr>
        <w:t xml:space="preserve"> </w:t>
      </w:r>
      <w:r>
        <w:t>a</w:t>
      </w:r>
      <w:r>
        <w:rPr>
          <w:spacing w:val="-3"/>
        </w:rPr>
        <w:t xml:space="preserve"> </w:t>
      </w:r>
      <w:r>
        <w:t>dedicated funding stream creates savings for the state in both the short and long-term.</w:t>
      </w:r>
    </w:p>
    <w:p w14:paraId="25BD8153" w14:textId="77777777" w:rsidR="00FE3ED7" w:rsidRDefault="00FE3ED7">
      <w:pPr>
        <w:pStyle w:val="BodyText"/>
      </w:pPr>
    </w:p>
    <w:p w14:paraId="72171621" w14:textId="77777777" w:rsidR="00FE3ED7" w:rsidRDefault="00FE3ED7">
      <w:pPr>
        <w:pStyle w:val="BodyText"/>
        <w:spacing w:before="65"/>
      </w:pPr>
    </w:p>
    <w:p w14:paraId="7AB8ED0A" w14:textId="77777777" w:rsidR="00FE3ED7" w:rsidRDefault="00000000">
      <w:pPr>
        <w:pStyle w:val="Heading3"/>
        <w:ind w:left="359"/>
      </w:pPr>
      <w:r>
        <w:t>Establishing</w:t>
      </w:r>
      <w:r>
        <w:rPr>
          <w:spacing w:val="-14"/>
        </w:rPr>
        <w:t xml:space="preserve"> </w:t>
      </w:r>
      <w:r>
        <w:t>the</w:t>
      </w:r>
      <w:r>
        <w:rPr>
          <w:spacing w:val="-14"/>
        </w:rPr>
        <w:t xml:space="preserve"> </w:t>
      </w:r>
      <w:r>
        <w:t>PAYGO</w:t>
      </w:r>
      <w:r>
        <w:rPr>
          <w:spacing w:val="-13"/>
        </w:rPr>
        <w:t xml:space="preserve"> </w:t>
      </w:r>
      <w:r>
        <w:t>Capital</w:t>
      </w:r>
      <w:r>
        <w:rPr>
          <w:spacing w:val="-13"/>
        </w:rPr>
        <w:t xml:space="preserve"> </w:t>
      </w:r>
      <w:r>
        <w:rPr>
          <w:spacing w:val="-4"/>
        </w:rPr>
        <w:t>Fund</w:t>
      </w:r>
    </w:p>
    <w:p w14:paraId="236A9EFB" w14:textId="77777777" w:rsidR="00FE3ED7" w:rsidRDefault="00000000">
      <w:pPr>
        <w:pStyle w:val="BodyText"/>
        <w:spacing w:before="181" w:line="259" w:lineRule="auto"/>
        <w:ind w:left="359" w:right="69"/>
      </w:pPr>
      <w:r>
        <w:t>The</w:t>
      </w:r>
      <w:r>
        <w:rPr>
          <w:spacing w:val="-5"/>
        </w:rPr>
        <w:t xml:space="preserve"> </w:t>
      </w:r>
      <w:r>
        <w:t>Commonwealth’s</w:t>
      </w:r>
      <w:r>
        <w:rPr>
          <w:spacing w:val="-5"/>
        </w:rPr>
        <w:t xml:space="preserve"> </w:t>
      </w:r>
      <w:r>
        <w:t>prudent</w:t>
      </w:r>
      <w:r>
        <w:rPr>
          <w:spacing w:val="-4"/>
        </w:rPr>
        <w:t xml:space="preserve"> </w:t>
      </w:r>
      <w:r>
        <w:t>investments</w:t>
      </w:r>
      <w:r>
        <w:rPr>
          <w:spacing w:val="-5"/>
        </w:rPr>
        <w:t xml:space="preserve"> </w:t>
      </w:r>
      <w:r>
        <w:t>in</w:t>
      </w:r>
      <w:r>
        <w:rPr>
          <w:spacing w:val="-5"/>
        </w:rPr>
        <w:t xml:space="preserve"> </w:t>
      </w:r>
      <w:r>
        <w:t>long-term</w:t>
      </w:r>
      <w:r>
        <w:rPr>
          <w:spacing w:val="-6"/>
        </w:rPr>
        <w:t xml:space="preserve"> </w:t>
      </w:r>
      <w:r>
        <w:t>stabilization</w:t>
      </w:r>
      <w:r>
        <w:rPr>
          <w:spacing w:val="-5"/>
        </w:rPr>
        <w:t xml:space="preserve"> </w:t>
      </w:r>
      <w:r>
        <w:t>in</w:t>
      </w:r>
      <w:r>
        <w:rPr>
          <w:spacing w:val="-5"/>
        </w:rPr>
        <w:t xml:space="preserve"> </w:t>
      </w:r>
      <w:r>
        <w:t>recent</w:t>
      </w:r>
      <w:r>
        <w:rPr>
          <w:spacing w:val="-6"/>
        </w:rPr>
        <w:t xml:space="preserve"> </w:t>
      </w:r>
      <w:r>
        <w:t>years,</w:t>
      </w:r>
      <w:r>
        <w:rPr>
          <w:spacing w:val="-4"/>
        </w:rPr>
        <w:t xml:space="preserve"> </w:t>
      </w:r>
      <w:r>
        <w:t>combined with increasing interest rates, have resulted in newly significant interest earnings on the balance of the state’s Stabilization Fund. With the Fund balance now at an all-time high of approximately $8 billion, FY23 interest earnings are estimated to be approximately $270 million. Interest earnings in less recent history were not as robust, creating an opportunity for the Commonwealth to leverage new resources to address long-term liabilities. One such liability is the state’s deferred maintenance needs.</w:t>
      </w:r>
    </w:p>
    <w:p w14:paraId="4C61D0E2" w14:textId="77777777" w:rsidR="00FE3ED7" w:rsidRDefault="00000000">
      <w:pPr>
        <w:pStyle w:val="BodyText"/>
        <w:spacing w:before="159" w:line="259" w:lineRule="auto"/>
        <w:ind w:left="359"/>
      </w:pPr>
      <w:r>
        <w:t>The Healey-Driscoll</w:t>
      </w:r>
      <w:r>
        <w:rPr>
          <w:spacing w:val="-7"/>
        </w:rPr>
        <w:t xml:space="preserve"> </w:t>
      </w:r>
      <w:r>
        <w:t>Administration proposes using interest earnings on the Stabilization Fund to establish a permanent PAYGO Capital Investment and Debt Reduction Fund. Importantly, the</w:t>
      </w:r>
      <w:r>
        <w:rPr>
          <w:spacing w:val="-1"/>
        </w:rPr>
        <w:t xml:space="preserve"> </w:t>
      </w:r>
      <w:r>
        <w:t>PAYGO</w:t>
      </w:r>
      <w:r>
        <w:rPr>
          <w:spacing w:val="-2"/>
        </w:rPr>
        <w:t xml:space="preserve"> </w:t>
      </w:r>
      <w:r>
        <w:t>Capital</w:t>
      </w:r>
      <w:r>
        <w:rPr>
          <w:spacing w:val="-1"/>
        </w:rPr>
        <w:t xml:space="preserve"> </w:t>
      </w:r>
      <w:r>
        <w:t>Fund</w:t>
      </w:r>
      <w:r>
        <w:rPr>
          <w:spacing w:val="-1"/>
        </w:rPr>
        <w:t xml:space="preserve"> </w:t>
      </w:r>
      <w:r>
        <w:t>will</w:t>
      </w:r>
      <w:r>
        <w:rPr>
          <w:spacing w:val="-1"/>
        </w:rPr>
        <w:t xml:space="preserve"> </w:t>
      </w:r>
      <w:r>
        <w:t>only be</w:t>
      </w:r>
      <w:r>
        <w:rPr>
          <w:spacing w:val="-1"/>
        </w:rPr>
        <w:t xml:space="preserve"> </w:t>
      </w:r>
      <w:r>
        <w:t>funded</w:t>
      </w:r>
      <w:r>
        <w:rPr>
          <w:spacing w:val="-1"/>
        </w:rPr>
        <w:t xml:space="preserve"> </w:t>
      </w:r>
      <w:r>
        <w:t>with</w:t>
      </w:r>
      <w:r>
        <w:rPr>
          <w:spacing w:val="-1"/>
        </w:rPr>
        <w:t xml:space="preserve"> </w:t>
      </w:r>
      <w:r>
        <w:t>interest earnings;</w:t>
      </w:r>
      <w:r>
        <w:rPr>
          <w:spacing w:val="-2"/>
        </w:rPr>
        <w:t xml:space="preserve"> </w:t>
      </w:r>
      <w:r>
        <w:t>the</w:t>
      </w:r>
      <w:r>
        <w:rPr>
          <w:spacing w:val="-1"/>
        </w:rPr>
        <w:t xml:space="preserve"> </w:t>
      </w:r>
      <w:r>
        <w:t>principal</w:t>
      </w:r>
      <w:r>
        <w:rPr>
          <w:spacing w:val="-1"/>
        </w:rPr>
        <w:t xml:space="preserve"> </w:t>
      </w:r>
      <w:r>
        <w:t>amount of the Stabilization Fund will remain preserved for mitigating the impacts of a substantial, unanticipated</w:t>
      </w:r>
      <w:r>
        <w:rPr>
          <w:spacing w:val="-4"/>
        </w:rPr>
        <w:t xml:space="preserve"> </w:t>
      </w:r>
      <w:r>
        <w:t>reduction</w:t>
      </w:r>
      <w:r>
        <w:rPr>
          <w:spacing w:val="-4"/>
        </w:rPr>
        <w:t xml:space="preserve"> </w:t>
      </w:r>
      <w:r>
        <w:t>in</w:t>
      </w:r>
      <w:r>
        <w:rPr>
          <w:spacing w:val="-4"/>
        </w:rPr>
        <w:t xml:space="preserve"> </w:t>
      </w:r>
      <w:r>
        <w:t>revenues</w:t>
      </w:r>
      <w:r>
        <w:rPr>
          <w:spacing w:val="-4"/>
        </w:rPr>
        <w:t xml:space="preserve"> </w:t>
      </w:r>
      <w:r>
        <w:t>that</w:t>
      </w:r>
      <w:r>
        <w:rPr>
          <w:spacing w:val="-3"/>
        </w:rPr>
        <w:t xml:space="preserve"> </w:t>
      </w:r>
      <w:r>
        <w:t>cannot</w:t>
      </w:r>
      <w:r>
        <w:rPr>
          <w:spacing w:val="-3"/>
        </w:rPr>
        <w:t xml:space="preserve"> </w:t>
      </w:r>
      <w:r>
        <w:t>be</w:t>
      </w:r>
      <w:r>
        <w:rPr>
          <w:spacing w:val="-4"/>
        </w:rPr>
        <w:t xml:space="preserve"> </w:t>
      </w:r>
      <w:r>
        <w:t>managed</w:t>
      </w:r>
      <w:r>
        <w:rPr>
          <w:spacing w:val="-4"/>
        </w:rPr>
        <w:t xml:space="preserve"> </w:t>
      </w:r>
      <w:r>
        <w:t>with</w:t>
      </w:r>
      <w:r>
        <w:rPr>
          <w:spacing w:val="-4"/>
        </w:rPr>
        <w:t xml:space="preserve"> </w:t>
      </w:r>
      <w:r>
        <w:t>normal</w:t>
      </w:r>
      <w:r>
        <w:rPr>
          <w:spacing w:val="-4"/>
        </w:rPr>
        <w:t xml:space="preserve"> </w:t>
      </w:r>
      <w:r>
        <w:t>budgetary</w:t>
      </w:r>
      <w:r>
        <w:rPr>
          <w:spacing w:val="-4"/>
        </w:rPr>
        <w:t xml:space="preserve"> </w:t>
      </w:r>
      <w:r>
        <w:t>reductions and savings measures.</w:t>
      </w:r>
    </w:p>
    <w:p w14:paraId="5F9755CD" w14:textId="77777777" w:rsidR="00FE3ED7" w:rsidRDefault="00000000">
      <w:pPr>
        <w:pStyle w:val="BodyText"/>
        <w:spacing w:before="158" w:line="259" w:lineRule="auto"/>
        <w:ind w:left="359" w:right="69"/>
      </w:pPr>
      <w:r>
        <w:t>The PAYGO Capital Fund may be used for three purposes: leveraging federal grant opportunities</w:t>
      </w:r>
      <w:r>
        <w:rPr>
          <w:spacing w:val="-7"/>
        </w:rPr>
        <w:t xml:space="preserve"> </w:t>
      </w:r>
      <w:r>
        <w:t>under</w:t>
      </w:r>
      <w:r>
        <w:rPr>
          <w:spacing w:val="-6"/>
        </w:rPr>
        <w:t xml:space="preserve"> </w:t>
      </w:r>
      <w:r>
        <w:t>IIJA,</w:t>
      </w:r>
      <w:r>
        <w:rPr>
          <w:spacing w:val="-6"/>
        </w:rPr>
        <w:t xml:space="preserve"> </w:t>
      </w:r>
      <w:r>
        <w:t>IRA,</w:t>
      </w:r>
      <w:r>
        <w:rPr>
          <w:spacing w:val="-6"/>
        </w:rPr>
        <w:t xml:space="preserve"> </w:t>
      </w:r>
      <w:r>
        <w:t>and</w:t>
      </w:r>
      <w:r>
        <w:rPr>
          <w:spacing w:val="-7"/>
        </w:rPr>
        <w:t xml:space="preserve"> </w:t>
      </w:r>
      <w:r>
        <w:t>CHIPS,</w:t>
      </w:r>
      <w:r>
        <w:rPr>
          <w:spacing w:val="-6"/>
        </w:rPr>
        <w:t xml:space="preserve"> </w:t>
      </w:r>
      <w:r>
        <w:t>PAYGO</w:t>
      </w:r>
      <w:r>
        <w:rPr>
          <w:spacing w:val="-7"/>
        </w:rPr>
        <w:t xml:space="preserve"> </w:t>
      </w:r>
      <w:r>
        <w:t>investments</w:t>
      </w:r>
      <w:r>
        <w:rPr>
          <w:spacing w:val="-7"/>
        </w:rPr>
        <w:t xml:space="preserve"> </w:t>
      </w:r>
      <w:r>
        <w:t>in</w:t>
      </w:r>
      <w:r>
        <w:rPr>
          <w:spacing w:val="-8"/>
        </w:rPr>
        <w:t xml:space="preserve"> </w:t>
      </w:r>
      <w:r>
        <w:t>state</w:t>
      </w:r>
      <w:r>
        <w:rPr>
          <w:spacing w:val="-7"/>
        </w:rPr>
        <w:t xml:space="preserve"> </w:t>
      </w:r>
      <w:r>
        <w:t>assets</w:t>
      </w:r>
      <w:r>
        <w:rPr>
          <w:spacing w:val="-7"/>
        </w:rPr>
        <w:t xml:space="preserve"> </w:t>
      </w:r>
      <w:r>
        <w:t>as</w:t>
      </w:r>
      <w:r>
        <w:rPr>
          <w:spacing w:val="-7"/>
        </w:rPr>
        <w:t xml:space="preserve"> </w:t>
      </w:r>
      <w:r>
        <w:t>previously authorized</w:t>
      </w:r>
      <w:r>
        <w:rPr>
          <w:spacing w:val="-3"/>
        </w:rPr>
        <w:t xml:space="preserve"> </w:t>
      </w:r>
      <w:r>
        <w:t>by</w:t>
      </w:r>
      <w:r>
        <w:rPr>
          <w:spacing w:val="-3"/>
        </w:rPr>
        <w:t xml:space="preserve"> </w:t>
      </w:r>
      <w:r>
        <w:t>the</w:t>
      </w:r>
      <w:r>
        <w:rPr>
          <w:spacing w:val="-3"/>
        </w:rPr>
        <w:t xml:space="preserve"> </w:t>
      </w:r>
      <w:r>
        <w:t>General</w:t>
      </w:r>
      <w:r>
        <w:rPr>
          <w:spacing w:val="-4"/>
        </w:rPr>
        <w:t xml:space="preserve"> </w:t>
      </w:r>
      <w:r>
        <w:t>Court,</w:t>
      </w:r>
      <w:r>
        <w:rPr>
          <w:spacing w:val="-4"/>
        </w:rPr>
        <w:t xml:space="preserve"> </w:t>
      </w:r>
      <w:r>
        <w:t>and</w:t>
      </w:r>
      <w:r>
        <w:rPr>
          <w:spacing w:val="-3"/>
        </w:rPr>
        <w:t xml:space="preserve"> </w:t>
      </w:r>
      <w:r>
        <w:t>debt</w:t>
      </w:r>
      <w:r>
        <w:rPr>
          <w:spacing w:val="-3"/>
        </w:rPr>
        <w:t xml:space="preserve"> </w:t>
      </w:r>
      <w:r>
        <w:t>management</w:t>
      </w:r>
      <w:r>
        <w:rPr>
          <w:spacing w:val="-2"/>
        </w:rPr>
        <w:t xml:space="preserve"> </w:t>
      </w:r>
      <w:r>
        <w:t>strategies</w:t>
      </w:r>
      <w:r>
        <w:rPr>
          <w:spacing w:val="-4"/>
        </w:rPr>
        <w:t xml:space="preserve"> </w:t>
      </w:r>
      <w:r>
        <w:t>that</w:t>
      </w:r>
      <w:r>
        <w:rPr>
          <w:spacing w:val="-3"/>
        </w:rPr>
        <w:t xml:space="preserve"> </w:t>
      </w:r>
      <w:r>
        <w:t>generate</w:t>
      </w:r>
      <w:r>
        <w:rPr>
          <w:spacing w:val="-3"/>
        </w:rPr>
        <w:t xml:space="preserve"> </w:t>
      </w:r>
      <w:r>
        <w:t>savings</w:t>
      </w:r>
      <w:r>
        <w:rPr>
          <w:spacing w:val="-3"/>
        </w:rPr>
        <w:t xml:space="preserve"> </w:t>
      </w:r>
      <w:r>
        <w:t>for the state.</w:t>
      </w:r>
    </w:p>
    <w:p w14:paraId="4BC3824C" w14:textId="77777777" w:rsidR="00FE3ED7" w:rsidRDefault="00000000">
      <w:pPr>
        <w:pStyle w:val="BodyText"/>
        <w:spacing w:before="9"/>
        <w:rPr>
          <w:sz w:val="11"/>
        </w:rPr>
      </w:pPr>
      <w:r>
        <w:rPr>
          <w:noProof/>
          <w:sz w:val="11"/>
        </w:rPr>
        <w:drawing>
          <wp:anchor distT="0" distB="0" distL="0" distR="0" simplePos="0" relativeHeight="487588864" behindDoc="1" locked="0" layoutInCell="1" allowOverlap="1" wp14:anchorId="689FC173" wp14:editId="65DFF944">
            <wp:simplePos x="0" y="0"/>
            <wp:positionH relativeFrom="page">
              <wp:posOffset>685800</wp:posOffset>
            </wp:positionH>
            <wp:positionV relativeFrom="paragraph">
              <wp:posOffset>101796</wp:posOffset>
            </wp:positionV>
            <wp:extent cx="6287154" cy="3276980"/>
            <wp:effectExtent l="0" t="0" r="0" b="0"/>
            <wp:wrapTopAndBottom/>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6287154" cy="3276980"/>
                    </a:xfrm>
                    <a:prstGeom prst="rect">
                      <a:avLst/>
                    </a:prstGeom>
                  </pic:spPr>
                </pic:pic>
              </a:graphicData>
            </a:graphic>
          </wp:anchor>
        </w:drawing>
      </w:r>
    </w:p>
    <w:p w14:paraId="266A7BDF" w14:textId="77777777" w:rsidR="00FE3ED7" w:rsidRDefault="00FE3ED7">
      <w:pPr>
        <w:pStyle w:val="BodyText"/>
        <w:rPr>
          <w:sz w:val="11"/>
        </w:rPr>
        <w:sectPr w:rsidR="00FE3ED7">
          <w:headerReference w:type="default" r:id="rId9"/>
          <w:footerReference w:type="default" r:id="rId10"/>
          <w:pgSz w:w="12240" w:h="15840"/>
          <w:pgMar w:top="1100" w:right="1080" w:bottom="620" w:left="720" w:header="716" w:footer="438" w:gutter="0"/>
          <w:cols w:space="720"/>
        </w:sectPr>
      </w:pPr>
    </w:p>
    <w:p w14:paraId="5E1EE0D1" w14:textId="77777777" w:rsidR="00FE3ED7" w:rsidRDefault="00000000">
      <w:pPr>
        <w:pStyle w:val="Heading3"/>
        <w:spacing w:before="149"/>
      </w:pPr>
      <w:r>
        <w:lastRenderedPageBreak/>
        <w:t>PAYGO</w:t>
      </w:r>
      <w:r>
        <w:rPr>
          <w:spacing w:val="-17"/>
        </w:rPr>
        <w:t xml:space="preserve"> </w:t>
      </w:r>
      <w:r>
        <w:t>Capital</w:t>
      </w:r>
      <w:r>
        <w:rPr>
          <w:spacing w:val="-16"/>
        </w:rPr>
        <w:t xml:space="preserve"> </w:t>
      </w:r>
      <w:r>
        <w:t>Fund</w:t>
      </w:r>
      <w:r>
        <w:rPr>
          <w:spacing w:val="-16"/>
        </w:rPr>
        <w:t xml:space="preserve"> </w:t>
      </w:r>
      <w:r>
        <w:rPr>
          <w:spacing w:val="-4"/>
        </w:rPr>
        <w:t>Uses</w:t>
      </w:r>
    </w:p>
    <w:p w14:paraId="61A3A4B7" w14:textId="77777777" w:rsidR="00FE3ED7" w:rsidRDefault="00000000">
      <w:pPr>
        <w:spacing w:before="183"/>
        <w:ind w:left="359"/>
        <w:rPr>
          <w:i/>
          <w:sz w:val="24"/>
        </w:rPr>
      </w:pPr>
      <w:r>
        <w:rPr>
          <w:i/>
          <w:sz w:val="24"/>
        </w:rPr>
        <w:t>Federal</w:t>
      </w:r>
      <w:r>
        <w:rPr>
          <w:i/>
          <w:spacing w:val="-5"/>
          <w:sz w:val="24"/>
        </w:rPr>
        <w:t xml:space="preserve"> </w:t>
      </w:r>
      <w:r>
        <w:rPr>
          <w:i/>
          <w:spacing w:val="-2"/>
          <w:sz w:val="24"/>
        </w:rPr>
        <w:t>Match</w:t>
      </w:r>
    </w:p>
    <w:p w14:paraId="5DF2E4CF" w14:textId="77777777" w:rsidR="00FE3ED7" w:rsidRDefault="00000000">
      <w:pPr>
        <w:pStyle w:val="BodyText"/>
        <w:spacing w:before="181" w:line="259" w:lineRule="auto"/>
        <w:ind w:left="359" w:right="2"/>
      </w:pPr>
      <w:r>
        <w:t>Establishing a dedicated pool of state resources to match federal grant awards maximizes the Commonwealth’s competitiveness during the short window in which competitive grants established by the Infrastructure Investment and Jobs</w:t>
      </w:r>
      <w:r>
        <w:rPr>
          <w:spacing w:val="-5"/>
        </w:rPr>
        <w:t xml:space="preserve"> </w:t>
      </w:r>
      <w:r>
        <w:t>Act (IIJA), the Inflation Reduction</w:t>
      </w:r>
      <w:r>
        <w:rPr>
          <w:spacing w:val="-5"/>
        </w:rPr>
        <w:t xml:space="preserve"> </w:t>
      </w:r>
      <w:r>
        <w:t>Act (IRA), and the CHIPS and Science</w:t>
      </w:r>
      <w:r>
        <w:rPr>
          <w:spacing w:val="-8"/>
        </w:rPr>
        <w:t xml:space="preserve"> </w:t>
      </w:r>
      <w:r>
        <w:t>Act (CHIPS) are available. Making PAYGO Capital Fund resources</w:t>
      </w:r>
      <w:r>
        <w:rPr>
          <w:spacing w:val="-3"/>
        </w:rPr>
        <w:t xml:space="preserve"> </w:t>
      </w:r>
      <w:r>
        <w:t>available</w:t>
      </w:r>
      <w:r>
        <w:rPr>
          <w:spacing w:val="-3"/>
        </w:rPr>
        <w:t xml:space="preserve"> </w:t>
      </w:r>
      <w:r>
        <w:t>during</w:t>
      </w:r>
      <w:r>
        <w:rPr>
          <w:spacing w:val="-3"/>
        </w:rPr>
        <w:t xml:space="preserve"> </w:t>
      </w:r>
      <w:r>
        <w:t>the</w:t>
      </w:r>
      <w:r>
        <w:rPr>
          <w:spacing w:val="-3"/>
        </w:rPr>
        <w:t xml:space="preserve"> </w:t>
      </w:r>
      <w:r>
        <w:t>approximately</w:t>
      </w:r>
      <w:r>
        <w:rPr>
          <w:spacing w:val="-3"/>
        </w:rPr>
        <w:t xml:space="preserve"> </w:t>
      </w:r>
      <w:r>
        <w:t>three</w:t>
      </w:r>
      <w:r>
        <w:rPr>
          <w:spacing w:val="-3"/>
        </w:rPr>
        <w:t xml:space="preserve"> </w:t>
      </w:r>
      <w:r>
        <w:t>years</w:t>
      </w:r>
      <w:r>
        <w:rPr>
          <w:spacing w:val="-3"/>
        </w:rPr>
        <w:t xml:space="preserve"> </w:t>
      </w:r>
      <w:r>
        <w:t>in</w:t>
      </w:r>
      <w:r>
        <w:rPr>
          <w:spacing w:val="-3"/>
        </w:rPr>
        <w:t xml:space="preserve"> </w:t>
      </w:r>
      <w:r>
        <w:t>which</w:t>
      </w:r>
      <w:r>
        <w:rPr>
          <w:spacing w:val="-3"/>
        </w:rPr>
        <w:t xml:space="preserve"> </w:t>
      </w:r>
      <w:r>
        <w:t>IIJA,</w:t>
      </w:r>
      <w:r>
        <w:rPr>
          <w:spacing w:val="-4"/>
        </w:rPr>
        <w:t xml:space="preserve"> </w:t>
      </w:r>
      <w:r>
        <w:t>IRA,</w:t>
      </w:r>
      <w:r>
        <w:rPr>
          <w:spacing w:val="-4"/>
        </w:rPr>
        <w:t xml:space="preserve"> </w:t>
      </w:r>
      <w:r>
        <w:t>and</w:t>
      </w:r>
      <w:r>
        <w:rPr>
          <w:spacing w:val="-3"/>
        </w:rPr>
        <w:t xml:space="preserve"> </w:t>
      </w:r>
      <w:r>
        <w:t>CHIPS</w:t>
      </w:r>
      <w:r>
        <w:rPr>
          <w:spacing w:val="-3"/>
        </w:rPr>
        <w:t xml:space="preserve"> </w:t>
      </w:r>
      <w:r>
        <w:t>grants are available will help unlock federal funding for key investments in transportation, housing, climate, economic development, and technology.</w:t>
      </w:r>
      <w:r>
        <w:rPr>
          <w:spacing w:val="-5"/>
        </w:rPr>
        <w:t xml:space="preserve"> </w:t>
      </w:r>
      <w:r>
        <w:t>All commitments for matching funds must meet high return on investment targets established and approved by</w:t>
      </w:r>
      <w:r>
        <w:rPr>
          <w:spacing w:val="-7"/>
        </w:rPr>
        <w:t xml:space="preserve"> </w:t>
      </w:r>
      <w:r>
        <w:t>A&amp;F, with unused matching funds remaining in the PAYGO Capital Fund at the conclusion of the federal programs – available for other investments in state assets.</w:t>
      </w:r>
    </w:p>
    <w:p w14:paraId="4A40BB5B" w14:textId="77777777" w:rsidR="00FE3ED7" w:rsidRDefault="00000000">
      <w:pPr>
        <w:spacing w:before="157"/>
        <w:ind w:left="359"/>
        <w:rPr>
          <w:i/>
          <w:sz w:val="24"/>
        </w:rPr>
      </w:pPr>
      <w:r>
        <w:rPr>
          <w:i/>
          <w:spacing w:val="-6"/>
          <w:sz w:val="24"/>
        </w:rPr>
        <w:t>PAYGO</w:t>
      </w:r>
      <w:r>
        <w:rPr>
          <w:i/>
          <w:spacing w:val="-8"/>
          <w:sz w:val="24"/>
        </w:rPr>
        <w:t xml:space="preserve"> </w:t>
      </w:r>
      <w:r>
        <w:rPr>
          <w:i/>
          <w:spacing w:val="-2"/>
          <w:sz w:val="24"/>
        </w:rPr>
        <w:t>Capital</w:t>
      </w:r>
    </w:p>
    <w:p w14:paraId="306069F3" w14:textId="77777777" w:rsidR="00FE3ED7" w:rsidRDefault="00000000">
      <w:pPr>
        <w:pStyle w:val="BodyText"/>
        <w:spacing w:before="183" w:line="259" w:lineRule="auto"/>
        <w:ind w:left="359" w:right="69"/>
      </w:pPr>
      <w:r>
        <w:t>By reducing the reliance on debt to fund deferred maintenance and accelerating investment timing, PAYGO will support necessary improvements to physical infrastructure across the state. By requiring funds to be spent on state assets, PAYGO also supports risk mitigation strategies,</w:t>
      </w:r>
      <w:r>
        <w:rPr>
          <w:spacing w:val="-6"/>
        </w:rPr>
        <w:t xml:space="preserve"> </w:t>
      </w:r>
      <w:r>
        <w:t>including</w:t>
      </w:r>
      <w:r>
        <w:rPr>
          <w:spacing w:val="-7"/>
        </w:rPr>
        <w:t xml:space="preserve"> </w:t>
      </w:r>
      <w:r>
        <w:t>decarbonization,</w:t>
      </w:r>
      <w:r>
        <w:rPr>
          <w:spacing w:val="-6"/>
        </w:rPr>
        <w:t xml:space="preserve"> </w:t>
      </w:r>
      <w:r>
        <w:t>cybersecurity,</w:t>
      </w:r>
      <w:r>
        <w:rPr>
          <w:spacing w:val="-6"/>
        </w:rPr>
        <w:t xml:space="preserve"> </w:t>
      </w:r>
      <w:r>
        <w:t>and</w:t>
      </w:r>
      <w:r>
        <w:rPr>
          <w:spacing w:val="-7"/>
        </w:rPr>
        <w:t xml:space="preserve"> </w:t>
      </w:r>
      <w:r>
        <w:t>climate</w:t>
      </w:r>
      <w:r>
        <w:rPr>
          <w:spacing w:val="-7"/>
        </w:rPr>
        <w:t xml:space="preserve"> </w:t>
      </w:r>
      <w:r>
        <w:t>resilience.</w:t>
      </w:r>
      <w:r>
        <w:rPr>
          <w:spacing w:val="-7"/>
        </w:rPr>
        <w:t xml:space="preserve"> </w:t>
      </w:r>
      <w:r>
        <w:t>Resources</w:t>
      </w:r>
      <w:r>
        <w:rPr>
          <w:spacing w:val="-7"/>
        </w:rPr>
        <w:t xml:space="preserve"> </w:t>
      </w:r>
      <w:r>
        <w:t>in</w:t>
      </w:r>
      <w:r>
        <w:rPr>
          <w:spacing w:val="-7"/>
        </w:rPr>
        <w:t xml:space="preserve"> </w:t>
      </w:r>
      <w:r>
        <w:t>the PAYGO</w:t>
      </w:r>
      <w:r>
        <w:rPr>
          <w:spacing w:val="-4"/>
        </w:rPr>
        <w:t xml:space="preserve"> </w:t>
      </w:r>
      <w:r>
        <w:t>Capital</w:t>
      </w:r>
      <w:r>
        <w:rPr>
          <w:spacing w:val="-3"/>
        </w:rPr>
        <w:t xml:space="preserve"> </w:t>
      </w:r>
      <w:r>
        <w:t>Fund</w:t>
      </w:r>
      <w:r>
        <w:rPr>
          <w:spacing w:val="-2"/>
        </w:rPr>
        <w:t xml:space="preserve"> </w:t>
      </w:r>
      <w:r>
        <w:t>may</w:t>
      </w:r>
      <w:r>
        <w:rPr>
          <w:spacing w:val="-3"/>
        </w:rPr>
        <w:t xml:space="preserve"> </w:t>
      </w:r>
      <w:r>
        <w:t>only</w:t>
      </w:r>
      <w:r>
        <w:rPr>
          <w:spacing w:val="-3"/>
        </w:rPr>
        <w:t xml:space="preserve"> </w:t>
      </w:r>
      <w:r>
        <w:t>be</w:t>
      </w:r>
      <w:r>
        <w:rPr>
          <w:spacing w:val="-3"/>
        </w:rPr>
        <w:t xml:space="preserve"> </w:t>
      </w:r>
      <w:r>
        <w:t>used</w:t>
      </w:r>
      <w:r>
        <w:rPr>
          <w:spacing w:val="-3"/>
        </w:rPr>
        <w:t xml:space="preserve"> </w:t>
      </w:r>
      <w:r>
        <w:t>for</w:t>
      </w:r>
      <w:r>
        <w:rPr>
          <w:spacing w:val="-4"/>
        </w:rPr>
        <w:t xml:space="preserve"> </w:t>
      </w:r>
      <w:r>
        <w:t>projects</w:t>
      </w:r>
      <w:r>
        <w:rPr>
          <w:spacing w:val="-3"/>
        </w:rPr>
        <w:t xml:space="preserve"> </w:t>
      </w:r>
      <w:r>
        <w:t>previously</w:t>
      </w:r>
      <w:r>
        <w:rPr>
          <w:spacing w:val="-3"/>
        </w:rPr>
        <w:t xml:space="preserve"> </w:t>
      </w:r>
      <w:r>
        <w:t>authorized</w:t>
      </w:r>
      <w:r>
        <w:rPr>
          <w:spacing w:val="-3"/>
        </w:rPr>
        <w:t xml:space="preserve"> </w:t>
      </w:r>
      <w:r>
        <w:t>by</w:t>
      </w:r>
      <w:r>
        <w:rPr>
          <w:spacing w:val="-3"/>
        </w:rPr>
        <w:t xml:space="preserve"> </w:t>
      </w:r>
      <w:r>
        <w:t>the</w:t>
      </w:r>
      <w:r>
        <w:rPr>
          <w:spacing w:val="-3"/>
        </w:rPr>
        <w:t xml:space="preserve"> </w:t>
      </w:r>
      <w:r>
        <w:t>Legislature through bond bills. This ensures a whole-of-government approach to investment decisions from this new resource.</w:t>
      </w:r>
    </w:p>
    <w:p w14:paraId="7DCD6B96" w14:textId="77777777" w:rsidR="00FE3ED7" w:rsidRDefault="00000000">
      <w:pPr>
        <w:spacing w:before="157"/>
        <w:ind w:left="359"/>
        <w:rPr>
          <w:i/>
          <w:sz w:val="24"/>
        </w:rPr>
      </w:pPr>
      <w:r>
        <w:rPr>
          <w:i/>
          <w:sz w:val="24"/>
        </w:rPr>
        <w:t>Debt</w:t>
      </w:r>
      <w:r>
        <w:rPr>
          <w:i/>
          <w:spacing w:val="-4"/>
          <w:sz w:val="24"/>
        </w:rPr>
        <w:t xml:space="preserve"> </w:t>
      </w:r>
      <w:r>
        <w:rPr>
          <w:i/>
          <w:sz w:val="24"/>
        </w:rPr>
        <w:t>Management</w:t>
      </w:r>
      <w:r>
        <w:rPr>
          <w:i/>
          <w:spacing w:val="-4"/>
          <w:sz w:val="24"/>
        </w:rPr>
        <w:t xml:space="preserve"> </w:t>
      </w:r>
      <w:r>
        <w:rPr>
          <w:i/>
          <w:spacing w:val="-2"/>
          <w:sz w:val="24"/>
        </w:rPr>
        <w:t>Strategies</w:t>
      </w:r>
    </w:p>
    <w:p w14:paraId="4CA5514D" w14:textId="77777777" w:rsidR="00FE3ED7" w:rsidRDefault="00000000">
      <w:pPr>
        <w:pStyle w:val="BodyText"/>
        <w:spacing w:before="183" w:line="259" w:lineRule="auto"/>
        <w:ind w:left="359"/>
      </w:pPr>
      <w:r>
        <w:t>As</w:t>
      </w:r>
      <w:r>
        <w:rPr>
          <w:spacing w:val="-6"/>
        </w:rPr>
        <w:t xml:space="preserve"> </w:t>
      </w:r>
      <w:r>
        <w:t>part</w:t>
      </w:r>
      <w:r>
        <w:rPr>
          <w:spacing w:val="-5"/>
        </w:rPr>
        <w:t xml:space="preserve"> </w:t>
      </w:r>
      <w:r>
        <w:t>of</w:t>
      </w:r>
      <w:r>
        <w:rPr>
          <w:spacing w:val="-7"/>
        </w:rPr>
        <w:t xml:space="preserve"> </w:t>
      </w:r>
      <w:r>
        <w:t>the</w:t>
      </w:r>
      <w:r>
        <w:rPr>
          <w:spacing w:val="-6"/>
        </w:rPr>
        <w:t xml:space="preserve"> </w:t>
      </w:r>
      <w:r>
        <w:t>state’s</w:t>
      </w:r>
      <w:r>
        <w:rPr>
          <w:spacing w:val="-6"/>
        </w:rPr>
        <w:t xml:space="preserve"> </w:t>
      </w:r>
      <w:r>
        <w:t>active</w:t>
      </w:r>
      <w:r>
        <w:rPr>
          <w:spacing w:val="-6"/>
        </w:rPr>
        <w:t xml:space="preserve"> </w:t>
      </w:r>
      <w:r>
        <w:t>management</w:t>
      </w:r>
      <w:r>
        <w:rPr>
          <w:spacing w:val="-5"/>
        </w:rPr>
        <w:t xml:space="preserve"> </w:t>
      </w:r>
      <w:r>
        <w:t>of</w:t>
      </w:r>
      <w:r>
        <w:rPr>
          <w:spacing w:val="-5"/>
        </w:rPr>
        <w:t xml:space="preserve"> </w:t>
      </w:r>
      <w:r>
        <w:t>long-term</w:t>
      </w:r>
      <w:r>
        <w:rPr>
          <w:spacing w:val="-5"/>
        </w:rPr>
        <w:t xml:space="preserve"> </w:t>
      </w:r>
      <w:r>
        <w:t>debt,</w:t>
      </w:r>
      <w:r>
        <w:rPr>
          <w:spacing w:val="-5"/>
        </w:rPr>
        <w:t xml:space="preserve"> </w:t>
      </w:r>
      <w:r>
        <w:t>periodically,</w:t>
      </w:r>
      <w:r>
        <w:rPr>
          <w:spacing w:val="-5"/>
        </w:rPr>
        <w:t xml:space="preserve"> </w:t>
      </w:r>
      <w:r>
        <w:t>opportunities</w:t>
      </w:r>
      <w:r>
        <w:rPr>
          <w:spacing w:val="-6"/>
        </w:rPr>
        <w:t xml:space="preserve"> </w:t>
      </w:r>
      <w:r>
        <w:t>become available to reduce long-term liabilities and create savings for the Commonwealth.</w:t>
      </w:r>
      <w:r>
        <w:rPr>
          <w:spacing w:val="-5"/>
        </w:rPr>
        <w:t xml:space="preserve"> </w:t>
      </w:r>
      <w:r>
        <w:t>At times, these opportunities, such as defeasance, prepayment, tender opportunities, and interest cost reductions, require upfront investments to create long-term savings. By allowing PAYGO Capital Fund resources to be used for these debt management strategies, the state can leverage savings to make additional investments in the Commonwealth.</w:t>
      </w:r>
    </w:p>
    <w:p w14:paraId="7D2CE1E4" w14:textId="77777777" w:rsidR="00FE3ED7" w:rsidRDefault="00FE3ED7">
      <w:pPr>
        <w:pStyle w:val="BodyText"/>
      </w:pPr>
    </w:p>
    <w:p w14:paraId="3DE2EFC0" w14:textId="77777777" w:rsidR="00FE3ED7" w:rsidRDefault="00FE3ED7">
      <w:pPr>
        <w:pStyle w:val="BodyText"/>
        <w:spacing w:before="64"/>
      </w:pPr>
    </w:p>
    <w:p w14:paraId="46145F68" w14:textId="77777777" w:rsidR="00FE3ED7" w:rsidRDefault="00000000">
      <w:pPr>
        <w:pStyle w:val="Heading3"/>
      </w:pPr>
      <w:r>
        <w:t>Fiscal</w:t>
      </w:r>
      <w:r>
        <w:rPr>
          <w:spacing w:val="-3"/>
        </w:rPr>
        <w:t xml:space="preserve"> </w:t>
      </w:r>
      <w:r>
        <w:rPr>
          <w:spacing w:val="-2"/>
        </w:rPr>
        <w:t>Responsibility</w:t>
      </w:r>
    </w:p>
    <w:p w14:paraId="169CFDA3" w14:textId="77777777" w:rsidR="00FE3ED7" w:rsidRDefault="00000000">
      <w:pPr>
        <w:pStyle w:val="BodyText"/>
        <w:spacing w:before="182" w:line="259" w:lineRule="auto"/>
        <w:ind w:left="360"/>
      </w:pPr>
      <w:r>
        <w:t>Utilizing interest earned on our savings puts the state's money to work while reducing long-term liabilities and protecting the Stabilization Fund for when it is needed. While interest earnings</w:t>
      </w:r>
      <w:r>
        <w:rPr>
          <w:spacing w:val="-6"/>
        </w:rPr>
        <w:t xml:space="preserve"> </w:t>
      </w:r>
      <w:r>
        <w:t>will</w:t>
      </w:r>
      <w:r>
        <w:rPr>
          <w:spacing w:val="-6"/>
        </w:rPr>
        <w:t xml:space="preserve"> </w:t>
      </w:r>
      <w:r>
        <w:t>vary</w:t>
      </w:r>
      <w:r>
        <w:rPr>
          <w:spacing w:val="-6"/>
        </w:rPr>
        <w:t xml:space="preserve"> </w:t>
      </w:r>
      <w:r>
        <w:t>from</w:t>
      </w:r>
      <w:r>
        <w:rPr>
          <w:spacing w:val="-7"/>
        </w:rPr>
        <w:t xml:space="preserve"> </w:t>
      </w:r>
      <w:r>
        <w:t>year</w:t>
      </w:r>
      <w:r>
        <w:rPr>
          <w:spacing w:val="-5"/>
        </w:rPr>
        <w:t xml:space="preserve"> </w:t>
      </w:r>
      <w:r>
        <w:t>to</w:t>
      </w:r>
      <w:r>
        <w:rPr>
          <w:spacing w:val="-6"/>
        </w:rPr>
        <w:t xml:space="preserve"> </w:t>
      </w:r>
      <w:r>
        <w:t>year,</w:t>
      </w:r>
      <w:r>
        <w:rPr>
          <w:spacing w:val="-5"/>
        </w:rPr>
        <w:t xml:space="preserve"> </w:t>
      </w:r>
      <w:r>
        <w:t>commitments</w:t>
      </w:r>
      <w:r>
        <w:rPr>
          <w:spacing w:val="-6"/>
        </w:rPr>
        <w:t xml:space="preserve"> </w:t>
      </w:r>
      <w:r>
        <w:t>from</w:t>
      </w:r>
      <w:r>
        <w:rPr>
          <w:spacing w:val="-7"/>
        </w:rPr>
        <w:t xml:space="preserve"> </w:t>
      </w:r>
      <w:r>
        <w:t>the</w:t>
      </w:r>
      <w:r>
        <w:rPr>
          <w:spacing w:val="-6"/>
        </w:rPr>
        <w:t xml:space="preserve"> </w:t>
      </w:r>
      <w:r>
        <w:t>PAYGO</w:t>
      </w:r>
      <w:r>
        <w:rPr>
          <w:spacing w:val="-5"/>
        </w:rPr>
        <w:t xml:space="preserve"> </w:t>
      </w:r>
      <w:r>
        <w:t>Capital</w:t>
      </w:r>
      <w:r>
        <w:rPr>
          <w:spacing w:val="-6"/>
        </w:rPr>
        <w:t xml:space="preserve"> </w:t>
      </w:r>
      <w:r>
        <w:t>Fund</w:t>
      </w:r>
      <w:r>
        <w:rPr>
          <w:spacing w:val="-6"/>
        </w:rPr>
        <w:t xml:space="preserve"> </w:t>
      </w:r>
      <w:r>
        <w:t>will</w:t>
      </w:r>
      <w:r>
        <w:rPr>
          <w:spacing w:val="-6"/>
        </w:rPr>
        <w:t xml:space="preserve"> </w:t>
      </w:r>
      <w:r>
        <w:t>only</w:t>
      </w:r>
      <w:r>
        <w:rPr>
          <w:spacing w:val="-6"/>
        </w:rPr>
        <w:t xml:space="preserve"> </w:t>
      </w:r>
      <w:r>
        <w:t>be made when funds are available. Because the Fund does not rely on future projections, no spending will occur beyond what has already been transferred to the Fund. Unlike debt issuances, PAYGO uses are flexible and can be reduced or suspended if interest earnings decrease or economic conditions deteriorate.</w:t>
      </w:r>
      <w:r>
        <w:rPr>
          <w:spacing w:val="-5"/>
        </w:rPr>
        <w:t xml:space="preserve"> </w:t>
      </w:r>
      <w:r>
        <w:t>Additionally, should the Stabilization Fund balance decrease for any reason, interest transfers to the PAYGO Capital Fund will be suspended until the principal balance again increases year over year and exceeds 10% of budgeted revenues, ensuring the long-term sustainability of the Commonwealth’s reserves.</w:t>
      </w:r>
    </w:p>
    <w:sectPr w:rsidR="00FE3ED7">
      <w:pgSz w:w="12240" w:h="15840"/>
      <w:pgMar w:top="1100" w:right="1080" w:bottom="620" w:left="720" w:header="716"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0325" w14:textId="77777777" w:rsidR="00E814DB" w:rsidRDefault="00E814DB">
      <w:r>
        <w:separator/>
      </w:r>
    </w:p>
  </w:endnote>
  <w:endnote w:type="continuationSeparator" w:id="0">
    <w:p w14:paraId="1361BA83" w14:textId="77777777" w:rsidR="00E814DB" w:rsidRDefault="00E8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FA2E" w14:textId="77777777" w:rsidR="00FE3ED7" w:rsidRDefault="00000000">
    <w:pPr>
      <w:pStyle w:val="BodyText"/>
      <w:spacing w:line="14" w:lineRule="auto"/>
      <w:rPr>
        <w:sz w:val="20"/>
      </w:rPr>
    </w:pPr>
    <w:r>
      <w:rPr>
        <w:noProof/>
        <w:sz w:val="20"/>
      </w:rPr>
      <mc:AlternateContent>
        <mc:Choice Requires="wps">
          <w:drawing>
            <wp:anchor distT="0" distB="0" distL="0" distR="0" simplePos="0" relativeHeight="487502848" behindDoc="1" locked="0" layoutInCell="1" allowOverlap="1" wp14:anchorId="574BF81F" wp14:editId="187AA710">
              <wp:simplePos x="0" y="0"/>
              <wp:positionH relativeFrom="page">
                <wp:posOffset>666750</wp:posOffset>
              </wp:positionH>
              <wp:positionV relativeFrom="page">
                <wp:posOffset>9602711</wp:posOffset>
              </wp:positionV>
              <wp:extent cx="64395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108"/>
                            </a:lnTo>
                            <a:lnTo>
                              <a:pt x="6438912" y="6108"/>
                            </a:lnTo>
                            <a:lnTo>
                              <a:pt x="64389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9289E47" id="Graphic 1" o:spid="_x0000_s1026" style="position:absolute;margin-left:52.5pt;margin-top:756.1pt;width:507.05pt;height:.5pt;z-index:-15813632;visibility:visible;mso-wrap-style:square;mso-wrap-distance-left:0;mso-wrap-distance-top:0;mso-wrap-distance-right:0;mso-wrap-distance-bottom:0;mso-position-horizontal:absolute;mso-position-horizontal-relative:page;mso-position-vertical:absolute;mso-position-vertical-relative:page;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" path="m6438912,l,,,6108r6438912,l6438912,xe" fillcolor="#d9d9d9" stroked="f">
              <v:path arrowok="t"/>
              <w10:wrap anchorx="page" anchory="page"/>
            </v:shape>
          </w:pict>
        </mc:Fallback>
      </mc:AlternateContent>
    </w:r>
    <w:r>
      <w:rPr>
        <w:noProof/>
        <w:sz w:val="20"/>
      </w:rPr>
      <mc:AlternateContent>
        <mc:Choice Requires="wps">
          <w:drawing>
            <wp:anchor distT="0" distB="0" distL="0" distR="0" simplePos="0" relativeHeight="487503360" behindDoc="1" locked="0" layoutInCell="1" allowOverlap="1" wp14:anchorId="3467D692" wp14:editId="0E9F7D01">
              <wp:simplePos x="0" y="0"/>
              <wp:positionH relativeFrom="page">
                <wp:posOffset>6963918</wp:posOffset>
              </wp:positionH>
              <wp:positionV relativeFrom="page">
                <wp:posOffset>9613604</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965E0B0" w14:textId="77777777" w:rsidR="00FE3ED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467D692" id="_x0000_t202" coordsize="21600,21600" o:spt="202" path="m,l,21600r21600,l21600,xe">
              <v:stroke joinstyle="miter"/>
              <v:path gradientshapeok="t" o:connecttype="rect"/>
            </v:shapetype>
            <v:shape id="Textbox 2" o:spid="_x0000_s1026" type="#_x0000_t202" style="position:absolute;margin-left:548.35pt;margin-top:757pt;width:13.7pt;height:15.4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" filled="f" stroked="f">
              <v:textbox inset="0,0,0,0">
                <w:txbxContent>
                  <w:p w14:paraId="2965E0B0" w14:textId="77777777" w:rsidR="00FE3ED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4D23" w14:textId="77777777" w:rsidR="00FE3ED7" w:rsidRDefault="00000000">
    <w:pPr>
      <w:pStyle w:val="BodyText"/>
      <w:spacing w:line="14" w:lineRule="auto"/>
      <w:rPr>
        <w:sz w:val="20"/>
      </w:rPr>
    </w:pPr>
    <w:r>
      <w:rPr>
        <w:noProof/>
        <w:sz w:val="20"/>
      </w:rPr>
      <mc:AlternateContent>
        <mc:Choice Requires="wps">
          <w:drawing>
            <wp:anchor distT="0" distB="0" distL="0" distR="0" simplePos="0" relativeHeight="487504896" behindDoc="1" locked="0" layoutInCell="1" allowOverlap="1" wp14:anchorId="5BAA7929" wp14:editId="35F6EEB7">
              <wp:simplePos x="0" y="0"/>
              <wp:positionH relativeFrom="page">
                <wp:posOffset>666750</wp:posOffset>
              </wp:positionH>
              <wp:positionV relativeFrom="page">
                <wp:posOffset>9602711</wp:posOffset>
              </wp:positionV>
              <wp:extent cx="6439535"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9535" cy="6350"/>
                      </a:xfrm>
                      <a:custGeom>
                        <a:avLst/>
                        <a:gdLst/>
                        <a:ahLst/>
                        <a:cxnLst/>
                        <a:rect l="l" t="t" r="r" b="b"/>
                        <a:pathLst>
                          <a:path w="6439535" h="6350">
                            <a:moveTo>
                              <a:pt x="6438912" y="0"/>
                            </a:moveTo>
                            <a:lnTo>
                              <a:pt x="0" y="0"/>
                            </a:lnTo>
                            <a:lnTo>
                              <a:pt x="0" y="6108"/>
                            </a:lnTo>
                            <a:lnTo>
                              <a:pt x="6438912" y="6108"/>
                            </a:lnTo>
                            <a:lnTo>
                              <a:pt x="64389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E26316D" id="Graphic 7" o:spid="_x0000_s1026" style="position:absolute;margin-left:52.5pt;margin-top:756.1pt;width:507.05pt;height:.5pt;z-index:-15811584;visibility:visible;mso-wrap-style:square;mso-wrap-distance-left:0;mso-wrap-distance-top:0;mso-wrap-distance-right:0;mso-wrap-distance-bottom:0;mso-position-horizontal:absolute;mso-position-horizontal-relative:page;mso-position-vertical:absolute;mso-position-vertical-relative:page;v-text-anchor:top" coordsize="6439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" path="m6438912,l,,,6108r6438912,l6438912,xe" fillcolor="#d9d9d9" stroked="f">
              <v:path arrowok="t"/>
              <w10:wrap anchorx="page" anchory="page"/>
            </v:shape>
          </w:pict>
        </mc:Fallback>
      </mc:AlternateContent>
    </w:r>
    <w:r>
      <w:rPr>
        <w:noProof/>
        <w:sz w:val="20"/>
      </w:rPr>
      <mc:AlternateContent>
        <mc:Choice Requires="wps">
          <w:drawing>
            <wp:anchor distT="0" distB="0" distL="0" distR="0" simplePos="0" relativeHeight="487505408" behindDoc="1" locked="0" layoutInCell="1" allowOverlap="1" wp14:anchorId="5D30ADA2" wp14:editId="2F8200CF">
              <wp:simplePos x="0" y="0"/>
              <wp:positionH relativeFrom="page">
                <wp:posOffset>6963918</wp:posOffset>
              </wp:positionH>
              <wp:positionV relativeFrom="page">
                <wp:posOffset>9613604</wp:posOffset>
              </wp:positionV>
              <wp:extent cx="17399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14EEDFB" w14:textId="77777777" w:rsidR="00FE3ED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D30ADA2" id="_x0000_t202" coordsize="21600,21600" o:spt="202" path="m,l,21600r21600,l21600,xe">
              <v:stroke joinstyle="miter"/>
              <v:path gradientshapeok="t" o:connecttype="rect"/>
            </v:shapetype>
            <v:shape id="Textbox 8" o:spid="_x0000_s1028" type="#_x0000_t202" style="position:absolute;margin-left:548.35pt;margin-top:757pt;width:13.7pt;height:15.4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" filled="f" stroked="f">
              <v:textbox inset="0,0,0,0">
                <w:txbxContent>
                  <w:p w14:paraId="514EEDFB" w14:textId="77777777" w:rsidR="00FE3ED7"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797D" w14:textId="77777777" w:rsidR="00E814DB" w:rsidRDefault="00E814DB">
      <w:r>
        <w:separator/>
      </w:r>
    </w:p>
  </w:footnote>
  <w:footnote w:type="continuationSeparator" w:id="0">
    <w:p w14:paraId="386513C6" w14:textId="77777777" w:rsidR="00E814DB" w:rsidRDefault="00E81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B8B" w14:textId="77777777" w:rsidR="00FE3ED7" w:rsidRDefault="00000000">
    <w:pPr>
      <w:pStyle w:val="BodyText"/>
      <w:spacing w:line="14" w:lineRule="auto"/>
      <w:rPr>
        <w:sz w:val="20"/>
      </w:rPr>
    </w:pPr>
    <w:r>
      <w:rPr>
        <w:noProof/>
        <w:sz w:val="20"/>
      </w:rPr>
      <mc:AlternateContent>
        <mc:Choice Requires="wps">
          <w:drawing>
            <wp:anchor distT="0" distB="0" distL="0" distR="0" simplePos="0" relativeHeight="487503872" behindDoc="1" locked="0" layoutInCell="1" allowOverlap="1" wp14:anchorId="178B3A4D" wp14:editId="53485285">
              <wp:simplePos x="0" y="0"/>
              <wp:positionH relativeFrom="page">
                <wp:posOffset>685800</wp:posOffset>
              </wp:positionH>
              <wp:positionV relativeFrom="page">
                <wp:posOffset>702283</wp:posOffset>
              </wp:positionV>
              <wp:extent cx="63817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80D55" id="Graphic 5" o:spid="_x0000_s1026" style="position:absolute;margin-left:54pt;margin-top:55.3pt;width:502.5pt;height:.1pt;z-index:-15812608;visibility:visible;mso-wrap-style:square;mso-wrap-distance-left:0;mso-wrap-distance-top:0;mso-wrap-distance-right:0;mso-wrap-distance-bottom:0;mso-position-horizontal:absolute;mso-position-horizontal-relative:page;mso-position-vertical:absolute;mso-position-vertical-relative:page;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gDQIAAFs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" path="m,l6381750,e" filled="f" strokeweight=".5pt">
              <v:path arrowok="t"/>
              <w10:wrap anchorx="page" anchory="page"/>
            </v:shape>
          </w:pict>
        </mc:Fallback>
      </mc:AlternateContent>
    </w:r>
    <w:r>
      <w:rPr>
        <w:noProof/>
        <w:sz w:val="20"/>
      </w:rPr>
      <mc:AlternateContent>
        <mc:Choice Requires="wps">
          <w:drawing>
            <wp:anchor distT="0" distB="0" distL="0" distR="0" simplePos="0" relativeHeight="487504384" behindDoc="1" locked="0" layoutInCell="1" allowOverlap="1" wp14:anchorId="18929B26" wp14:editId="4B56CAAF">
              <wp:simplePos x="0" y="0"/>
              <wp:positionH relativeFrom="page">
                <wp:posOffset>673100</wp:posOffset>
              </wp:positionH>
              <wp:positionV relativeFrom="page">
                <wp:posOffset>442172</wp:posOffset>
              </wp:positionV>
              <wp:extent cx="456628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6285" cy="196215"/>
                      </a:xfrm>
                      <a:prstGeom prst="rect">
                        <a:avLst/>
                      </a:prstGeom>
                    </wps:spPr>
                    <wps:txbx>
                      <w:txbxContent>
                        <w:p w14:paraId="20FE2752" w14:textId="77777777" w:rsidR="00FE3ED7" w:rsidRDefault="00000000">
                          <w:pPr>
                            <w:spacing w:before="12"/>
                            <w:ind w:left="20"/>
                            <w:rPr>
                              <w:b/>
                              <w:i/>
                              <w:sz w:val="24"/>
                            </w:rPr>
                          </w:pPr>
                          <w:r>
                            <w:rPr>
                              <w:b/>
                              <w:i/>
                              <w:sz w:val="24"/>
                            </w:rPr>
                            <w:t>Accelerating</w:t>
                          </w:r>
                          <w:r>
                            <w:rPr>
                              <w:b/>
                              <w:i/>
                              <w:spacing w:val="-8"/>
                              <w:sz w:val="24"/>
                            </w:rPr>
                            <w:t xml:space="preserve"> </w:t>
                          </w:r>
                          <w:r>
                            <w:rPr>
                              <w:b/>
                              <w:i/>
                              <w:sz w:val="24"/>
                            </w:rPr>
                            <w:t>Capital</w:t>
                          </w:r>
                          <w:r>
                            <w:rPr>
                              <w:b/>
                              <w:i/>
                              <w:spacing w:val="-7"/>
                              <w:sz w:val="24"/>
                            </w:rPr>
                            <w:t xml:space="preserve"> </w:t>
                          </w:r>
                          <w:r>
                            <w:rPr>
                              <w:b/>
                              <w:i/>
                              <w:sz w:val="24"/>
                            </w:rPr>
                            <w:t>Investments</w:t>
                          </w:r>
                          <w:r>
                            <w:rPr>
                              <w:b/>
                              <w:i/>
                              <w:spacing w:val="-7"/>
                              <w:sz w:val="24"/>
                            </w:rPr>
                            <w:t xml:space="preserve"> </w:t>
                          </w:r>
                          <w:r>
                            <w:rPr>
                              <w:b/>
                              <w:i/>
                              <w:sz w:val="24"/>
                            </w:rPr>
                            <w:t>with</w:t>
                          </w:r>
                          <w:r>
                            <w:rPr>
                              <w:b/>
                              <w:i/>
                              <w:spacing w:val="-7"/>
                              <w:sz w:val="24"/>
                            </w:rPr>
                            <w:t xml:space="preserve"> </w:t>
                          </w:r>
                          <w:r>
                            <w:rPr>
                              <w:b/>
                              <w:i/>
                              <w:sz w:val="24"/>
                            </w:rPr>
                            <w:t>Pay-As-You-Go</w:t>
                          </w:r>
                          <w:r>
                            <w:rPr>
                              <w:b/>
                              <w:i/>
                              <w:spacing w:val="-7"/>
                              <w:sz w:val="24"/>
                            </w:rPr>
                            <w:t xml:space="preserve"> </w:t>
                          </w:r>
                          <w:r>
                            <w:rPr>
                              <w:b/>
                              <w:i/>
                              <w:spacing w:val="-2"/>
                              <w:sz w:val="24"/>
                            </w:rPr>
                            <w:t>Funding</w:t>
                          </w:r>
                        </w:p>
                      </w:txbxContent>
                    </wps:txbx>
                    <wps:bodyPr wrap="square" lIns="0" tIns="0" rIns="0" bIns="0" rtlCol="0">
                      <a:noAutofit/>
                    </wps:bodyPr>
                  </wps:wsp>
                </a:graphicData>
              </a:graphic>
            </wp:anchor>
          </w:drawing>
        </mc:Choice>
        <mc:Fallback>
          <w:pict>
            <v:shapetype w14:anchorId="18929B26" id="_x0000_t202" coordsize="21600,21600" o:spt="202" path="m,l,21600r21600,l21600,xe">
              <v:stroke joinstyle="miter"/>
              <v:path gradientshapeok="t" o:connecttype="rect"/>
            </v:shapetype>
            <v:shape id="Textbox 6" o:spid="_x0000_s1027" type="#_x0000_t202" style="position:absolute;margin-left:53pt;margin-top:34.8pt;width:359.55pt;height:15.4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" filled="f" stroked="f">
              <v:textbox inset="0,0,0,0">
                <w:txbxContent>
                  <w:p w14:paraId="20FE2752" w14:textId="77777777" w:rsidR="00FE3ED7" w:rsidRDefault="00000000">
                    <w:pPr>
                      <w:spacing w:before="12"/>
                      <w:ind w:left="20"/>
                      <w:rPr>
                        <w:b/>
                        <w:i/>
                        <w:sz w:val="24"/>
                      </w:rPr>
                    </w:pPr>
                    <w:r>
                      <w:rPr>
                        <w:b/>
                        <w:i/>
                        <w:sz w:val="24"/>
                      </w:rPr>
                      <w:t>Accelerating</w:t>
                    </w:r>
                    <w:r>
                      <w:rPr>
                        <w:b/>
                        <w:i/>
                        <w:spacing w:val="-8"/>
                        <w:sz w:val="24"/>
                      </w:rPr>
                      <w:t xml:space="preserve"> </w:t>
                    </w:r>
                    <w:r>
                      <w:rPr>
                        <w:b/>
                        <w:i/>
                        <w:sz w:val="24"/>
                      </w:rPr>
                      <w:t>Capital</w:t>
                    </w:r>
                    <w:r>
                      <w:rPr>
                        <w:b/>
                        <w:i/>
                        <w:spacing w:val="-7"/>
                        <w:sz w:val="24"/>
                      </w:rPr>
                      <w:t xml:space="preserve"> </w:t>
                    </w:r>
                    <w:r>
                      <w:rPr>
                        <w:b/>
                        <w:i/>
                        <w:sz w:val="24"/>
                      </w:rPr>
                      <w:t>Investments</w:t>
                    </w:r>
                    <w:r>
                      <w:rPr>
                        <w:b/>
                        <w:i/>
                        <w:spacing w:val="-7"/>
                        <w:sz w:val="24"/>
                      </w:rPr>
                      <w:t xml:space="preserve"> </w:t>
                    </w:r>
                    <w:r>
                      <w:rPr>
                        <w:b/>
                        <w:i/>
                        <w:sz w:val="24"/>
                      </w:rPr>
                      <w:t>with</w:t>
                    </w:r>
                    <w:r>
                      <w:rPr>
                        <w:b/>
                        <w:i/>
                        <w:spacing w:val="-7"/>
                        <w:sz w:val="24"/>
                      </w:rPr>
                      <w:t xml:space="preserve"> </w:t>
                    </w:r>
                    <w:r>
                      <w:rPr>
                        <w:b/>
                        <w:i/>
                        <w:sz w:val="24"/>
                      </w:rPr>
                      <w:t>Pay-As-You-Go</w:t>
                    </w:r>
                    <w:r>
                      <w:rPr>
                        <w:b/>
                        <w:i/>
                        <w:spacing w:val="-7"/>
                        <w:sz w:val="24"/>
                      </w:rPr>
                      <w:t xml:space="preserve"> </w:t>
                    </w:r>
                    <w:r>
                      <w:rPr>
                        <w:b/>
                        <w:i/>
                        <w:spacing w:val="-2"/>
                        <w:sz w:val="24"/>
                      </w:rPr>
                      <w:t>Funding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3ED7"/>
    <w:rsid w:val="0059618A"/>
    <w:rsid w:val="00DD3D1C"/>
    <w:rsid w:val="00E814DB"/>
    <w:rsid w:val="00FE3E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23944"/>
  <w15:docId w15:val="{AC4541CB-6CD0-4C7D-B4F7-728DF649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530" w:right="987"/>
      <w:outlineLvl w:val="0"/>
    </w:pPr>
    <w:rPr>
      <w:b/>
      <w:bCs/>
      <w:i/>
      <w:iCs/>
      <w:sz w:val="44"/>
      <w:szCs w:val="44"/>
    </w:rPr>
  </w:style>
  <w:style w:type="paragraph" w:styleId="Heading2">
    <w:name w:val="heading 2"/>
    <w:basedOn w:val="Normal"/>
    <w:uiPriority w:val="9"/>
    <w:unhideWhenUsed/>
    <w:qFormat/>
    <w:pPr>
      <w:spacing w:before="1"/>
      <w:ind w:left="1525"/>
      <w:outlineLvl w:val="1"/>
    </w:pPr>
    <w:rPr>
      <w:b/>
      <w:bCs/>
      <w:i/>
      <w:i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 w:line="271" w:lineRule="exact"/>
      <w:jc w:val="right"/>
    </w:pPr>
  </w:style>
  <w:style w:type="paragraph" w:styleId="Header">
    <w:name w:val="header"/>
    <w:basedOn w:val="Normal"/>
    <w:link w:val="HeaderChar"/>
    <w:uiPriority w:val="99"/>
    <w:unhideWhenUsed/>
    <w:rsid w:val="00DD3D1C"/>
    <w:pPr>
      <w:tabs>
        <w:tab w:val="center" w:pos="4680"/>
        <w:tab w:val="right" w:pos="9360"/>
      </w:tabs>
    </w:pPr>
  </w:style>
  <w:style w:type="character" w:customStyle="1" w:styleId="HeaderChar">
    <w:name w:val="Header Char"/>
    <w:basedOn w:val="DefaultParagraphFont"/>
    <w:link w:val="Header"/>
    <w:uiPriority w:val="99"/>
    <w:rsid w:val="00DD3D1C"/>
    <w:rPr>
      <w:rFonts w:ascii="Arial" w:eastAsia="Arial" w:hAnsi="Arial" w:cs="Arial"/>
    </w:rPr>
  </w:style>
  <w:style w:type="paragraph" w:styleId="Footer">
    <w:name w:val="footer"/>
    <w:basedOn w:val="Normal"/>
    <w:link w:val="FooterChar"/>
    <w:uiPriority w:val="99"/>
    <w:unhideWhenUsed/>
    <w:rsid w:val="00DD3D1C"/>
    <w:pPr>
      <w:tabs>
        <w:tab w:val="center" w:pos="4680"/>
        <w:tab w:val="right" w:pos="9360"/>
      </w:tabs>
    </w:pPr>
  </w:style>
  <w:style w:type="character" w:customStyle="1" w:styleId="FooterChar">
    <w:name w:val="Footer Char"/>
    <w:basedOn w:val="DefaultParagraphFont"/>
    <w:link w:val="Footer"/>
    <w:uiPriority w:val="99"/>
    <w:rsid w:val="00DD3D1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6296</Characters>
  <Application>Microsoft Office Word</Application>
  <DocSecurity>0</DocSecurity>
  <Lines>52</Lines>
  <Paragraphs>14</Paragraphs>
  <ScaleCrop>false</ScaleCrop>
  <Company>Commonwealth of Massachusetts</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Czepiel, Christopher (A&amp;F)</dc:creator>
  <dc:description/>
  <cp:lastModifiedBy>Kelly, Lynne (A&amp;F)</cp:lastModifiedBy>
  <cp:revision>2</cp:revision>
  <dcterms:created xsi:type="dcterms:W3CDTF">2026-02-20T17:57:00Z</dcterms:created>
  <dcterms:modified xsi:type="dcterms:W3CDTF">2026-02-20T17:58:00Z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2023-10-18T00:00:00Z</vt:filetime>
  </property>
  <property fmtid="{D5CDD505-2E9C-101B-9397-08002B2CF9AE}" pid="3" name="Creator">
    <vt:lpwstr>Acrobat PDFMaker 23 for Word</vt:lpwstr>
  </property>
  <property fmtid="{D5CDD505-2E9C-101B-9397-08002B2CF9AE}" pid="4" name="LastSaved">
    <vt:filetime>2026-02-20T00:00:00Z</vt:filetime>
  </property>
  <property fmtid="{D5CDD505-2E9C-101B-9397-08002B2CF9AE}" pid="5" name="Producer">
    <vt:lpwstr>Adobe PDF Library 23.6.136</vt:lpwstr>
  </property>
  <property fmtid="{D5CDD505-2E9C-101B-9397-08002B2CF9AE}" pid="6" name="SourceModified">
    <vt:lpwstr/>
  </property>
</Properties>
</file>