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6F7" w:rsidP="0FD79AF7" w:rsidRDefault="00A556F7" w14:paraId="4CC5D3AB" w14:textId="1378963E">
      <w:pPr>
        <w:spacing w:after="0" w:line="257" w:lineRule="auto"/>
        <w:jc w:val="center"/>
        <w:rPr>
          <w:rFonts w:ascii="Times New Roman" w:hAnsi="Times New Roman" w:eastAsia="Times New Roman" w:cs="Times New Roman"/>
          <w:b w:val="1"/>
          <w:bCs w:val="1"/>
          <w:color w:val="000000" w:themeColor="text1"/>
        </w:rPr>
      </w:pPr>
      <w:r w:rsidRPr="0FD79AF7" w:rsidR="00A556F7">
        <w:rPr>
          <w:rFonts w:ascii="Times New Roman" w:hAnsi="Times New Roman" w:eastAsia="Times New Roman" w:cs="Times New Roman"/>
          <w:b w:val="1"/>
          <w:bCs w:val="1"/>
          <w:color w:val="000000" w:themeColor="text1" w:themeTint="FF" w:themeShade="FF"/>
        </w:rPr>
        <w:t xml:space="preserve">Minutes of the Accessible </w:t>
      </w:r>
      <w:r w:rsidRPr="0FD79AF7" w:rsidR="28EDBFE4">
        <w:rPr>
          <w:rFonts w:ascii="Times New Roman" w:hAnsi="Times New Roman" w:eastAsia="Times New Roman" w:cs="Times New Roman"/>
          <w:b w:val="1"/>
          <w:bCs w:val="1"/>
          <w:color w:val="000000" w:themeColor="text1" w:themeTint="FF" w:themeShade="FF"/>
        </w:rPr>
        <w:t xml:space="preserve">Housing </w:t>
      </w:r>
      <w:r w:rsidRPr="0FD79AF7" w:rsidR="00A556F7">
        <w:rPr>
          <w:rFonts w:ascii="Times New Roman" w:hAnsi="Times New Roman" w:eastAsia="Times New Roman" w:cs="Times New Roman"/>
          <w:b w:val="1"/>
          <w:bCs w:val="1"/>
          <w:color w:val="000000" w:themeColor="text1" w:themeTint="FF" w:themeShade="FF"/>
        </w:rPr>
        <w:t>Commission</w:t>
      </w:r>
    </w:p>
    <w:p w:rsidR="00A556F7" w:rsidP="00A556F7" w:rsidRDefault="00A556F7" w14:paraId="5C5616EB" w14:textId="2905A147">
      <w:pPr>
        <w:spacing w:after="0" w:line="257" w:lineRule="auto"/>
        <w:jc w:val="center"/>
        <w:rPr>
          <w:rFonts w:ascii="Times New Roman" w:hAnsi="Times New Roman" w:eastAsia="Times New Roman" w:cs="Times New Roman"/>
          <w:color w:val="000000" w:themeColor="text1"/>
        </w:rPr>
      </w:pPr>
      <w:r w:rsidRPr="1E63CD2E">
        <w:rPr>
          <w:rFonts w:ascii="Times New Roman" w:hAnsi="Times New Roman" w:eastAsia="Times New Roman" w:cs="Times New Roman"/>
          <w:color w:val="000000" w:themeColor="text1"/>
        </w:rPr>
        <w:t xml:space="preserve">Date: </w:t>
      </w:r>
      <w:r w:rsidRPr="1E63CD2E" w:rsidR="6B430B4E">
        <w:rPr>
          <w:rFonts w:ascii="Times New Roman" w:hAnsi="Times New Roman" w:eastAsia="Times New Roman" w:cs="Times New Roman"/>
          <w:color w:val="000000" w:themeColor="text1"/>
        </w:rPr>
        <w:t xml:space="preserve">November </w:t>
      </w:r>
      <w:r w:rsidRPr="1BCD3447" w:rsidR="6B430B4E">
        <w:rPr>
          <w:rFonts w:ascii="Times New Roman" w:hAnsi="Times New Roman" w:eastAsia="Times New Roman" w:cs="Times New Roman"/>
          <w:color w:val="000000" w:themeColor="text1"/>
        </w:rPr>
        <w:t>13, 2025</w:t>
      </w:r>
    </w:p>
    <w:p w:rsidR="00A556F7" w:rsidP="00A556F7" w:rsidRDefault="00A556F7" w14:paraId="6DBA205E" w14:textId="77777777">
      <w:pPr>
        <w:spacing w:after="0" w:line="257" w:lineRule="auto"/>
        <w:jc w:val="center"/>
        <w:rPr>
          <w:rFonts w:ascii="Times New Roman" w:hAnsi="Times New Roman" w:eastAsia="Times New Roman" w:cs="Times New Roman"/>
          <w:color w:val="000000" w:themeColor="text1"/>
        </w:rPr>
      </w:pPr>
      <w:r w:rsidRPr="04A2818D">
        <w:rPr>
          <w:rFonts w:ascii="Times New Roman" w:hAnsi="Times New Roman" w:eastAsia="Times New Roman" w:cs="Times New Roman"/>
          <w:color w:val="000000" w:themeColor="text1"/>
        </w:rPr>
        <w:t>10:00-11:00 AM</w:t>
      </w:r>
    </w:p>
    <w:p w:rsidR="00A556F7" w:rsidP="00A556F7" w:rsidRDefault="00A556F7" w14:paraId="18789EAD" w14:textId="77777777">
      <w:pPr>
        <w:spacing w:after="0" w:line="257" w:lineRule="auto"/>
        <w:jc w:val="center"/>
        <w:rPr>
          <w:rFonts w:ascii="Times New Roman" w:hAnsi="Times New Roman" w:eastAsia="Times New Roman" w:cs="Times New Roman"/>
          <w:color w:val="000000" w:themeColor="text1"/>
        </w:rPr>
      </w:pPr>
      <w:r w:rsidRPr="04A2818D">
        <w:rPr>
          <w:rFonts w:ascii="Times New Roman" w:hAnsi="Times New Roman" w:eastAsia="Times New Roman" w:cs="Times New Roman"/>
          <w:color w:val="000000" w:themeColor="text1"/>
        </w:rPr>
        <w:t>100 Cambridge St, Boston, MA, 02114</w:t>
      </w:r>
    </w:p>
    <w:p w:rsidR="00A556F7" w:rsidP="00A556F7" w:rsidRDefault="00A556F7" w14:paraId="666C154F" w14:textId="77777777">
      <w:pPr>
        <w:spacing w:after="0" w:line="257" w:lineRule="auto"/>
        <w:rPr>
          <w:rFonts w:ascii="Times New Roman" w:hAnsi="Times New Roman" w:eastAsia="Times New Roman" w:cs="Times New Roman"/>
          <w:color w:val="000000" w:themeColor="text1"/>
        </w:rPr>
      </w:pPr>
      <w:r w:rsidRPr="04A2818D">
        <w:rPr>
          <w:rFonts w:ascii="Times New Roman" w:hAnsi="Times New Roman" w:eastAsia="Times New Roman" w:cs="Times New Roman"/>
          <w:i/>
          <w:iCs/>
          <w:color w:val="000000" w:themeColor="text1"/>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80"/>
        <w:gridCol w:w="4680"/>
      </w:tblGrid>
      <w:tr w:rsidR="00A556F7" w:rsidTr="00412F2F" w14:paraId="702209FB" w14:textId="77777777">
        <w:trPr>
          <w:trHeight w:val="300"/>
        </w:trPr>
        <w:tc>
          <w:tcPr>
            <w:tcW w:w="4680" w:type="dxa"/>
            <w:tcBorders>
              <w:top w:val="nil"/>
              <w:left w:val="nil"/>
              <w:bottom w:val="nil"/>
              <w:right w:val="nil"/>
            </w:tcBorders>
            <w:tcMar>
              <w:left w:w="105" w:type="dxa"/>
              <w:right w:w="105" w:type="dxa"/>
            </w:tcMar>
          </w:tcPr>
          <w:p w:rsidR="00A556F7" w:rsidP="00412F2F" w:rsidRDefault="00A556F7" w14:paraId="5B7A55F5" w14:textId="77777777">
            <w:pPr>
              <w:rPr>
                <w:rFonts w:ascii="Times New Roman" w:hAnsi="Times New Roman" w:eastAsia="Times New Roman" w:cs="Times New Roman"/>
                <w:b/>
                <w:bCs/>
                <w:u w:val="single"/>
              </w:rPr>
            </w:pPr>
            <w:r w:rsidRPr="46350D0A">
              <w:rPr>
                <w:rFonts w:ascii="Times New Roman" w:hAnsi="Times New Roman" w:eastAsia="Times New Roman" w:cs="Times New Roman"/>
                <w:b/>
                <w:bCs/>
                <w:u w:val="single"/>
              </w:rPr>
              <w:t>Members Present</w:t>
            </w:r>
          </w:p>
          <w:p w:rsidR="00A556F7" w:rsidP="00412F2F" w:rsidRDefault="00F15CB8" w14:paraId="7F40852C" w14:textId="0CD1AF10">
            <w:pPr>
              <w:rPr>
                <w:rFonts w:ascii="Times New Roman" w:hAnsi="Times New Roman" w:eastAsia="Times New Roman" w:cs="Times New Roman"/>
              </w:rPr>
            </w:pPr>
            <w:r>
              <w:rPr>
                <w:rFonts w:ascii="Times New Roman" w:hAnsi="Times New Roman" w:eastAsia="Times New Roman" w:cs="Times New Roman"/>
              </w:rPr>
              <w:t>Designee Eric Shupin</w:t>
            </w:r>
          </w:p>
          <w:p w:rsidR="00A556F7" w:rsidP="00412F2F" w:rsidRDefault="00A556F7" w14:paraId="456DDC2D" w14:textId="77777777">
            <w:pPr>
              <w:rPr>
                <w:rFonts w:ascii="Times New Roman" w:hAnsi="Times New Roman" w:eastAsia="Times New Roman" w:cs="Times New Roman"/>
              </w:rPr>
            </w:pPr>
            <w:r w:rsidRPr="04A2818D">
              <w:rPr>
                <w:rFonts w:ascii="Times New Roman" w:hAnsi="Times New Roman" w:eastAsia="Times New Roman" w:cs="Times New Roman"/>
              </w:rPr>
              <w:t>William Joyce</w:t>
            </w:r>
          </w:p>
          <w:p w:rsidR="00F15CB8" w:rsidP="00F15CB8" w:rsidRDefault="00F15CB8" w14:paraId="7537EAD0" w14:textId="77777777">
            <w:pPr>
              <w:rPr>
                <w:rFonts w:ascii="Times New Roman" w:hAnsi="Times New Roman" w:eastAsia="Times New Roman" w:cs="Times New Roman"/>
              </w:rPr>
            </w:pPr>
            <w:r w:rsidRPr="04A2818D">
              <w:rPr>
                <w:rFonts w:ascii="Times New Roman" w:hAnsi="Times New Roman" w:eastAsia="Times New Roman" w:cs="Times New Roman"/>
              </w:rPr>
              <w:t>Catherine Boyle (remote)</w:t>
            </w:r>
          </w:p>
          <w:p w:rsidR="00F15CB8" w:rsidP="00F15CB8" w:rsidRDefault="00F15CB8" w14:paraId="10EABD0A" w14:textId="77777777">
            <w:pPr>
              <w:rPr>
                <w:rFonts w:ascii="Times New Roman" w:hAnsi="Times New Roman" w:eastAsia="Times New Roman" w:cs="Times New Roman"/>
              </w:rPr>
            </w:pPr>
            <w:r w:rsidRPr="04A2818D">
              <w:rPr>
                <w:rFonts w:ascii="Times New Roman" w:hAnsi="Times New Roman" w:eastAsia="Times New Roman" w:cs="Times New Roman"/>
              </w:rPr>
              <w:t>Matthew Steele (remote)</w:t>
            </w:r>
          </w:p>
          <w:p w:rsidR="00F15CB8" w:rsidP="00F15CB8" w:rsidRDefault="00F15CB8" w14:paraId="0AABB7DF" w14:textId="0364C848">
            <w:pPr>
              <w:rPr>
                <w:rFonts w:ascii="Times New Roman" w:hAnsi="Times New Roman" w:eastAsia="Times New Roman" w:cs="Times New Roman"/>
              </w:rPr>
            </w:pPr>
            <w:r w:rsidRPr="04A2818D">
              <w:rPr>
                <w:rFonts w:ascii="Times New Roman" w:hAnsi="Times New Roman" w:eastAsia="Times New Roman" w:cs="Times New Roman"/>
              </w:rPr>
              <w:t>David Gillespie</w:t>
            </w:r>
            <w:r w:rsidR="0023057B">
              <w:rPr>
                <w:rFonts w:ascii="Times New Roman" w:hAnsi="Times New Roman" w:eastAsia="Times New Roman" w:cs="Times New Roman"/>
              </w:rPr>
              <w:t xml:space="preserve"> (remote)</w:t>
            </w:r>
          </w:p>
          <w:p w:rsidR="00263DF7" w:rsidP="00263DF7" w:rsidRDefault="00263DF7" w14:paraId="728943E0" w14:textId="77777777">
            <w:pPr>
              <w:rPr>
                <w:rFonts w:ascii="Times New Roman" w:hAnsi="Times New Roman" w:eastAsia="Times New Roman" w:cs="Times New Roman"/>
              </w:rPr>
            </w:pPr>
            <w:r w:rsidRPr="04A2818D">
              <w:rPr>
                <w:rFonts w:ascii="Times New Roman" w:hAnsi="Times New Roman" w:eastAsia="Times New Roman" w:cs="Times New Roman"/>
              </w:rPr>
              <w:t>Michael Muehe (remote)</w:t>
            </w:r>
          </w:p>
          <w:p w:rsidR="00A556F7" w:rsidP="00412F2F" w:rsidRDefault="00A556F7" w14:paraId="22A48550" w14:textId="77777777">
            <w:pPr>
              <w:rPr>
                <w:rFonts w:ascii="Times New Roman" w:hAnsi="Times New Roman" w:eastAsia="Times New Roman" w:cs="Times New Roman"/>
              </w:rPr>
            </w:pPr>
          </w:p>
        </w:tc>
        <w:tc>
          <w:tcPr>
            <w:tcW w:w="4680" w:type="dxa"/>
            <w:tcBorders>
              <w:top w:val="nil"/>
              <w:left w:val="nil"/>
              <w:bottom w:val="nil"/>
              <w:right w:val="nil"/>
            </w:tcBorders>
            <w:tcMar>
              <w:left w:w="105" w:type="dxa"/>
              <w:right w:w="105" w:type="dxa"/>
            </w:tcMar>
          </w:tcPr>
          <w:p w:rsidR="00A556F7" w:rsidP="00412F2F" w:rsidRDefault="00A556F7" w14:paraId="1C9B152C" w14:textId="77777777">
            <w:pPr>
              <w:rPr>
                <w:rFonts w:ascii="Times New Roman" w:hAnsi="Times New Roman" w:eastAsia="Times New Roman" w:cs="Times New Roman"/>
                <w:b/>
                <w:bCs/>
                <w:u w:val="single"/>
              </w:rPr>
            </w:pPr>
            <w:r w:rsidRPr="04A2818D">
              <w:rPr>
                <w:rFonts w:ascii="Times New Roman" w:hAnsi="Times New Roman" w:eastAsia="Times New Roman" w:cs="Times New Roman"/>
                <w:b/>
                <w:bCs/>
                <w:u w:val="single"/>
              </w:rPr>
              <w:t>Members Not Present</w:t>
            </w:r>
          </w:p>
          <w:p w:rsidR="00A556F7" w:rsidP="00412F2F" w:rsidRDefault="00A556F7" w14:paraId="0487FAED" w14:textId="2E77A96A">
            <w:pPr>
              <w:rPr>
                <w:rFonts w:ascii="Times New Roman" w:hAnsi="Times New Roman" w:eastAsia="Times New Roman" w:cs="Times New Roman"/>
              </w:rPr>
            </w:pPr>
            <w:r w:rsidRPr="04A2818D">
              <w:rPr>
                <w:rFonts w:ascii="Times New Roman" w:hAnsi="Times New Roman" w:eastAsia="Times New Roman" w:cs="Times New Roman"/>
              </w:rPr>
              <w:t xml:space="preserve">Rep. </w:t>
            </w:r>
            <w:r w:rsidR="00EB3C40">
              <w:rPr>
                <w:rFonts w:ascii="Times New Roman" w:hAnsi="Times New Roman" w:eastAsia="Times New Roman" w:cs="Times New Roman"/>
              </w:rPr>
              <w:t xml:space="preserve">Richard </w:t>
            </w:r>
            <w:r w:rsidRPr="04A2818D">
              <w:rPr>
                <w:rFonts w:ascii="Times New Roman" w:hAnsi="Times New Roman" w:eastAsia="Times New Roman" w:cs="Times New Roman"/>
              </w:rPr>
              <w:t>Haggerty</w:t>
            </w:r>
          </w:p>
          <w:p w:rsidR="00A556F7" w:rsidP="00412F2F" w:rsidRDefault="00A556F7" w14:paraId="6FB20394" w14:textId="453FECDF">
            <w:pPr>
              <w:rPr>
                <w:rFonts w:ascii="Times New Roman" w:hAnsi="Times New Roman" w:eastAsia="Times New Roman" w:cs="Times New Roman"/>
              </w:rPr>
            </w:pPr>
            <w:r w:rsidRPr="46350D0A">
              <w:rPr>
                <w:rFonts w:ascii="Times New Roman" w:hAnsi="Times New Roman" w:eastAsia="Times New Roman" w:cs="Times New Roman"/>
              </w:rPr>
              <w:t xml:space="preserve">Sen. </w:t>
            </w:r>
            <w:r w:rsidR="0023057B">
              <w:rPr>
                <w:rFonts w:ascii="Times New Roman" w:hAnsi="Times New Roman" w:eastAsia="Times New Roman" w:cs="Times New Roman"/>
              </w:rPr>
              <w:t xml:space="preserve">Julian </w:t>
            </w:r>
            <w:r w:rsidRPr="46350D0A">
              <w:rPr>
                <w:rFonts w:ascii="Times New Roman" w:hAnsi="Times New Roman" w:eastAsia="Times New Roman" w:cs="Times New Roman"/>
              </w:rPr>
              <w:t>Cyr</w:t>
            </w:r>
          </w:p>
          <w:p w:rsidR="00F15CB8" w:rsidP="00F15CB8" w:rsidRDefault="00F15CB8" w14:paraId="0F16F49E" w14:textId="77777777">
            <w:pPr>
              <w:rPr>
                <w:rFonts w:ascii="Times New Roman" w:hAnsi="Times New Roman" w:eastAsia="Times New Roman" w:cs="Times New Roman"/>
              </w:rPr>
            </w:pPr>
            <w:r w:rsidRPr="04A2818D">
              <w:rPr>
                <w:rFonts w:ascii="Times New Roman" w:hAnsi="Times New Roman" w:eastAsia="Times New Roman" w:cs="Times New Roman"/>
              </w:rPr>
              <w:t>Allan Motenko</w:t>
            </w:r>
          </w:p>
          <w:p w:rsidR="00F15CB8" w:rsidP="00F15CB8" w:rsidRDefault="00F15CB8" w14:paraId="7EB2FB81" w14:textId="77777777">
            <w:pPr>
              <w:rPr>
                <w:rFonts w:ascii="Times New Roman" w:hAnsi="Times New Roman" w:eastAsia="Times New Roman" w:cs="Times New Roman"/>
              </w:rPr>
            </w:pPr>
            <w:r w:rsidRPr="04A2818D">
              <w:rPr>
                <w:rFonts w:ascii="Times New Roman" w:hAnsi="Times New Roman" w:eastAsia="Times New Roman" w:cs="Times New Roman"/>
              </w:rPr>
              <w:t xml:space="preserve">Valerie Fletcher (remote) </w:t>
            </w:r>
          </w:p>
          <w:p w:rsidR="00A556F7" w:rsidP="00412F2F" w:rsidRDefault="00F15CB8" w14:paraId="00B1CAFA" w14:textId="7B9E5F29">
            <w:pPr>
              <w:rPr>
                <w:rFonts w:ascii="Times New Roman" w:hAnsi="Times New Roman" w:eastAsia="Times New Roman" w:cs="Times New Roman"/>
              </w:rPr>
            </w:pPr>
            <w:r w:rsidRPr="04A2818D">
              <w:rPr>
                <w:rFonts w:ascii="Times New Roman" w:hAnsi="Times New Roman" w:eastAsia="Times New Roman" w:cs="Times New Roman"/>
              </w:rPr>
              <w:t>Danna Mauch</w:t>
            </w:r>
          </w:p>
          <w:p w:rsidR="00A556F7" w:rsidP="00412F2F" w:rsidRDefault="00A556F7" w14:paraId="3FC47DFC" w14:textId="77777777">
            <w:pPr>
              <w:rPr>
                <w:rFonts w:ascii="Times New Roman" w:hAnsi="Times New Roman" w:eastAsia="Times New Roman" w:cs="Times New Roman"/>
              </w:rPr>
            </w:pPr>
          </w:p>
        </w:tc>
      </w:tr>
      <w:tr w:rsidR="00A556F7" w:rsidTr="00412F2F" w14:paraId="51D295D3" w14:textId="77777777">
        <w:trPr>
          <w:trHeight w:val="300"/>
        </w:trPr>
        <w:tc>
          <w:tcPr>
            <w:tcW w:w="4680" w:type="dxa"/>
            <w:tcBorders>
              <w:top w:val="nil"/>
              <w:left w:val="nil"/>
              <w:bottom w:val="nil"/>
              <w:right w:val="nil"/>
            </w:tcBorders>
            <w:tcMar>
              <w:left w:w="105" w:type="dxa"/>
              <w:right w:w="105" w:type="dxa"/>
            </w:tcMar>
          </w:tcPr>
          <w:p w:rsidR="00A556F7" w:rsidP="00412F2F" w:rsidRDefault="00A556F7" w14:paraId="64E5DAE4" w14:textId="77777777">
            <w:pPr>
              <w:rPr>
                <w:rFonts w:ascii="Times New Roman" w:hAnsi="Times New Roman" w:eastAsia="Times New Roman" w:cs="Times New Roman"/>
                <w:b/>
                <w:bCs/>
                <w:u w:val="single"/>
              </w:rPr>
            </w:pPr>
            <w:r w:rsidRPr="04A2818D">
              <w:rPr>
                <w:rFonts w:ascii="Times New Roman" w:hAnsi="Times New Roman" w:eastAsia="Times New Roman" w:cs="Times New Roman"/>
                <w:b/>
                <w:bCs/>
                <w:u w:val="single"/>
              </w:rPr>
              <w:t>EOHLC Staff</w:t>
            </w:r>
          </w:p>
          <w:p w:rsidR="00A556F7" w:rsidP="00412F2F" w:rsidRDefault="00A556F7" w14:paraId="610B4EA4" w14:textId="77777777">
            <w:pPr>
              <w:rPr>
                <w:rFonts w:ascii="Times New Roman" w:hAnsi="Times New Roman" w:eastAsia="Times New Roman" w:cs="Times New Roman"/>
              </w:rPr>
            </w:pPr>
            <w:r w:rsidRPr="04A2818D">
              <w:rPr>
                <w:rFonts w:ascii="Times New Roman" w:hAnsi="Times New Roman" w:eastAsia="Times New Roman" w:cs="Times New Roman"/>
              </w:rPr>
              <w:t>Jack Burke</w:t>
            </w:r>
          </w:p>
          <w:p w:rsidR="00A556F7" w:rsidP="00412F2F" w:rsidRDefault="00A556F7" w14:paraId="09D4E66A" w14:textId="77777777">
            <w:pPr>
              <w:rPr>
                <w:rFonts w:ascii="Times New Roman" w:hAnsi="Times New Roman" w:eastAsia="Times New Roman" w:cs="Times New Roman"/>
              </w:rPr>
            </w:pPr>
            <w:r w:rsidRPr="04A2818D">
              <w:rPr>
                <w:rFonts w:ascii="Times New Roman" w:hAnsi="Times New Roman" w:eastAsia="Times New Roman" w:cs="Times New Roman"/>
              </w:rPr>
              <w:t>Matthew Walsh</w:t>
            </w:r>
          </w:p>
          <w:p w:rsidR="00A556F7" w:rsidP="00412F2F" w:rsidRDefault="00A556F7" w14:paraId="47981526" w14:textId="77777777">
            <w:pPr>
              <w:rPr>
                <w:rFonts w:ascii="Times New Roman" w:hAnsi="Times New Roman" w:eastAsia="Times New Roman" w:cs="Times New Roman"/>
              </w:rPr>
            </w:pPr>
            <w:r w:rsidRPr="04A2818D">
              <w:rPr>
                <w:rFonts w:ascii="Times New Roman" w:hAnsi="Times New Roman" w:eastAsia="Times New Roman" w:cs="Times New Roman"/>
              </w:rPr>
              <w:t>Philip Dearing</w:t>
            </w:r>
          </w:p>
          <w:p w:rsidR="00A556F7" w:rsidP="00412F2F" w:rsidRDefault="00A556F7" w14:paraId="307025D4" w14:textId="77777777">
            <w:pPr>
              <w:rPr>
                <w:rFonts w:ascii="Times New Roman" w:hAnsi="Times New Roman" w:eastAsia="Times New Roman" w:cs="Times New Roman"/>
              </w:rPr>
            </w:pPr>
            <w:r w:rsidRPr="04A2818D">
              <w:rPr>
                <w:rFonts w:ascii="Times New Roman" w:hAnsi="Times New Roman" w:eastAsia="Times New Roman" w:cs="Times New Roman"/>
              </w:rPr>
              <w:t>Will MacArthur</w:t>
            </w:r>
          </w:p>
          <w:p w:rsidR="00A556F7" w:rsidP="00412F2F" w:rsidRDefault="00A556F7" w14:paraId="5967F361" w14:textId="77777777">
            <w:pPr>
              <w:rPr>
                <w:rFonts w:ascii="Times New Roman" w:hAnsi="Times New Roman" w:eastAsia="Times New Roman" w:cs="Times New Roman"/>
              </w:rPr>
            </w:pPr>
          </w:p>
        </w:tc>
        <w:tc>
          <w:tcPr>
            <w:tcW w:w="4680" w:type="dxa"/>
            <w:tcBorders>
              <w:top w:val="nil"/>
              <w:left w:val="nil"/>
              <w:bottom w:val="nil"/>
              <w:right w:val="nil"/>
            </w:tcBorders>
            <w:tcMar>
              <w:left w:w="105" w:type="dxa"/>
              <w:right w:w="105" w:type="dxa"/>
            </w:tcMar>
          </w:tcPr>
          <w:p w:rsidR="00A556F7" w:rsidP="00412F2F" w:rsidRDefault="00A556F7" w14:paraId="03F0C761" w14:textId="77777777">
            <w:pPr>
              <w:rPr>
                <w:rFonts w:ascii="Times New Roman" w:hAnsi="Times New Roman" w:eastAsia="Times New Roman" w:cs="Times New Roman"/>
                <w:b/>
                <w:bCs/>
                <w:u w:val="single"/>
              </w:rPr>
            </w:pPr>
            <w:r w:rsidRPr="46350D0A">
              <w:rPr>
                <w:rFonts w:ascii="Times New Roman" w:hAnsi="Times New Roman" w:eastAsia="Times New Roman" w:cs="Times New Roman"/>
                <w:b/>
                <w:bCs/>
                <w:u w:val="single"/>
              </w:rPr>
              <w:t>Others Present</w:t>
            </w:r>
          </w:p>
          <w:p w:rsidR="00A556F7" w:rsidP="00412F2F" w:rsidRDefault="001B66FF" w14:paraId="471D805F" w14:textId="1481CCF6">
            <w:pPr>
              <w:rPr>
                <w:rFonts w:ascii="Times New Roman" w:hAnsi="Times New Roman" w:eastAsia="Times New Roman" w:cs="Times New Roman"/>
              </w:rPr>
            </w:pPr>
            <w:r>
              <w:rPr>
                <w:rFonts w:ascii="Times New Roman" w:hAnsi="Times New Roman" w:eastAsia="Times New Roman" w:cs="Times New Roman"/>
              </w:rPr>
              <w:t>Meg Ribera</w:t>
            </w:r>
          </w:p>
        </w:tc>
      </w:tr>
    </w:tbl>
    <w:p w:rsidR="00A556F7" w:rsidP="00A556F7" w:rsidRDefault="00A556F7" w14:paraId="16CAAD46" w14:textId="77777777">
      <w:pPr>
        <w:spacing w:after="0" w:line="259" w:lineRule="auto"/>
        <w:rPr>
          <w:rFonts w:ascii="Times New Roman" w:hAnsi="Times New Roman" w:eastAsia="Times New Roman" w:cs="Times New Roman"/>
          <w:color w:val="000000" w:themeColor="text1"/>
        </w:rPr>
      </w:pPr>
    </w:p>
    <w:p w:rsidR="00A556F7" w:rsidP="00A556F7" w:rsidRDefault="00A556F7" w14:paraId="7866264D" w14:textId="77777777">
      <w:pPr>
        <w:spacing w:after="0" w:line="259" w:lineRule="auto"/>
        <w:rPr>
          <w:rFonts w:ascii="Times New Roman" w:hAnsi="Times New Roman" w:eastAsia="Times New Roman" w:cs="Times New Roman"/>
          <w:color w:val="000000" w:themeColor="text1"/>
        </w:rPr>
      </w:pPr>
      <w:r w:rsidRPr="04A2818D">
        <w:rPr>
          <w:rFonts w:ascii="Times New Roman" w:hAnsi="Times New Roman" w:eastAsia="Times New Roman" w:cs="Times New Roman"/>
          <w:b/>
          <w:bCs/>
          <w:color w:val="000000" w:themeColor="text1"/>
          <w:u w:val="single"/>
        </w:rPr>
        <w:t xml:space="preserve">Call to Order </w:t>
      </w:r>
    </w:p>
    <w:p w:rsidR="00A556F7" w:rsidP="00A556F7" w:rsidRDefault="00A556F7" w14:paraId="01D849F1" w14:textId="77777777">
      <w:pPr>
        <w:spacing w:after="0" w:line="259" w:lineRule="auto"/>
        <w:rPr>
          <w:rFonts w:ascii="Times New Roman" w:hAnsi="Times New Roman" w:eastAsia="Times New Roman" w:cs="Times New Roman"/>
          <w:color w:val="000000" w:themeColor="text1"/>
        </w:rPr>
      </w:pPr>
    </w:p>
    <w:p w:rsidR="00A556F7" w:rsidP="00A556F7" w:rsidRDefault="00FD54FE" w14:paraId="541E49DA" w14:textId="1B00426E">
      <w:pPr>
        <w:spacing w:after="0" w:line="259"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Chair </w:t>
      </w:r>
      <w:r w:rsidR="00F676E5">
        <w:rPr>
          <w:rFonts w:ascii="Times New Roman" w:hAnsi="Times New Roman" w:eastAsia="Times New Roman" w:cs="Times New Roman"/>
          <w:color w:val="000000" w:themeColor="text1"/>
        </w:rPr>
        <w:t>Designee Shupin noted at 10:06 that a quorum of six was present, and called the meeting to order. Matthew Walsh called the rol</w:t>
      </w:r>
      <w:r w:rsidR="00EB3C40">
        <w:rPr>
          <w:rFonts w:ascii="Times New Roman" w:hAnsi="Times New Roman" w:eastAsia="Times New Roman" w:cs="Times New Roman"/>
          <w:color w:val="000000" w:themeColor="text1"/>
        </w:rPr>
        <w:t>l.</w:t>
      </w:r>
      <w:r w:rsidR="00794D03">
        <w:rPr>
          <w:rFonts w:ascii="Times New Roman" w:hAnsi="Times New Roman" w:eastAsia="Times New Roman" w:cs="Times New Roman"/>
          <w:color w:val="000000" w:themeColor="text1"/>
        </w:rPr>
        <w:t xml:space="preserve"> An amendment to the previous meeting’s minutes was </w:t>
      </w:r>
      <w:r>
        <w:rPr>
          <w:rFonts w:ascii="Times New Roman" w:hAnsi="Times New Roman" w:eastAsia="Times New Roman" w:cs="Times New Roman"/>
          <w:color w:val="000000" w:themeColor="text1"/>
        </w:rPr>
        <w:t>entertained and the minutes were adopted as amended, with an abstention from David Gillespie.</w:t>
      </w:r>
    </w:p>
    <w:p w:rsidR="00FD54FE" w:rsidP="00A556F7" w:rsidRDefault="00FD54FE" w14:paraId="6EA9F9CD" w14:textId="77777777">
      <w:pPr>
        <w:spacing w:after="0" w:line="259" w:lineRule="auto"/>
        <w:rPr>
          <w:rFonts w:ascii="Times New Roman" w:hAnsi="Times New Roman" w:eastAsia="Times New Roman" w:cs="Times New Roman"/>
          <w:color w:val="000000" w:themeColor="text1"/>
        </w:rPr>
      </w:pPr>
    </w:p>
    <w:p w:rsidR="00FD54FE" w:rsidP="00A556F7" w:rsidRDefault="00FD54FE" w14:paraId="1EBED64E" w14:textId="4C65A10C">
      <w:pPr>
        <w:spacing w:after="0" w:line="259"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Chair Shupin described the purpose of the meeting </w:t>
      </w:r>
      <w:r w:rsidR="0070503D">
        <w:rPr>
          <w:rFonts w:ascii="Times New Roman" w:hAnsi="Times New Roman" w:eastAsia="Times New Roman" w:cs="Times New Roman"/>
          <w:color w:val="000000" w:themeColor="text1"/>
        </w:rPr>
        <w:t>as discussion of ongoing draft recommendations and turned the conversation over to Philip Dearing. Dearing noted that the written report sought to synthesize recommendations from across the working group into sixteen recommendations in the report. Chair Shupin asked the group to jump in with comments as Dearing reviewed each recommendation.</w:t>
      </w:r>
    </w:p>
    <w:p w:rsidR="00F15CB8" w:rsidP="00A556F7" w:rsidRDefault="00F15CB8" w14:paraId="4B6D3A08" w14:textId="77777777">
      <w:pPr>
        <w:spacing w:after="0" w:line="259" w:lineRule="auto"/>
        <w:rPr>
          <w:rFonts w:ascii="Times New Roman" w:hAnsi="Times New Roman" w:eastAsia="Times New Roman" w:cs="Times New Roman"/>
          <w:color w:val="000000" w:themeColor="text1"/>
        </w:rPr>
      </w:pPr>
    </w:p>
    <w:p w:rsidR="00981DEF" w:rsidP="0FD79AF7" w:rsidRDefault="00981DEF" w14:paraId="42B260E5" w14:textId="493D5BA3">
      <w:pPr>
        <w:spacing w:after="0" w:line="259" w:lineRule="auto"/>
        <w:rPr>
          <w:rFonts w:ascii="Times New Roman" w:hAnsi="Times New Roman" w:eastAsia="Times New Roman" w:cs="Times New Roman"/>
          <w:b w:val="1"/>
          <w:bCs w:val="1"/>
          <w:color w:val="000000" w:themeColor="text1" w:themeTint="FF" w:themeShade="FF"/>
          <w:u w:val="single"/>
        </w:rPr>
      </w:pPr>
      <w:r w:rsidRPr="0FD79AF7" w:rsidR="0070503D">
        <w:rPr>
          <w:rFonts w:ascii="Times New Roman" w:hAnsi="Times New Roman" w:eastAsia="Times New Roman" w:cs="Times New Roman"/>
          <w:b w:val="1"/>
          <w:bCs w:val="1"/>
          <w:color w:val="000000" w:themeColor="text1" w:themeTint="FF" w:themeShade="FF"/>
          <w:u w:val="single"/>
        </w:rPr>
        <w:t>Overview of Recommendations for Production</w:t>
      </w:r>
    </w:p>
    <w:p w:rsidR="0070503D" w:rsidRDefault="0070503D" w14:paraId="093CDDEE" w14:textId="7167C627">
      <w:pPr>
        <w:rPr>
          <w:rFonts w:ascii="Times New Roman" w:hAnsi="Times New Roman" w:eastAsia="Times New Roman" w:cs="Times New Roman"/>
        </w:rPr>
      </w:pPr>
      <w:r>
        <w:rPr>
          <w:rFonts w:ascii="Times New Roman" w:hAnsi="Times New Roman" w:eastAsia="Times New Roman" w:cs="Times New Roman"/>
        </w:rPr>
        <w:t>Dearing provided an overview of recommendation 1.1, to require 10% accessibility in new construction funded by the Massachusetts Affordable Housing Trust Fund and solicited feedback. David Gillespie shared that while he does not work with the AHTF, he would like to run this recommendation by industry colleagues who do. He intends to conduct outreach and compile comments from the industry. Matthew Steele met with Aaron Gornstein of POAH, who Steele reported had pointed out that the AHTF is one of many sources that developers pull from, and there was a question of whether to broaden this recommendation to include other funding sources, including those covered by the Qualified Allocation Plan. Steele has advocated in the past for additional points in the QAP, and other sources include the Housing Innovation Fund and the Housing Stabilization Fund. Steele shared his perspective that it may be more straightforward to establish a consistent goal across all programs and funding sources</w:t>
      </w:r>
      <w:r w:rsidR="0023200D">
        <w:rPr>
          <w:rFonts w:ascii="Times New Roman" w:hAnsi="Times New Roman" w:eastAsia="Times New Roman" w:cs="Times New Roman"/>
        </w:rPr>
        <w:t>. Chair Shupin thanked Steele for his comments and expressed an intent to explore ways to incorporate this recommendation into the language.</w:t>
      </w:r>
      <w:r w:rsidR="007142AA">
        <w:rPr>
          <w:rFonts w:ascii="Times New Roman" w:hAnsi="Times New Roman" w:eastAsia="Times New Roman" w:cs="Times New Roman"/>
        </w:rPr>
        <w:t xml:space="preserve"> Catherine Boyle raised an idea from the subcommittee meeting which is not reflected in the recommendations, which is the Facilities Consolidation Fund. FCF funds are limited to people who need institutional levels of care, while CDH excludes DDS and DMH clients. People who are DDS and DMH clients who do not need institutional levels of care are not covered by either </w:t>
      </w:r>
      <w:r w:rsidR="00431A6E">
        <w:rPr>
          <w:rFonts w:ascii="Times New Roman" w:hAnsi="Times New Roman" w:eastAsia="Times New Roman" w:cs="Times New Roman"/>
        </w:rPr>
        <w:t xml:space="preserve">program. Since the autism omnibus bill passed in 2014, DDS has been responsible for the well-being of people with autism who do not require institutional levels of care. Chair Shupin </w:t>
      </w:r>
      <w:r w:rsidR="004223AB">
        <w:rPr>
          <w:rFonts w:ascii="Times New Roman" w:hAnsi="Times New Roman" w:eastAsia="Times New Roman" w:cs="Times New Roman"/>
        </w:rPr>
        <w:t>asked a clarifying question of whether the recommendation is to expand FCF to cover these additional clients, and Boyle said yes. Boyle will email HLC staff more details on this recommendation.</w:t>
      </w:r>
    </w:p>
    <w:p w:rsidR="006C0881" w:rsidRDefault="004223AB" w14:paraId="5F7D7137" w14:textId="77777777">
      <w:pPr>
        <w:rPr>
          <w:rFonts w:ascii="Times New Roman" w:hAnsi="Times New Roman" w:eastAsia="Times New Roman" w:cs="Times New Roman"/>
        </w:rPr>
      </w:pPr>
      <w:r>
        <w:rPr>
          <w:rFonts w:ascii="Times New Roman" w:hAnsi="Times New Roman" w:eastAsia="Times New Roman" w:cs="Times New Roman"/>
        </w:rPr>
        <w:t>Dearing introduced recommendation 1.2, requiring that all applications to the AHTF consider 10% accessible units.</w:t>
      </w:r>
      <w:r w:rsidR="00E66775">
        <w:rPr>
          <w:rFonts w:ascii="Times New Roman" w:hAnsi="Times New Roman" w:eastAsia="Times New Roman" w:cs="Times New Roman"/>
        </w:rPr>
        <w:t xml:space="preserve"> William Joyce asked whether this is redundant with 1.1, and Dearing clarified that this would apply to projects other than new construction as well. Joyce recommended clarifying explicitly that this recommendation would apply specifically to existing homes.</w:t>
      </w:r>
      <w:r w:rsidR="006C0881">
        <w:rPr>
          <w:rFonts w:ascii="Times New Roman" w:hAnsi="Times New Roman" w:eastAsia="Times New Roman" w:cs="Times New Roman"/>
        </w:rPr>
        <w:t xml:space="preserve"> Steele said that the recommendation seemed reasonable to him and in his stakeholder conversations.</w:t>
      </w:r>
    </w:p>
    <w:p w:rsidR="001B66FF" w:rsidRDefault="006C0881" w14:paraId="4A147247" w14:textId="77777777">
      <w:pPr>
        <w:rPr>
          <w:rFonts w:ascii="Times New Roman" w:hAnsi="Times New Roman" w:eastAsia="Times New Roman" w:cs="Times New Roman"/>
        </w:rPr>
      </w:pPr>
      <w:r>
        <w:rPr>
          <w:rFonts w:ascii="Times New Roman" w:hAnsi="Times New Roman" w:eastAsia="Times New Roman" w:cs="Times New Roman"/>
        </w:rPr>
        <w:t xml:space="preserve">Dearing introduced recommendation 1.3, </w:t>
      </w:r>
      <w:r w:rsidR="00611A6C">
        <w:rPr>
          <w:rFonts w:ascii="Times New Roman" w:hAnsi="Times New Roman" w:eastAsia="Times New Roman" w:cs="Times New Roman"/>
        </w:rPr>
        <w:t xml:space="preserve">a recommendation to create a $5,000 refundable tax credit to make ADUs adaptable, with the thinking that this would make adaptable ADUs the standard. </w:t>
      </w:r>
      <w:r w:rsidR="007A64AE">
        <w:rPr>
          <w:rFonts w:ascii="Times New Roman" w:hAnsi="Times New Roman" w:eastAsia="Times New Roman" w:cs="Times New Roman"/>
        </w:rPr>
        <w:t xml:space="preserve">Joyce asked for clarification of whether this addresses Group 1 or Group 2 dwelling unit standards, and that the commission should </w:t>
      </w:r>
      <w:r w:rsidR="00426C25">
        <w:rPr>
          <w:rFonts w:ascii="Times New Roman" w:hAnsi="Times New Roman" w:eastAsia="Times New Roman" w:cs="Times New Roman"/>
        </w:rPr>
        <w:t xml:space="preserve">pick one. Group 1 units are better understood as age-in-place units, while Group 2 units are adaptable for use by full-time wheelchair users. </w:t>
      </w:r>
      <w:r w:rsidR="00D05371">
        <w:rPr>
          <w:rFonts w:ascii="Times New Roman" w:hAnsi="Times New Roman" w:eastAsia="Times New Roman" w:cs="Times New Roman"/>
        </w:rPr>
        <w:t xml:space="preserve">Joyce expressed that either approach would be reasonable, as long as one is specified. Dearing floated the idea of specifying that </w:t>
      </w:r>
      <w:r w:rsidR="001B66FF">
        <w:rPr>
          <w:rFonts w:ascii="Times New Roman" w:hAnsi="Times New Roman" w:eastAsia="Times New Roman" w:cs="Times New Roman"/>
        </w:rPr>
        <w:t>a unit must have a specific set of features.</w:t>
      </w:r>
    </w:p>
    <w:p w:rsidR="00E66775" w:rsidRDefault="001B66FF" w14:paraId="7E0F16E5" w14:textId="52A0C5DE">
      <w:pPr>
        <w:rPr>
          <w:rFonts w:ascii="Times New Roman" w:hAnsi="Times New Roman" w:eastAsia="Times New Roman" w:cs="Times New Roman"/>
        </w:rPr>
      </w:pPr>
      <w:r>
        <w:rPr>
          <w:rFonts w:ascii="Times New Roman" w:hAnsi="Times New Roman" w:eastAsia="Times New Roman" w:cs="Times New Roman"/>
        </w:rPr>
        <w:t>Chair Shupin recognized that Meg Ribera has joined on behalf of Senator Cyr.</w:t>
      </w:r>
    </w:p>
    <w:p w:rsidR="001B66FF" w:rsidRDefault="001B66FF" w14:paraId="629DE1F3" w14:textId="20D78BB0">
      <w:pPr>
        <w:rPr>
          <w:rFonts w:ascii="Times New Roman" w:hAnsi="Times New Roman" w:eastAsia="Times New Roman" w:cs="Times New Roman"/>
        </w:rPr>
      </w:pPr>
      <w:r>
        <w:rPr>
          <w:rFonts w:ascii="Times New Roman" w:hAnsi="Times New Roman" w:eastAsia="Times New Roman" w:cs="Times New Roman"/>
        </w:rPr>
        <w:t xml:space="preserve">Dearing introduced recommendation 1.4, to develop standard or model designs for accessible and inclusive units. </w:t>
      </w:r>
      <w:r w:rsidR="00661C2B">
        <w:rPr>
          <w:rFonts w:ascii="Times New Roman" w:hAnsi="Times New Roman" w:eastAsia="Times New Roman" w:cs="Times New Roman"/>
        </w:rPr>
        <w:t xml:space="preserve">The main question from HLC is what specific process to recommend for operationalizing this. Joyce shared that the working group intentionally left it in HLC’s hands, as the working group anticipated consultation with other agencies </w:t>
      </w:r>
      <w:r w:rsidR="00DC6775">
        <w:rPr>
          <w:rFonts w:ascii="Times New Roman" w:hAnsi="Times New Roman" w:eastAsia="Times New Roman" w:cs="Times New Roman"/>
        </w:rPr>
        <w:t>and was unsure of HLC’s available resources for drafting plans. Chair Shupin expressed that keeping it at a higher general level would be the appropriate approach, and options such as the ADU Design Challenge may offer options going forward.</w:t>
      </w:r>
    </w:p>
    <w:p w:rsidR="00DC6775" w:rsidP="0EDA9312" w:rsidRDefault="00DC6775" w14:paraId="6945CCC6" w14:textId="509676EF">
      <w:pPr>
        <w:spacing w:after="0" w:line="259" w:lineRule="auto"/>
        <w:rPr>
          <w:rFonts w:ascii="Times New Roman" w:hAnsi="Times New Roman" w:eastAsia="Times New Roman" w:cs="Times New Roman"/>
          <w:b w:val="1"/>
          <w:bCs w:val="1"/>
          <w:color w:val="000000" w:themeColor="text1" w:themeTint="FF" w:themeShade="FF"/>
          <w:u w:val="single"/>
        </w:rPr>
      </w:pPr>
      <w:r w:rsidRPr="0EDA9312" w:rsidR="00DC6775">
        <w:rPr>
          <w:rFonts w:ascii="Times New Roman" w:hAnsi="Times New Roman" w:eastAsia="Times New Roman" w:cs="Times New Roman"/>
          <w:b w:val="1"/>
          <w:bCs w:val="1"/>
          <w:color w:val="000000" w:themeColor="text1" w:themeTint="FF" w:themeShade="FF"/>
          <w:u w:val="single"/>
        </w:rPr>
        <w:t>Overview of Recommendations for Preservation</w:t>
      </w:r>
    </w:p>
    <w:p w:rsidR="00DC6775" w:rsidRDefault="00EC5CDF" w14:paraId="0B5FDD1C" w14:textId="1E469902">
      <w:pPr>
        <w:rPr>
          <w:rFonts w:ascii="Times New Roman" w:hAnsi="Times New Roman" w:eastAsia="Times New Roman" w:cs="Times New Roman"/>
        </w:rPr>
      </w:pPr>
      <w:r>
        <w:rPr>
          <w:rFonts w:ascii="Times New Roman" w:hAnsi="Times New Roman" w:eastAsia="Times New Roman" w:cs="Times New Roman"/>
        </w:rPr>
        <w:t xml:space="preserve">Dearing introduced recommendation 2.1, to expand zoning exceptions and expedited permitting for accessible features. A particular question from HLC is if other </w:t>
      </w:r>
      <w:r w:rsidR="00350091">
        <w:rPr>
          <w:rFonts w:ascii="Times New Roman" w:hAnsi="Times New Roman" w:eastAsia="Times New Roman" w:cs="Times New Roman"/>
        </w:rPr>
        <w:t xml:space="preserve">accessibility features should be added. Joyce said that </w:t>
      </w:r>
      <w:r w:rsidR="00B54367">
        <w:rPr>
          <w:rFonts w:ascii="Times New Roman" w:hAnsi="Times New Roman" w:eastAsia="Times New Roman" w:cs="Times New Roman"/>
        </w:rPr>
        <w:t xml:space="preserve">vertical incline lifts, </w:t>
      </w:r>
      <w:r w:rsidR="00287492">
        <w:rPr>
          <w:rFonts w:ascii="Times New Roman" w:hAnsi="Times New Roman" w:eastAsia="Times New Roman" w:cs="Times New Roman"/>
        </w:rPr>
        <w:t xml:space="preserve">ramps, and other approaches to addressing vertical changes in level </w:t>
      </w:r>
      <w:r w:rsidR="00671CF6">
        <w:rPr>
          <w:rFonts w:ascii="Times New Roman" w:hAnsi="Times New Roman" w:eastAsia="Times New Roman" w:cs="Times New Roman"/>
        </w:rPr>
        <w:t>should be included in the recommendation. The commission left it as an open question whether walkways should be included in this, as the recommendation currently only provides exemptions from setback and dimensional requirements.</w:t>
      </w:r>
    </w:p>
    <w:p w:rsidR="00671CF6" w:rsidRDefault="00671CF6" w14:paraId="67EEA089" w14:textId="432D4984">
      <w:pPr>
        <w:rPr>
          <w:rFonts w:ascii="Times New Roman" w:hAnsi="Times New Roman" w:eastAsia="Times New Roman" w:cs="Times New Roman"/>
        </w:rPr>
      </w:pPr>
      <w:r>
        <w:rPr>
          <w:rFonts w:ascii="Times New Roman" w:hAnsi="Times New Roman" w:eastAsia="Times New Roman" w:cs="Times New Roman"/>
        </w:rPr>
        <w:t>Dearing introduced recommendation 2.2, to provide additional funding for accessibility upgrades at local housing authorities. Several members of the commission noted the importance of the recommendation.</w:t>
      </w:r>
    </w:p>
    <w:p w:rsidR="00671CF6" w:rsidRDefault="00671CF6" w14:paraId="70C6DDC8" w14:textId="440BB5E6">
      <w:pPr>
        <w:rPr>
          <w:rFonts w:ascii="Times New Roman" w:hAnsi="Times New Roman" w:eastAsia="Times New Roman" w:cs="Times New Roman"/>
        </w:rPr>
      </w:pPr>
      <w:r>
        <w:rPr>
          <w:rFonts w:ascii="Times New Roman" w:hAnsi="Times New Roman" w:eastAsia="Times New Roman" w:cs="Times New Roman"/>
        </w:rPr>
        <w:t>Dearing introduced recommendation 2.3, to conduct a self-assessment of state public housing for accessibility improvements, and heard no comments from the Commission.</w:t>
      </w:r>
    </w:p>
    <w:p w:rsidR="00671CF6" w:rsidRDefault="00A42869" w14:paraId="1C10B64B" w14:textId="0C54D19F">
      <w:pPr>
        <w:rPr>
          <w:rFonts w:ascii="Times New Roman" w:hAnsi="Times New Roman" w:eastAsia="Times New Roman" w:cs="Times New Roman"/>
        </w:rPr>
      </w:pPr>
      <w:r>
        <w:rPr>
          <w:rFonts w:ascii="Times New Roman" w:hAnsi="Times New Roman" w:eastAsia="Times New Roman" w:cs="Times New Roman"/>
        </w:rPr>
        <w:t xml:space="preserve">Dearing introduced recommendation 2.4, to update the Architectural Access Board’s 521 CMR. </w:t>
      </w:r>
      <w:r w:rsidR="0000705E">
        <w:rPr>
          <w:rFonts w:ascii="Times New Roman" w:hAnsi="Times New Roman" w:eastAsia="Times New Roman" w:cs="Times New Roman"/>
        </w:rPr>
        <w:t>Gillespie said that he would like to provide further comments on more specific versions of the recommendation, but that more general language that defers to the ongoing process would be appropriate.</w:t>
      </w:r>
    </w:p>
    <w:p w:rsidR="0000705E" w:rsidRDefault="0000705E" w14:paraId="20191086" w14:textId="62F09268">
      <w:pPr>
        <w:rPr>
          <w:rFonts w:ascii="Times New Roman" w:hAnsi="Times New Roman" w:eastAsia="Times New Roman" w:cs="Times New Roman"/>
        </w:rPr>
      </w:pPr>
      <w:r>
        <w:rPr>
          <w:rFonts w:ascii="Times New Roman" w:hAnsi="Times New Roman" w:eastAsia="Times New Roman" w:cs="Times New Roman"/>
        </w:rPr>
        <w:t>Dearing introduced recommendation 2.5, to lower the threshold for property owner responsibility for accessibility modifications. Steele thanked HLC for putting a number to the universe of 5+-unit buildings, and shared that many are not aware of existing requirements on 10+-unit buildings, and that the change may be an opportunity to raise awareness of current law. Dearing offered that adding an additional recommendation for public education on the current requirement may be prudent, and Joyce agreed.</w:t>
      </w:r>
    </w:p>
    <w:p w:rsidR="0000705E" w:rsidP="0EDA9312" w:rsidRDefault="0000705E" w14:paraId="69E3E94A" w14:textId="0A8B0DF2">
      <w:pPr>
        <w:spacing w:after="0" w:line="259" w:lineRule="auto"/>
        <w:rPr>
          <w:rFonts w:ascii="Times New Roman" w:hAnsi="Times New Roman" w:eastAsia="Times New Roman" w:cs="Times New Roman"/>
          <w:b w:val="1"/>
          <w:bCs w:val="1"/>
          <w:color w:val="000000" w:themeColor="text1" w:themeTint="FF" w:themeShade="FF"/>
          <w:u w:val="single"/>
        </w:rPr>
      </w:pPr>
      <w:r w:rsidRPr="0EDA9312" w:rsidR="0000705E">
        <w:rPr>
          <w:rFonts w:ascii="Times New Roman" w:hAnsi="Times New Roman" w:eastAsia="Times New Roman" w:cs="Times New Roman"/>
          <w:b w:val="1"/>
          <w:bCs w:val="1"/>
          <w:color w:val="000000" w:themeColor="text1" w:themeTint="FF" w:themeShade="FF"/>
          <w:u w:val="single"/>
        </w:rPr>
        <w:t>Overview of Recommendations for Access and Navigation</w:t>
      </w:r>
    </w:p>
    <w:p w:rsidR="0000705E" w:rsidRDefault="0000705E" w14:paraId="46843556" w14:textId="58FDF201">
      <w:pPr>
        <w:rPr>
          <w:rFonts w:ascii="Times New Roman" w:hAnsi="Times New Roman" w:eastAsia="Times New Roman" w:cs="Times New Roman"/>
        </w:rPr>
      </w:pPr>
      <w:r>
        <w:rPr>
          <w:rFonts w:ascii="Times New Roman" w:hAnsi="Times New Roman" w:eastAsia="Times New Roman" w:cs="Times New Roman"/>
        </w:rPr>
        <w:t xml:space="preserve">Dearing introduced recommendation 3.1, to improve centralized resources for people with disabilities. </w:t>
      </w:r>
      <w:r w:rsidR="00430C0D">
        <w:rPr>
          <w:rFonts w:ascii="Times New Roman" w:hAnsi="Times New Roman" w:eastAsia="Times New Roman" w:cs="Times New Roman"/>
        </w:rPr>
        <w:t>He shared that HLC is in the process of hiring a user experience staffer, and that charging this person to look at accessibility features would be valuable.</w:t>
      </w:r>
    </w:p>
    <w:p w:rsidR="009A5B10" w:rsidRDefault="00CE2659" w14:paraId="10ADE73D" w14:textId="7150013C">
      <w:pPr>
        <w:rPr>
          <w:rFonts w:ascii="Times New Roman" w:hAnsi="Times New Roman" w:eastAsia="Times New Roman" w:cs="Times New Roman"/>
        </w:rPr>
      </w:pPr>
      <w:r>
        <w:rPr>
          <w:rFonts w:ascii="Times New Roman" w:hAnsi="Times New Roman" w:eastAsia="Times New Roman" w:cs="Times New Roman"/>
        </w:rPr>
        <w:t>Dearing introduced recommendation 3.2</w:t>
      </w:r>
      <w:r w:rsidR="009A5B10">
        <w:rPr>
          <w:rFonts w:ascii="Times New Roman" w:hAnsi="Times New Roman" w:eastAsia="Times New Roman" w:cs="Times New Roman"/>
        </w:rPr>
        <w:t>, to improve housing application documents and process accessibility</w:t>
      </w:r>
      <w:r>
        <w:rPr>
          <w:rFonts w:ascii="Times New Roman" w:hAnsi="Times New Roman" w:eastAsia="Times New Roman" w:cs="Times New Roman"/>
        </w:rPr>
        <w:t>, and expressed an intent to bring the recommendation back to the public housing team at HLC</w:t>
      </w:r>
      <w:r w:rsidR="005E3DBE">
        <w:rPr>
          <w:rFonts w:ascii="Times New Roman" w:hAnsi="Times New Roman" w:eastAsia="Times New Roman" w:cs="Times New Roman"/>
        </w:rPr>
        <w:t xml:space="preserve"> for consultation</w:t>
      </w:r>
      <w:r w:rsidR="009A5B10">
        <w:rPr>
          <w:rFonts w:ascii="Times New Roman" w:hAnsi="Times New Roman" w:eastAsia="Times New Roman" w:cs="Times New Roman"/>
        </w:rPr>
        <w:t>. The commission offered no comments.</w:t>
      </w:r>
    </w:p>
    <w:p w:rsidR="005E3DBE" w:rsidP="005E3DBE" w:rsidRDefault="009A5B10" w14:paraId="68AF0387" w14:textId="185BFE88">
      <w:pPr>
        <w:rPr>
          <w:rFonts w:ascii="Times New Roman" w:hAnsi="Times New Roman" w:eastAsia="Times New Roman" w:cs="Times New Roman"/>
        </w:rPr>
      </w:pPr>
      <w:r>
        <w:rPr>
          <w:rFonts w:ascii="Times New Roman" w:hAnsi="Times New Roman" w:eastAsia="Times New Roman" w:cs="Times New Roman"/>
        </w:rPr>
        <w:t>Dearing introduced recommendation 3.3, to educate LHAs and RAAs on existing tools for increasing access to individuals with disabilities</w:t>
      </w:r>
      <w:r w:rsidR="005E3DBE">
        <w:rPr>
          <w:rFonts w:ascii="Times New Roman" w:hAnsi="Times New Roman" w:eastAsia="Times New Roman" w:cs="Times New Roman"/>
        </w:rPr>
        <w:t>, and expressed an intent to consult with appropriate teams within HLC. The commission offered no comments.</w:t>
      </w:r>
    </w:p>
    <w:p w:rsidR="009A5B10" w:rsidRDefault="005E3DBE" w14:paraId="5F63DA52" w14:textId="25EE0E29">
      <w:pPr>
        <w:rPr>
          <w:rFonts w:ascii="Times New Roman" w:hAnsi="Times New Roman" w:eastAsia="Times New Roman" w:cs="Times New Roman"/>
        </w:rPr>
      </w:pPr>
      <w:r>
        <w:rPr>
          <w:rFonts w:ascii="Times New Roman" w:hAnsi="Times New Roman" w:eastAsia="Times New Roman" w:cs="Times New Roman"/>
        </w:rPr>
        <w:t>Dearing introduced recommendation 3.4, to train school transition specialists in the housing application process, and expressed an intent to consult with the appropriate curriculum team. The commission offered no comments.</w:t>
      </w:r>
    </w:p>
    <w:p w:rsidR="005E3DBE" w:rsidRDefault="005E3DBE" w14:paraId="3BFCADBD" w14:textId="2B3B11F9">
      <w:pPr>
        <w:rPr>
          <w:rFonts w:ascii="Times New Roman" w:hAnsi="Times New Roman" w:eastAsia="Times New Roman" w:cs="Times New Roman"/>
        </w:rPr>
      </w:pPr>
      <w:r>
        <w:rPr>
          <w:rFonts w:ascii="Times New Roman" w:hAnsi="Times New Roman" w:eastAsia="Times New Roman" w:cs="Times New Roman"/>
        </w:rPr>
        <w:t xml:space="preserve">Dearing introduced recommendation 3.5, to create and publicize an EOHLC Office of Fair Housing Ombudsman Process, and noted that HLC will consult with appropriate stakeholders. Matthew Walsh asked if Matthew Steele had consulted with the Fair Housing Alliance of Massachusetts, who had shared the draft with FHAM and </w:t>
      </w:r>
      <w:r w:rsidR="00E8439C">
        <w:rPr>
          <w:rFonts w:ascii="Times New Roman" w:hAnsi="Times New Roman" w:eastAsia="Times New Roman" w:cs="Times New Roman"/>
        </w:rPr>
        <w:t>will follow up to request feedback and share the relevant draft recommendation 3.5.</w:t>
      </w:r>
    </w:p>
    <w:p w:rsidR="00CB3F75" w:rsidP="00CB3F75" w:rsidRDefault="00CB3F75" w14:paraId="17B60194" w14:textId="1162F480">
      <w:pPr>
        <w:spacing w:after="0" w:line="259" w:lineRule="auto"/>
        <w:rPr>
          <w:rFonts w:ascii="Times New Roman" w:hAnsi="Times New Roman" w:eastAsia="Times New Roman" w:cs="Times New Roman"/>
          <w:b/>
          <w:bCs/>
          <w:color w:val="000000" w:themeColor="text1"/>
          <w:u w:val="single"/>
        </w:rPr>
      </w:pPr>
      <w:r>
        <w:rPr>
          <w:rFonts w:ascii="Times New Roman" w:hAnsi="Times New Roman" w:eastAsia="Times New Roman" w:cs="Times New Roman"/>
          <w:b/>
          <w:bCs/>
          <w:color w:val="000000" w:themeColor="text1"/>
          <w:u w:val="single"/>
        </w:rPr>
        <w:t>Overview of Recommendations for Language and Data Modernization</w:t>
      </w:r>
    </w:p>
    <w:p w:rsidR="00CB3F75" w:rsidP="00CB3F75" w:rsidRDefault="00CB3F75" w14:paraId="70A9A902" w14:textId="77777777">
      <w:pPr>
        <w:spacing w:after="0" w:line="259" w:lineRule="auto"/>
        <w:rPr>
          <w:rFonts w:ascii="Times New Roman" w:hAnsi="Times New Roman" w:eastAsia="Times New Roman" w:cs="Times New Roman"/>
          <w:b/>
          <w:bCs/>
          <w:color w:val="000000" w:themeColor="text1"/>
          <w:u w:val="single"/>
        </w:rPr>
      </w:pPr>
    </w:p>
    <w:p w:rsidR="00E8439C" w:rsidRDefault="00CB3F75" w14:paraId="26C35B17" w14:textId="467C4B3F">
      <w:pPr>
        <w:rPr>
          <w:rFonts w:ascii="Times New Roman" w:hAnsi="Times New Roman" w:eastAsia="Times New Roman" w:cs="Times New Roman"/>
        </w:rPr>
      </w:pPr>
      <w:r>
        <w:rPr>
          <w:rFonts w:ascii="Times New Roman" w:hAnsi="Times New Roman" w:eastAsia="Times New Roman" w:cs="Times New Roman"/>
        </w:rPr>
        <w:t>Dearing introduced recommendation 4.1, to update relevant regulations to cover more categories of disability. Joyce shared that this is already on MAAB’s radar.</w:t>
      </w:r>
      <w:r w:rsidR="00BB724A">
        <w:rPr>
          <w:rFonts w:ascii="Times New Roman" w:hAnsi="Times New Roman" w:eastAsia="Times New Roman" w:cs="Times New Roman"/>
        </w:rPr>
        <w:t xml:space="preserve"> Boyle appreciated that the draft discussed the importance of the state picking up data collection previously covered by the federal government, and one such program is the October 1</w:t>
      </w:r>
      <w:r w:rsidRPr="00BB724A" w:rsidR="00BB724A">
        <w:rPr>
          <w:rFonts w:ascii="Times New Roman" w:hAnsi="Times New Roman" w:eastAsia="Times New Roman" w:cs="Times New Roman"/>
          <w:vertAlign w:val="superscript"/>
        </w:rPr>
        <w:t>st</w:t>
      </w:r>
      <w:r w:rsidR="00BB724A">
        <w:rPr>
          <w:rFonts w:ascii="Times New Roman" w:hAnsi="Times New Roman" w:eastAsia="Times New Roman" w:cs="Times New Roman"/>
        </w:rPr>
        <w:t xml:space="preserve"> Headcount through DESE, which collects information on the number of students with disabilities aged 3-22. This data is a key resource for future housing needs for people with disabilities</w:t>
      </w:r>
      <w:r w:rsidR="009F3975">
        <w:rPr>
          <w:rFonts w:ascii="Times New Roman" w:hAnsi="Times New Roman" w:eastAsia="Times New Roman" w:cs="Times New Roman"/>
        </w:rPr>
        <w:t>, and it would be a challenge to lose this data collection. These datasets are disappearing off of federal websites.</w:t>
      </w:r>
      <w:r w:rsidR="00A35A32">
        <w:rPr>
          <w:rFonts w:ascii="Times New Roman" w:hAnsi="Times New Roman" w:eastAsia="Times New Roman" w:cs="Times New Roman"/>
        </w:rPr>
        <w:t xml:space="preserve"> In the current configuration, the state reports this information to the federal government, while the federal government publishes it in detail. </w:t>
      </w:r>
      <w:r w:rsidR="00704FEE">
        <w:rPr>
          <w:rFonts w:ascii="Times New Roman" w:hAnsi="Times New Roman" w:eastAsia="Times New Roman" w:cs="Times New Roman"/>
        </w:rPr>
        <w:t>The recommendation is to also publish the information they gather on a state page.</w:t>
      </w:r>
    </w:p>
    <w:p w:rsidR="00474A79" w:rsidRDefault="009A4B1F" w14:paraId="1416522E" w14:textId="77777777">
      <w:pPr>
        <w:rPr>
          <w:rFonts w:ascii="Times New Roman" w:hAnsi="Times New Roman" w:eastAsia="Times New Roman" w:cs="Times New Roman"/>
        </w:rPr>
      </w:pPr>
      <w:r>
        <w:rPr>
          <w:rFonts w:ascii="Times New Roman" w:hAnsi="Times New Roman" w:eastAsia="Times New Roman" w:cs="Times New Roman"/>
        </w:rPr>
        <w:t xml:space="preserve">Matthew Steele requested to reopen the conversation on recommendation 3.1. </w:t>
      </w:r>
      <w:r w:rsidR="00D053A9">
        <w:rPr>
          <w:rFonts w:ascii="Times New Roman" w:hAnsi="Times New Roman" w:eastAsia="Times New Roman" w:cs="Times New Roman"/>
        </w:rPr>
        <w:t xml:space="preserve">Steele expressed an ongoing desire to continue encouraging Housing Navigator to improve services for people with disabilities. A specific feature he proposed was to allow people to put their email address into Navigator and </w:t>
      </w:r>
      <w:r w:rsidR="0033061B">
        <w:rPr>
          <w:rFonts w:ascii="Times New Roman" w:hAnsi="Times New Roman" w:eastAsia="Times New Roman" w:cs="Times New Roman"/>
        </w:rPr>
        <w:t xml:space="preserve">receive emails whenever a new unit with accessibility features became available. </w:t>
      </w:r>
      <w:r w:rsidR="0062667D">
        <w:rPr>
          <w:rFonts w:ascii="Times New Roman" w:hAnsi="Times New Roman" w:eastAsia="Times New Roman" w:cs="Times New Roman"/>
        </w:rPr>
        <w:t>This would allow the Navigator to be more responsive to the needs of its target population</w:t>
      </w:r>
      <w:r w:rsidR="00474A79">
        <w:rPr>
          <w:rFonts w:ascii="Times New Roman" w:hAnsi="Times New Roman" w:eastAsia="Times New Roman" w:cs="Times New Roman"/>
        </w:rPr>
        <w:t>, but Steele has heard hesitation from Navigator about taking in client PII.</w:t>
      </w:r>
    </w:p>
    <w:p w:rsidR="0085769E" w:rsidRDefault="00E93E6D" w14:paraId="7C1EFAAC" w14:textId="77777777">
      <w:pPr>
        <w:rPr>
          <w:rFonts w:ascii="Times New Roman" w:hAnsi="Times New Roman" w:eastAsia="Times New Roman" w:cs="Times New Roman"/>
        </w:rPr>
      </w:pPr>
      <w:r>
        <w:rPr>
          <w:rFonts w:ascii="Times New Roman" w:hAnsi="Times New Roman" w:eastAsia="Times New Roman" w:cs="Times New Roman"/>
        </w:rPr>
        <w:t xml:space="preserve">Dearing introduced recommendation 4.2, to enhance data tracking. </w:t>
      </w:r>
    </w:p>
    <w:p w:rsidR="009C1BC0" w:rsidRDefault="00E93E6D" w14:paraId="5BDA1CFE" w14:textId="4D5FAF2B">
      <w:pPr>
        <w:rPr>
          <w:rFonts w:ascii="Times New Roman" w:hAnsi="Times New Roman" w:eastAsia="Times New Roman" w:cs="Times New Roman"/>
        </w:rPr>
      </w:pPr>
      <w:r>
        <w:rPr>
          <w:rFonts w:ascii="Times New Roman" w:hAnsi="Times New Roman" w:eastAsia="Times New Roman" w:cs="Times New Roman"/>
        </w:rPr>
        <w:t xml:space="preserve">Michael Muehe expressed a question of what happened to the original draft recommendation to update </w:t>
      </w:r>
      <w:r w:rsidR="0085769E">
        <w:rPr>
          <w:rFonts w:ascii="Times New Roman" w:hAnsi="Times New Roman" w:eastAsia="Times New Roman" w:cs="Times New Roman"/>
        </w:rPr>
        <w:t xml:space="preserve">legislation to better encourage production of adaptable units. Dearing </w:t>
      </w:r>
      <w:r w:rsidR="00517AD5">
        <w:rPr>
          <w:rFonts w:ascii="Times New Roman" w:hAnsi="Times New Roman" w:eastAsia="Times New Roman" w:cs="Times New Roman"/>
        </w:rPr>
        <w:t>said that the intent of recommendation 1.2 was to address this, and Muehe said that he would send additional draft language.</w:t>
      </w:r>
      <w:r w:rsidR="009C1BC0">
        <w:rPr>
          <w:rFonts w:ascii="Times New Roman" w:hAnsi="Times New Roman" w:eastAsia="Times New Roman" w:cs="Times New Roman"/>
        </w:rPr>
        <w:t xml:space="preserve"> Steele shared that this was a late addition to the group led by David and Valerie, that would close what some refer to as a loophole for units in rehab projects. </w:t>
      </w:r>
      <w:r w:rsidR="004A4000">
        <w:rPr>
          <w:rFonts w:ascii="Times New Roman" w:hAnsi="Times New Roman" w:eastAsia="Times New Roman" w:cs="Times New Roman"/>
        </w:rPr>
        <w:t xml:space="preserve">David Gillespie sent this recommendation out to the stakeholders, and heard serious concerns from outside partners about that specific recommendation. </w:t>
      </w:r>
      <w:r w:rsidR="006C29E6">
        <w:rPr>
          <w:rFonts w:ascii="Times New Roman" w:hAnsi="Times New Roman" w:eastAsia="Times New Roman" w:cs="Times New Roman"/>
        </w:rPr>
        <w:t>Joyce shared that the accessible units described in recommendation 1.2 are Group 2 units, while those in the pending legislation are Group 1 units.</w:t>
      </w:r>
      <w:r w:rsidR="00A92FD4">
        <w:rPr>
          <w:rFonts w:ascii="Times New Roman" w:hAnsi="Times New Roman" w:eastAsia="Times New Roman" w:cs="Times New Roman"/>
        </w:rPr>
        <w:t xml:space="preserve"> Chair Shupin and Dearing each encouraged the working group to reconvene to address this issue.</w:t>
      </w:r>
    </w:p>
    <w:p w:rsidR="00D03226" w:rsidP="6529A400" w:rsidRDefault="00D03226" w14:paraId="7D272E44" w14:textId="6577E0C8">
      <w:pPr>
        <w:spacing w:after="0" w:line="259" w:lineRule="auto"/>
        <w:rPr>
          <w:rFonts w:ascii="Times New Roman" w:hAnsi="Times New Roman" w:eastAsia="Times New Roman" w:cs="Times New Roman"/>
          <w:b w:val="1"/>
          <w:bCs w:val="1"/>
          <w:color w:val="000000" w:themeColor="text1" w:themeTint="FF" w:themeShade="FF"/>
          <w:u w:val="single"/>
        </w:rPr>
      </w:pPr>
      <w:r w:rsidRPr="6529A400" w:rsidR="00D03226">
        <w:rPr>
          <w:rFonts w:ascii="Times New Roman" w:hAnsi="Times New Roman" w:eastAsia="Times New Roman" w:cs="Times New Roman"/>
          <w:b w:val="1"/>
          <w:bCs w:val="1"/>
          <w:color w:val="000000" w:themeColor="text1" w:themeTint="FF" w:themeShade="FF"/>
          <w:u w:val="single"/>
        </w:rPr>
        <w:t>Overview of Recommendations for Access and Navigation</w:t>
      </w:r>
    </w:p>
    <w:p w:rsidR="00D03226" w:rsidRDefault="00D03226" w14:paraId="3017E041" w14:textId="1B220B0B">
      <w:pPr>
        <w:rPr>
          <w:rFonts w:ascii="Times New Roman" w:hAnsi="Times New Roman" w:eastAsia="Times New Roman" w:cs="Times New Roman"/>
        </w:rPr>
      </w:pPr>
      <w:r>
        <w:rPr>
          <w:rFonts w:ascii="Times New Roman" w:hAnsi="Times New Roman" w:eastAsia="Times New Roman" w:cs="Times New Roman"/>
        </w:rPr>
        <w:t xml:space="preserve">Chair Shupin requested </w:t>
      </w:r>
      <w:r w:rsidR="00917B2C">
        <w:rPr>
          <w:rFonts w:ascii="Times New Roman" w:hAnsi="Times New Roman" w:eastAsia="Times New Roman" w:cs="Times New Roman"/>
        </w:rPr>
        <w:t>edits and comments from the Commission on whether the current draft reflects the Commission’s work and any improvements they’d recommend.</w:t>
      </w:r>
      <w:r w:rsidR="00554F69">
        <w:rPr>
          <w:rFonts w:ascii="Times New Roman" w:hAnsi="Times New Roman" w:eastAsia="Times New Roman" w:cs="Times New Roman"/>
        </w:rPr>
        <w:t xml:space="preserve"> He also emphasized the ongoing review process from HLC, other partner agencies, and the Governor’s team.</w:t>
      </w:r>
      <w:r w:rsidR="00AE4A6E">
        <w:rPr>
          <w:rFonts w:ascii="Times New Roman" w:hAnsi="Times New Roman" w:eastAsia="Times New Roman" w:cs="Times New Roman"/>
        </w:rPr>
        <w:t xml:space="preserve"> Dearing requested that feedback also cover the introductory matter as well as the recommendations. The Commission’s next meeting is December 11</w:t>
      </w:r>
      <w:r w:rsidRPr="00AE4A6E" w:rsidR="00AE4A6E">
        <w:rPr>
          <w:rFonts w:ascii="Times New Roman" w:hAnsi="Times New Roman" w:eastAsia="Times New Roman" w:cs="Times New Roman"/>
          <w:vertAlign w:val="superscript"/>
        </w:rPr>
        <w:t>th</w:t>
      </w:r>
      <w:r w:rsidR="00AE4A6E">
        <w:rPr>
          <w:rFonts w:ascii="Times New Roman" w:hAnsi="Times New Roman" w:eastAsia="Times New Roman" w:cs="Times New Roman"/>
        </w:rPr>
        <w:t>, and the goal is to finalize the report by December 12</w:t>
      </w:r>
      <w:r w:rsidRPr="00AE4A6E" w:rsidR="00AE4A6E">
        <w:rPr>
          <w:rFonts w:ascii="Times New Roman" w:hAnsi="Times New Roman" w:eastAsia="Times New Roman" w:cs="Times New Roman"/>
          <w:vertAlign w:val="superscript"/>
        </w:rPr>
        <w:t>th</w:t>
      </w:r>
      <w:r w:rsidR="00AE4A6E">
        <w:rPr>
          <w:rFonts w:ascii="Times New Roman" w:hAnsi="Times New Roman" w:eastAsia="Times New Roman" w:cs="Times New Roman"/>
        </w:rPr>
        <w:t>. Dearing requested that the Commission take a final pass on the report</w:t>
      </w:r>
      <w:r w:rsidR="007861D1">
        <w:rPr>
          <w:rFonts w:ascii="Times New Roman" w:hAnsi="Times New Roman" w:eastAsia="Times New Roman" w:cs="Times New Roman"/>
        </w:rPr>
        <w:t xml:space="preserve"> before the meeting on the 11</w:t>
      </w:r>
      <w:r w:rsidRPr="007861D1" w:rsidR="007861D1">
        <w:rPr>
          <w:rFonts w:ascii="Times New Roman" w:hAnsi="Times New Roman" w:eastAsia="Times New Roman" w:cs="Times New Roman"/>
          <w:vertAlign w:val="superscript"/>
        </w:rPr>
        <w:t>th</w:t>
      </w:r>
      <w:r w:rsidR="007861D1">
        <w:rPr>
          <w:rFonts w:ascii="Times New Roman" w:hAnsi="Times New Roman" w:eastAsia="Times New Roman" w:cs="Times New Roman"/>
        </w:rPr>
        <w:t>.</w:t>
      </w:r>
    </w:p>
    <w:p w:rsidRPr="006C0881" w:rsidR="007861D1" w:rsidRDefault="007861D1" w14:paraId="37A6B1A3" w14:textId="5CB7748D">
      <w:pPr>
        <w:rPr>
          <w:rFonts w:ascii="Times New Roman" w:hAnsi="Times New Roman" w:eastAsia="Times New Roman" w:cs="Times New Roman"/>
        </w:rPr>
      </w:pPr>
      <w:r>
        <w:rPr>
          <w:rFonts w:ascii="Times New Roman" w:hAnsi="Times New Roman" w:eastAsia="Times New Roman" w:cs="Times New Roman"/>
        </w:rPr>
        <w:t>Joyce made a motion to adjourn, with a second from Boyle. The motion carried</w:t>
      </w:r>
      <w:r w:rsidR="00A80503">
        <w:rPr>
          <w:rFonts w:ascii="Times New Roman" w:hAnsi="Times New Roman" w:eastAsia="Times New Roman" w:cs="Times New Roman"/>
        </w:rPr>
        <w:t xml:space="preserve"> unanimously.</w:t>
      </w:r>
    </w:p>
    <w:sectPr w:rsidRPr="006C0881" w:rsidR="007861D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80"/>
    <w:rsid w:val="0000705E"/>
    <w:rsid w:val="000233B5"/>
    <w:rsid w:val="00125E3B"/>
    <w:rsid w:val="001B66FF"/>
    <w:rsid w:val="00200543"/>
    <w:rsid w:val="0023057B"/>
    <w:rsid w:val="0023200D"/>
    <w:rsid w:val="00263DF7"/>
    <w:rsid w:val="00287492"/>
    <w:rsid w:val="00291D49"/>
    <w:rsid w:val="0033061B"/>
    <w:rsid w:val="00350091"/>
    <w:rsid w:val="003B2780"/>
    <w:rsid w:val="00412F2F"/>
    <w:rsid w:val="004223AB"/>
    <w:rsid w:val="00426C25"/>
    <w:rsid w:val="00430C0D"/>
    <w:rsid w:val="00431A6E"/>
    <w:rsid w:val="00474A79"/>
    <w:rsid w:val="004A4000"/>
    <w:rsid w:val="004A7A59"/>
    <w:rsid w:val="00517AD5"/>
    <w:rsid w:val="00554F69"/>
    <w:rsid w:val="005E3DBE"/>
    <w:rsid w:val="00611A6C"/>
    <w:rsid w:val="0062667D"/>
    <w:rsid w:val="00661C2B"/>
    <w:rsid w:val="00671CF6"/>
    <w:rsid w:val="006C0881"/>
    <w:rsid w:val="006C29E6"/>
    <w:rsid w:val="00704FEE"/>
    <w:rsid w:val="0070503D"/>
    <w:rsid w:val="007142AA"/>
    <w:rsid w:val="007861D1"/>
    <w:rsid w:val="00794D03"/>
    <w:rsid w:val="007A64AE"/>
    <w:rsid w:val="0085769E"/>
    <w:rsid w:val="00917B2C"/>
    <w:rsid w:val="00981DEF"/>
    <w:rsid w:val="009A4B1F"/>
    <w:rsid w:val="009A5B10"/>
    <w:rsid w:val="009B6CF2"/>
    <w:rsid w:val="009C1BC0"/>
    <w:rsid w:val="009F3975"/>
    <w:rsid w:val="00A35A32"/>
    <w:rsid w:val="00A42869"/>
    <w:rsid w:val="00A556F7"/>
    <w:rsid w:val="00A80503"/>
    <w:rsid w:val="00A8618B"/>
    <w:rsid w:val="00A92FD4"/>
    <w:rsid w:val="00AE4A6E"/>
    <w:rsid w:val="00B503DF"/>
    <w:rsid w:val="00B54367"/>
    <w:rsid w:val="00BB724A"/>
    <w:rsid w:val="00BF62BE"/>
    <w:rsid w:val="00CB3F75"/>
    <w:rsid w:val="00CE2659"/>
    <w:rsid w:val="00D03226"/>
    <w:rsid w:val="00D05371"/>
    <w:rsid w:val="00D053A9"/>
    <w:rsid w:val="00DC0BD9"/>
    <w:rsid w:val="00DC6775"/>
    <w:rsid w:val="00E50CAE"/>
    <w:rsid w:val="00E66775"/>
    <w:rsid w:val="00E8439C"/>
    <w:rsid w:val="00E93E6D"/>
    <w:rsid w:val="00EB3C40"/>
    <w:rsid w:val="00EC5CDF"/>
    <w:rsid w:val="00EF7EDE"/>
    <w:rsid w:val="00F15CB8"/>
    <w:rsid w:val="00F676E5"/>
    <w:rsid w:val="00FD54FE"/>
    <w:rsid w:val="0EDA9312"/>
    <w:rsid w:val="0FD79AF7"/>
    <w:rsid w:val="1BCD3447"/>
    <w:rsid w:val="1E63CD2E"/>
    <w:rsid w:val="28EDBFE4"/>
    <w:rsid w:val="6529A400"/>
    <w:rsid w:val="6B43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E8B6"/>
  <w15:chartTrackingRefBased/>
  <w15:docId w15:val="{AB74BD63-8A5E-4463-99CE-3EFA9EB1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56F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B2780"/>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B2780"/>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B278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B2780"/>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B2780"/>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B2780"/>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B2780"/>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B2780"/>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B2780"/>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278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278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278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278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278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278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278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278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2780"/>
    <w:rPr>
      <w:rFonts w:eastAsiaTheme="majorEastAsia" w:cstheme="majorBidi"/>
      <w:color w:val="272727" w:themeColor="text1" w:themeTint="D8"/>
    </w:rPr>
  </w:style>
  <w:style w:type="paragraph" w:styleId="Title">
    <w:name w:val="Title"/>
    <w:basedOn w:val="Normal"/>
    <w:next w:val="Normal"/>
    <w:link w:val="TitleChar"/>
    <w:uiPriority w:val="10"/>
    <w:qFormat/>
    <w:rsid w:val="003B2780"/>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3B278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278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3B2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780"/>
    <w:pPr>
      <w:spacing w:before="160" w:line="278" w:lineRule="auto"/>
      <w:jc w:val="center"/>
    </w:pPr>
    <w:rPr>
      <w:rFonts w:eastAsiaTheme="minorHAns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3B2780"/>
    <w:rPr>
      <w:i/>
      <w:iCs/>
      <w:color w:val="404040" w:themeColor="text1" w:themeTint="BF"/>
    </w:rPr>
  </w:style>
  <w:style w:type="paragraph" w:styleId="ListParagraph">
    <w:name w:val="List Paragraph"/>
    <w:basedOn w:val="Normal"/>
    <w:uiPriority w:val="34"/>
    <w:qFormat/>
    <w:rsid w:val="003B2780"/>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3B2780"/>
    <w:rPr>
      <w:i/>
      <w:iCs/>
      <w:color w:val="0F4761" w:themeColor="accent1" w:themeShade="BF"/>
    </w:rPr>
  </w:style>
  <w:style w:type="paragraph" w:styleId="IntenseQuote">
    <w:name w:val="Intense Quote"/>
    <w:basedOn w:val="Normal"/>
    <w:next w:val="Normal"/>
    <w:link w:val="IntenseQuoteChar"/>
    <w:uiPriority w:val="30"/>
    <w:qFormat/>
    <w:rsid w:val="003B278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3B2780"/>
    <w:rPr>
      <w:i/>
      <w:iCs/>
      <w:color w:val="0F4761" w:themeColor="accent1" w:themeShade="BF"/>
    </w:rPr>
  </w:style>
  <w:style w:type="character" w:styleId="IntenseReference">
    <w:name w:val="Intense Reference"/>
    <w:basedOn w:val="DefaultParagraphFont"/>
    <w:uiPriority w:val="32"/>
    <w:qFormat/>
    <w:rsid w:val="003B2780"/>
    <w:rPr>
      <w:b/>
      <w:bCs/>
      <w:smallCaps/>
      <w:color w:val="0F4761" w:themeColor="accent1" w:themeShade="BF"/>
      <w:spacing w:val="5"/>
    </w:rPr>
  </w:style>
  <w:style w:type="table" w:styleId="TableGrid">
    <w:name w:val="Table Grid"/>
    <w:basedOn w:val="TableNormal"/>
    <w:uiPriority w:val="59"/>
    <w:rsid w:val="00A556F7"/>
    <w:pPr>
      <w:spacing w:after="0" w:line="240" w:lineRule="auto"/>
    </w:pPr>
    <w:rPr>
      <w:rFonts w:eastAsiaTheme="minorEastAsia"/>
      <w:kern w:val="0"/>
      <w:lang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D770B-49CD-4674-85AF-F546C8A8B34D}"/>
</file>

<file path=customXml/itemProps2.xml><?xml version="1.0" encoding="utf-8"?>
<ds:datastoreItem xmlns:ds="http://schemas.openxmlformats.org/officeDocument/2006/customXml" ds:itemID="{65165E34-8DAB-46DB-AE13-8484014B0A9D}">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EEEE48D6-0247-40E3-B115-D96FCF7697D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64</revision>
  <dcterms:created xsi:type="dcterms:W3CDTF">2025-11-13T15:02:00.0000000Z</dcterms:created>
  <dcterms:modified xsi:type="dcterms:W3CDTF">2025-12-03T21:57:22.4945400Z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