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A0C4" w14:textId="77777777" w:rsidR="009C5402" w:rsidRPr="005E3AAF" w:rsidRDefault="009C5402" w:rsidP="000D14C8">
      <w:pPr>
        <w:pStyle w:val="Heading1"/>
      </w:pPr>
      <w:r w:rsidRPr="005E3AAF">
        <w:rPr>
          <w:noProof/>
        </w:rPr>
        <w:drawing>
          <wp:anchor distT="0" distB="0" distL="114300" distR="114300" simplePos="0" relativeHeight="251658240" behindDoc="1" locked="0" layoutInCell="1" allowOverlap="1" wp14:anchorId="003FA221" wp14:editId="09A526A4">
            <wp:simplePos x="0" y="0"/>
            <wp:positionH relativeFrom="column">
              <wp:posOffset>-292100</wp:posOffset>
            </wp:positionH>
            <wp:positionV relativeFrom="paragraph">
              <wp:posOffset>108458</wp:posOffset>
            </wp:positionV>
            <wp:extent cx="986155" cy="492125"/>
            <wp:effectExtent l="0" t="0" r="4445" b="3175"/>
            <wp:wrapSquare wrapText="bothSides"/>
            <wp:docPr id="1787900986" name="Picture 17879009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00986" name="Picture 1787900986">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615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AAF">
        <w:t xml:space="preserve">ACO &amp; </w:t>
      </w:r>
      <w:r>
        <w:t>Hospital</w:t>
      </w:r>
      <w:r w:rsidRPr="005E3AAF">
        <w:t xml:space="preserve"> Quality and Equity Incentive Programs:</w:t>
      </w:r>
    </w:p>
    <w:p w14:paraId="219338E6" w14:textId="0BEEB355" w:rsidR="009C5402" w:rsidRDefault="000D14C8" w:rsidP="000D14C8">
      <w:pPr>
        <w:pStyle w:val="Heading1"/>
      </w:pPr>
      <w:r>
        <w:t xml:space="preserve">           </w:t>
      </w:r>
      <w:r w:rsidR="009C5402">
        <w:t>Performance Improvement Projects (PIPs),</w:t>
      </w:r>
    </w:p>
    <w:p w14:paraId="27FAA427" w14:textId="77777777" w:rsidR="009C5402" w:rsidRDefault="009C5402" w:rsidP="000D14C8">
      <w:pPr>
        <w:pStyle w:val="Heading1"/>
        <w:jc w:val="center"/>
      </w:pPr>
      <w:r>
        <w:t>Key Contact Form &amp; Mid-Year Planning Report</w:t>
      </w:r>
    </w:p>
    <w:p w14:paraId="5578396B" w14:textId="46AF04A0" w:rsidR="009C5402" w:rsidRPr="00392BBC" w:rsidRDefault="009C5402" w:rsidP="000D14C8">
      <w:pPr>
        <w:pStyle w:val="Heading1"/>
        <w:jc w:val="center"/>
        <w:rPr>
          <w:szCs w:val="24"/>
        </w:rPr>
      </w:pPr>
      <w:r>
        <w:rPr>
          <w:szCs w:val="24"/>
        </w:rPr>
        <w:t>Due September 30, 2023</w:t>
      </w:r>
    </w:p>
    <w:p w14:paraId="4F5ECF18" w14:textId="77777777" w:rsidR="009C5402" w:rsidRDefault="009C5402" w:rsidP="35ABAD13">
      <w:pPr>
        <w:spacing w:line="240" w:lineRule="auto"/>
        <w:rPr>
          <w:rStyle w:val="Heading2Char"/>
          <w:b/>
          <w:bCs/>
        </w:rPr>
      </w:pPr>
    </w:p>
    <w:p w14:paraId="276FBB1B" w14:textId="7F7F3D47" w:rsidR="009A5A26" w:rsidRPr="009A5A26" w:rsidRDefault="00053C59" w:rsidP="35ABAD13">
      <w:pPr>
        <w:spacing w:line="240" w:lineRule="auto"/>
        <w:rPr>
          <w:rFonts w:ascii="Times New Roman" w:hAnsi="Times New Roman" w:cs="Times New Roman"/>
        </w:rPr>
      </w:pPr>
      <w:r w:rsidRPr="00A17BEB">
        <w:rPr>
          <w:rStyle w:val="Heading2Char"/>
        </w:rPr>
        <w:t>In</w:t>
      </w:r>
      <w:r w:rsidR="00BF60D1" w:rsidRPr="00A17BEB">
        <w:rPr>
          <w:rStyle w:val="Heading2Char"/>
        </w:rPr>
        <w:t>s</w:t>
      </w:r>
      <w:r w:rsidRPr="00A17BEB">
        <w:rPr>
          <w:rStyle w:val="Heading2Char"/>
        </w:rPr>
        <w:t>tructions</w:t>
      </w:r>
      <w:r w:rsidR="002D2039" w:rsidRPr="278BE191">
        <w:rPr>
          <w:rFonts w:ascii="Times New Roman" w:hAnsi="Times New Roman" w:cs="Times New Roman"/>
          <w:b/>
          <w:bCs/>
        </w:rPr>
        <w:t xml:space="preserve">: </w:t>
      </w:r>
      <w:r w:rsidR="00F318CF" w:rsidRPr="278BE191">
        <w:rPr>
          <w:rFonts w:ascii="Times New Roman" w:hAnsi="Times New Roman" w:cs="Times New Roman"/>
        </w:rPr>
        <w:t>T</w:t>
      </w:r>
      <w:r w:rsidR="00712BFA" w:rsidRPr="278BE191">
        <w:rPr>
          <w:rFonts w:ascii="Times New Roman" w:hAnsi="Times New Roman" w:cs="Times New Roman"/>
        </w:rPr>
        <w:t xml:space="preserve">his </w:t>
      </w:r>
      <w:r w:rsidR="005E553D" w:rsidRPr="278BE191">
        <w:rPr>
          <w:rFonts w:ascii="Times New Roman" w:hAnsi="Times New Roman" w:cs="Times New Roman"/>
        </w:rPr>
        <w:t xml:space="preserve">PIP Key Contact Form &amp; Mid-Year Planning Report </w:t>
      </w:r>
      <w:r w:rsidR="00712BFA" w:rsidRPr="278BE191">
        <w:rPr>
          <w:rFonts w:ascii="Times New Roman" w:hAnsi="Times New Roman" w:cs="Times New Roman"/>
        </w:rPr>
        <w:t xml:space="preserve">deliverable </w:t>
      </w:r>
      <w:r w:rsidR="00E50CFF" w:rsidRPr="278BE191">
        <w:rPr>
          <w:rFonts w:ascii="Times New Roman" w:hAnsi="Times New Roman" w:cs="Times New Roman"/>
        </w:rPr>
        <w:t xml:space="preserve">should be completed </w:t>
      </w:r>
      <w:r w:rsidR="00383596" w:rsidRPr="278BE191">
        <w:rPr>
          <w:rFonts w:ascii="Times New Roman" w:hAnsi="Times New Roman" w:cs="Times New Roman"/>
        </w:rPr>
        <w:t xml:space="preserve">collaboratively by </w:t>
      </w:r>
      <w:r w:rsidR="00572B68" w:rsidRPr="278BE191">
        <w:rPr>
          <w:rFonts w:ascii="Times New Roman" w:hAnsi="Times New Roman" w:cs="Times New Roman"/>
        </w:rPr>
        <w:t xml:space="preserve">ACOs and Hospitals </w:t>
      </w:r>
      <w:r w:rsidR="00264F70" w:rsidRPr="278BE191">
        <w:rPr>
          <w:rFonts w:ascii="Times New Roman" w:hAnsi="Times New Roman" w:cs="Times New Roman"/>
        </w:rPr>
        <w:t xml:space="preserve">of </w:t>
      </w:r>
      <w:r w:rsidR="00CD615E" w:rsidRPr="278BE191">
        <w:rPr>
          <w:rFonts w:ascii="Times New Roman" w:hAnsi="Times New Roman" w:cs="Times New Roman"/>
        </w:rPr>
        <w:t>approved</w:t>
      </w:r>
      <w:r w:rsidR="00526BF1" w:rsidRPr="278BE191">
        <w:rPr>
          <w:rFonts w:ascii="Times New Roman" w:hAnsi="Times New Roman" w:cs="Times New Roman"/>
        </w:rPr>
        <w:t xml:space="preserve"> partner</w:t>
      </w:r>
      <w:r w:rsidR="00264F70" w:rsidRPr="278BE191">
        <w:rPr>
          <w:rFonts w:ascii="Times New Roman" w:hAnsi="Times New Roman" w:cs="Times New Roman"/>
        </w:rPr>
        <w:t>ships</w:t>
      </w:r>
      <w:r w:rsidR="006447EC" w:rsidRPr="278BE191">
        <w:rPr>
          <w:rFonts w:ascii="Times New Roman" w:hAnsi="Times New Roman" w:cs="Times New Roman"/>
        </w:rPr>
        <w:t xml:space="preserve"> (partner exempt entities should also complete this deliverable). </w:t>
      </w:r>
      <w:r w:rsidR="1C6A0408" w:rsidRPr="35ABAD13">
        <w:rPr>
          <w:rFonts w:ascii="Times New Roman" w:hAnsi="Times New Roman" w:cs="Times New Roman"/>
        </w:rPr>
        <w:t>However, e</w:t>
      </w:r>
      <w:r w:rsidR="00AF7809" w:rsidRPr="35ABAD13">
        <w:rPr>
          <w:rFonts w:ascii="Times New Roman" w:hAnsi="Times New Roman" w:cs="Times New Roman"/>
        </w:rPr>
        <w:t>ach</w:t>
      </w:r>
      <w:r w:rsidR="00AF7809" w:rsidRPr="278BE191">
        <w:rPr>
          <w:rFonts w:ascii="Times New Roman" w:hAnsi="Times New Roman" w:cs="Times New Roman"/>
        </w:rPr>
        <w:t xml:space="preserve"> entity should </w:t>
      </w:r>
      <w:r w:rsidR="00313BAC" w:rsidRPr="278BE191">
        <w:rPr>
          <w:rFonts w:ascii="Times New Roman" w:hAnsi="Times New Roman" w:cs="Times New Roman"/>
        </w:rPr>
        <w:t xml:space="preserve">submit </w:t>
      </w:r>
      <w:r w:rsidR="0020684B" w:rsidRPr="278BE191">
        <w:rPr>
          <w:rFonts w:ascii="Times New Roman" w:hAnsi="Times New Roman" w:cs="Times New Roman"/>
        </w:rPr>
        <w:t>its own</w:t>
      </w:r>
      <w:r w:rsidR="00313BAC" w:rsidRPr="278BE191">
        <w:rPr>
          <w:rFonts w:ascii="Times New Roman" w:hAnsi="Times New Roman" w:cs="Times New Roman"/>
        </w:rPr>
        <w:t xml:space="preserve"> </w:t>
      </w:r>
      <w:proofErr w:type="gramStart"/>
      <w:r w:rsidR="00313BAC" w:rsidRPr="278BE191">
        <w:rPr>
          <w:rFonts w:ascii="Times New Roman" w:hAnsi="Times New Roman" w:cs="Times New Roman"/>
        </w:rPr>
        <w:t>deliverable</w:t>
      </w:r>
      <w:proofErr w:type="gramEnd"/>
      <w:r w:rsidR="00313BAC" w:rsidRPr="278BE191">
        <w:rPr>
          <w:rFonts w:ascii="Times New Roman" w:hAnsi="Times New Roman" w:cs="Times New Roman"/>
        </w:rPr>
        <w:t xml:space="preserve"> to acc</w:t>
      </w:r>
      <w:r w:rsidR="00041995" w:rsidRPr="278BE191">
        <w:rPr>
          <w:rFonts w:ascii="Times New Roman" w:hAnsi="Times New Roman" w:cs="Times New Roman"/>
        </w:rPr>
        <w:t xml:space="preserve">ount for completion. </w:t>
      </w:r>
    </w:p>
    <w:p w14:paraId="7C42DE87" w14:textId="7196467A" w:rsidR="009A5A26" w:rsidRPr="009A5A26" w:rsidRDefault="00DE0D74" w:rsidP="00AC7EC1">
      <w:pPr>
        <w:spacing w:line="240" w:lineRule="auto"/>
        <w:rPr>
          <w:rFonts w:ascii="Times New Roman" w:eastAsia="Times New Roman" w:hAnsi="Times New Roman" w:cs="Times New Roman"/>
        </w:rPr>
      </w:pPr>
      <w:r w:rsidRPr="278BE191">
        <w:rPr>
          <w:rFonts w:ascii="Times New Roman" w:hAnsi="Times New Roman" w:cs="Times New Roman"/>
        </w:rPr>
        <w:t xml:space="preserve">This </w:t>
      </w:r>
      <w:r w:rsidR="005E553D" w:rsidRPr="278BE191">
        <w:rPr>
          <w:rFonts w:ascii="Times New Roman" w:hAnsi="Times New Roman" w:cs="Times New Roman"/>
        </w:rPr>
        <w:t>r</w:t>
      </w:r>
      <w:r w:rsidRPr="278BE191">
        <w:rPr>
          <w:rFonts w:ascii="Times New Roman" w:hAnsi="Times New Roman" w:cs="Times New Roman"/>
        </w:rPr>
        <w:t xml:space="preserve">eport </w:t>
      </w:r>
      <w:r w:rsidR="009A5A26" w:rsidRPr="278BE191">
        <w:rPr>
          <w:rFonts w:ascii="Times New Roman" w:hAnsi="Times New Roman" w:cs="Times New Roman"/>
        </w:rPr>
        <w:t xml:space="preserve">should be submitted to EOHHS by </w:t>
      </w:r>
      <w:r w:rsidR="009A5A26" w:rsidRPr="35ABAD13">
        <w:rPr>
          <w:rFonts w:ascii="Times New Roman" w:hAnsi="Times New Roman" w:cs="Times New Roman"/>
          <w:b/>
        </w:rPr>
        <w:t>September 30, 2023</w:t>
      </w:r>
      <w:r w:rsidR="6D923097" w:rsidRPr="278BE191">
        <w:rPr>
          <w:rFonts w:ascii="Times New Roman" w:hAnsi="Times New Roman" w:cs="Times New Roman"/>
        </w:rPr>
        <w:t>,</w:t>
      </w:r>
      <w:r w:rsidR="009A5A26" w:rsidRPr="278BE191">
        <w:rPr>
          <w:rFonts w:ascii="Times New Roman" w:hAnsi="Times New Roman" w:cs="Times New Roman"/>
        </w:rPr>
        <w:t xml:space="preserve"> via OnBase</w:t>
      </w:r>
      <w:r w:rsidR="404F4098" w:rsidRPr="278BE191">
        <w:rPr>
          <w:rFonts w:ascii="Times New Roman" w:hAnsi="Times New Roman" w:cs="Times New Roman"/>
        </w:rPr>
        <w:t>,</w:t>
      </w:r>
      <w:r w:rsidR="009A5A26" w:rsidRPr="278BE191">
        <w:rPr>
          <w:rFonts w:ascii="Times New Roman" w:hAnsi="Times New Roman" w:cs="Times New Roman"/>
        </w:rPr>
        <w:t xml:space="preserve"> with the document name: ACO/</w:t>
      </w:r>
      <w:proofErr w:type="spellStart"/>
      <w:r w:rsidR="005D7FF2" w:rsidRPr="278BE191">
        <w:rPr>
          <w:rFonts w:ascii="Times New Roman" w:hAnsi="Times New Roman" w:cs="Times New Roman"/>
        </w:rPr>
        <w:t>Hospital</w:t>
      </w:r>
      <w:r w:rsidR="009A5A26" w:rsidRPr="278BE191">
        <w:rPr>
          <w:rFonts w:ascii="Times New Roman" w:hAnsi="Times New Roman" w:cs="Times New Roman"/>
        </w:rPr>
        <w:t>Abbreviation_PIP</w:t>
      </w:r>
      <w:r w:rsidR="005D7FF2" w:rsidRPr="278BE191">
        <w:rPr>
          <w:rFonts w:ascii="Times New Roman" w:hAnsi="Times New Roman" w:cs="Times New Roman"/>
        </w:rPr>
        <w:t>MidYearReport</w:t>
      </w:r>
      <w:r w:rsidR="009A5A26" w:rsidRPr="278BE191">
        <w:rPr>
          <w:rFonts w:ascii="Times New Roman" w:hAnsi="Times New Roman" w:cs="Times New Roman"/>
        </w:rPr>
        <w:t>_MMDDYYYY</w:t>
      </w:r>
      <w:proofErr w:type="spellEnd"/>
      <w:r w:rsidR="2EF77B2E" w:rsidRPr="35ABAD13">
        <w:rPr>
          <w:rFonts w:ascii="Times New Roman" w:hAnsi="Times New Roman" w:cs="Times New Roman"/>
        </w:rPr>
        <w:t>.</w:t>
      </w:r>
      <w:r w:rsidR="3DB8F122" w:rsidRPr="35ABAD13">
        <w:rPr>
          <w:rFonts w:ascii="Times New Roman" w:hAnsi="Times New Roman" w:cs="Times New Roman"/>
        </w:rPr>
        <w:t xml:space="preserve"> Please rename the file with the hospital’s </w:t>
      </w:r>
      <w:r w:rsidR="007744C5">
        <w:rPr>
          <w:rFonts w:ascii="Times New Roman" w:hAnsi="Times New Roman" w:cs="Times New Roman"/>
        </w:rPr>
        <w:t>or</w:t>
      </w:r>
      <w:r w:rsidR="3DB8F122" w:rsidRPr="35ABAD13">
        <w:rPr>
          <w:rFonts w:ascii="Times New Roman" w:hAnsi="Times New Roman" w:cs="Times New Roman"/>
        </w:rPr>
        <w:t xml:space="preserve"> ACO</w:t>
      </w:r>
      <w:r w:rsidR="007744C5">
        <w:rPr>
          <w:rFonts w:ascii="Times New Roman" w:hAnsi="Times New Roman" w:cs="Times New Roman"/>
        </w:rPr>
        <w:t>’s</w:t>
      </w:r>
      <w:r w:rsidR="3DB8F122" w:rsidRPr="35ABAD13">
        <w:rPr>
          <w:rFonts w:ascii="Times New Roman" w:hAnsi="Times New Roman" w:cs="Times New Roman"/>
        </w:rPr>
        <w:t xml:space="preserve"> abbreviations and submission date. </w:t>
      </w:r>
      <w:r w:rsidR="3DB8F122" w:rsidRPr="35ABAD13">
        <w:rPr>
          <w:rFonts w:ascii="Times New Roman" w:eastAsia="Times New Roman" w:hAnsi="Times New Roman" w:cs="Times New Roman"/>
          <w:sz w:val="24"/>
          <w:szCs w:val="24"/>
        </w:rPr>
        <w:t>Note: submission is a 2-step process. After uploading the deliverables onto OnBase, you must also click “submit” to finalize the submission.</w:t>
      </w:r>
    </w:p>
    <w:p w14:paraId="7A0F5209" w14:textId="36A76188" w:rsidR="0060411B" w:rsidRPr="0033522B" w:rsidRDefault="009A5A26" w:rsidP="009A5A26">
      <w:pPr>
        <w:rPr>
          <w:rFonts w:ascii="Times New Roman" w:hAnsi="Times New Roman" w:cs="Times New Roman"/>
        </w:rPr>
      </w:pPr>
      <w:r w:rsidRPr="009A5A26">
        <w:rPr>
          <w:rFonts w:ascii="Times New Roman" w:hAnsi="Times New Roman" w:cs="Times New Roman"/>
        </w:rPr>
        <w:t>Please send any questions to the MassHealth Health Equity Team at Health.Equity@mass.gov.</w:t>
      </w:r>
    </w:p>
    <w:p w14:paraId="4586D9D4" w14:textId="24EF0A1E" w:rsidR="0039002A" w:rsidRPr="0033522B" w:rsidRDefault="009D18AD" w:rsidP="2B26D8DC">
      <w:pPr>
        <w:pStyle w:val="Heading2"/>
      </w:pPr>
      <w:r w:rsidRPr="0033522B">
        <w:t>Key Contact</w:t>
      </w:r>
      <w:r w:rsidR="00314329" w:rsidRPr="0033522B">
        <w:t>s</w:t>
      </w:r>
      <w:r w:rsidR="00321FEF">
        <w:t xml:space="preserve"> Updates</w:t>
      </w:r>
      <w:r w:rsidR="00314329" w:rsidRPr="0033522B">
        <w:t xml:space="preserve">: </w:t>
      </w:r>
    </w:p>
    <w:p w14:paraId="708DE8BC" w14:textId="172BE6F4" w:rsidR="008A2085" w:rsidRPr="0033522B" w:rsidRDefault="747702A9">
      <w:pPr>
        <w:rPr>
          <w:rFonts w:ascii="Times New Roman" w:hAnsi="Times New Roman" w:cs="Times New Roman"/>
        </w:rPr>
      </w:pPr>
      <w:r w:rsidRPr="386E6628">
        <w:rPr>
          <w:rFonts w:ascii="Times New Roman" w:hAnsi="Times New Roman" w:cs="Times New Roman"/>
        </w:rPr>
        <w:t>Ple</w:t>
      </w:r>
      <w:r w:rsidR="16223F99" w:rsidRPr="386E6628">
        <w:rPr>
          <w:rFonts w:ascii="Times New Roman" w:hAnsi="Times New Roman" w:cs="Times New Roman"/>
        </w:rPr>
        <w:t xml:space="preserve">ase </w:t>
      </w:r>
      <w:r w:rsidR="42911126" w:rsidRPr="386E6628">
        <w:rPr>
          <w:rFonts w:ascii="Times New Roman" w:hAnsi="Times New Roman" w:cs="Times New Roman"/>
        </w:rPr>
        <w:t>r</w:t>
      </w:r>
      <w:r w:rsidRPr="386E6628">
        <w:rPr>
          <w:rFonts w:ascii="Times New Roman" w:hAnsi="Times New Roman" w:cs="Times New Roman"/>
        </w:rPr>
        <w:t xml:space="preserve">eview </w:t>
      </w:r>
      <w:r w:rsidR="4A34B8CA" w:rsidRPr="386E6628">
        <w:rPr>
          <w:rFonts w:ascii="Times New Roman" w:hAnsi="Times New Roman" w:cs="Times New Roman"/>
        </w:rPr>
        <w:t xml:space="preserve">the </w:t>
      </w:r>
      <w:r w:rsidR="138218CF" w:rsidRPr="386E6628">
        <w:rPr>
          <w:rFonts w:ascii="Times New Roman" w:hAnsi="Times New Roman" w:cs="Times New Roman"/>
        </w:rPr>
        <w:t xml:space="preserve">PIP </w:t>
      </w:r>
      <w:r w:rsidR="4F90C695" w:rsidRPr="386E6628">
        <w:rPr>
          <w:rFonts w:ascii="Times New Roman" w:hAnsi="Times New Roman" w:cs="Times New Roman"/>
        </w:rPr>
        <w:t>c</w:t>
      </w:r>
      <w:r w:rsidR="4A34B8CA" w:rsidRPr="386E6628">
        <w:rPr>
          <w:rFonts w:ascii="Times New Roman" w:hAnsi="Times New Roman" w:cs="Times New Roman"/>
        </w:rPr>
        <w:t>ontacts you</w:t>
      </w:r>
      <w:r w:rsidR="351F8AE2" w:rsidRPr="386E6628">
        <w:rPr>
          <w:rFonts w:ascii="Times New Roman" w:hAnsi="Times New Roman" w:cs="Times New Roman"/>
        </w:rPr>
        <w:t>r entity</w:t>
      </w:r>
      <w:r w:rsidR="0A9F6836" w:rsidRPr="386E6628">
        <w:rPr>
          <w:rFonts w:ascii="Times New Roman" w:hAnsi="Times New Roman" w:cs="Times New Roman"/>
        </w:rPr>
        <w:t xml:space="preserve"> and other members of your approved partnership</w:t>
      </w:r>
      <w:r w:rsidR="288343D5" w:rsidRPr="386E6628">
        <w:rPr>
          <w:rFonts w:ascii="Times New Roman" w:hAnsi="Times New Roman" w:cs="Times New Roman"/>
        </w:rPr>
        <w:t>(s)</w:t>
      </w:r>
      <w:r w:rsidR="0A9F6836" w:rsidRPr="386E6628">
        <w:rPr>
          <w:rFonts w:ascii="Times New Roman" w:hAnsi="Times New Roman" w:cs="Times New Roman"/>
        </w:rPr>
        <w:t xml:space="preserve"> (as applicable)</w:t>
      </w:r>
      <w:r w:rsidR="4A34B8CA" w:rsidRPr="386E6628">
        <w:rPr>
          <w:rFonts w:ascii="Times New Roman" w:hAnsi="Times New Roman" w:cs="Times New Roman"/>
        </w:rPr>
        <w:t xml:space="preserve"> ha</w:t>
      </w:r>
      <w:r w:rsidR="6322874F" w:rsidRPr="386E6628">
        <w:rPr>
          <w:rFonts w:ascii="Times New Roman" w:hAnsi="Times New Roman" w:cs="Times New Roman"/>
        </w:rPr>
        <w:t>ve</w:t>
      </w:r>
      <w:r w:rsidR="4A34B8CA" w:rsidRPr="386E6628">
        <w:rPr>
          <w:rFonts w:ascii="Times New Roman" w:hAnsi="Times New Roman" w:cs="Times New Roman"/>
        </w:rPr>
        <w:t xml:space="preserve"> submitted to date to MassHealth. </w:t>
      </w:r>
      <w:r w:rsidR="447BCAE1" w:rsidRPr="386E6628">
        <w:rPr>
          <w:rFonts w:ascii="Times New Roman" w:hAnsi="Times New Roman" w:cs="Times New Roman"/>
        </w:rPr>
        <w:t>Modify</w:t>
      </w:r>
      <w:r w:rsidR="447BCAE1" w:rsidRPr="35ABAD13">
        <w:rPr>
          <w:rFonts w:ascii="Times New Roman" w:hAnsi="Times New Roman" w:cs="Times New Roman"/>
        </w:rPr>
        <w:t xml:space="preserve"> </w:t>
      </w:r>
      <w:r w:rsidR="5B7838A8" w:rsidRPr="35ABAD13">
        <w:rPr>
          <w:rFonts w:ascii="Times New Roman" w:hAnsi="Times New Roman" w:cs="Times New Roman"/>
        </w:rPr>
        <w:t>and list</w:t>
      </w:r>
      <w:r w:rsidR="447BCAE1" w:rsidRPr="386E6628">
        <w:rPr>
          <w:rFonts w:ascii="Times New Roman" w:hAnsi="Times New Roman" w:cs="Times New Roman"/>
        </w:rPr>
        <w:t xml:space="preserve"> </w:t>
      </w:r>
      <w:r w:rsidR="75730768" w:rsidRPr="386E6628">
        <w:rPr>
          <w:rFonts w:ascii="Times New Roman" w:hAnsi="Times New Roman" w:cs="Times New Roman"/>
        </w:rPr>
        <w:t xml:space="preserve">key </w:t>
      </w:r>
      <w:r w:rsidR="4CC0C0B8" w:rsidRPr="386E6628">
        <w:rPr>
          <w:rFonts w:ascii="Times New Roman" w:hAnsi="Times New Roman" w:cs="Times New Roman"/>
        </w:rPr>
        <w:t>contacts</w:t>
      </w:r>
      <w:r w:rsidR="6D840AAE" w:rsidRPr="386E6628">
        <w:rPr>
          <w:rFonts w:ascii="Times New Roman" w:hAnsi="Times New Roman" w:cs="Times New Roman"/>
        </w:rPr>
        <w:t xml:space="preserve"> of your entity</w:t>
      </w:r>
      <w:r w:rsidR="4CC0C0B8" w:rsidRPr="386E6628">
        <w:rPr>
          <w:rFonts w:ascii="Times New Roman" w:hAnsi="Times New Roman" w:cs="Times New Roman"/>
        </w:rPr>
        <w:t xml:space="preserve"> </w:t>
      </w:r>
      <w:r w:rsidR="4CC0C0B8" w:rsidRPr="386E6628">
        <w:rPr>
          <w:rFonts w:ascii="Times New Roman" w:hAnsi="Times New Roman" w:cs="Times New Roman"/>
          <w:u w:val="single"/>
        </w:rPr>
        <w:t>as needed</w:t>
      </w:r>
      <w:r w:rsidR="13148E07" w:rsidRPr="386E6628">
        <w:rPr>
          <w:rFonts w:ascii="Times New Roman" w:hAnsi="Times New Roman" w:cs="Times New Roman"/>
        </w:rPr>
        <w:t xml:space="preserve"> </w:t>
      </w:r>
      <w:r w:rsidR="1D40D27A" w:rsidRPr="35ABAD13">
        <w:rPr>
          <w:rFonts w:ascii="Times New Roman" w:hAnsi="Times New Roman" w:cs="Times New Roman"/>
        </w:rPr>
        <w:t xml:space="preserve">in the table below </w:t>
      </w:r>
      <w:r w:rsidR="13148E07" w:rsidRPr="386E6628">
        <w:rPr>
          <w:rFonts w:ascii="Times New Roman" w:hAnsi="Times New Roman" w:cs="Times New Roman"/>
        </w:rPr>
        <w:t xml:space="preserve">to ensure MassHealth has the most up-to-date </w:t>
      </w:r>
      <w:r w:rsidR="793888D4" w:rsidRPr="386E6628">
        <w:rPr>
          <w:rFonts w:ascii="Times New Roman" w:hAnsi="Times New Roman" w:cs="Times New Roman"/>
        </w:rPr>
        <w:t xml:space="preserve">and </w:t>
      </w:r>
      <w:r w:rsidR="71346B75" w:rsidRPr="386E6628">
        <w:rPr>
          <w:rFonts w:ascii="Times New Roman" w:hAnsi="Times New Roman" w:cs="Times New Roman"/>
        </w:rPr>
        <w:t>coordinated</w:t>
      </w:r>
      <w:r w:rsidR="793888D4" w:rsidRPr="386E6628">
        <w:rPr>
          <w:rFonts w:ascii="Times New Roman" w:hAnsi="Times New Roman" w:cs="Times New Roman"/>
        </w:rPr>
        <w:t xml:space="preserve"> </w:t>
      </w:r>
      <w:r w:rsidR="13148E07" w:rsidRPr="386E6628">
        <w:rPr>
          <w:rFonts w:ascii="Times New Roman" w:hAnsi="Times New Roman" w:cs="Times New Roman"/>
        </w:rPr>
        <w:t>information</w:t>
      </w:r>
      <w:r w:rsidR="4183A240" w:rsidRPr="386E6628">
        <w:rPr>
          <w:rFonts w:ascii="Times New Roman" w:hAnsi="Times New Roman" w:cs="Times New Roman"/>
        </w:rPr>
        <w:t xml:space="preserve"> (</w:t>
      </w:r>
      <w:r w:rsidR="2339E9DB" w:rsidRPr="35ABAD13">
        <w:rPr>
          <w:rFonts w:ascii="Times New Roman" w:hAnsi="Times New Roman" w:cs="Times New Roman"/>
        </w:rPr>
        <w:t>i</w:t>
      </w:r>
      <w:r w:rsidR="4183A240" w:rsidRPr="35ABAD13">
        <w:rPr>
          <w:rFonts w:ascii="Times New Roman" w:hAnsi="Times New Roman" w:cs="Times New Roman"/>
        </w:rPr>
        <w:t>f</w:t>
      </w:r>
      <w:r w:rsidR="4183A240" w:rsidRPr="386E6628">
        <w:rPr>
          <w:rFonts w:ascii="Times New Roman" w:hAnsi="Times New Roman" w:cs="Times New Roman"/>
        </w:rPr>
        <w:t xml:space="preserve"> no changes, please leave blank)</w:t>
      </w:r>
      <w:r w:rsidR="008519F5" w:rsidRPr="386E6628">
        <w:rPr>
          <w:rFonts w:ascii="Times New Roman" w:hAnsi="Times New Roman" w:cs="Times New Roman"/>
        </w:rPr>
        <w:t>:</w:t>
      </w:r>
    </w:p>
    <w:tbl>
      <w:tblPr>
        <w:tblStyle w:val="TableGrid"/>
        <w:tblW w:w="8502" w:type="dxa"/>
        <w:jc w:val="center"/>
        <w:tblLook w:val="04A0" w:firstRow="1" w:lastRow="0" w:firstColumn="1" w:lastColumn="0" w:noHBand="0" w:noVBand="1"/>
      </w:tblPr>
      <w:tblGrid>
        <w:gridCol w:w="2078"/>
        <w:gridCol w:w="2032"/>
        <w:gridCol w:w="2160"/>
        <w:gridCol w:w="2232"/>
      </w:tblGrid>
      <w:tr w:rsidR="006C79A5" w:rsidRPr="0033522B" w14:paraId="6F29A9DF" w14:textId="40011D46" w:rsidTr="00BA120D">
        <w:trPr>
          <w:trHeight w:val="300"/>
          <w:tblHeader/>
          <w:jc w:val="center"/>
        </w:trPr>
        <w:tc>
          <w:tcPr>
            <w:tcW w:w="2078" w:type="dxa"/>
          </w:tcPr>
          <w:p w14:paraId="7B5B22F8" w14:textId="1178A381" w:rsidR="006C79A5" w:rsidRPr="0033522B" w:rsidRDefault="006C79A5">
            <w:pPr>
              <w:rPr>
                <w:rFonts w:ascii="Times New Roman" w:hAnsi="Times New Roman" w:cs="Times New Roman"/>
              </w:rPr>
            </w:pPr>
            <w:r w:rsidRPr="0033522B">
              <w:rPr>
                <w:rFonts w:ascii="Times New Roman" w:hAnsi="Times New Roman" w:cs="Times New Roman"/>
              </w:rPr>
              <w:t>Executive Sponsor and Email/Contact Information</w:t>
            </w:r>
          </w:p>
        </w:tc>
        <w:tc>
          <w:tcPr>
            <w:tcW w:w="2032" w:type="dxa"/>
          </w:tcPr>
          <w:p w14:paraId="725983FE" w14:textId="3AFD4F67" w:rsidR="006C79A5" w:rsidRPr="0033522B" w:rsidRDefault="006C79A5">
            <w:pPr>
              <w:rPr>
                <w:rFonts w:ascii="Times New Roman" w:hAnsi="Times New Roman" w:cs="Times New Roman"/>
              </w:rPr>
            </w:pPr>
            <w:r w:rsidRPr="0033522B">
              <w:rPr>
                <w:rFonts w:ascii="Times New Roman" w:hAnsi="Times New Roman" w:cs="Times New Roman"/>
              </w:rPr>
              <w:t>Clinical Lead and Email/Contact Information</w:t>
            </w:r>
          </w:p>
        </w:tc>
        <w:tc>
          <w:tcPr>
            <w:tcW w:w="2160" w:type="dxa"/>
          </w:tcPr>
          <w:p w14:paraId="41FE68C4" w14:textId="322A3143" w:rsidR="006C79A5" w:rsidRPr="0033522B" w:rsidRDefault="006C79A5">
            <w:pPr>
              <w:rPr>
                <w:rFonts w:ascii="Times New Roman" w:hAnsi="Times New Roman" w:cs="Times New Roman"/>
              </w:rPr>
            </w:pPr>
            <w:r w:rsidRPr="0033522B">
              <w:rPr>
                <w:rFonts w:ascii="Times New Roman" w:hAnsi="Times New Roman" w:cs="Times New Roman"/>
              </w:rPr>
              <w:t>Project Manager and Email/Contact Information</w:t>
            </w:r>
          </w:p>
        </w:tc>
        <w:tc>
          <w:tcPr>
            <w:tcW w:w="2232" w:type="dxa"/>
          </w:tcPr>
          <w:p w14:paraId="05CCD389" w14:textId="4AC668EA" w:rsidR="006C79A5" w:rsidRPr="0033522B" w:rsidRDefault="006C79A5">
            <w:pPr>
              <w:rPr>
                <w:rFonts w:ascii="Times New Roman" w:hAnsi="Times New Roman" w:cs="Times New Roman"/>
              </w:rPr>
            </w:pPr>
            <w:r w:rsidRPr="0033522B">
              <w:rPr>
                <w:rFonts w:ascii="Times New Roman" w:hAnsi="Times New Roman" w:cs="Times New Roman"/>
              </w:rPr>
              <w:t>Other Supporting Personnel, Role</w:t>
            </w:r>
            <w:r w:rsidR="00AE74EE" w:rsidRPr="0033522B">
              <w:rPr>
                <w:rFonts w:ascii="Times New Roman" w:hAnsi="Times New Roman" w:cs="Times New Roman"/>
              </w:rPr>
              <w:t xml:space="preserve"> for PIPs</w:t>
            </w:r>
            <w:r w:rsidRPr="0033522B">
              <w:rPr>
                <w:rFonts w:ascii="Times New Roman" w:hAnsi="Times New Roman" w:cs="Times New Roman"/>
              </w:rPr>
              <w:t>, and Email/Contact Information</w:t>
            </w:r>
          </w:p>
        </w:tc>
      </w:tr>
      <w:tr w:rsidR="006C79A5" w:rsidRPr="0033522B" w14:paraId="05A5C55B" w14:textId="6695427A" w:rsidTr="386E6628">
        <w:trPr>
          <w:trHeight w:val="300"/>
          <w:jc w:val="center"/>
        </w:trPr>
        <w:tc>
          <w:tcPr>
            <w:tcW w:w="2078" w:type="dxa"/>
          </w:tcPr>
          <w:p w14:paraId="7D043A1B" w14:textId="77777777" w:rsidR="006C79A5" w:rsidRPr="0033522B" w:rsidRDefault="006C79A5">
            <w:pPr>
              <w:rPr>
                <w:rFonts w:ascii="Times New Roman" w:hAnsi="Times New Roman" w:cs="Times New Roman"/>
              </w:rPr>
            </w:pPr>
          </w:p>
        </w:tc>
        <w:tc>
          <w:tcPr>
            <w:tcW w:w="2032" w:type="dxa"/>
          </w:tcPr>
          <w:p w14:paraId="2636213C" w14:textId="77777777" w:rsidR="006C79A5" w:rsidRPr="0033522B" w:rsidRDefault="006C79A5">
            <w:pPr>
              <w:rPr>
                <w:rFonts w:ascii="Times New Roman" w:hAnsi="Times New Roman" w:cs="Times New Roman"/>
              </w:rPr>
            </w:pPr>
          </w:p>
        </w:tc>
        <w:tc>
          <w:tcPr>
            <w:tcW w:w="2160" w:type="dxa"/>
          </w:tcPr>
          <w:p w14:paraId="108FEF9A" w14:textId="77777777" w:rsidR="006C79A5" w:rsidRPr="0033522B" w:rsidRDefault="006C79A5">
            <w:pPr>
              <w:rPr>
                <w:rFonts w:ascii="Times New Roman" w:hAnsi="Times New Roman" w:cs="Times New Roman"/>
              </w:rPr>
            </w:pPr>
          </w:p>
        </w:tc>
        <w:tc>
          <w:tcPr>
            <w:tcW w:w="2232" w:type="dxa"/>
          </w:tcPr>
          <w:p w14:paraId="0724254E" w14:textId="77777777" w:rsidR="006C79A5" w:rsidRPr="0033522B" w:rsidRDefault="006C79A5">
            <w:pPr>
              <w:rPr>
                <w:rFonts w:ascii="Times New Roman" w:hAnsi="Times New Roman" w:cs="Times New Roman"/>
              </w:rPr>
            </w:pPr>
          </w:p>
        </w:tc>
      </w:tr>
    </w:tbl>
    <w:p w14:paraId="1473EC21" w14:textId="77777777" w:rsidR="00321FEF" w:rsidRDefault="00321FEF" w:rsidP="2B26D8DC">
      <w:pPr>
        <w:pStyle w:val="Heading2"/>
      </w:pPr>
    </w:p>
    <w:p w14:paraId="12E8EF5D" w14:textId="42E2DE38" w:rsidR="005B4DBC" w:rsidRDefault="00AC0958" w:rsidP="2B26D8DC">
      <w:pPr>
        <w:pStyle w:val="Heading2"/>
      </w:pPr>
      <w:r w:rsidRPr="0033522B">
        <w:t>Mid-Year Planning</w:t>
      </w:r>
      <w:r w:rsidR="009D732F">
        <w:t xml:space="preserve"> for PIP 1</w:t>
      </w:r>
      <w:r w:rsidRPr="0033522B">
        <w:t>:</w:t>
      </w:r>
    </w:p>
    <w:p w14:paraId="13E6BB74" w14:textId="41A50E94" w:rsidR="007559AC" w:rsidRPr="007559AC" w:rsidRDefault="00D36480">
      <w:pPr>
        <w:rPr>
          <w:rFonts w:ascii="Times New Roman" w:hAnsi="Times New Roman" w:cs="Times New Roman"/>
        </w:rPr>
      </w:pPr>
      <w:r w:rsidRPr="2B26D8DC">
        <w:rPr>
          <w:rFonts w:ascii="Times New Roman" w:hAnsi="Times New Roman" w:cs="Times New Roman"/>
        </w:rPr>
        <w:t>Please provide</w:t>
      </w:r>
      <w:r w:rsidR="007559AC" w:rsidRPr="2B26D8DC">
        <w:rPr>
          <w:rFonts w:ascii="Times New Roman" w:hAnsi="Times New Roman" w:cs="Times New Roman"/>
        </w:rPr>
        <w:t xml:space="preserve"> a brief narrative </w:t>
      </w:r>
      <w:r w:rsidR="005427B4">
        <w:rPr>
          <w:rFonts w:ascii="Times New Roman" w:hAnsi="Times New Roman" w:cs="Times New Roman"/>
        </w:rPr>
        <w:t xml:space="preserve">(suggested 500 words or less) </w:t>
      </w:r>
      <w:r w:rsidR="007559AC" w:rsidRPr="2B26D8DC">
        <w:rPr>
          <w:rFonts w:ascii="Times New Roman" w:hAnsi="Times New Roman" w:cs="Times New Roman"/>
        </w:rPr>
        <w:t>with the following information</w:t>
      </w:r>
      <w:r w:rsidR="77A6B5AC" w:rsidRPr="2B26D8DC">
        <w:rPr>
          <w:rFonts w:ascii="Times New Roman" w:hAnsi="Times New Roman" w:cs="Times New Roman"/>
        </w:rPr>
        <w:t xml:space="preserve"> (</w:t>
      </w:r>
      <w:r w:rsidR="13B68776" w:rsidRPr="35ABAD13">
        <w:rPr>
          <w:rFonts w:ascii="Times New Roman" w:hAnsi="Times New Roman" w:cs="Times New Roman"/>
        </w:rPr>
        <w:t>f</w:t>
      </w:r>
      <w:r w:rsidR="77A6B5AC" w:rsidRPr="35ABAD13">
        <w:rPr>
          <w:rFonts w:ascii="Times New Roman" w:hAnsi="Times New Roman" w:cs="Times New Roman"/>
        </w:rPr>
        <w:t>or</w:t>
      </w:r>
      <w:r w:rsidR="77A6B5AC" w:rsidRPr="2B26D8DC">
        <w:rPr>
          <w:rFonts w:ascii="Times New Roman" w:hAnsi="Times New Roman" w:cs="Times New Roman"/>
        </w:rPr>
        <w:t xml:space="preserve"> partnered entities, the content of this narrative </w:t>
      </w:r>
      <w:r w:rsidR="77A6B5AC" w:rsidRPr="35ABAD13">
        <w:rPr>
          <w:rFonts w:ascii="Times New Roman" w:hAnsi="Times New Roman" w:cs="Times New Roman"/>
        </w:rPr>
        <w:t>m</w:t>
      </w:r>
      <w:r w:rsidR="7308FA0E" w:rsidRPr="35ABAD13">
        <w:rPr>
          <w:rFonts w:ascii="Times New Roman" w:hAnsi="Times New Roman" w:cs="Times New Roman"/>
        </w:rPr>
        <w:t>ay</w:t>
      </w:r>
      <w:r w:rsidR="77A6B5AC" w:rsidRPr="2B26D8DC">
        <w:rPr>
          <w:rFonts w:ascii="Times New Roman" w:hAnsi="Times New Roman" w:cs="Times New Roman"/>
        </w:rPr>
        <w:t xml:space="preserve"> be the same or very similar)</w:t>
      </w:r>
      <w:r w:rsidR="007559AC" w:rsidRPr="2B26D8DC">
        <w:rPr>
          <w:rFonts w:ascii="Times New Roman" w:hAnsi="Times New Roman" w:cs="Times New Roman"/>
        </w:rPr>
        <w:t>:</w:t>
      </w:r>
    </w:p>
    <w:p w14:paraId="34A7E542" w14:textId="629EF1A7" w:rsidR="00EE6382" w:rsidRPr="0061046B" w:rsidRDefault="009322DD" w:rsidP="0061046B">
      <w:pPr>
        <w:pStyle w:val="ListParagraph"/>
        <w:numPr>
          <w:ilvl w:val="0"/>
          <w:numId w:val="1"/>
        </w:numPr>
        <w:rPr>
          <w:rFonts w:ascii="Times New Roman" w:hAnsi="Times New Roman" w:cs="Times New Roman"/>
        </w:rPr>
      </w:pPr>
      <w:r w:rsidRPr="0061046B">
        <w:rPr>
          <w:rFonts w:ascii="Times New Roman" w:hAnsi="Times New Roman" w:cs="Times New Roman"/>
        </w:rPr>
        <w:t>S</w:t>
      </w:r>
      <w:r w:rsidR="00AB6DF6" w:rsidRPr="0061046B">
        <w:rPr>
          <w:rFonts w:ascii="Times New Roman" w:hAnsi="Times New Roman" w:cs="Times New Roman"/>
        </w:rPr>
        <w:t>ummarize</w:t>
      </w:r>
      <w:r w:rsidR="003B779E" w:rsidRPr="0061046B">
        <w:rPr>
          <w:rFonts w:ascii="Times New Roman" w:hAnsi="Times New Roman" w:cs="Times New Roman"/>
        </w:rPr>
        <w:t xml:space="preserve"> </w:t>
      </w:r>
      <w:r w:rsidR="00D1767C">
        <w:rPr>
          <w:rFonts w:ascii="Times New Roman" w:hAnsi="Times New Roman" w:cs="Times New Roman"/>
        </w:rPr>
        <w:t xml:space="preserve">any efforts (e.g., </w:t>
      </w:r>
      <w:r w:rsidR="00AB6DF6" w:rsidRPr="0061046B">
        <w:rPr>
          <w:rFonts w:ascii="Times New Roman" w:hAnsi="Times New Roman" w:cs="Times New Roman"/>
        </w:rPr>
        <w:t>meetings, conversations,</w:t>
      </w:r>
      <w:r w:rsidR="009D732F" w:rsidRPr="0061046B" w:rsidDel="00D1767C">
        <w:rPr>
          <w:rFonts w:ascii="Times New Roman" w:hAnsi="Times New Roman" w:cs="Times New Roman"/>
        </w:rPr>
        <w:t xml:space="preserve"> </w:t>
      </w:r>
      <w:r w:rsidR="009D732F" w:rsidRPr="0061046B">
        <w:rPr>
          <w:rFonts w:ascii="Times New Roman" w:hAnsi="Times New Roman" w:cs="Times New Roman"/>
        </w:rPr>
        <w:t>time</w:t>
      </w:r>
      <w:r w:rsidRPr="0061046B">
        <w:rPr>
          <w:rFonts w:ascii="Times New Roman" w:hAnsi="Times New Roman" w:cs="Times New Roman"/>
        </w:rPr>
        <w:t xml:space="preserve"> allotted</w:t>
      </w:r>
      <w:r w:rsidR="0085401A">
        <w:rPr>
          <w:rFonts w:ascii="Times New Roman" w:hAnsi="Times New Roman" w:cs="Times New Roman"/>
        </w:rPr>
        <w:t>, etc.)</w:t>
      </w:r>
      <w:r w:rsidRPr="0061046B">
        <w:rPr>
          <w:rFonts w:ascii="Times New Roman" w:hAnsi="Times New Roman" w:cs="Times New Roman"/>
        </w:rPr>
        <w:t xml:space="preserve"> by partnered entities or partner exempt entities</w:t>
      </w:r>
      <w:r w:rsidR="009556B6" w:rsidRPr="0061046B">
        <w:rPr>
          <w:rFonts w:ascii="Times New Roman" w:hAnsi="Times New Roman" w:cs="Times New Roman"/>
        </w:rPr>
        <w:t xml:space="preserve"> to</w:t>
      </w:r>
      <w:r w:rsidR="0061046B" w:rsidRPr="0061046B">
        <w:rPr>
          <w:rFonts w:ascii="Times New Roman" w:hAnsi="Times New Roman" w:cs="Times New Roman"/>
        </w:rPr>
        <w:t xml:space="preserve"> </w:t>
      </w:r>
      <w:r w:rsidR="00B65348">
        <w:rPr>
          <w:rFonts w:ascii="Times New Roman" w:hAnsi="Times New Roman" w:cs="Times New Roman"/>
        </w:rPr>
        <w:t>identify</w:t>
      </w:r>
      <w:r w:rsidR="00CF04AD" w:rsidRPr="0061046B">
        <w:rPr>
          <w:rFonts w:ascii="Times New Roman" w:hAnsi="Times New Roman" w:cs="Times New Roman"/>
        </w:rPr>
        <w:t xml:space="preserve"> </w:t>
      </w:r>
      <w:r w:rsidR="00465A79" w:rsidRPr="0061046B">
        <w:rPr>
          <w:rFonts w:ascii="Times New Roman" w:hAnsi="Times New Roman" w:cs="Times New Roman"/>
        </w:rPr>
        <w:t>PIP</w:t>
      </w:r>
      <w:r w:rsidR="0040295E" w:rsidRPr="0061046B">
        <w:rPr>
          <w:rFonts w:ascii="Times New Roman" w:hAnsi="Times New Roman" w:cs="Times New Roman"/>
        </w:rPr>
        <w:t xml:space="preserve"> 1</w:t>
      </w:r>
      <w:r w:rsidR="00465A79" w:rsidRPr="0061046B">
        <w:rPr>
          <w:rFonts w:ascii="Times New Roman" w:hAnsi="Times New Roman" w:cs="Times New Roman"/>
        </w:rPr>
        <w:t xml:space="preserve"> </w:t>
      </w:r>
      <w:r w:rsidR="00E566E6" w:rsidRPr="0061046B">
        <w:rPr>
          <w:rFonts w:ascii="Times New Roman" w:hAnsi="Times New Roman" w:cs="Times New Roman"/>
        </w:rPr>
        <w:t xml:space="preserve">topic and </w:t>
      </w:r>
      <w:r w:rsidR="000B60F2" w:rsidRPr="0061046B">
        <w:rPr>
          <w:rFonts w:ascii="Times New Roman" w:hAnsi="Times New Roman" w:cs="Times New Roman"/>
        </w:rPr>
        <w:t>potential measure areas</w:t>
      </w:r>
      <w:r w:rsidR="00622C18" w:rsidRPr="35ABAD13">
        <w:rPr>
          <w:rFonts w:ascii="Times New Roman" w:hAnsi="Times New Roman" w:cs="Times New Roman"/>
        </w:rPr>
        <w:t>,</w:t>
      </w:r>
      <w:r w:rsidR="00622C18" w:rsidRPr="0061046B">
        <w:rPr>
          <w:rFonts w:ascii="Times New Roman" w:hAnsi="Times New Roman" w:cs="Times New Roman"/>
        </w:rPr>
        <w:t xml:space="preserve"> especially in the context of</w:t>
      </w:r>
      <w:r w:rsidR="00870A74">
        <w:rPr>
          <w:rFonts w:ascii="Times New Roman" w:hAnsi="Times New Roman" w:cs="Times New Roman"/>
        </w:rPr>
        <w:t xml:space="preserve"> </w:t>
      </w:r>
      <w:r w:rsidR="05955323" w:rsidRPr="35ABAD13">
        <w:rPr>
          <w:rFonts w:ascii="Times New Roman" w:hAnsi="Times New Roman" w:cs="Times New Roman"/>
        </w:rPr>
        <w:t>entity</w:t>
      </w:r>
      <w:r w:rsidR="259EC474" w:rsidRPr="35ABAD13">
        <w:rPr>
          <w:rFonts w:ascii="Times New Roman" w:hAnsi="Times New Roman" w:cs="Times New Roman"/>
        </w:rPr>
        <w:t>’s</w:t>
      </w:r>
      <w:r w:rsidR="05955323" w:rsidRPr="2B26D8DC">
        <w:rPr>
          <w:rFonts w:ascii="Times New Roman" w:hAnsi="Times New Roman" w:cs="Times New Roman"/>
        </w:rPr>
        <w:t xml:space="preserve"> </w:t>
      </w:r>
      <w:r w:rsidR="00622C18" w:rsidRPr="0061046B">
        <w:rPr>
          <w:rFonts w:ascii="Times New Roman" w:hAnsi="Times New Roman" w:cs="Times New Roman"/>
        </w:rPr>
        <w:t xml:space="preserve">health </w:t>
      </w:r>
      <w:r w:rsidR="00570112" w:rsidRPr="0061046B">
        <w:rPr>
          <w:rFonts w:ascii="Times New Roman" w:hAnsi="Times New Roman" w:cs="Times New Roman"/>
        </w:rPr>
        <w:t>equity goals</w:t>
      </w:r>
      <w:r w:rsidR="0053761E" w:rsidRPr="35ABAD13">
        <w:rPr>
          <w:rFonts w:ascii="Times New Roman" w:hAnsi="Times New Roman" w:cs="Times New Roman"/>
        </w:rPr>
        <w:t>.</w:t>
      </w:r>
      <w:r w:rsidR="50D7794B" w:rsidRPr="35ABAD13">
        <w:rPr>
          <w:rFonts w:ascii="Times New Roman" w:hAnsi="Times New Roman" w:cs="Times New Roman"/>
        </w:rPr>
        <w:t xml:space="preserve"> Please adhere to the PIP topic guidance from MassHealth (Appendix A and/or B)</w:t>
      </w:r>
      <w:r w:rsidR="7CE236EA" w:rsidRPr="35ABAD13">
        <w:rPr>
          <w:rFonts w:ascii="Times New Roman" w:hAnsi="Times New Roman" w:cs="Times New Roman"/>
        </w:rPr>
        <w:t xml:space="preserve"> in identifying topic and measure areas. </w:t>
      </w:r>
    </w:p>
    <w:p w14:paraId="1C35BBA6" w14:textId="541E59EA" w:rsidR="00FD2FC8" w:rsidRPr="00CD339E" w:rsidRDefault="0061046B" w:rsidP="00FD2FC8">
      <w:pPr>
        <w:pStyle w:val="ListParagraph"/>
        <w:numPr>
          <w:ilvl w:val="0"/>
          <w:numId w:val="1"/>
        </w:numPr>
        <w:rPr>
          <w:rFonts w:ascii="Times New Roman" w:hAnsi="Times New Roman" w:cs="Times New Roman"/>
        </w:rPr>
      </w:pPr>
      <w:r w:rsidRPr="00CD339E">
        <w:rPr>
          <w:rFonts w:ascii="Times New Roman" w:hAnsi="Times New Roman" w:cs="Times New Roman"/>
          <w:bCs/>
          <w:color w:val="000000" w:themeColor="text1"/>
        </w:rPr>
        <w:t xml:space="preserve">Report </w:t>
      </w:r>
      <w:r w:rsidR="00461441">
        <w:rPr>
          <w:rFonts w:ascii="Times New Roman" w:hAnsi="Times New Roman" w:cs="Times New Roman"/>
          <w:bCs/>
          <w:color w:val="000000" w:themeColor="text1"/>
        </w:rPr>
        <w:t xml:space="preserve">any </w:t>
      </w:r>
      <w:r w:rsidR="004A6AF4" w:rsidRPr="00CD339E">
        <w:rPr>
          <w:rFonts w:ascii="Times New Roman" w:hAnsi="Times New Roman" w:cs="Times New Roman"/>
          <w:bCs/>
          <w:color w:val="000000" w:themeColor="text1"/>
        </w:rPr>
        <w:t>anticipate</w:t>
      </w:r>
      <w:r w:rsidRPr="00CD339E">
        <w:rPr>
          <w:rFonts w:ascii="Times New Roman" w:hAnsi="Times New Roman" w:cs="Times New Roman"/>
          <w:bCs/>
          <w:color w:val="000000" w:themeColor="text1"/>
        </w:rPr>
        <w:t>d</w:t>
      </w:r>
      <w:r w:rsidR="00D55613" w:rsidRPr="00CD339E">
        <w:rPr>
          <w:rFonts w:ascii="Times New Roman" w:hAnsi="Times New Roman" w:cs="Times New Roman"/>
          <w:bCs/>
          <w:color w:val="000000" w:themeColor="text1"/>
        </w:rPr>
        <w:t xml:space="preserve"> </w:t>
      </w:r>
      <w:r w:rsidRPr="00CD339E">
        <w:rPr>
          <w:rFonts w:ascii="Times New Roman" w:hAnsi="Times New Roman" w:cs="Times New Roman"/>
          <w:bCs/>
          <w:color w:val="000000" w:themeColor="text1"/>
        </w:rPr>
        <w:t xml:space="preserve">challenges </w:t>
      </w:r>
      <w:r w:rsidR="00CD339E" w:rsidRPr="00CD339E">
        <w:rPr>
          <w:rFonts w:ascii="Times New Roman" w:hAnsi="Times New Roman" w:cs="Times New Roman"/>
          <w:bCs/>
          <w:color w:val="000000" w:themeColor="text1"/>
        </w:rPr>
        <w:t>around planning and implementing PIP 1</w:t>
      </w:r>
      <w:r w:rsidR="18E1944A" w:rsidRPr="35ABAD13">
        <w:rPr>
          <w:rFonts w:ascii="Times New Roman" w:hAnsi="Times New Roman" w:cs="Times New Roman"/>
          <w:color w:val="000000" w:themeColor="text1"/>
        </w:rPr>
        <w:t>.</w:t>
      </w:r>
      <w:r w:rsidR="00CD339E" w:rsidRPr="00CD339E">
        <w:rPr>
          <w:rFonts w:ascii="Times New Roman" w:hAnsi="Times New Roman" w:cs="Times New Roman"/>
          <w:bCs/>
          <w:color w:val="000000" w:themeColor="text1"/>
        </w:rPr>
        <w:t xml:space="preserve"> </w:t>
      </w:r>
    </w:p>
    <w:p w14:paraId="6A62C9DD" w14:textId="1FDB0080" w:rsidR="0072631F" w:rsidRPr="002D1103" w:rsidRDefault="002D1103" w:rsidP="0096412A">
      <w:pPr>
        <w:rPr>
          <w:rFonts w:ascii="Times New Roman" w:hAnsi="Times New Roman" w:cs="Times New Roman"/>
          <w:b/>
        </w:rPr>
      </w:pPr>
      <w:r>
        <w:rPr>
          <w:rFonts w:ascii="Times New Roman" w:hAnsi="Times New Roman" w:cs="Times New Roman"/>
          <w:b/>
          <w:bCs/>
        </w:rPr>
        <w:t>Response:</w:t>
      </w:r>
    </w:p>
    <w:p w14:paraId="20BF1DBC" w14:textId="5EE475F5" w:rsidR="00FC09FA" w:rsidRDefault="00FC09FA" w:rsidP="0096412A">
      <w:pPr>
        <w:rPr>
          <w:rFonts w:ascii="Times New Roman" w:hAnsi="Times New Roman" w:cs="Times New Roman"/>
        </w:rPr>
      </w:pPr>
    </w:p>
    <w:p w14:paraId="0A2E13D0" w14:textId="77777777" w:rsidR="008B7478" w:rsidRDefault="008B7478">
      <w:pPr>
        <w:rPr>
          <w:rFonts w:ascii="Times New Roman" w:hAnsi="Times New Roman" w:cs="Times New Roman"/>
        </w:rPr>
      </w:pPr>
      <w:r>
        <w:rPr>
          <w:rFonts w:ascii="Times New Roman" w:hAnsi="Times New Roman" w:cs="Times New Roman"/>
        </w:rPr>
        <w:lastRenderedPageBreak/>
        <w:br w:type="page"/>
      </w:r>
    </w:p>
    <w:p w14:paraId="4406B67E" w14:textId="3658DD49" w:rsidR="0096412A" w:rsidRDefault="6835F6D9" w:rsidP="00A17BEB">
      <w:pPr>
        <w:pStyle w:val="Heading2"/>
      </w:pPr>
      <w:r w:rsidRPr="2B26D8DC">
        <w:lastRenderedPageBreak/>
        <w:t xml:space="preserve">Appendix A: PIP Topic Guidance for Acute Hospitals </w:t>
      </w:r>
    </w:p>
    <w:p w14:paraId="1801F660" w14:textId="28908351" w:rsidR="0096412A" w:rsidRDefault="6835F6D9" w:rsidP="00A17BEB">
      <w:pPr>
        <w:pStyle w:val="Heading3"/>
      </w:pPr>
      <w:r w:rsidRPr="2B26D8DC">
        <w:t>General Implementation Sequence:</w:t>
      </w:r>
    </w:p>
    <w:p w14:paraId="75CDFF4B" w14:textId="0D5163BE" w:rsidR="0096412A" w:rsidRDefault="6835F6D9" w:rsidP="2B26D8DC">
      <w:p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PIPs are referred to as PIP1 and PIP2 based on the following sequence of anticipated implementation:</w:t>
      </w:r>
    </w:p>
    <w:p w14:paraId="2150083C" w14:textId="4E5D5792" w:rsidR="0096412A" w:rsidRDefault="6835F6D9"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PIP 1: Planning and baselining in PY1 (CY23), implementation in PY2 (CY24), closeout in PY4 (CY26).</w:t>
      </w:r>
    </w:p>
    <w:p w14:paraId="0DB0C3A3" w14:textId="5A658971" w:rsidR="0096412A" w:rsidRDefault="6835F6D9"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PIP 2: Planning and baselining in PY2 (CY24), implementation in PY3 (CY25), closeout in PY5 (CY27).</w:t>
      </w:r>
    </w:p>
    <w:p w14:paraId="0362AB3E" w14:textId="37E9EC81" w:rsidR="0096412A" w:rsidRDefault="6835F6D9" w:rsidP="00A17BEB">
      <w:pPr>
        <w:pStyle w:val="Heading3"/>
      </w:pPr>
      <w:r w:rsidRPr="2B26D8DC">
        <w:t xml:space="preserve">Deliverables and Reporting: </w:t>
      </w:r>
    </w:p>
    <w:tbl>
      <w:tblPr>
        <w:tblW w:w="0" w:type="auto"/>
        <w:tblLayout w:type="fixed"/>
        <w:tblLook w:val="06A0" w:firstRow="1" w:lastRow="0" w:firstColumn="1" w:lastColumn="0" w:noHBand="1" w:noVBand="1"/>
      </w:tblPr>
      <w:tblGrid>
        <w:gridCol w:w="1065"/>
        <w:gridCol w:w="1530"/>
        <w:gridCol w:w="3345"/>
        <w:gridCol w:w="2250"/>
      </w:tblGrid>
      <w:tr w:rsidR="2B26D8DC" w14:paraId="358E0278" w14:textId="77777777" w:rsidTr="00BA120D">
        <w:trPr>
          <w:trHeight w:val="300"/>
          <w:tblHeader/>
        </w:trPr>
        <w:tc>
          <w:tcPr>
            <w:tcW w:w="106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6B19A946" w14:textId="3F4124E8"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Year</w:t>
            </w:r>
          </w:p>
        </w:tc>
        <w:tc>
          <w:tcPr>
            <w:tcW w:w="153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5A886F64" w14:textId="42FD285D"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PIPs</w:t>
            </w:r>
          </w:p>
        </w:tc>
        <w:tc>
          <w:tcPr>
            <w:tcW w:w="334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7499DA52" w14:textId="51DB67E6"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Anticipated Report Due</w:t>
            </w:r>
          </w:p>
        </w:tc>
        <w:tc>
          <w:tcPr>
            <w:tcW w:w="225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22304A62" w14:textId="5FA70A10"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Anticipated Due Date</w:t>
            </w:r>
          </w:p>
        </w:tc>
      </w:tr>
      <w:tr w:rsidR="2B26D8DC" w14:paraId="5493FA3B" w14:textId="77777777" w:rsidTr="2B26D8DC">
        <w:trPr>
          <w:trHeight w:val="300"/>
        </w:trPr>
        <w:tc>
          <w:tcPr>
            <w:tcW w:w="1065" w:type="dxa"/>
            <w:tcBorders>
              <w:top w:val="single" w:sz="12" w:space="0" w:color="666666"/>
              <w:left w:val="single" w:sz="8" w:space="0" w:color="999999"/>
              <w:bottom w:val="single" w:sz="8" w:space="0" w:color="auto"/>
              <w:right w:val="single" w:sz="8" w:space="0" w:color="999999"/>
            </w:tcBorders>
            <w:tcMar>
              <w:left w:w="105" w:type="dxa"/>
              <w:right w:w="105" w:type="dxa"/>
            </w:tcMar>
            <w:vAlign w:val="center"/>
          </w:tcPr>
          <w:p w14:paraId="70ECF35D" w14:textId="28E62C1E"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PY1</w:t>
            </w:r>
          </w:p>
        </w:tc>
        <w:tc>
          <w:tcPr>
            <w:tcW w:w="1530" w:type="dxa"/>
            <w:tcBorders>
              <w:top w:val="single" w:sz="12" w:space="0" w:color="666666"/>
              <w:left w:val="single" w:sz="8" w:space="0" w:color="999999"/>
              <w:bottom w:val="single" w:sz="8" w:space="0" w:color="auto"/>
              <w:right w:val="single" w:sz="8" w:space="0" w:color="999999"/>
            </w:tcBorders>
            <w:tcMar>
              <w:left w:w="105" w:type="dxa"/>
              <w:right w:w="105" w:type="dxa"/>
            </w:tcMar>
          </w:tcPr>
          <w:p w14:paraId="082FCE1C" w14:textId="36CFF24E"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12" w:space="0" w:color="666666"/>
              <w:left w:val="single" w:sz="8" w:space="0" w:color="999999"/>
              <w:bottom w:val="single" w:sz="8" w:space="0" w:color="auto"/>
              <w:right w:val="single" w:sz="8" w:space="0" w:color="999999"/>
            </w:tcBorders>
            <w:tcMar>
              <w:left w:w="105" w:type="dxa"/>
              <w:right w:w="105" w:type="dxa"/>
            </w:tcMar>
          </w:tcPr>
          <w:p w14:paraId="233D35DE" w14:textId="14127E72"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Mid-year Planning Report</w:t>
            </w:r>
          </w:p>
          <w:p w14:paraId="022C88FB" w14:textId="39077E66"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Baseline/Planning Report</w:t>
            </w:r>
          </w:p>
        </w:tc>
        <w:tc>
          <w:tcPr>
            <w:tcW w:w="2250" w:type="dxa"/>
            <w:tcBorders>
              <w:top w:val="single" w:sz="12" w:space="0" w:color="666666"/>
              <w:left w:val="single" w:sz="8" w:space="0" w:color="999999"/>
              <w:bottom w:val="single" w:sz="8" w:space="0" w:color="auto"/>
              <w:right w:val="single" w:sz="8" w:space="0" w:color="999999"/>
            </w:tcBorders>
            <w:tcMar>
              <w:left w:w="105" w:type="dxa"/>
              <w:right w:w="105" w:type="dxa"/>
            </w:tcMar>
          </w:tcPr>
          <w:p w14:paraId="15D8B2EA" w14:textId="1E330DC9"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9/30/2023</w:t>
            </w:r>
          </w:p>
          <w:p w14:paraId="0FCA3D87" w14:textId="20A28012"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12/31/2023</w:t>
            </w:r>
          </w:p>
        </w:tc>
      </w:tr>
      <w:tr w:rsidR="006A22AB" w14:paraId="7C75ACBE"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7981B4F4" w14:textId="23E72CC7" w:rsidR="006A22AB" w:rsidRPr="2B26D8DC" w:rsidRDefault="006A22AB" w:rsidP="006A22AB">
            <w:pPr>
              <w:jc w:val="center"/>
              <w:rPr>
                <w:rFonts w:ascii="Times New Roman" w:eastAsia="Times New Roman" w:hAnsi="Times New Roman" w:cs="Times New Roman"/>
                <w:b/>
                <w:bCs/>
              </w:rPr>
            </w:pPr>
            <w:r>
              <w:rPr>
                <w:rFonts w:ascii="Times New Roman" w:eastAsia="Times New Roman" w:hAnsi="Times New Roman" w:cs="Times New Roman"/>
                <w:b/>
                <w:bCs/>
              </w:rPr>
              <w:t>PY2</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0007EF74" w14:textId="6D128319"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4B79DD87" w14:textId="7A3C3C22"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Remeasurement 1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1D345A37" w14:textId="73DBCD79"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9/30/2024</w:t>
            </w:r>
          </w:p>
        </w:tc>
      </w:tr>
      <w:tr w:rsidR="006A22AB" w14:paraId="103125FA"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673037C6" w14:textId="647F5BB0" w:rsidR="006A22AB" w:rsidRPr="2B26D8DC" w:rsidRDefault="006A22AB" w:rsidP="006A22AB">
            <w:pPr>
              <w:jc w:val="center"/>
              <w:rPr>
                <w:rFonts w:ascii="Times New Roman" w:eastAsia="Times New Roman" w:hAnsi="Times New Roman" w:cs="Times New Roman"/>
                <w:b/>
                <w:bCs/>
              </w:rPr>
            </w:pPr>
            <w:r>
              <w:rPr>
                <w:rFonts w:ascii="Times New Roman" w:eastAsia="Times New Roman" w:hAnsi="Times New Roman" w:cs="Times New Roman"/>
                <w:b/>
                <w:bCs/>
              </w:rPr>
              <w:t>PY2</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3FD897D9" w14:textId="017CFE20"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073E3836" w14:textId="77777777" w:rsidR="006A22AB"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Mid-year Planning Report</w:t>
            </w:r>
          </w:p>
          <w:p w14:paraId="73462F67" w14:textId="78FF1168"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Baseline/Planning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6C4BBFE9" w14:textId="77777777" w:rsidR="006A22AB"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9/30/2024</w:t>
            </w:r>
          </w:p>
          <w:p w14:paraId="66957EDF" w14:textId="310E34AC"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12/31/2024</w:t>
            </w:r>
          </w:p>
        </w:tc>
      </w:tr>
      <w:tr w:rsidR="006A22AB" w14:paraId="2CB3EC98"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72BFA25C" w14:textId="1B052113" w:rsidR="006A22AB" w:rsidRPr="2B26D8DC" w:rsidRDefault="006A22AB" w:rsidP="006A22AB">
            <w:pPr>
              <w:jc w:val="center"/>
              <w:rPr>
                <w:rFonts w:ascii="Times New Roman" w:eastAsia="Times New Roman" w:hAnsi="Times New Roman" w:cs="Times New Roman"/>
                <w:b/>
                <w:bCs/>
              </w:rPr>
            </w:pPr>
            <w:r>
              <w:rPr>
                <w:rFonts w:ascii="Times New Roman" w:eastAsia="Times New Roman" w:hAnsi="Times New Roman" w:cs="Times New Roman"/>
                <w:b/>
                <w:bCs/>
              </w:rPr>
              <w:t>PY3</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3CC487E7" w14:textId="1893DED3"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5A9E72B9" w14:textId="7BD809CF"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Remeasurement 2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0BA3F9D4" w14:textId="29FD3D24"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9/30/2025</w:t>
            </w:r>
          </w:p>
        </w:tc>
      </w:tr>
      <w:tr w:rsidR="006A22AB" w14:paraId="695AE999"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3C5067DB" w14:textId="3C49CD10" w:rsidR="006A22AB" w:rsidRPr="2B26D8DC" w:rsidRDefault="006A22AB" w:rsidP="006A22AB">
            <w:pPr>
              <w:jc w:val="center"/>
              <w:rPr>
                <w:rFonts w:ascii="Times New Roman" w:eastAsia="Times New Roman" w:hAnsi="Times New Roman" w:cs="Times New Roman"/>
                <w:b/>
                <w:bCs/>
              </w:rPr>
            </w:pPr>
            <w:r>
              <w:rPr>
                <w:rFonts w:ascii="Times New Roman" w:eastAsia="Times New Roman" w:hAnsi="Times New Roman" w:cs="Times New Roman"/>
                <w:b/>
                <w:bCs/>
              </w:rPr>
              <w:t>PY3</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73AD09E2" w14:textId="731F5A21"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50610E53" w14:textId="14D18BD8"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Remeasurement 1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366F5D4B" w14:textId="45EE87A7"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9/30/2025</w:t>
            </w:r>
          </w:p>
        </w:tc>
      </w:tr>
      <w:tr w:rsidR="006A22AB" w14:paraId="65684D20"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60AA3CDB" w14:textId="7B9336DB" w:rsidR="006A22AB" w:rsidRPr="2B26D8DC" w:rsidRDefault="006A22AB" w:rsidP="006A22AB">
            <w:pPr>
              <w:jc w:val="center"/>
              <w:rPr>
                <w:rFonts w:ascii="Times New Roman" w:eastAsia="Times New Roman" w:hAnsi="Times New Roman" w:cs="Times New Roman"/>
                <w:b/>
                <w:bCs/>
              </w:rPr>
            </w:pPr>
            <w:r>
              <w:rPr>
                <w:rFonts w:ascii="Times New Roman" w:eastAsia="Times New Roman" w:hAnsi="Times New Roman" w:cs="Times New Roman"/>
                <w:b/>
                <w:bCs/>
              </w:rPr>
              <w:t>PY4</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7DED99A3" w14:textId="1BBD1DFC"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1F2BFAA0" w14:textId="41341ED2"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Closure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753AA211" w14:textId="078F22B4"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12/31/2026</w:t>
            </w:r>
          </w:p>
        </w:tc>
      </w:tr>
      <w:tr w:rsidR="006A22AB" w14:paraId="24528A25"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1DCE4F34" w14:textId="4E7A90E2" w:rsidR="006A22AB" w:rsidRPr="2B26D8DC" w:rsidRDefault="006A22AB" w:rsidP="006A22AB">
            <w:pPr>
              <w:jc w:val="center"/>
              <w:rPr>
                <w:rFonts w:ascii="Times New Roman" w:eastAsia="Times New Roman" w:hAnsi="Times New Roman" w:cs="Times New Roman"/>
                <w:b/>
                <w:bCs/>
              </w:rPr>
            </w:pPr>
            <w:r>
              <w:rPr>
                <w:rFonts w:ascii="Times New Roman" w:eastAsia="Times New Roman" w:hAnsi="Times New Roman" w:cs="Times New Roman"/>
                <w:b/>
                <w:bCs/>
              </w:rPr>
              <w:t>PY4</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0EC13438" w14:textId="193300A6"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24FCEFE8" w14:textId="54ACAF0E"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Remeasurement 2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168C6D87" w14:textId="7FC48240" w:rsidR="006A22AB" w:rsidRPr="2B26D8DC"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9/30/2026</w:t>
            </w:r>
          </w:p>
        </w:tc>
      </w:tr>
      <w:tr w:rsidR="006A22AB" w14:paraId="5A667049" w14:textId="77777777" w:rsidTr="2B26D8DC">
        <w:trPr>
          <w:trHeight w:val="300"/>
        </w:trPr>
        <w:tc>
          <w:tcPr>
            <w:tcW w:w="1065" w:type="dxa"/>
            <w:tcBorders>
              <w:top w:val="nil"/>
              <w:left w:val="single" w:sz="8" w:space="0" w:color="999999"/>
              <w:bottom w:val="single" w:sz="8" w:space="0" w:color="999999"/>
              <w:right w:val="single" w:sz="8" w:space="0" w:color="999999"/>
            </w:tcBorders>
            <w:tcMar>
              <w:left w:w="105" w:type="dxa"/>
              <w:right w:w="105" w:type="dxa"/>
            </w:tcMar>
            <w:vAlign w:val="center"/>
          </w:tcPr>
          <w:p w14:paraId="25B4B118" w14:textId="7B9C02C6" w:rsidR="006A22AB" w:rsidRDefault="006A22AB" w:rsidP="006A22AB">
            <w:pPr>
              <w:jc w:val="center"/>
              <w:rPr>
                <w:rFonts w:ascii="Times New Roman" w:eastAsia="Times New Roman" w:hAnsi="Times New Roman" w:cs="Times New Roman"/>
                <w:b/>
                <w:bCs/>
              </w:rPr>
            </w:pPr>
            <w:r w:rsidRPr="2B26D8DC">
              <w:rPr>
                <w:rFonts w:ascii="Times New Roman" w:eastAsia="Times New Roman" w:hAnsi="Times New Roman" w:cs="Times New Roman"/>
                <w:b/>
                <w:bCs/>
              </w:rPr>
              <w:t>PY5</w:t>
            </w:r>
          </w:p>
        </w:tc>
        <w:tc>
          <w:tcPr>
            <w:tcW w:w="153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5B1DA158" w14:textId="23926BE0" w:rsidR="006A22AB"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2D8D84E9" w14:textId="128371EE" w:rsidR="006A22AB"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Closure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769AB850" w14:textId="3B1CD082" w:rsidR="006A22AB" w:rsidRDefault="006A22AB" w:rsidP="006A22AB">
            <w:pPr>
              <w:jc w:val="center"/>
              <w:rPr>
                <w:rFonts w:ascii="Times New Roman" w:eastAsia="Times New Roman" w:hAnsi="Times New Roman" w:cs="Times New Roman"/>
              </w:rPr>
            </w:pPr>
            <w:r w:rsidRPr="2B26D8DC">
              <w:rPr>
                <w:rFonts w:ascii="Times New Roman" w:eastAsia="Times New Roman" w:hAnsi="Times New Roman" w:cs="Times New Roman"/>
              </w:rPr>
              <w:t>12/31/2027</w:t>
            </w:r>
          </w:p>
        </w:tc>
      </w:tr>
    </w:tbl>
    <w:p w14:paraId="34FCD871" w14:textId="6A2F215E" w:rsidR="0096412A" w:rsidRDefault="015DC2A3" w:rsidP="00A17BEB">
      <w:pPr>
        <w:pStyle w:val="Heading3"/>
      </w:pPr>
      <w:r w:rsidRPr="2B26D8DC">
        <w:t xml:space="preserve">Description of Elements in Reports: </w:t>
      </w:r>
    </w:p>
    <w:p w14:paraId="4B6BB332" w14:textId="41697AB4" w:rsidR="0096412A" w:rsidRDefault="015DC2A3" w:rsidP="2B26D8DC">
      <w:pPr>
        <w:pStyle w:val="ListParagraph"/>
        <w:numPr>
          <w:ilvl w:val="0"/>
          <w:numId w:val="1"/>
        </w:numPr>
        <w:spacing w:line="240" w:lineRule="exact"/>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u w:val="single"/>
        </w:rPr>
        <w:t xml:space="preserve">The PIP Planning/Baseline Reports </w:t>
      </w:r>
      <w:r w:rsidRPr="2B26D8DC">
        <w:rPr>
          <w:rFonts w:ascii="Times New Roman" w:eastAsia="Times New Roman" w:hAnsi="Times New Roman" w:cs="Times New Roman"/>
          <w:color w:val="000000" w:themeColor="text1"/>
        </w:rPr>
        <w:t>include but are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p>
    <w:p w14:paraId="42A0B945" w14:textId="452098C7" w:rsidR="0096412A" w:rsidRDefault="015DC2A3" w:rsidP="2B26D8DC">
      <w:pPr>
        <w:pStyle w:val="ListParagraph"/>
        <w:numPr>
          <w:ilvl w:val="0"/>
          <w:numId w:val="1"/>
        </w:numPr>
        <w:spacing w:line="240" w:lineRule="exact"/>
        <w:rPr>
          <w:rFonts w:ascii="Times New Roman" w:eastAsia="Times New Roman" w:hAnsi="Times New Roman" w:cs="Times New Roman"/>
          <w:color w:val="000000" w:themeColor="text1"/>
        </w:rPr>
      </w:pPr>
      <w:proofErr w:type="gramStart"/>
      <w:r w:rsidRPr="2B26D8DC">
        <w:rPr>
          <w:rFonts w:ascii="Times New Roman" w:eastAsia="Times New Roman" w:hAnsi="Times New Roman" w:cs="Times New Roman"/>
          <w:color w:val="000000" w:themeColor="text1"/>
          <w:u w:val="single"/>
        </w:rPr>
        <w:t>The Remeasurement</w:t>
      </w:r>
      <w:proofErr w:type="gramEnd"/>
      <w:r w:rsidRPr="2B26D8DC">
        <w:rPr>
          <w:rFonts w:ascii="Times New Roman" w:eastAsia="Times New Roman" w:hAnsi="Times New Roman" w:cs="Times New Roman"/>
          <w:color w:val="000000" w:themeColor="text1"/>
          <w:u w:val="single"/>
        </w:rPr>
        <w:t xml:space="preserve"> 1 Report </w:t>
      </w:r>
      <w:r w:rsidRPr="2B26D8DC">
        <w:rPr>
          <w:rFonts w:ascii="Times New Roman" w:eastAsia="Times New Roman" w:hAnsi="Times New Roman" w:cs="Times New Roman"/>
          <w:color w:val="000000" w:themeColor="text1"/>
        </w:rPr>
        <w:t xml:space="preserve">incorporates feedback from ongoing technical assistance regarding PIP implementation. The Remeasurement 1 </w:t>
      </w:r>
      <w:proofErr w:type="gramStart"/>
      <w:r w:rsidRPr="2B26D8DC">
        <w:rPr>
          <w:rFonts w:ascii="Times New Roman" w:eastAsia="Times New Roman" w:hAnsi="Times New Roman" w:cs="Times New Roman"/>
          <w:color w:val="000000" w:themeColor="text1"/>
        </w:rPr>
        <w:t>Report  is</w:t>
      </w:r>
      <w:proofErr w:type="gramEnd"/>
      <w:r w:rsidRPr="2B26D8DC">
        <w:rPr>
          <w:rFonts w:ascii="Times New Roman" w:eastAsia="Times New Roman" w:hAnsi="Times New Roman" w:cs="Times New Roman"/>
          <w:color w:val="000000" w:themeColor="text1"/>
        </w:rPr>
        <w:t xml:space="preserve"> used</w:t>
      </w:r>
      <w:r w:rsidRPr="35ABAD13">
        <w:rPr>
          <w:rFonts w:ascii="Times New Roman" w:eastAsia="Times New Roman" w:hAnsi="Times New Roman" w:cs="Times New Roman"/>
          <w:color w:val="000000" w:themeColor="text1"/>
        </w:rPr>
        <w:t xml:space="preserve"> </w:t>
      </w:r>
      <w:r w:rsidR="6BEC6040" w:rsidRPr="35ABAD13">
        <w:rPr>
          <w:rFonts w:ascii="Times New Roman" w:eastAsia="Times New Roman" w:hAnsi="Times New Roman" w:cs="Times New Roman"/>
          <w:color w:val="000000" w:themeColor="text1"/>
        </w:rPr>
        <w:t>to</w:t>
      </w:r>
      <w:r w:rsidRPr="2B26D8DC">
        <w:rPr>
          <w:rFonts w:ascii="Times New Roman" w:eastAsia="Times New Roman" w:hAnsi="Times New Roman" w:cs="Times New Roman"/>
          <w:color w:val="000000" w:themeColor="text1"/>
        </w:rPr>
        <w:t xml:space="preserve"> assess PIP methodology, progress towards implementing interventions, and performance towards achieving the health equity goals established in the Baseline Report.</w:t>
      </w:r>
    </w:p>
    <w:p w14:paraId="05C981D5" w14:textId="0052F722" w:rsidR="0096412A" w:rsidRDefault="015DC2A3" w:rsidP="2B26D8DC">
      <w:pPr>
        <w:pStyle w:val="ListParagraph"/>
        <w:numPr>
          <w:ilvl w:val="0"/>
          <w:numId w:val="1"/>
        </w:numPr>
        <w:spacing w:line="240" w:lineRule="exact"/>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u w:val="single"/>
        </w:rPr>
        <w:t xml:space="preserve">The Remeasurement 2 Report </w:t>
      </w:r>
      <w:r w:rsidRPr="2B26D8DC">
        <w:rPr>
          <w:rFonts w:ascii="Times New Roman" w:eastAsia="Times New Roman" w:hAnsi="Times New Roman" w:cs="Times New Roman"/>
          <w:color w:val="000000" w:themeColor="text1"/>
        </w:rPr>
        <w:t xml:space="preserve">integrates feedback from ongoing technical assistance regarding PIP implementation. The Remeasurement 2 </w:t>
      </w:r>
      <w:proofErr w:type="gramStart"/>
      <w:r w:rsidRPr="2B26D8DC">
        <w:rPr>
          <w:rFonts w:ascii="Times New Roman" w:eastAsia="Times New Roman" w:hAnsi="Times New Roman" w:cs="Times New Roman"/>
          <w:color w:val="000000" w:themeColor="text1"/>
        </w:rPr>
        <w:t>Report  is</w:t>
      </w:r>
      <w:proofErr w:type="gramEnd"/>
      <w:r w:rsidRPr="2B26D8DC">
        <w:rPr>
          <w:rFonts w:ascii="Times New Roman" w:eastAsia="Times New Roman" w:hAnsi="Times New Roman" w:cs="Times New Roman"/>
          <w:color w:val="000000" w:themeColor="text1"/>
        </w:rPr>
        <w:t xml:space="preserve"> used</w:t>
      </w:r>
      <w:r w:rsidRPr="35ABAD13">
        <w:rPr>
          <w:rFonts w:ascii="Times New Roman" w:eastAsia="Times New Roman" w:hAnsi="Times New Roman" w:cs="Times New Roman"/>
          <w:color w:val="000000" w:themeColor="text1"/>
        </w:rPr>
        <w:t xml:space="preserve"> </w:t>
      </w:r>
      <w:r w:rsidR="0DF6B6D7" w:rsidRPr="35ABAD13">
        <w:rPr>
          <w:rFonts w:ascii="Times New Roman" w:eastAsia="Times New Roman" w:hAnsi="Times New Roman" w:cs="Times New Roman"/>
          <w:color w:val="000000" w:themeColor="text1"/>
        </w:rPr>
        <w:t>to</w:t>
      </w:r>
      <w:r w:rsidRPr="2B26D8DC">
        <w:rPr>
          <w:rFonts w:ascii="Times New Roman" w:eastAsia="Times New Roman" w:hAnsi="Times New Roman" w:cs="Times New Roman"/>
          <w:color w:val="000000" w:themeColor="text1"/>
        </w:rPr>
        <w:t xml:space="preserve"> assess PIP methodology, progress towards implementing interventions, performance towards achieving the health equity goals established in the Baseline Report and Remeasurement 1 Report, and initial plans for continuation of partnership arrangements and/or interventions beyond the PIP.</w:t>
      </w:r>
    </w:p>
    <w:p w14:paraId="21315D3B" w14:textId="2D083D60" w:rsidR="0096412A" w:rsidRDefault="015DC2A3"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u w:val="single"/>
        </w:rPr>
        <w:t>The Closure Report</w:t>
      </w:r>
      <w:r w:rsidRPr="2B26D8DC">
        <w:rPr>
          <w:rFonts w:ascii="Times New Roman" w:eastAsia="Times New Roman" w:hAnsi="Times New Roman" w:cs="Times New Roman"/>
          <w:color w:val="000000" w:themeColor="text1"/>
        </w:rPr>
        <w:t xml:space="preserve"> focuses on finalizing project activities, analyzing the impacts of interventions, assessing performance between baseline and remeasurement periods using selected indicators, identifying successes and/or challenges, and planning for continuation of partnership arrangements and/or interventions beyond the PIP.</w:t>
      </w:r>
    </w:p>
    <w:p w14:paraId="175C66BC" w14:textId="71711C21" w:rsidR="0096412A" w:rsidRDefault="015DC2A3" w:rsidP="00A17BEB">
      <w:pPr>
        <w:pStyle w:val="Heading3"/>
      </w:pPr>
      <w:r w:rsidRPr="2B26D8DC">
        <w:lastRenderedPageBreak/>
        <w:t>PIP Topics and Measures:</w:t>
      </w:r>
    </w:p>
    <w:p w14:paraId="6710BA58" w14:textId="7AB83211" w:rsidR="0096412A" w:rsidRDefault="015DC2A3" w:rsidP="00A17BEB">
      <w:pPr>
        <w:pStyle w:val="Heading4"/>
      </w:pPr>
      <w:r w:rsidRPr="2B26D8DC">
        <w:t>Overall Guidance:</w:t>
      </w:r>
    </w:p>
    <w:p w14:paraId="003D68B5" w14:textId="394F2981" w:rsidR="0096412A" w:rsidRDefault="015DC2A3"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It is </w:t>
      </w:r>
      <w:r w:rsidRPr="2B26D8DC">
        <w:rPr>
          <w:rFonts w:ascii="Times New Roman" w:eastAsia="Times New Roman" w:hAnsi="Times New Roman" w:cs="Times New Roman"/>
          <w:b/>
          <w:bCs/>
          <w:i/>
          <w:iCs/>
          <w:color w:val="000000" w:themeColor="text1"/>
        </w:rPr>
        <w:t>strongly encouraged</w:t>
      </w:r>
      <w:r w:rsidRPr="2B26D8DC">
        <w:rPr>
          <w:rFonts w:ascii="Times New Roman" w:eastAsia="Times New Roman" w:hAnsi="Times New Roman" w:cs="Times New Roman"/>
          <w:color w:val="000000" w:themeColor="text1"/>
        </w:rPr>
        <w:t xml:space="preserve"> that PIP 1 focus on </w:t>
      </w:r>
      <w:r w:rsidRPr="2B26D8DC">
        <w:rPr>
          <w:rFonts w:ascii="Times New Roman" w:eastAsia="Times New Roman" w:hAnsi="Times New Roman" w:cs="Times New Roman"/>
          <w:color w:val="000000" w:themeColor="text1"/>
          <w:u w:val="single"/>
        </w:rPr>
        <w:t>Care Coordination</w:t>
      </w:r>
      <w:r w:rsidRPr="2B26D8DC">
        <w:rPr>
          <w:rFonts w:ascii="Times New Roman" w:eastAsia="Times New Roman" w:hAnsi="Times New Roman" w:cs="Times New Roman"/>
          <w:color w:val="000000" w:themeColor="text1"/>
        </w:rPr>
        <w:t xml:space="preserve"> using any or a combination of the following measures:</w:t>
      </w:r>
    </w:p>
    <w:p w14:paraId="1999BEB2" w14:textId="244C7132" w:rsidR="0096412A" w:rsidRDefault="015DC2A3"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Follow-Up After Hospitalization for Mental Illness</w:t>
      </w:r>
    </w:p>
    <w:p w14:paraId="42C1EF63" w14:textId="02848A06" w:rsidR="0096412A" w:rsidRDefault="015DC2A3"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Follow-Up After Emergency Department Visit for Alcohol and Other Drug Abuse or Dependence</w:t>
      </w:r>
    </w:p>
    <w:p w14:paraId="5CB09308" w14:textId="7A9F1C45" w:rsidR="0096412A" w:rsidRDefault="015DC2A3"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Follow-Up After Emergency Department Visit for Mental Illness</w:t>
      </w:r>
    </w:p>
    <w:p w14:paraId="05591E2C" w14:textId="4C9E99CC" w:rsidR="0096412A" w:rsidRDefault="015DC2A3"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For acute hospitals with obstetric delivery services, it is </w:t>
      </w:r>
      <w:r w:rsidRPr="2B26D8DC">
        <w:rPr>
          <w:rFonts w:ascii="Times New Roman" w:eastAsia="Times New Roman" w:hAnsi="Times New Roman" w:cs="Times New Roman"/>
          <w:b/>
          <w:bCs/>
          <w:i/>
          <w:iCs/>
          <w:color w:val="000000" w:themeColor="text1"/>
        </w:rPr>
        <w:t xml:space="preserve">required </w:t>
      </w:r>
      <w:r w:rsidRPr="2B26D8DC">
        <w:rPr>
          <w:rFonts w:ascii="Times New Roman" w:eastAsia="Times New Roman" w:hAnsi="Times New Roman" w:cs="Times New Roman"/>
          <w:color w:val="000000" w:themeColor="text1"/>
        </w:rPr>
        <w:t xml:space="preserve">that PIP 2 focus on </w:t>
      </w:r>
      <w:r w:rsidRPr="2B26D8DC">
        <w:rPr>
          <w:rFonts w:ascii="Times New Roman" w:eastAsia="Times New Roman" w:hAnsi="Times New Roman" w:cs="Times New Roman"/>
          <w:color w:val="000000" w:themeColor="text1"/>
          <w:u w:val="single"/>
        </w:rPr>
        <w:t xml:space="preserve">Preventive, Perinatal, or Pediatric Care </w:t>
      </w:r>
      <w:r w:rsidRPr="2B26D8DC">
        <w:rPr>
          <w:rFonts w:ascii="Times New Roman" w:eastAsia="Times New Roman" w:hAnsi="Times New Roman" w:cs="Times New Roman"/>
          <w:color w:val="000000" w:themeColor="text1"/>
        </w:rPr>
        <w:t>using the following measure:</w:t>
      </w:r>
    </w:p>
    <w:p w14:paraId="4915C795" w14:textId="5614D37A" w:rsidR="0096412A" w:rsidRDefault="015DC2A3"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maternal morbidity measure (specific measure to be designated by CMS)</w:t>
      </w:r>
    </w:p>
    <w:p w14:paraId="2284A3EE" w14:textId="29CD2C9E" w:rsidR="0096412A" w:rsidRDefault="015DC2A3" w:rsidP="2B26D8DC">
      <w:pPr>
        <w:pStyle w:val="ListParagraph"/>
        <w:numPr>
          <w:ilvl w:val="0"/>
          <w:numId w:val="1"/>
        </w:numPr>
        <w:rPr>
          <w:rFonts w:ascii="Times New Roman" w:eastAsia="Times New Roman" w:hAnsi="Times New Roman" w:cs="Times New Roman"/>
          <w:color w:val="242424"/>
        </w:rPr>
      </w:pPr>
      <w:r w:rsidRPr="2B26D8DC">
        <w:rPr>
          <w:rFonts w:ascii="Times New Roman" w:eastAsia="Times New Roman" w:hAnsi="Times New Roman" w:cs="Times New Roman"/>
          <w:color w:val="000000" w:themeColor="text1"/>
          <w:u w:val="single"/>
        </w:rPr>
        <w:t xml:space="preserve">Care for Acute and Chronic Conditions </w:t>
      </w:r>
      <w:r w:rsidRPr="2B26D8DC">
        <w:rPr>
          <w:rFonts w:ascii="Times New Roman" w:eastAsia="Times New Roman" w:hAnsi="Times New Roman" w:cs="Times New Roman"/>
          <w:color w:val="000000" w:themeColor="text1"/>
        </w:rPr>
        <w:t>may be used as an alternative domain area using any or a co</w:t>
      </w:r>
      <w:r w:rsidRPr="2B26D8DC">
        <w:rPr>
          <w:rFonts w:ascii="Times New Roman" w:eastAsia="Times New Roman" w:hAnsi="Times New Roman" w:cs="Times New Roman"/>
          <w:color w:val="242424"/>
        </w:rPr>
        <w:t>mbination of the following measures:</w:t>
      </w:r>
    </w:p>
    <w:p w14:paraId="142E0E93" w14:textId="50EEA63B"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Alcohol Use Brief Intervention Provided or Offered</w:t>
      </w:r>
    </w:p>
    <w:p w14:paraId="110F3A7D" w14:textId="2DCC5827"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Alcohol and Other Drug Use Disorder Treatment Provided or Offered at Discharge</w:t>
      </w:r>
    </w:p>
    <w:p w14:paraId="6B301E31" w14:textId="63DEE8F9"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Initiation and Engagement of Alcohol, or Other Drug Abuse or Dependence Treatment</w:t>
      </w:r>
    </w:p>
    <w:p w14:paraId="730A860A" w14:textId="1FAB06B1"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Avoidance of Antibiotic Treatment for Acute Bronchitis/Bronchiolitis</w:t>
      </w:r>
    </w:p>
    <w:p w14:paraId="50CCD22F" w14:textId="5CC171E9"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Asthma Medication Ratio</w:t>
      </w:r>
    </w:p>
    <w:p w14:paraId="4D4CF8F1" w14:textId="73C6B31D"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Controlling High Blood Pressure</w:t>
      </w:r>
    </w:p>
    <w:p w14:paraId="7E01D253" w14:textId="27017421" w:rsidR="0096412A" w:rsidRDefault="015DC2A3"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Comprehensive Diabetes Care</w:t>
      </w:r>
    </w:p>
    <w:p w14:paraId="492E4C6A" w14:textId="14C5B284" w:rsidR="0096412A" w:rsidRDefault="015DC2A3"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Overall, PIP 1 and PIP 2 must be carried out in distinct domain areas (care coordination; preventive, perinatal, or pediatric care; care for acute and chronic conditions) </w:t>
      </w:r>
    </w:p>
    <w:p w14:paraId="3105E7AF" w14:textId="4F67E5FC" w:rsidR="0096412A" w:rsidRDefault="015DC2A3"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Partnered PIPs should be conducted in coordinated domains among acute hospital and ACO partners    </w:t>
      </w:r>
    </w:p>
    <w:p w14:paraId="2966EB02" w14:textId="5F101D8F" w:rsidR="0096412A" w:rsidRDefault="015DC2A3" w:rsidP="2B26D8DC">
      <w:pPr>
        <w:pStyle w:val="ListParagraph"/>
        <w:numPr>
          <w:ilvl w:val="0"/>
          <w:numId w:val="1"/>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PIPs may be designed such that progress is monitored using MassHealth-specific or all-payer data</w:t>
      </w:r>
    </w:p>
    <w:p w14:paraId="4C698564" w14:textId="2EE66FE4" w:rsidR="0096412A" w:rsidRDefault="015DC2A3" w:rsidP="00A17BEB">
      <w:pPr>
        <w:pStyle w:val="Heading4"/>
      </w:pPr>
      <w:r w:rsidRPr="2B26D8DC">
        <w:t>Guidance for acute specialty hospitals:</w:t>
      </w:r>
    </w:p>
    <w:p w14:paraId="5AC7435F" w14:textId="6903EA0E" w:rsidR="0096412A" w:rsidRDefault="015DC2A3"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An acute specialty hospital may conduct PIP 1 and PIP 2 in domain and measure areas in its slate. PIP topics must be approved by EOHHS</w:t>
      </w:r>
    </w:p>
    <w:p w14:paraId="12D685C1" w14:textId="77777777" w:rsidR="008B7478" w:rsidRDefault="008B7478">
      <w:pPr>
        <w:rPr>
          <w:rFonts w:ascii="Times New Roman" w:eastAsia="Times New Roman" w:hAnsi="Times New Roman" w:cs="Times New Roman"/>
          <w:b/>
          <w:bCs/>
        </w:rPr>
      </w:pPr>
      <w:r>
        <w:rPr>
          <w:rFonts w:ascii="Times New Roman" w:eastAsia="Times New Roman" w:hAnsi="Times New Roman" w:cs="Times New Roman"/>
          <w:b/>
          <w:bCs/>
        </w:rPr>
        <w:br w:type="page"/>
      </w:r>
    </w:p>
    <w:p w14:paraId="432BD0C6" w14:textId="454212C2" w:rsidR="0096412A" w:rsidRDefault="0A770A46" w:rsidP="00A17BEB">
      <w:pPr>
        <w:pStyle w:val="Heading2"/>
      </w:pPr>
      <w:r w:rsidRPr="2B26D8DC">
        <w:lastRenderedPageBreak/>
        <w:t xml:space="preserve">Appendix B: </w:t>
      </w:r>
      <w:r w:rsidR="5DF9FF9E" w:rsidRPr="2B26D8DC">
        <w:t>PIP Topic Guidance for ACOs</w:t>
      </w:r>
    </w:p>
    <w:p w14:paraId="5E0A4241" w14:textId="23CDB972" w:rsidR="0096412A" w:rsidRDefault="5DF9FF9E" w:rsidP="00A17BEB">
      <w:pPr>
        <w:pStyle w:val="Heading3"/>
      </w:pPr>
      <w:r w:rsidRPr="2B26D8DC">
        <w:t>General Implementation Sequence:</w:t>
      </w:r>
    </w:p>
    <w:p w14:paraId="4649F46C" w14:textId="6A5DE9A8" w:rsidR="0096412A" w:rsidRDefault="5DF9FF9E" w:rsidP="2B26D8DC">
      <w:p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PIPs are referred to as PIP1 and PIP2 based on the following sequence of anticipated implementation:</w:t>
      </w:r>
    </w:p>
    <w:p w14:paraId="39273013" w14:textId="3A0A2C1D" w:rsidR="0096412A" w:rsidRDefault="5DF9FF9E"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PIP 1: Planning and baselining in PY1 (CY23), implementation in PY2 (CY24), closeout in PY4 (CY26).</w:t>
      </w:r>
    </w:p>
    <w:p w14:paraId="124175AE" w14:textId="3F42E6E7" w:rsidR="0096412A" w:rsidRDefault="5DF9FF9E"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PIP 2: Planning and baselining in PY2 (CY24), implementation in PY3 (CY25), closeout in PY5 (CY27).</w:t>
      </w:r>
    </w:p>
    <w:p w14:paraId="24571D31" w14:textId="643A845B" w:rsidR="0096412A" w:rsidRDefault="5DF9FF9E" w:rsidP="00A17BEB">
      <w:pPr>
        <w:pStyle w:val="Heading3"/>
      </w:pPr>
      <w:r w:rsidRPr="2B26D8DC">
        <w:t xml:space="preserve">Deliverables and Reporting: </w:t>
      </w:r>
    </w:p>
    <w:tbl>
      <w:tblPr>
        <w:tblStyle w:val="TableGrid"/>
        <w:tblW w:w="0" w:type="auto"/>
        <w:tblLayout w:type="fixed"/>
        <w:tblLook w:val="06A0" w:firstRow="1" w:lastRow="0" w:firstColumn="1" w:lastColumn="0" w:noHBand="1" w:noVBand="1"/>
      </w:tblPr>
      <w:tblGrid>
        <w:gridCol w:w="1065"/>
        <w:gridCol w:w="1530"/>
        <w:gridCol w:w="3345"/>
        <w:gridCol w:w="2250"/>
      </w:tblGrid>
      <w:tr w:rsidR="2B26D8DC" w14:paraId="5A0A4EE8" w14:textId="77777777" w:rsidTr="008C6FD0">
        <w:trPr>
          <w:trHeight w:val="300"/>
          <w:tblHeader/>
        </w:trPr>
        <w:tc>
          <w:tcPr>
            <w:tcW w:w="106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0D9BC072" w14:textId="21B2C6B1"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Year</w:t>
            </w:r>
          </w:p>
        </w:tc>
        <w:tc>
          <w:tcPr>
            <w:tcW w:w="153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2BB4B4B6" w14:textId="59C1B503"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PIPs</w:t>
            </w:r>
          </w:p>
        </w:tc>
        <w:tc>
          <w:tcPr>
            <w:tcW w:w="334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09D3D29F" w14:textId="7D3937AC"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Anticipated Report Due</w:t>
            </w:r>
          </w:p>
        </w:tc>
        <w:tc>
          <w:tcPr>
            <w:tcW w:w="225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6E231ADD" w14:textId="1D321F77"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Anticipated Due Date</w:t>
            </w:r>
          </w:p>
        </w:tc>
      </w:tr>
      <w:tr w:rsidR="2B26D8DC" w14:paraId="3EEE3211" w14:textId="77777777" w:rsidTr="2B26D8DC">
        <w:trPr>
          <w:trHeight w:val="300"/>
        </w:trPr>
        <w:tc>
          <w:tcPr>
            <w:tcW w:w="1065" w:type="dxa"/>
            <w:tcBorders>
              <w:top w:val="single" w:sz="12" w:space="0" w:color="666666"/>
              <w:left w:val="single" w:sz="8" w:space="0" w:color="999999"/>
              <w:bottom w:val="single" w:sz="8" w:space="0" w:color="auto"/>
              <w:right w:val="single" w:sz="8" w:space="0" w:color="999999"/>
            </w:tcBorders>
            <w:tcMar>
              <w:left w:w="105" w:type="dxa"/>
              <w:right w:w="105" w:type="dxa"/>
            </w:tcMar>
            <w:vAlign w:val="center"/>
          </w:tcPr>
          <w:p w14:paraId="48AA6A87" w14:textId="7F186152" w:rsidR="2B26D8DC" w:rsidRDefault="2B26D8DC" w:rsidP="2B26D8DC">
            <w:pPr>
              <w:jc w:val="center"/>
              <w:rPr>
                <w:rFonts w:ascii="Times New Roman" w:eastAsia="Times New Roman" w:hAnsi="Times New Roman" w:cs="Times New Roman"/>
                <w:b/>
                <w:bCs/>
              </w:rPr>
            </w:pPr>
            <w:r w:rsidRPr="2B26D8DC">
              <w:rPr>
                <w:rFonts w:ascii="Times New Roman" w:eastAsia="Times New Roman" w:hAnsi="Times New Roman" w:cs="Times New Roman"/>
                <w:b/>
                <w:bCs/>
              </w:rPr>
              <w:t>PY1</w:t>
            </w:r>
          </w:p>
        </w:tc>
        <w:tc>
          <w:tcPr>
            <w:tcW w:w="1530" w:type="dxa"/>
            <w:tcBorders>
              <w:top w:val="single" w:sz="12" w:space="0" w:color="666666"/>
              <w:left w:val="single" w:sz="8" w:space="0" w:color="999999"/>
              <w:bottom w:val="single" w:sz="8" w:space="0" w:color="auto"/>
              <w:right w:val="single" w:sz="8" w:space="0" w:color="999999"/>
            </w:tcBorders>
            <w:tcMar>
              <w:left w:w="105" w:type="dxa"/>
              <w:right w:w="105" w:type="dxa"/>
            </w:tcMar>
          </w:tcPr>
          <w:p w14:paraId="0C243911" w14:textId="4913C38B"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12" w:space="0" w:color="666666"/>
              <w:left w:val="single" w:sz="8" w:space="0" w:color="999999"/>
              <w:bottom w:val="single" w:sz="8" w:space="0" w:color="auto"/>
              <w:right w:val="single" w:sz="8" w:space="0" w:color="999999"/>
            </w:tcBorders>
            <w:tcMar>
              <w:left w:w="105" w:type="dxa"/>
              <w:right w:w="105" w:type="dxa"/>
            </w:tcMar>
          </w:tcPr>
          <w:p w14:paraId="64C8C069" w14:textId="55D9C4C1"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Mid-year Planning Report</w:t>
            </w:r>
          </w:p>
          <w:p w14:paraId="767C68F6" w14:textId="4EA32F46"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Baseline/Planning Report</w:t>
            </w:r>
          </w:p>
        </w:tc>
        <w:tc>
          <w:tcPr>
            <w:tcW w:w="2250" w:type="dxa"/>
            <w:tcBorders>
              <w:top w:val="single" w:sz="12" w:space="0" w:color="666666"/>
              <w:left w:val="single" w:sz="8" w:space="0" w:color="999999"/>
              <w:bottom w:val="single" w:sz="8" w:space="0" w:color="auto"/>
              <w:right w:val="single" w:sz="8" w:space="0" w:color="999999"/>
            </w:tcBorders>
            <w:tcMar>
              <w:left w:w="105" w:type="dxa"/>
              <w:right w:w="105" w:type="dxa"/>
            </w:tcMar>
          </w:tcPr>
          <w:p w14:paraId="32A461DF" w14:textId="5ADBEC20"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9/30/2023</w:t>
            </w:r>
          </w:p>
          <w:p w14:paraId="0D8347DC" w14:textId="28F768EE" w:rsidR="2B26D8DC" w:rsidRDefault="2B26D8DC" w:rsidP="2B26D8DC">
            <w:pPr>
              <w:jc w:val="center"/>
              <w:rPr>
                <w:rFonts w:ascii="Times New Roman" w:eastAsia="Times New Roman" w:hAnsi="Times New Roman" w:cs="Times New Roman"/>
              </w:rPr>
            </w:pPr>
            <w:r w:rsidRPr="2B26D8DC">
              <w:rPr>
                <w:rFonts w:ascii="Times New Roman" w:eastAsia="Times New Roman" w:hAnsi="Times New Roman" w:cs="Times New Roman"/>
              </w:rPr>
              <w:t>12/31/2023</w:t>
            </w:r>
          </w:p>
        </w:tc>
      </w:tr>
      <w:tr w:rsidR="008C6FD0" w14:paraId="21DE37C9"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3E7EDF81" w14:textId="733D5D7E" w:rsidR="008C6FD0" w:rsidRPr="2B26D8DC" w:rsidRDefault="008C6FD0" w:rsidP="008C6FD0">
            <w:pPr>
              <w:jc w:val="center"/>
              <w:rPr>
                <w:rFonts w:ascii="Times New Roman" w:eastAsia="Times New Roman" w:hAnsi="Times New Roman" w:cs="Times New Roman"/>
                <w:b/>
                <w:bCs/>
              </w:rPr>
            </w:pPr>
            <w:r>
              <w:rPr>
                <w:rFonts w:ascii="Times New Roman" w:eastAsia="Times New Roman" w:hAnsi="Times New Roman" w:cs="Times New Roman"/>
                <w:b/>
                <w:bCs/>
              </w:rPr>
              <w:t>PY2</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245138F9" w14:textId="724F52BF"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5B036B84" w14:textId="68264CE4"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Remeasurement 1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2D409699" w14:textId="2060A910"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9/30/2024</w:t>
            </w:r>
          </w:p>
        </w:tc>
      </w:tr>
      <w:tr w:rsidR="008C6FD0" w14:paraId="59932914"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19CB5DB0" w14:textId="79838DD1" w:rsidR="008C6FD0" w:rsidRPr="2B26D8DC" w:rsidRDefault="008C6FD0" w:rsidP="008C6FD0">
            <w:pPr>
              <w:jc w:val="center"/>
              <w:rPr>
                <w:rFonts w:ascii="Times New Roman" w:eastAsia="Times New Roman" w:hAnsi="Times New Roman" w:cs="Times New Roman"/>
                <w:b/>
                <w:bCs/>
              </w:rPr>
            </w:pPr>
            <w:r>
              <w:rPr>
                <w:rFonts w:ascii="Times New Roman" w:eastAsia="Times New Roman" w:hAnsi="Times New Roman" w:cs="Times New Roman"/>
                <w:b/>
                <w:bCs/>
              </w:rPr>
              <w:t>PY2</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29D5E21C" w14:textId="3742834F"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0DB445E5" w14:textId="77777777"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Mid-year Planning Report</w:t>
            </w:r>
          </w:p>
          <w:p w14:paraId="0D50165B" w14:textId="57EA0DA6"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Baseline/Planning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491A80A1" w14:textId="77777777"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9/30/2024</w:t>
            </w:r>
          </w:p>
          <w:p w14:paraId="54764DCA" w14:textId="18C58CD6"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12/31/2024</w:t>
            </w:r>
          </w:p>
        </w:tc>
      </w:tr>
      <w:tr w:rsidR="008C6FD0" w14:paraId="2FB7A69E" w14:textId="77777777" w:rsidTr="2B26D8DC">
        <w:trPr>
          <w:trHeight w:val="300"/>
        </w:trPr>
        <w:tc>
          <w:tcPr>
            <w:tcW w:w="1065" w:type="dxa"/>
            <w:tcBorders>
              <w:top w:val="single" w:sz="8" w:space="0" w:color="auto"/>
              <w:left w:val="single" w:sz="8" w:space="0" w:color="999999"/>
              <w:bottom w:val="single" w:sz="8" w:space="0" w:color="999999"/>
              <w:right w:val="single" w:sz="8" w:space="0" w:color="999999"/>
            </w:tcBorders>
            <w:tcMar>
              <w:left w:w="105" w:type="dxa"/>
              <w:right w:w="105" w:type="dxa"/>
            </w:tcMar>
            <w:vAlign w:val="center"/>
          </w:tcPr>
          <w:p w14:paraId="06C16107" w14:textId="76425721" w:rsidR="008C6FD0" w:rsidRPr="2B26D8DC" w:rsidRDefault="008C6FD0" w:rsidP="008C6FD0">
            <w:pPr>
              <w:jc w:val="center"/>
              <w:rPr>
                <w:rFonts w:ascii="Times New Roman" w:eastAsia="Times New Roman" w:hAnsi="Times New Roman" w:cs="Times New Roman"/>
                <w:b/>
                <w:bCs/>
              </w:rPr>
            </w:pPr>
            <w:r>
              <w:rPr>
                <w:rFonts w:ascii="Times New Roman" w:eastAsia="Times New Roman" w:hAnsi="Times New Roman" w:cs="Times New Roman"/>
                <w:b/>
                <w:bCs/>
              </w:rPr>
              <w:t>PY3</w:t>
            </w:r>
          </w:p>
        </w:tc>
        <w:tc>
          <w:tcPr>
            <w:tcW w:w="153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43B4039D" w14:textId="3279205F"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8" w:space="0" w:color="auto"/>
              <w:left w:val="single" w:sz="8" w:space="0" w:color="999999"/>
              <w:bottom w:val="single" w:sz="8" w:space="0" w:color="999999"/>
              <w:right w:val="single" w:sz="8" w:space="0" w:color="999999"/>
            </w:tcBorders>
            <w:tcMar>
              <w:left w:w="105" w:type="dxa"/>
              <w:right w:w="105" w:type="dxa"/>
            </w:tcMar>
          </w:tcPr>
          <w:p w14:paraId="6BFB6F1B" w14:textId="6BDBA8A3"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Remeasurement 2 Report</w:t>
            </w:r>
          </w:p>
        </w:tc>
        <w:tc>
          <w:tcPr>
            <w:tcW w:w="2250" w:type="dxa"/>
            <w:tcBorders>
              <w:top w:val="single" w:sz="8" w:space="0" w:color="auto"/>
              <w:left w:val="single" w:sz="8" w:space="0" w:color="999999"/>
              <w:bottom w:val="single" w:sz="8" w:space="0" w:color="999999"/>
              <w:right w:val="single" w:sz="8" w:space="0" w:color="999999"/>
            </w:tcBorders>
            <w:tcMar>
              <w:left w:w="105" w:type="dxa"/>
              <w:right w:w="105" w:type="dxa"/>
            </w:tcMar>
          </w:tcPr>
          <w:p w14:paraId="27E24D2E" w14:textId="64E16408" w:rsidR="008C6FD0" w:rsidRPr="2B26D8DC"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9/30/2025</w:t>
            </w:r>
          </w:p>
        </w:tc>
      </w:tr>
      <w:tr w:rsidR="008C6FD0" w14:paraId="7D99B199" w14:textId="77777777" w:rsidTr="2B26D8DC">
        <w:trPr>
          <w:trHeight w:val="300"/>
        </w:trPr>
        <w:tc>
          <w:tcPr>
            <w:tcW w:w="1065" w:type="dxa"/>
            <w:tcBorders>
              <w:left w:val="single" w:sz="0" w:space="0" w:color="999999"/>
              <w:bottom w:val="single" w:sz="0" w:space="0" w:color="999999"/>
              <w:right w:val="single" w:sz="0" w:space="0" w:color="999999"/>
            </w:tcBorders>
            <w:vAlign w:val="center"/>
          </w:tcPr>
          <w:p w14:paraId="6480AB93" w14:textId="680A5CA7" w:rsidR="008C6FD0" w:rsidRDefault="008C6FD0" w:rsidP="008C6FD0">
            <w:pPr>
              <w:jc w:val="center"/>
            </w:pPr>
            <w:r>
              <w:rPr>
                <w:rFonts w:ascii="Times New Roman" w:eastAsia="Times New Roman" w:hAnsi="Times New Roman" w:cs="Times New Roman"/>
                <w:b/>
                <w:bCs/>
              </w:rPr>
              <w:t>PY3</w:t>
            </w:r>
          </w:p>
        </w:tc>
        <w:tc>
          <w:tcPr>
            <w:tcW w:w="1530" w:type="dxa"/>
            <w:tcBorders>
              <w:top w:val="single" w:sz="8" w:space="0" w:color="999999"/>
              <w:left w:val="nil"/>
              <w:bottom w:val="single" w:sz="8" w:space="0" w:color="999999"/>
              <w:right w:val="single" w:sz="8" w:space="0" w:color="999999"/>
            </w:tcBorders>
            <w:tcMar>
              <w:left w:w="105" w:type="dxa"/>
              <w:right w:w="105" w:type="dxa"/>
            </w:tcMar>
          </w:tcPr>
          <w:p w14:paraId="376AAF75" w14:textId="35C7799F"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1677E5A9" w14:textId="4091A61F"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Remeasurement 1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7E63C338" w14:textId="2E9ED98A"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9/30/2025</w:t>
            </w:r>
          </w:p>
        </w:tc>
      </w:tr>
      <w:tr w:rsidR="008C6FD0" w14:paraId="7A6A0A34" w14:textId="77777777" w:rsidTr="00E818C3">
        <w:trPr>
          <w:trHeight w:val="300"/>
        </w:trPr>
        <w:tc>
          <w:tcPr>
            <w:tcW w:w="1065" w:type="dxa"/>
            <w:tcBorders>
              <w:left w:val="single" w:sz="0" w:space="0" w:color="999999"/>
              <w:bottom w:val="single" w:sz="0" w:space="0" w:color="999999"/>
              <w:right w:val="single" w:sz="0" w:space="0" w:color="999999"/>
            </w:tcBorders>
          </w:tcPr>
          <w:p w14:paraId="64B11CD0" w14:textId="331619FD" w:rsidR="008C6FD0" w:rsidRDefault="008C6FD0" w:rsidP="008C6FD0">
            <w:pPr>
              <w:jc w:val="center"/>
            </w:pPr>
            <w:r w:rsidRPr="00BA0EE5">
              <w:rPr>
                <w:rFonts w:ascii="Times New Roman" w:eastAsia="Times New Roman" w:hAnsi="Times New Roman" w:cs="Times New Roman"/>
                <w:b/>
                <w:bCs/>
              </w:rPr>
              <w:t>PY4</w:t>
            </w:r>
          </w:p>
        </w:tc>
        <w:tc>
          <w:tcPr>
            <w:tcW w:w="1530" w:type="dxa"/>
            <w:tcBorders>
              <w:top w:val="single" w:sz="8" w:space="0" w:color="999999"/>
              <w:left w:val="nil"/>
              <w:bottom w:val="single" w:sz="8" w:space="0" w:color="999999"/>
              <w:right w:val="single" w:sz="8" w:space="0" w:color="999999"/>
            </w:tcBorders>
            <w:tcMar>
              <w:left w:w="105" w:type="dxa"/>
              <w:right w:w="105" w:type="dxa"/>
            </w:tcMar>
          </w:tcPr>
          <w:p w14:paraId="79AB3140" w14:textId="517FCFCD"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1</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378D4E59" w14:textId="2F53C670"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Closure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43038DF7" w14:textId="3BF07DCC"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12/31/2026</w:t>
            </w:r>
          </w:p>
        </w:tc>
      </w:tr>
      <w:tr w:rsidR="008C6FD0" w14:paraId="6FD8EF6C" w14:textId="77777777" w:rsidTr="00E818C3">
        <w:trPr>
          <w:trHeight w:val="300"/>
        </w:trPr>
        <w:tc>
          <w:tcPr>
            <w:tcW w:w="1065" w:type="dxa"/>
            <w:tcBorders>
              <w:left w:val="single" w:sz="0" w:space="0" w:color="999999"/>
              <w:bottom w:val="single" w:sz="0" w:space="0" w:color="999999"/>
              <w:right w:val="single" w:sz="0" w:space="0" w:color="999999"/>
            </w:tcBorders>
          </w:tcPr>
          <w:p w14:paraId="09F8CD87" w14:textId="71EFCCFC" w:rsidR="008C6FD0" w:rsidRDefault="008C6FD0" w:rsidP="008C6FD0">
            <w:pPr>
              <w:jc w:val="center"/>
            </w:pPr>
            <w:r w:rsidRPr="00BA0EE5">
              <w:rPr>
                <w:rFonts w:ascii="Times New Roman" w:eastAsia="Times New Roman" w:hAnsi="Times New Roman" w:cs="Times New Roman"/>
                <w:b/>
                <w:bCs/>
              </w:rPr>
              <w:t>PY4</w:t>
            </w:r>
          </w:p>
        </w:tc>
        <w:tc>
          <w:tcPr>
            <w:tcW w:w="1530" w:type="dxa"/>
            <w:tcBorders>
              <w:top w:val="single" w:sz="8" w:space="0" w:color="999999"/>
              <w:left w:val="nil"/>
              <w:bottom w:val="single" w:sz="8" w:space="0" w:color="999999"/>
              <w:right w:val="single" w:sz="8" w:space="0" w:color="999999"/>
            </w:tcBorders>
            <w:tcMar>
              <w:left w:w="105" w:type="dxa"/>
              <w:right w:w="105" w:type="dxa"/>
            </w:tcMar>
          </w:tcPr>
          <w:p w14:paraId="76EF6664" w14:textId="1416BD0D"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77932922" w14:textId="475F4934"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Remeasurement 2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5841FB8B" w14:textId="2D88338C"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9/30/2026</w:t>
            </w:r>
          </w:p>
        </w:tc>
      </w:tr>
      <w:tr w:rsidR="008C6FD0" w14:paraId="71363852" w14:textId="77777777" w:rsidTr="2B26D8DC">
        <w:trPr>
          <w:trHeight w:val="300"/>
        </w:trPr>
        <w:tc>
          <w:tcPr>
            <w:tcW w:w="1065" w:type="dxa"/>
            <w:tcBorders>
              <w:top w:val="nil"/>
              <w:left w:val="single" w:sz="8" w:space="0" w:color="999999"/>
              <w:bottom w:val="single" w:sz="8" w:space="0" w:color="999999"/>
              <w:right w:val="single" w:sz="8" w:space="0" w:color="999999"/>
            </w:tcBorders>
            <w:tcMar>
              <w:left w:w="105" w:type="dxa"/>
              <w:right w:w="105" w:type="dxa"/>
            </w:tcMar>
            <w:vAlign w:val="center"/>
          </w:tcPr>
          <w:p w14:paraId="65F278E2" w14:textId="79110242" w:rsidR="008C6FD0" w:rsidRDefault="008C6FD0" w:rsidP="008C6FD0">
            <w:pPr>
              <w:jc w:val="center"/>
              <w:rPr>
                <w:rFonts w:ascii="Times New Roman" w:eastAsia="Times New Roman" w:hAnsi="Times New Roman" w:cs="Times New Roman"/>
                <w:b/>
                <w:bCs/>
              </w:rPr>
            </w:pPr>
            <w:r w:rsidRPr="2B26D8DC">
              <w:rPr>
                <w:rFonts w:ascii="Times New Roman" w:eastAsia="Times New Roman" w:hAnsi="Times New Roman" w:cs="Times New Roman"/>
                <w:b/>
                <w:bCs/>
              </w:rPr>
              <w:t>PY5</w:t>
            </w:r>
          </w:p>
        </w:tc>
        <w:tc>
          <w:tcPr>
            <w:tcW w:w="153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5A99C635" w14:textId="3188D9AB"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17ABDBA0" w14:textId="31975740"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Closure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4A367B68" w14:textId="397B14E1" w:rsidR="008C6FD0" w:rsidRDefault="008C6FD0" w:rsidP="008C6FD0">
            <w:pPr>
              <w:jc w:val="center"/>
              <w:rPr>
                <w:rFonts w:ascii="Times New Roman" w:eastAsia="Times New Roman" w:hAnsi="Times New Roman" w:cs="Times New Roman"/>
              </w:rPr>
            </w:pPr>
            <w:r w:rsidRPr="2B26D8DC">
              <w:rPr>
                <w:rFonts w:ascii="Times New Roman" w:eastAsia="Times New Roman" w:hAnsi="Times New Roman" w:cs="Times New Roman"/>
              </w:rPr>
              <w:t>12/31/2027</w:t>
            </w:r>
          </w:p>
        </w:tc>
      </w:tr>
    </w:tbl>
    <w:p w14:paraId="77B03D4E" w14:textId="6A57626A" w:rsidR="0096412A" w:rsidRDefault="1B0B8E1A" w:rsidP="00A17BEB">
      <w:pPr>
        <w:pStyle w:val="Heading3"/>
      </w:pPr>
      <w:r w:rsidRPr="2B26D8DC">
        <w:t xml:space="preserve">Description of Elements in Reports: </w:t>
      </w:r>
    </w:p>
    <w:p w14:paraId="7D697C41" w14:textId="6C29D80C"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u w:val="single"/>
        </w:rPr>
        <w:t xml:space="preserve">The PIP Planning/Baseline Reports </w:t>
      </w:r>
      <w:r w:rsidRPr="2B26D8DC">
        <w:rPr>
          <w:rFonts w:ascii="Times New Roman" w:eastAsia="Times New Roman" w:hAnsi="Times New Roman" w:cs="Times New Roman"/>
          <w:color w:val="000000" w:themeColor="text1"/>
        </w:rPr>
        <w:t>include but are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p>
    <w:p w14:paraId="3FDAAA3A" w14:textId="5E4E43CB" w:rsidR="0096412A" w:rsidRDefault="1B0B8E1A" w:rsidP="2B26D8DC">
      <w:pPr>
        <w:pStyle w:val="ListParagraph"/>
        <w:numPr>
          <w:ilvl w:val="0"/>
          <w:numId w:val="1"/>
        </w:numPr>
        <w:rPr>
          <w:rFonts w:ascii="Times New Roman" w:eastAsia="Times New Roman" w:hAnsi="Times New Roman" w:cs="Times New Roman"/>
          <w:color w:val="000000" w:themeColor="text1"/>
        </w:rPr>
      </w:pPr>
      <w:proofErr w:type="gramStart"/>
      <w:r w:rsidRPr="2B26D8DC">
        <w:rPr>
          <w:rFonts w:ascii="Times New Roman" w:eastAsia="Times New Roman" w:hAnsi="Times New Roman" w:cs="Times New Roman"/>
          <w:color w:val="000000" w:themeColor="text1"/>
          <w:u w:val="single"/>
        </w:rPr>
        <w:t>The Remeasurement</w:t>
      </w:r>
      <w:proofErr w:type="gramEnd"/>
      <w:r w:rsidRPr="2B26D8DC">
        <w:rPr>
          <w:rFonts w:ascii="Times New Roman" w:eastAsia="Times New Roman" w:hAnsi="Times New Roman" w:cs="Times New Roman"/>
          <w:color w:val="000000" w:themeColor="text1"/>
          <w:u w:val="single"/>
        </w:rPr>
        <w:t xml:space="preserve"> 1 Report </w:t>
      </w:r>
      <w:r w:rsidRPr="2B26D8DC">
        <w:rPr>
          <w:rFonts w:ascii="Times New Roman" w:eastAsia="Times New Roman" w:hAnsi="Times New Roman" w:cs="Times New Roman"/>
          <w:color w:val="000000" w:themeColor="text1"/>
        </w:rPr>
        <w:t xml:space="preserve">incorporates feedback from ongoing technical assistance regarding PIP implementation. The Remeasurement 1 </w:t>
      </w:r>
      <w:proofErr w:type="gramStart"/>
      <w:r w:rsidRPr="2B26D8DC">
        <w:rPr>
          <w:rFonts w:ascii="Times New Roman" w:eastAsia="Times New Roman" w:hAnsi="Times New Roman" w:cs="Times New Roman"/>
          <w:color w:val="000000" w:themeColor="text1"/>
        </w:rPr>
        <w:t>Report  is</w:t>
      </w:r>
      <w:proofErr w:type="gramEnd"/>
      <w:r w:rsidRPr="2B26D8DC">
        <w:rPr>
          <w:rFonts w:ascii="Times New Roman" w:eastAsia="Times New Roman" w:hAnsi="Times New Roman" w:cs="Times New Roman"/>
          <w:color w:val="000000" w:themeColor="text1"/>
        </w:rPr>
        <w:t xml:space="preserve"> used</w:t>
      </w:r>
      <w:r w:rsidRPr="35ABAD13">
        <w:rPr>
          <w:rFonts w:ascii="Times New Roman" w:eastAsia="Times New Roman" w:hAnsi="Times New Roman" w:cs="Times New Roman"/>
          <w:color w:val="000000" w:themeColor="text1"/>
        </w:rPr>
        <w:t xml:space="preserve"> </w:t>
      </w:r>
      <w:r w:rsidR="5DF49C11" w:rsidRPr="35ABAD13">
        <w:rPr>
          <w:rFonts w:ascii="Times New Roman" w:eastAsia="Times New Roman" w:hAnsi="Times New Roman" w:cs="Times New Roman"/>
          <w:color w:val="000000" w:themeColor="text1"/>
        </w:rPr>
        <w:t>to</w:t>
      </w:r>
      <w:r w:rsidRPr="2B26D8DC">
        <w:rPr>
          <w:rFonts w:ascii="Times New Roman" w:eastAsia="Times New Roman" w:hAnsi="Times New Roman" w:cs="Times New Roman"/>
          <w:color w:val="000000" w:themeColor="text1"/>
        </w:rPr>
        <w:t xml:space="preserve"> assess PIP methodology, progress towards implementing interventions, and performance towards achieving the health equity goals established in the Baseline Report.</w:t>
      </w:r>
    </w:p>
    <w:p w14:paraId="7FFE8D6A" w14:textId="59B4CA24"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u w:val="single"/>
        </w:rPr>
        <w:t xml:space="preserve">The Remeasurement 2 Report </w:t>
      </w:r>
      <w:r w:rsidRPr="2B26D8DC">
        <w:rPr>
          <w:rFonts w:ascii="Times New Roman" w:eastAsia="Times New Roman" w:hAnsi="Times New Roman" w:cs="Times New Roman"/>
          <w:color w:val="000000" w:themeColor="text1"/>
        </w:rPr>
        <w:t xml:space="preserve">integrates feedback from ongoing technical assistance regarding PIP implementation. The Remeasurement 2 </w:t>
      </w:r>
      <w:proofErr w:type="gramStart"/>
      <w:r w:rsidRPr="2B26D8DC">
        <w:rPr>
          <w:rFonts w:ascii="Times New Roman" w:eastAsia="Times New Roman" w:hAnsi="Times New Roman" w:cs="Times New Roman"/>
          <w:color w:val="000000" w:themeColor="text1"/>
        </w:rPr>
        <w:t>Report  is</w:t>
      </w:r>
      <w:proofErr w:type="gramEnd"/>
      <w:r w:rsidRPr="2B26D8DC">
        <w:rPr>
          <w:rFonts w:ascii="Times New Roman" w:eastAsia="Times New Roman" w:hAnsi="Times New Roman" w:cs="Times New Roman"/>
          <w:color w:val="000000" w:themeColor="text1"/>
        </w:rPr>
        <w:t xml:space="preserve"> used</w:t>
      </w:r>
      <w:r w:rsidRPr="35ABAD13">
        <w:rPr>
          <w:rFonts w:ascii="Times New Roman" w:eastAsia="Times New Roman" w:hAnsi="Times New Roman" w:cs="Times New Roman"/>
          <w:color w:val="000000" w:themeColor="text1"/>
        </w:rPr>
        <w:t xml:space="preserve"> </w:t>
      </w:r>
      <w:r w:rsidR="3CD1CA2E" w:rsidRPr="35ABAD13">
        <w:rPr>
          <w:rFonts w:ascii="Times New Roman" w:eastAsia="Times New Roman" w:hAnsi="Times New Roman" w:cs="Times New Roman"/>
          <w:color w:val="000000" w:themeColor="text1"/>
        </w:rPr>
        <w:t>to</w:t>
      </w:r>
      <w:r w:rsidRPr="2B26D8DC">
        <w:rPr>
          <w:rFonts w:ascii="Times New Roman" w:eastAsia="Times New Roman" w:hAnsi="Times New Roman" w:cs="Times New Roman"/>
          <w:color w:val="000000" w:themeColor="text1"/>
        </w:rPr>
        <w:t xml:space="preserve"> assess PIP methodology, progress towards implementing interventions, performance towards achieving the health equity goals established in the Baseline Report and Remeasurement 1 Report, and initial plans for continuation of partnership arrangements and/or interventions beyond the PIP.</w:t>
      </w:r>
    </w:p>
    <w:p w14:paraId="0359D79C" w14:textId="362687F2"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u w:val="single"/>
        </w:rPr>
        <w:t>The Closure Report</w:t>
      </w:r>
      <w:r w:rsidRPr="2B26D8DC">
        <w:rPr>
          <w:rFonts w:ascii="Times New Roman" w:eastAsia="Times New Roman" w:hAnsi="Times New Roman" w:cs="Times New Roman"/>
          <w:color w:val="000000" w:themeColor="text1"/>
        </w:rPr>
        <w:t xml:space="preserve"> focuses on finalizing project activities, analyzing the impacts of interventions, assessing performance between baseline and remeasurement periods using selected indicators, identifying successes and/or challenges, and planning for continuation of partnership arrangements and/or interventions beyond the PIP.</w:t>
      </w:r>
    </w:p>
    <w:p w14:paraId="18C15AA4" w14:textId="6D0B7E78" w:rsidR="0096412A" w:rsidRDefault="1B0B8E1A" w:rsidP="00A17BEB">
      <w:pPr>
        <w:pStyle w:val="Heading3"/>
      </w:pPr>
      <w:r w:rsidRPr="2B26D8DC">
        <w:t>PIP Topics and Measures:</w:t>
      </w:r>
    </w:p>
    <w:p w14:paraId="612A0336" w14:textId="70627C72" w:rsidR="0096412A" w:rsidRDefault="1B0B8E1A" w:rsidP="00A17BEB">
      <w:pPr>
        <w:pStyle w:val="Heading4"/>
      </w:pPr>
      <w:r w:rsidRPr="2B26D8DC">
        <w:t>Overall Guidance:</w:t>
      </w:r>
    </w:p>
    <w:p w14:paraId="7F45B29D" w14:textId="24DC682F"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It is </w:t>
      </w:r>
      <w:r w:rsidRPr="2B26D8DC">
        <w:rPr>
          <w:rFonts w:ascii="Times New Roman" w:eastAsia="Times New Roman" w:hAnsi="Times New Roman" w:cs="Times New Roman"/>
          <w:b/>
          <w:bCs/>
          <w:i/>
          <w:iCs/>
          <w:color w:val="000000" w:themeColor="text1"/>
        </w:rPr>
        <w:t>strongly encouraged</w:t>
      </w:r>
      <w:r w:rsidRPr="2B26D8DC">
        <w:rPr>
          <w:rFonts w:ascii="Times New Roman" w:eastAsia="Times New Roman" w:hAnsi="Times New Roman" w:cs="Times New Roman"/>
          <w:color w:val="000000" w:themeColor="text1"/>
        </w:rPr>
        <w:t xml:space="preserve"> that PIP 1 focus on </w:t>
      </w:r>
      <w:r w:rsidRPr="2B26D8DC">
        <w:rPr>
          <w:rFonts w:ascii="Times New Roman" w:eastAsia="Times New Roman" w:hAnsi="Times New Roman" w:cs="Times New Roman"/>
          <w:color w:val="000000" w:themeColor="text1"/>
          <w:u w:val="single"/>
        </w:rPr>
        <w:t>Care Coordination</w:t>
      </w:r>
      <w:r w:rsidRPr="2B26D8DC">
        <w:rPr>
          <w:rFonts w:ascii="Times New Roman" w:eastAsia="Times New Roman" w:hAnsi="Times New Roman" w:cs="Times New Roman"/>
          <w:color w:val="000000" w:themeColor="text1"/>
        </w:rPr>
        <w:t xml:space="preserve"> using any or a combination of the following measures:</w:t>
      </w:r>
    </w:p>
    <w:p w14:paraId="6F595E11" w14:textId="698AB50C" w:rsidR="0096412A" w:rsidRDefault="1B0B8E1A"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Follow-Up After Hospitalization for Mental Illness</w:t>
      </w:r>
    </w:p>
    <w:p w14:paraId="76C704CA" w14:textId="66760472" w:rsidR="0096412A" w:rsidRDefault="1B0B8E1A"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lastRenderedPageBreak/>
        <w:t>Follow-Up After Emergency Department Visit for Alcohol and Other Drug Abuse or Dependence</w:t>
      </w:r>
    </w:p>
    <w:p w14:paraId="22470BAB" w14:textId="7AD5D0D3" w:rsidR="0096412A" w:rsidRDefault="1B0B8E1A"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Follow-Up After Emergency Department Visit for Mental Illness</w:t>
      </w:r>
    </w:p>
    <w:p w14:paraId="17C17328" w14:textId="1230685B"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For ACOs partnering with a hospital that provides obstetric delivery services, it is </w:t>
      </w:r>
      <w:r w:rsidRPr="2B26D8DC">
        <w:rPr>
          <w:rFonts w:ascii="Times New Roman" w:eastAsia="Times New Roman" w:hAnsi="Times New Roman" w:cs="Times New Roman"/>
          <w:b/>
          <w:bCs/>
          <w:i/>
          <w:iCs/>
          <w:color w:val="000000" w:themeColor="text1"/>
        </w:rPr>
        <w:t xml:space="preserve">required </w:t>
      </w:r>
      <w:r w:rsidRPr="2B26D8DC">
        <w:rPr>
          <w:rFonts w:ascii="Times New Roman" w:eastAsia="Times New Roman" w:hAnsi="Times New Roman" w:cs="Times New Roman"/>
          <w:color w:val="000000" w:themeColor="text1"/>
        </w:rPr>
        <w:t xml:space="preserve">that PIP 2 focus on </w:t>
      </w:r>
      <w:r w:rsidRPr="2B26D8DC">
        <w:rPr>
          <w:rFonts w:ascii="Times New Roman" w:eastAsia="Times New Roman" w:hAnsi="Times New Roman" w:cs="Times New Roman"/>
          <w:color w:val="000000" w:themeColor="text1"/>
          <w:u w:val="single"/>
        </w:rPr>
        <w:t xml:space="preserve">Preventive, Perinatal, or Pediatric Care </w:t>
      </w:r>
      <w:r w:rsidRPr="2B26D8DC">
        <w:rPr>
          <w:rFonts w:ascii="Times New Roman" w:eastAsia="Times New Roman" w:hAnsi="Times New Roman" w:cs="Times New Roman"/>
          <w:color w:val="000000" w:themeColor="text1"/>
        </w:rPr>
        <w:t>using any or a combination of the following measures:</w:t>
      </w:r>
    </w:p>
    <w:p w14:paraId="2A6A6136" w14:textId="22740AFE" w:rsidR="0096412A" w:rsidRDefault="1B0B8E1A"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maternal morbidity measure (specific measure to be designated by CMS; may be the required PIP focus pending input from CMS)</w:t>
      </w:r>
    </w:p>
    <w:p w14:paraId="4A9D3054" w14:textId="7E766042" w:rsidR="0096412A" w:rsidRDefault="1B0B8E1A" w:rsidP="2B26D8DC">
      <w:pPr>
        <w:pStyle w:val="ListParagraph"/>
        <w:numPr>
          <w:ilvl w:val="0"/>
          <w:numId w:val="3"/>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Prenatal and Postpartum Care</w:t>
      </w:r>
    </w:p>
    <w:p w14:paraId="7F060053" w14:textId="21874B78" w:rsidR="0096412A" w:rsidRDefault="1B0B8E1A" w:rsidP="2B26D8DC">
      <w:pPr>
        <w:pStyle w:val="ListParagraph"/>
        <w:numPr>
          <w:ilvl w:val="0"/>
          <w:numId w:val="1"/>
        </w:numPr>
        <w:rPr>
          <w:rFonts w:ascii="Times New Roman" w:eastAsia="Times New Roman" w:hAnsi="Times New Roman" w:cs="Times New Roman"/>
          <w:color w:val="242424"/>
        </w:rPr>
      </w:pPr>
      <w:r w:rsidRPr="2B26D8DC">
        <w:rPr>
          <w:rFonts w:ascii="Times New Roman" w:eastAsia="Times New Roman" w:hAnsi="Times New Roman" w:cs="Times New Roman"/>
          <w:color w:val="000000" w:themeColor="text1"/>
          <w:u w:val="single"/>
        </w:rPr>
        <w:t xml:space="preserve">Care for Acute and Chronic Conditions </w:t>
      </w:r>
      <w:r w:rsidRPr="2B26D8DC">
        <w:rPr>
          <w:rFonts w:ascii="Times New Roman" w:eastAsia="Times New Roman" w:hAnsi="Times New Roman" w:cs="Times New Roman"/>
          <w:color w:val="000000" w:themeColor="text1"/>
        </w:rPr>
        <w:t>may be used as an alternative domain area using any or a co</w:t>
      </w:r>
      <w:r w:rsidRPr="2B26D8DC">
        <w:rPr>
          <w:rFonts w:ascii="Times New Roman" w:eastAsia="Times New Roman" w:hAnsi="Times New Roman" w:cs="Times New Roman"/>
          <w:color w:val="242424"/>
        </w:rPr>
        <w:t>mbination of the following measures:</w:t>
      </w:r>
    </w:p>
    <w:p w14:paraId="4390D6A7" w14:textId="315EC18E" w:rsidR="0096412A" w:rsidRDefault="1B0B8E1A"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Initiation and Engagement of Alcohol, or Other Drug Abuse or Dependence Treatment</w:t>
      </w:r>
    </w:p>
    <w:p w14:paraId="127E4D55" w14:textId="1F0F0FAE" w:rsidR="0096412A" w:rsidRDefault="1B0B8E1A"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Asthma Medication Ratio</w:t>
      </w:r>
    </w:p>
    <w:p w14:paraId="40C0874A" w14:textId="106D2CBB" w:rsidR="0096412A" w:rsidRDefault="1B0B8E1A"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Controlling High Blood Pressure</w:t>
      </w:r>
    </w:p>
    <w:p w14:paraId="1136A0B3" w14:textId="458E53D0" w:rsidR="0096412A" w:rsidRDefault="1B0B8E1A" w:rsidP="2B26D8DC">
      <w:pPr>
        <w:pStyle w:val="ListParagraph"/>
        <w:numPr>
          <w:ilvl w:val="0"/>
          <w:numId w:val="3"/>
        </w:numPr>
        <w:rPr>
          <w:rFonts w:ascii="Times New Roman" w:eastAsia="Times New Roman" w:hAnsi="Times New Roman" w:cs="Times New Roman"/>
          <w:color w:val="242424"/>
        </w:rPr>
      </w:pPr>
      <w:r w:rsidRPr="2B26D8DC">
        <w:rPr>
          <w:rFonts w:ascii="Times New Roman" w:eastAsia="Times New Roman" w:hAnsi="Times New Roman" w:cs="Times New Roman"/>
          <w:color w:val="242424"/>
        </w:rPr>
        <w:t>Comprehensive Diabetes Care</w:t>
      </w:r>
    </w:p>
    <w:p w14:paraId="22E5F4C6" w14:textId="673C541C"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 xml:space="preserve">Overall, PIP 1 and PIP 2 must be carried out in distinct domain areas (care coordination; preventive, perinatal, or pediatric care; care for acute and chronic conditions) </w:t>
      </w:r>
    </w:p>
    <w:p w14:paraId="7A852779" w14:textId="66733316" w:rsidR="0096412A" w:rsidRDefault="1B0B8E1A" w:rsidP="2B26D8DC">
      <w:pPr>
        <w:pStyle w:val="ListParagraph"/>
        <w:numPr>
          <w:ilvl w:val="0"/>
          <w:numId w:val="1"/>
        </w:numPr>
        <w:rPr>
          <w:rFonts w:ascii="Times New Roman" w:eastAsia="Times New Roman" w:hAnsi="Times New Roman" w:cs="Times New Roman"/>
          <w:color w:val="000000" w:themeColor="text1"/>
        </w:rPr>
      </w:pPr>
      <w:r w:rsidRPr="2B26D8DC">
        <w:rPr>
          <w:rFonts w:ascii="Times New Roman" w:eastAsia="Times New Roman" w:hAnsi="Times New Roman" w:cs="Times New Roman"/>
          <w:color w:val="000000" w:themeColor="text1"/>
        </w:rPr>
        <w:t>Partnered PIPs should be conducted in coordinated domains among acute hospital and ACO partners</w:t>
      </w:r>
    </w:p>
    <w:p w14:paraId="0A47D1B2" w14:textId="77777777" w:rsidR="008B7478" w:rsidRDefault="008B7478">
      <w:pPr>
        <w:rPr>
          <w:rFonts w:ascii="Times New Roman" w:hAnsi="Times New Roman" w:cs="Times New Roman"/>
        </w:rPr>
      </w:pPr>
      <w:r>
        <w:rPr>
          <w:rFonts w:ascii="Times New Roman" w:hAnsi="Times New Roman" w:cs="Times New Roman"/>
        </w:rPr>
        <w:br w:type="page"/>
      </w:r>
    </w:p>
    <w:p w14:paraId="02E856CC" w14:textId="1822CE0F" w:rsidR="0096412A" w:rsidRDefault="00CD6659" w:rsidP="00A17BEB">
      <w:pPr>
        <w:pStyle w:val="Heading3"/>
      </w:pPr>
      <w:r>
        <w:lastRenderedPageBreak/>
        <w:t>Rubric</w:t>
      </w:r>
    </w:p>
    <w:tbl>
      <w:tblPr>
        <w:tblStyle w:val="TableGrid"/>
        <w:tblW w:w="0" w:type="auto"/>
        <w:tblLook w:val="04A0" w:firstRow="1" w:lastRow="0" w:firstColumn="1" w:lastColumn="0" w:noHBand="0" w:noVBand="1"/>
      </w:tblPr>
      <w:tblGrid>
        <w:gridCol w:w="2337"/>
        <w:gridCol w:w="2337"/>
        <w:gridCol w:w="2338"/>
        <w:gridCol w:w="2338"/>
      </w:tblGrid>
      <w:tr w:rsidR="00CD6659" w14:paraId="5CD12268" w14:textId="77777777" w:rsidTr="008C6FD0">
        <w:trPr>
          <w:tblHeader/>
        </w:trPr>
        <w:tc>
          <w:tcPr>
            <w:tcW w:w="2337" w:type="dxa"/>
          </w:tcPr>
          <w:p w14:paraId="676DC836" w14:textId="0560B540" w:rsidR="00CD6659" w:rsidRPr="00CD6659" w:rsidRDefault="00CD6659" w:rsidP="0096412A">
            <w:pPr>
              <w:rPr>
                <w:rFonts w:ascii="Times New Roman" w:hAnsi="Times New Roman" w:cs="Times New Roman"/>
                <w:b/>
                <w:bCs/>
              </w:rPr>
            </w:pPr>
            <w:r>
              <w:rPr>
                <w:rFonts w:ascii="Times New Roman" w:hAnsi="Times New Roman" w:cs="Times New Roman"/>
                <w:b/>
                <w:bCs/>
              </w:rPr>
              <w:t>Domain</w:t>
            </w:r>
          </w:p>
        </w:tc>
        <w:tc>
          <w:tcPr>
            <w:tcW w:w="2337" w:type="dxa"/>
          </w:tcPr>
          <w:p w14:paraId="79A6AB10" w14:textId="45ACC54E" w:rsidR="00CD6659" w:rsidRPr="00CD6659" w:rsidRDefault="00CD6659" w:rsidP="0096412A">
            <w:pPr>
              <w:rPr>
                <w:rFonts w:ascii="Times New Roman" w:hAnsi="Times New Roman" w:cs="Times New Roman"/>
                <w:b/>
                <w:bCs/>
              </w:rPr>
            </w:pPr>
            <w:r>
              <w:rPr>
                <w:rFonts w:ascii="Times New Roman" w:hAnsi="Times New Roman" w:cs="Times New Roman"/>
                <w:b/>
                <w:bCs/>
              </w:rPr>
              <w:t>Criteria</w:t>
            </w:r>
          </w:p>
        </w:tc>
        <w:tc>
          <w:tcPr>
            <w:tcW w:w="2338" w:type="dxa"/>
          </w:tcPr>
          <w:p w14:paraId="09FD70CA" w14:textId="62905FD2" w:rsidR="00CD6659" w:rsidRPr="00E92A4A" w:rsidRDefault="00E92A4A" w:rsidP="0096412A">
            <w:pPr>
              <w:rPr>
                <w:rFonts w:ascii="Times New Roman" w:hAnsi="Times New Roman" w:cs="Times New Roman"/>
                <w:b/>
                <w:bCs/>
              </w:rPr>
            </w:pPr>
            <w:r>
              <w:rPr>
                <w:rFonts w:ascii="Times New Roman" w:hAnsi="Times New Roman" w:cs="Times New Roman"/>
                <w:b/>
                <w:bCs/>
              </w:rPr>
              <w:t>Reviewer Comments</w:t>
            </w:r>
          </w:p>
        </w:tc>
        <w:tc>
          <w:tcPr>
            <w:tcW w:w="2338" w:type="dxa"/>
          </w:tcPr>
          <w:p w14:paraId="5ADC9F1E" w14:textId="6DB91CC2" w:rsidR="00CD6659" w:rsidRPr="00087EC1" w:rsidRDefault="00087EC1" w:rsidP="0096412A">
            <w:pPr>
              <w:rPr>
                <w:rFonts w:ascii="Times New Roman" w:hAnsi="Times New Roman" w:cs="Times New Roman"/>
              </w:rPr>
            </w:pPr>
            <w:r>
              <w:rPr>
                <w:rFonts w:ascii="Times New Roman" w:hAnsi="Times New Roman" w:cs="Times New Roman"/>
                <w:b/>
                <w:bCs/>
              </w:rPr>
              <w:t>Met, Partially Met, Did Not Meet (Partially Met and Did Not Meet Requires Resubmission)</w:t>
            </w:r>
          </w:p>
        </w:tc>
      </w:tr>
      <w:tr w:rsidR="00CD6659" w14:paraId="5E54B1A6" w14:textId="77777777" w:rsidTr="00CD6659">
        <w:tc>
          <w:tcPr>
            <w:tcW w:w="2337" w:type="dxa"/>
          </w:tcPr>
          <w:p w14:paraId="5E21C7D2" w14:textId="488C175B" w:rsidR="00CD6659" w:rsidRDefault="006C2D5B" w:rsidP="0096412A">
            <w:pPr>
              <w:rPr>
                <w:rFonts w:ascii="Times New Roman" w:hAnsi="Times New Roman" w:cs="Times New Roman"/>
              </w:rPr>
            </w:pPr>
            <w:r w:rsidRPr="2B26D8DC">
              <w:rPr>
                <w:rFonts w:ascii="Times New Roman" w:hAnsi="Times New Roman" w:cs="Times New Roman"/>
              </w:rPr>
              <w:t>As needed, e</w:t>
            </w:r>
            <w:r w:rsidR="5AB5425F" w:rsidRPr="2B26D8DC">
              <w:rPr>
                <w:rFonts w:ascii="Times New Roman" w:hAnsi="Times New Roman" w:cs="Times New Roman"/>
              </w:rPr>
              <w:t>ntities</w:t>
            </w:r>
            <w:r w:rsidR="21F4FE61" w:rsidRPr="2B26D8DC">
              <w:rPr>
                <w:rFonts w:ascii="Times New Roman" w:hAnsi="Times New Roman" w:cs="Times New Roman"/>
              </w:rPr>
              <w:t xml:space="preserve"> </w:t>
            </w:r>
            <w:r w:rsidR="3005B1D5" w:rsidRPr="2B26D8DC">
              <w:rPr>
                <w:rFonts w:ascii="Times New Roman" w:hAnsi="Times New Roman" w:cs="Times New Roman"/>
              </w:rPr>
              <w:t>modify</w:t>
            </w:r>
            <w:r w:rsidR="003614A7">
              <w:rPr>
                <w:rFonts w:ascii="Times New Roman" w:hAnsi="Times New Roman" w:cs="Times New Roman"/>
              </w:rPr>
              <w:t xml:space="preserve"> key contacts</w:t>
            </w:r>
            <w:r w:rsidR="009157AA">
              <w:rPr>
                <w:rFonts w:ascii="Times New Roman" w:hAnsi="Times New Roman" w:cs="Times New Roman"/>
              </w:rPr>
              <w:t xml:space="preserve"> across roles listed in the table and provide contact information</w:t>
            </w:r>
            <w:r w:rsidR="003614A7">
              <w:rPr>
                <w:rFonts w:ascii="Times New Roman" w:hAnsi="Times New Roman" w:cs="Times New Roman"/>
              </w:rPr>
              <w:t xml:space="preserve"> </w:t>
            </w:r>
          </w:p>
        </w:tc>
        <w:tc>
          <w:tcPr>
            <w:tcW w:w="2337" w:type="dxa"/>
          </w:tcPr>
          <w:p w14:paraId="50FBAD89" w14:textId="77777777" w:rsidR="00CD6659" w:rsidRDefault="00CD6659" w:rsidP="0096412A">
            <w:pPr>
              <w:rPr>
                <w:rFonts w:ascii="Times New Roman" w:hAnsi="Times New Roman" w:cs="Times New Roman"/>
              </w:rPr>
            </w:pPr>
          </w:p>
        </w:tc>
        <w:tc>
          <w:tcPr>
            <w:tcW w:w="2338" w:type="dxa"/>
          </w:tcPr>
          <w:p w14:paraId="623D5056" w14:textId="77777777" w:rsidR="00CD6659" w:rsidRDefault="00CD6659" w:rsidP="0096412A">
            <w:pPr>
              <w:rPr>
                <w:rFonts w:ascii="Times New Roman" w:hAnsi="Times New Roman" w:cs="Times New Roman"/>
              </w:rPr>
            </w:pPr>
          </w:p>
        </w:tc>
        <w:tc>
          <w:tcPr>
            <w:tcW w:w="2338" w:type="dxa"/>
          </w:tcPr>
          <w:p w14:paraId="653FDED6" w14:textId="77777777" w:rsidR="00CD6659" w:rsidRDefault="00CD6659" w:rsidP="0096412A">
            <w:pPr>
              <w:rPr>
                <w:rFonts w:ascii="Times New Roman" w:hAnsi="Times New Roman" w:cs="Times New Roman"/>
              </w:rPr>
            </w:pPr>
          </w:p>
        </w:tc>
      </w:tr>
      <w:tr w:rsidR="00CD6659" w14:paraId="0E146DCC" w14:textId="77777777" w:rsidTr="00CD6659">
        <w:tc>
          <w:tcPr>
            <w:tcW w:w="2337" w:type="dxa"/>
          </w:tcPr>
          <w:p w14:paraId="72301B72" w14:textId="446CF3C5" w:rsidR="00CD6659" w:rsidRDefault="00DE407F" w:rsidP="0096412A">
            <w:pPr>
              <w:rPr>
                <w:rFonts w:ascii="Times New Roman" w:hAnsi="Times New Roman" w:cs="Times New Roman"/>
              </w:rPr>
            </w:pPr>
            <w:r>
              <w:rPr>
                <w:rFonts w:ascii="Times New Roman" w:hAnsi="Times New Roman" w:cs="Times New Roman"/>
              </w:rPr>
              <w:t xml:space="preserve">Entities </w:t>
            </w:r>
            <w:r w:rsidR="00350609">
              <w:rPr>
                <w:rFonts w:ascii="Times New Roman" w:hAnsi="Times New Roman" w:cs="Times New Roman"/>
              </w:rPr>
              <w:t xml:space="preserve">provide a narrative for </w:t>
            </w:r>
            <w:r w:rsidR="009576E8">
              <w:rPr>
                <w:rFonts w:ascii="Times New Roman" w:hAnsi="Times New Roman" w:cs="Times New Roman"/>
              </w:rPr>
              <w:t>m</w:t>
            </w:r>
            <w:r w:rsidR="00350609">
              <w:rPr>
                <w:rFonts w:ascii="Times New Roman" w:hAnsi="Times New Roman" w:cs="Times New Roman"/>
              </w:rPr>
              <w:t>id-</w:t>
            </w:r>
            <w:r w:rsidR="009576E8">
              <w:rPr>
                <w:rFonts w:ascii="Times New Roman" w:hAnsi="Times New Roman" w:cs="Times New Roman"/>
              </w:rPr>
              <w:t>y</w:t>
            </w:r>
            <w:r w:rsidR="00350609">
              <w:rPr>
                <w:rFonts w:ascii="Times New Roman" w:hAnsi="Times New Roman" w:cs="Times New Roman"/>
              </w:rPr>
              <w:t xml:space="preserve">ear </w:t>
            </w:r>
            <w:r w:rsidR="009576E8">
              <w:rPr>
                <w:rFonts w:ascii="Times New Roman" w:hAnsi="Times New Roman" w:cs="Times New Roman"/>
              </w:rPr>
              <w:t>p</w:t>
            </w:r>
            <w:r w:rsidR="00350609">
              <w:rPr>
                <w:rFonts w:ascii="Times New Roman" w:hAnsi="Times New Roman" w:cs="Times New Roman"/>
              </w:rPr>
              <w:t>lanning that includes, in sufficient detail, elements of the prompt</w:t>
            </w:r>
          </w:p>
        </w:tc>
        <w:tc>
          <w:tcPr>
            <w:tcW w:w="2337" w:type="dxa"/>
          </w:tcPr>
          <w:p w14:paraId="3A99E511" w14:textId="77777777" w:rsidR="00CD6659" w:rsidRDefault="00CD6659" w:rsidP="0096412A">
            <w:pPr>
              <w:rPr>
                <w:rFonts w:ascii="Times New Roman" w:hAnsi="Times New Roman" w:cs="Times New Roman"/>
              </w:rPr>
            </w:pPr>
          </w:p>
        </w:tc>
        <w:tc>
          <w:tcPr>
            <w:tcW w:w="2338" w:type="dxa"/>
          </w:tcPr>
          <w:p w14:paraId="3CF5925F" w14:textId="77777777" w:rsidR="00CD6659" w:rsidRDefault="00CD6659" w:rsidP="0096412A">
            <w:pPr>
              <w:rPr>
                <w:rFonts w:ascii="Times New Roman" w:hAnsi="Times New Roman" w:cs="Times New Roman"/>
              </w:rPr>
            </w:pPr>
          </w:p>
        </w:tc>
        <w:tc>
          <w:tcPr>
            <w:tcW w:w="2338" w:type="dxa"/>
          </w:tcPr>
          <w:p w14:paraId="33FD0E25" w14:textId="77777777" w:rsidR="00CD6659" w:rsidRDefault="00CD6659" w:rsidP="0096412A">
            <w:pPr>
              <w:rPr>
                <w:rFonts w:ascii="Times New Roman" w:hAnsi="Times New Roman" w:cs="Times New Roman"/>
              </w:rPr>
            </w:pPr>
          </w:p>
        </w:tc>
      </w:tr>
    </w:tbl>
    <w:p w14:paraId="4B475700" w14:textId="77777777" w:rsidR="00CD6659" w:rsidRPr="00CD6659" w:rsidRDefault="00CD6659" w:rsidP="0096412A">
      <w:pPr>
        <w:rPr>
          <w:rFonts w:ascii="Times New Roman" w:hAnsi="Times New Roman" w:cs="Times New Roman"/>
        </w:rPr>
      </w:pPr>
    </w:p>
    <w:p w14:paraId="78E4F8BA" w14:textId="77777777" w:rsidR="0096412A" w:rsidRPr="0096412A" w:rsidRDefault="0096412A" w:rsidP="0096412A">
      <w:pPr>
        <w:rPr>
          <w:rFonts w:ascii="Times New Roman" w:hAnsi="Times New Roman" w:cs="Times New Roman"/>
        </w:rPr>
      </w:pPr>
    </w:p>
    <w:sectPr w:rsidR="0096412A" w:rsidRPr="00964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66F3" w14:textId="77777777" w:rsidR="007D623C" w:rsidRDefault="007D623C" w:rsidP="00DE1C53">
      <w:pPr>
        <w:spacing w:after="0" w:line="240" w:lineRule="auto"/>
      </w:pPr>
      <w:r>
        <w:separator/>
      </w:r>
    </w:p>
  </w:endnote>
  <w:endnote w:type="continuationSeparator" w:id="0">
    <w:p w14:paraId="5A1A0F13" w14:textId="77777777" w:rsidR="007D623C" w:rsidRDefault="007D623C" w:rsidP="00DE1C53">
      <w:pPr>
        <w:spacing w:after="0" w:line="240" w:lineRule="auto"/>
      </w:pPr>
      <w:r>
        <w:continuationSeparator/>
      </w:r>
    </w:p>
  </w:endnote>
  <w:endnote w:type="continuationNotice" w:id="1">
    <w:p w14:paraId="744713DC" w14:textId="77777777" w:rsidR="007D623C" w:rsidRDefault="007D6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9ED8" w14:textId="77777777" w:rsidR="007D623C" w:rsidRDefault="007D623C" w:rsidP="00DE1C53">
      <w:pPr>
        <w:spacing w:after="0" w:line="240" w:lineRule="auto"/>
      </w:pPr>
      <w:r>
        <w:separator/>
      </w:r>
    </w:p>
  </w:footnote>
  <w:footnote w:type="continuationSeparator" w:id="0">
    <w:p w14:paraId="3948740C" w14:textId="77777777" w:rsidR="007D623C" w:rsidRDefault="007D623C" w:rsidP="00DE1C53">
      <w:pPr>
        <w:spacing w:after="0" w:line="240" w:lineRule="auto"/>
      </w:pPr>
      <w:r>
        <w:continuationSeparator/>
      </w:r>
    </w:p>
  </w:footnote>
  <w:footnote w:type="continuationNotice" w:id="1">
    <w:p w14:paraId="1CEE5698" w14:textId="77777777" w:rsidR="007D623C" w:rsidRDefault="007D62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04F4"/>
    <w:multiLevelType w:val="hybridMultilevel"/>
    <w:tmpl w:val="71962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16306"/>
    <w:multiLevelType w:val="hybridMultilevel"/>
    <w:tmpl w:val="495E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549AB"/>
    <w:multiLevelType w:val="hybridMultilevel"/>
    <w:tmpl w:val="D7300D2E"/>
    <w:lvl w:ilvl="0" w:tplc="10943C26">
      <w:start w:val="1"/>
      <w:numFmt w:val="bullet"/>
      <w:lvlText w:val=""/>
      <w:lvlJc w:val="left"/>
      <w:pPr>
        <w:ind w:left="1440" w:hanging="360"/>
      </w:pPr>
      <w:rPr>
        <w:rFonts w:ascii="Symbol" w:hAnsi="Symbol" w:hint="default"/>
      </w:rPr>
    </w:lvl>
    <w:lvl w:ilvl="1" w:tplc="0AFA601C">
      <w:start w:val="1"/>
      <w:numFmt w:val="bullet"/>
      <w:lvlText w:val="o"/>
      <w:lvlJc w:val="left"/>
      <w:pPr>
        <w:ind w:left="2160" w:hanging="360"/>
      </w:pPr>
      <w:rPr>
        <w:rFonts w:ascii="Courier New" w:hAnsi="Courier New" w:hint="default"/>
      </w:rPr>
    </w:lvl>
    <w:lvl w:ilvl="2" w:tplc="A8CE735C">
      <w:start w:val="1"/>
      <w:numFmt w:val="bullet"/>
      <w:lvlText w:val=""/>
      <w:lvlJc w:val="left"/>
      <w:pPr>
        <w:ind w:left="2880" w:hanging="360"/>
      </w:pPr>
      <w:rPr>
        <w:rFonts w:ascii="Wingdings" w:hAnsi="Wingdings" w:hint="default"/>
      </w:rPr>
    </w:lvl>
    <w:lvl w:ilvl="3" w:tplc="27FEC49C">
      <w:start w:val="1"/>
      <w:numFmt w:val="bullet"/>
      <w:lvlText w:val=""/>
      <w:lvlJc w:val="left"/>
      <w:pPr>
        <w:ind w:left="3600" w:hanging="360"/>
      </w:pPr>
      <w:rPr>
        <w:rFonts w:ascii="Symbol" w:hAnsi="Symbol" w:hint="default"/>
      </w:rPr>
    </w:lvl>
    <w:lvl w:ilvl="4" w:tplc="15689772">
      <w:start w:val="1"/>
      <w:numFmt w:val="bullet"/>
      <w:lvlText w:val="o"/>
      <w:lvlJc w:val="left"/>
      <w:pPr>
        <w:ind w:left="4320" w:hanging="360"/>
      </w:pPr>
      <w:rPr>
        <w:rFonts w:ascii="Courier New" w:hAnsi="Courier New" w:hint="default"/>
      </w:rPr>
    </w:lvl>
    <w:lvl w:ilvl="5" w:tplc="5DE824C2">
      <w:start w:val="1"/>
      <w:numFmt w:val="bullet"/>
      <w:lvlText w:val=""/>
      <w:lvlJc w:val="left"/>
      <w:pPr>
        <w:ind w:left="5040" w:hanging="360"/>
      </w:pPr>
      <w:rPr>
        <w:rFonts w:ascii="Wingdings" w:hAnsi="Wingdings" w:hint="default"/>
      </w:rPr>
    </w:lvl>
    <w:lvl w:ilvl="6" w:tplc="789ECC28">
      <w:start w:val="1"/>
      <w:numFmt w:val="bullet"/>
      <w:lvlText w:val=""/>
      <w:lvlJc w:val="left"/>
      <w:pPr>
        <w:ind w:left="5760" w:hanging="360"/>
      </w:pPr>
      <w:rPr>
        <w:rFonts w:ascii="Symbol" w:hAnsi="Symbol" w:hint="default"/>
      </w:rPr>
    </w:lvl>
    <w:lvl w:ilvl="7" w:tplc="ACC8F6A4">
      <w:start w:val="1"/>
      <w:numFmt w:val="bullet"/>
      <w:lvlText w:val="o"/>
      <w:lvlJc w:val="left"/>
      <w:pPr>
        <w:ind w:left="6480" w:hanging="360"/>
      </w:pPr>
      <w:rPr>
        <w:rFonts w:ascii="Courier New" w:hAnsi="Courier New" w:hint="default"/>
      </w:rPr>
    </w:lvl>
    <w:lvl w:ilvl="8" w:tplc="9DE6EF1C">
      <w:start w:val="1"/>
      <w:numFmt w:val="bullet"/>
      <w:lvlText w:val=""/>
      <w:lvlJc w:val="left"/>
      <w:pPr>
        <w:ind w:left="7200" w:hanging="360"/>
      </w:pPr>
      <w:rPr>
        <w:rFonts w:ascii="Wingdings" w:hAnsi="Wingdings" w:hint="default"/>
      </w:rPr>
    </w:lvl>
  </w:abstractNum>
  <w:num w:numId="1" w16cid:durableId="672298796">
    <w:abstractNumId w:val="0"/>
  </w:num>
  <w:num w:numId="2" w16cid:durableId="1319649895">
    <w:abstractNumId w:val="1"/>
  </w:num>
  <w:num w:numId="3" w16cid:durableId="2080786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82"/>
    <w:rsid w:val="00004DB7"/>
    <w:rsid w:val="000106D3"/>
    <w:rsid w:val="000172BB"/>
    <w:rsid w:val="000174BE"/>
    <w:rsid w:val="000303EB"/>
    <w:rsid w:val="00034003"/>
    <w:rsid w:val="00041995"/>
    <w:rsid w:val="0004365F"/>
    <w:rsid w:val="00051F29"/>
    <w:rsid w:val="00053C59"/>
    <w:rsid w:val="00064623"/>
    <w:rsid w:val="0007B4CF"/>
    <w:rsid w:val="000857E5"/>
    <w:rsid w:val="0008658F"/>
    <w:rsid w:val="00087EC1"/>
    <w:rsid w:val="0009573D"/>
    <w:rsid w:val="000A0848"/>
    <w:rsid w:val="000B04FF"/>
    <w:rsid w:val="000B60F2"/>
    <w:rsid w:val="000D14C8"/>
    <w:rsid w:val="000D4028"/>
    <w:rsid w:val="000D4AD6"/>
    <w:rsid w:val="000F42F1"/>
    <w:rsid w:val="00102808"/>
    <w:rsid w:val="00123295"/>
    <w:rsid w:val="001246A0"/>
    <w:rsid w:val="00134D94"/>
    <w:rsid w:val="00142394"/>
    <w:rsid w:val="00155743"/>
    <w:rsid w:val="00162589"/>
    <w:rsid w:val="00170EF9"/>
    <w:rsid w:val="001827FD"/>
    <w:rsid w:val="00187467"/>
    <w:rsid w:val="00190250"/>
    <w:rsid w:val="00191EC5"/>
    <w:rsid w:val="001C309B"/>
    <w:rsid w:val="001C3BDE"/>
    <w:rsid w:val="001C6FEE"/>
    <w:rsid w:val="001E042F"/>
    <w:rsid w:val="001E1BAF"/>
    <w:rsid w:val="001F1926"/>
    <w:rsid w:val="00205E50"/>
    <w:rsid w:val="0020684B"/>
    <w:rsid w:val="00222E17"/>
    <w:rsid w:val="00231D70"/>
    <w:rsid w:val="0023411E"/>
    <w:rsid w:val="00240739"/>
    <w:rsid w:val="00250E72"/>
    <w:rsid w:val="00264F70"/>
    <w:rsid w:val="00285460"/>
    <w:rsid w:val="0029771F"/>
    <w:rsid w:val="0029790E"/>
    <w:rsid w:val="002B623C"/>
    <w:rsid w:val="002B6C55"/>
    <w:rsid w:val="002C01F7"/>
    <w:rsid w:val="002C1EA1"/>
    <w:rsid w:val="002C2B53"/>
    <w:rsid w:val="002C3913"/>
    <w:rsid w:val="002D1103"/>
    <w:rsid w:val="002D2039"/>
    <w:rsid w:val="002E0425"/>
    <w:rsid w:val="002F1951"/>
    <w:rsid w:val="00304D99"/>
    <w:rsid w:val="00313BAC"/>
    <w:rsid w:val="00314329"/>
    <w:rsid w:val="0032061D"/>
    <w:rsid w:val="00321FEF"/>
    <w:rsid w:val="00325C39"/>
    <w:rsid w:val="0033522B"/>
    <w:rsid w:val="00350609"/>
    <w:rsid w:val="00354F76"/>
    <w:rsid w:val="003614A7"/>
    <w:rsid w:val="00376A66"/>
    <w:rsid w:val="00381CCC"/>
    <w:rsid w:val="00383596"/>
    <w:rsid w:val="00386AB0"/>
    <w:rsid w:val="0039002A"/>
    <w:rsid w:val="003B12D7"/>
    <w:rsid w:val="003B72AC"/>
    <w:rsid w:val="003B779E"/>
    <w:rsid w:val="003D050D"/>
    <w:rsid w:val="003D5D52"/>
    <w:rsid w:val="003E6811"/>
    <w:rsid w:val="003F6F81"/>
    <w:rsid w:val="0040295E"/>
    <w:rsid w:val="00410EE9"/>
    <w:rsid w:val="00432AAB"/>
    <w:rsid w:val="00442E5B"/>
    <w:rsid w:val="00454C95"/>
    <w:rsid w:val="00461441"/>
    <w:rsid w:val="00465A79"/>
    <w:rsid w:val="004662EA"/>
    <w:rsid w:val="004765A8"/>
    <w:rsid w:val="00476F85"/>
    <w:rsid w:val="00485DFC"/>
    <w:rsid w:val="00490F54"/>
    <w:rsid w:val="004A6AF4"/>
    <w:rsid w:val="004D73E4"/>
    <w:rsid w:val="004D7E9A"/>
    <w:rsid w:val="004E55F2"/>
    <w:rsid w:val="004F26E3"/>
    <w:rsid w:val="00503A29"/>
    <w:rsid w:val="00510605"/>
    <w:rsid w:val="00511168"/>
    <w:rsid w:val="00526BF1"/>
    <w:rsid w:val="00534F0C"/>
    <w:rsid w:val="0053761E"/>
    <w:rsid w:val="005427B4"/>
    <w:rsid w:val="00544C78"/>
    <w:rsid w:val="00563CEB"/>
    <w:rsid w:val="00570112"/>
    <w:rsid w:val="00572B68"/>
    <w:rsid w:val="00583BBC"/>
    <w:rsid w:val="00591E01"/>
    <w:rsid w:val="005A657C"/>
    <w:rsid w:val="005B4DBC"/>
    <w:rsid w:val="005D4649"/>
    <w:rsid w:val="005D7FF2"/>
    <w:rsid w:val="005E553D"/>
    <w:rsid w:val="005E5FEC"/>
    <w:rsid w:val="005F6C02"/>
    <w:rsid w:val="0060411B"/>
    <w:rsid w:val="0061046B"/>
    <w:rsid w:val="00622C18"/>
    <w:rsid w:val="006400C7"/>
    <w:rsid w:val="006447EC"/>
    <w:rsid w:val="00657988"/>
    <w:rsid w:val="006605D9"/>
    <w:rsid w:val="0066084E"/>
    <w:rsid w:val="0066452C"/>
    <w:rsid w:val="006716EB"/>
    <w:rsid w:val="00685B69"/>
    <w:rsid w:val="006A22AB"/>
    <w:rsid w:val="006B1AEC"/>
    <w:rsid w:val="006B542E"/>
    <w:rsid w:val="006B5FB4"/>
    <w:rsid w:val="006C2D5B"/>
    <w:rsid w:val="006C79A5"/>
    <w:rsid w:val="00712BFA"/>
    <w:rsid w:val="007136D0"/>
    <w:rsid w:val="0072631F"/>
    <w:rsid w:val="007307C2"/>
    <w:rsid w:val="00733753"/>
    <w:rsid w:val="00750A14"/>
    <w:rsid w:val="007554A0"/>
    <w:rsid w:val="007559AC"/>
    <w:rsid w:val="007577D2"/>
    <w:rsid w:val="007744C5"/>
    <w:rsid w:val="00776D3E"/>
    <w:rsid w:val="00780598"/>
    <w:rsid w:val="00785096"/>
    <w:rsid w:val="007A14F4"/>
    <w:rsid w:val="007A5AF1"/>
    <w:rsid w:val="007B5F2F"/>
    <w:rsid w:val="007C6E98"/>
    <w:rsid w:val="007D623C"/>
    <w:rsid w:val="007F7712"/>
    <w:rsid w:val="0080486F"/>
    <w:rsid w:val="00806740"/>
    <w:rsid w:val="00812C51"/>
    <w:rsid w:val="00813EE7"/>
    <w:rsid w:val="00827D3F"/>
    <w:rsid w:val="0083759E"/>
    <w:rsid w:val="00845777"/>
    <w:rsid w:val="008519F5"/>
    <w:rsid w:val="0085401A"/>
    <w:rsid w:val="008638F4"/>
    <w:rsid w:val="00866DD9"/>
    <w:rsid w:val="00870A74"/>
    <w:rsid w:val="0087333D"/>
    <w:rsid w:val="00893065"/>
    <w:rsid w:val="00895358"/>
    <w:rsid w:val="008A2085"/>
    <w:rsid w:val="008B7478"/>
    <w:rsid w:val="008C1FDD"/>
    <w:rsid w:val="008C6FD0"/>
    <w:rsid w:val="008C749A"/>
    <w:rsid w:val="008D0824"/>
    <w:rsid w:val="008F0C78"/>
    <w:rsid w:val="008F6D25"/>
    <w:rsid w:val="00900EEF"/>
    <w:rsid w:val="009101E3"/>
    <w:rsid w:val="009157AA"/>
    <w:rsid w:val="00926E9E"/>
    <w:rsid w:val="009322DD"/>
    <w:rsid w:val="00932703"/>
    <w:rsid w:val="0093504F"/>
    <w:rsid w:val="009411DA"/>
    <w:rsid w:val="00942B0C"/>
    <w:rsid w:val="00944102"/>
    <w:rsid w:val="00952B13"/>
    <w:rsid w:val="009556B6"/>
    <w:rsid w:val="009576E8"/>
    <w:rsid w:val="0096412A"/>
    <w:rsid w:val="00965086"/>
    <w:rsid w:val="009739DA"/>
    <w:rsid w:val="00975796"/>
    <w:rsid w:val="009A5A26"/>
    <w:rsid w:val="009C5402"/>
    <w:rsid w:val="009D18AD"/>
    <w:rsid w:val="009D4B5B"/>
    <w:rsid w:val="009D732F"/>
    <w:rsid w:val="00A17BEB"/>
    <w:rsid w:val="00A21A25"/>
    <w:rsid w:val="00A27D72"/>
    <w:rsid w:val="00A3494C"/>
    <w:rsid w:val="00A4097E"/>
    <w:rsid w:val="00A7193B"/>
    <w:rsid w:val="00AA0E25"/>
    <w:rsid w:val="00AA111F"/>
    <w:rsid w:val="00AB6DF6"/>
    <w:rsid w:val="00AC0958"/>
    <w:rsid w:val="00AC2E61"/>
    <w:rsid w:val="00AC53E9"/>
    <w:rsid w:val="00AC759A"/>
    <w:rsid w:val="00AC7EC1"/>
    <w:rsid w:val="00AD3522"/>
    <w:rsid w:val="00AD458A"/>
    <w:rsid w:val="00AE74EE"/>
    <w:rsid w:val="00AF7809"/>
    <w:rsid w:val="00B03804"/>
    <w:rsid w:val="00B07125"/>
    <w:rsid w:val="00B15641"/>
    <w:rsid w:val="00B15ADD"/>
    <w:rsid w:val="00B21214"/>
    <w:rsid w:val="00B26ED3"/>
    <w:rsid w:val="00B30EA0"/>
    <w:rsid w:val="00B43C58"/>
    <w:rsid w:val="00B456C5"/>
    <w:rsid w:val="00B60CA6"/>
    <w:rsid w:val="00B65348"/>
    <w:rsid w:val="00B958ED"/>
    <w:rsid w:val="00B95BCB"/>
    <w:rsid w:val="00BA120D"/>
    <w:rsid w:val="00BA70E0"/>
    <w:rsid w:val="00BF60D1"/>
    <w:rsid w:val="00C059BA"/>
    <w:rsid w:val="00C15CFA"/>
    <w:rsid w:val="00C20774"/>
    <w:rsid w:val="00C265BF"/>
    <w:rsid w:val="00C27233"/>
    <w:rsid w:val="00C3326D"/>
    <w:rsid w:val="00C352B6"/>
    <w:rsid w:val="00C40576"/>
    <w:rsid w:val="00C62093"/>
    <w:rsid w:val="00C677CE"/>
    <w:rsid w:val="00C71725"/>
    <w:rsid w:val="00C94987"/>
    <w:rsid w:val="00C954D7"/>
    <w:rsid w:val="00CA3B2F"/>
    <w:rsid w:val="00CB2672"/>
    <w:rsid w:val="00CC1BDA"/>
    <w:rsid w:val="00CD339E"/>
    <w:rsid w:val="00CD615E"/>
    <w:rsid w:val="00CD6659"/>
    <w:rsid w:val="00CF04AD"/>
    <w:rsid w:val="00CF2847"/>
    <w:rsid w:val="00D158D8"/>
    <w:rsid w:val="00D1767C"/>
    <w:rsid w:val="00D2727E"/>
    <w:rsid w:val="00D36480"/>
    <w:rsid w:val="00D435AB"/>
    <w:rsid w:val="00D4564F"/>
    <w:rsid w:val="00D540F7"/>
    <w:rsid w:val="00D55613"/>
    <w:rsid w:val="00D74780"/>
    <w:rsid w:val="00D92B88"/>
    <w:rsid w:val="00D9648B"/>
    <w:rsid w:val="00D9687D"/>
    <w:rsid w:val="00DA3F5B"/>
    <w:rsid w:val="00DB4DBE"/>
    <w:rsid w:val="00DB59A2"/>
    <w:rsid w:val="00DC07D8"/>
    <w:rsid w:val="00DD17ED"/>
    <w:rsid w:val="00DE0D74"/>
    <w:rsid w:val="00DE1C53"/>
    <w:rsid w:val="00DE407F"/>
    <w:rsid w:val="00DF7B2B"/>
    <w:rsid w:val="00E15E43"/>
    <w:rsid w:val="00E16C69"/>
    <w:rsid w:val="00E17291"/>
    <w:rsid w:val="00E3003F"/>
    <w:rsid w:val="00E373F9"/>
    <w:rsid w:val="00E46261"/>
    <w:rsid w:val="00E50CFF"/>
    <w:rsid w:val="00E566E6"/>
    <w:rsid w:val="00E57211"/>
    <w:rsid w:val="00E652E1"/>
    <w:rsid w:val="00E72E2A"/>
    <w:rsid w:val="00E92A4A"/>
    <w:rsid w:val="00EB667D"/>
    <w:rsid w:val="00EB7C42"/>
    <w:rsid w:val="00ED6025"/>
    <w:rsid w:val="00EE5F3D"/>
    <w:rsid w:val="00EE6382"/>
    <w:rsid w:val="00EF401A"/>
    <w:rsid w:val="00EF40B7"/>
    <w:rsid w:val="00F0563F"/>
    <w:rsid w:val="00F10249"/>
    <w:rsid w:val="00F137CD"/>
    <w:rsid w:val="00F2289E"/>
    <w:rsid w:val="00F2335F"/>
    <w:rsid w:val="00F318CF"/>
    <w:rsid w:val="00F46A40"/>
    <w:rsid w:val="00F83EA2"/>
    <w:rsid w:val="00F94100"/>
    <w:rsid w:val="00FA5B66"/>
    <w:rsid w:val="00FB5F22"/>
    <w:rsid w:val="00FC09FA"/>
    <w:rsid w:val="00FC2FC1"/>
    <w:rsid w:val="00FD2FC8"/>
    <w:rsid w:val="00FF0B95"/>
    <w:rsid w:val="010B9DF1"/>
    <w:rsid w:val="015DC2A3"/>
    <w:rsid w:val="03865AFE"/>
    <w:rsid w:val="040AF00F"/>
    <w:rsid w:val="04D182AF"/>
    <w:rsid w:val="04F8E37F"/>
    <w:rsid w:val="05955323"/>
    <w:rsid w:val="06ED2B5C"/>
    <w:rsid w:val="084EB1D8"/>
    <w:rsid w:val="0A770A46"/>
    <w:rsid w:val="0A9F6836"/>
    <w:rsid w:val="0AC01795"/>
    <w:rsid w:val="0B8B3DA3"/>
    <w:rsid w:val="0CCA1DC1"/>
    <w:rsid w:val="0CF6A32B"/>
    <w:rsid w:val="0D107576"/>
    <w:rsid w:val="0DF6B6D7"/>
    <w:rsid w:val="0E06EB56"/>
    <w:rsid w:val="10301DC6"/>
    <w:rsid w:val="130FA425"/>
    <w:rsid w:val="13148E07"/>
    <w:rsid w:val="137A2B3B"/>
    <w:rsid w:val="138218CF"/>
    <w:rsid w:val="13B68776"/>
    <w:rsid w:val="145646E2"/>
    <w:rsid w:val="152EB292"/>
    <w:rsid w:val="16223F99"/>
    <w:rsid w:val="18E1944A"/>
    <w:rsid w:val="1AD09187"/>
    <w:rsid w:val="1B0B8E1A"/>
    <w:rsid w:val="1C6A0408"/>
    <w:rsid w:val="1C6C61E8"/>
    <w:rsid w:val="1CE0FE20"/>
    <w:rsid w:val="1D40D27A"/>
    <w:rsid w:val="204F7A2E"/>
    <w:rsid w:val="21F4FE61"/>
    <w:rsid w:val="2332E7DC"/>
    <w:rsid w:val="2339E9DB"/>
    <w:rsid w:val="2373EF55"/>
    <w:rsid w:val="2520704E"/>
    <w:rsid w:val="259EC474"/>
    <w:rsid w:val="278BE191"/>
    <w:rsid w:val="28040A59"/>
    <w:rsid w:val="288343D5"/>
    <w:rsid w:val="28A8FDA5"/>
    <w:rsid w:val="29D8BEF8"/>
    <w:rsid w:val="2A92DC53"/>
    <w:rsid w:val="2B26D8DC"/>
    <w:rsid w:val="2C0F8816"/>
    <w:rsid w:val="2C849B0B"/>
    <w:rsid w:val="2E3FE9B5"/>
    <w:rsid w:val="2EF77B2E"/>
    <w:rsid w:val="3005B1D5"/>
    <w:rsid w:val="300F1C3E"/>
    <w:rsid w:val="351F8AE2"/>
    <w:rsid w:val="35ABAD13"/>
    <w:rsid w:val="375836FE"/>
    <w:rsid w:val="386E6628"/>
    <w:rsid w:val="3B293F25"/>
    <w:rsid w:val="3BBE4B54"/>
    <w:rsid w:val="3BE222C3"/>
    <w:rsid w:val="3C0F78DB"/>
    <w:rsid w:val="3CD1CA2E"/>
    <w:rsid w:val="3DB8F122"/>
    <w:rsid w:val="404F4098"/>
    <w:rsid w:val="416BCDAD"/>
    <w:rsid w:val="4183A240"/>
    <w:rsid w:val="41FF2E90"/>
    <w:rsid w:val="42911126"/>
    <w:rsid w:val="441F82EE"/>
    <w:rsid w:val="447BCAE1"/>
    <w:rsid w:val="45E6AF06"/>
    <w:rsid w:val="4776484E"/>
    <w:rsid w:val="49015F25"/>
    <w:rsid w:val="4A34B8CA"/>
    <w:rsid w:val="4A4974ED"/>
    <w:rsid w:val="4C76EDE1"/>
    <w:rsid w:val="4CC0C0B8"/>
    <w:rsid w:val="4F90C695"/>
    <w:rsid w:val="50D7794B"/>
    <w:rsid w:val="52893F09"/>
    <w:rsid w:val="52B67EAE"/>
    <w:rsid w:val="55E4DCFF"/>
    <w:rsid w:val="56E45EAA"/>
    <w:rsid w:val="57F19BE2"/>
    <w:rsid w:val="5A44D9A1"/>
    <w:rsid w:val="5AB5425F"/>
    <w:rsid w:val="5B7838A8"/>
    <w:rsid w:val="5DF49C11"/>
    <w:rsid w:val="5DF9FF9E"/>
    <w:rsid w:val="5E2D4A90"/>
    <w:rsid w:val="5FFEED3E"/>
    <w:rsid w:val="6180B788"/>
    <w:rsid w:val="6322874F"/>
    <w:rsid w:val="6323E6D0"/>
    <w:rsid w:val="63FE8166"/>
    <w:rsid w:val="65AB18AA"/>
    <w:rsid w:val="660780DB"/>
    <w:rsid w:val="6835F6D9"/>
    <w:rsid w:val="6B476E6D"/>
    <w:rsid w:val="6BEC6040"/>
    <w:rsid w:val="6D840AAE"/>
    <w:rsid w:val="6D923097"/>
    <w:rsid w:val="71346B75"/>
    <w:rsid w:val="7308FA0E"/>
    <w:rsid w:val="7333896D"/>
    <w:rsid w:val="747702A9"/>
    <w:rsid w:val="75730768"/>
    <w:rsid w:val="75AD1839"/>
    <w:rsid w:val="77A6B5AC"/>
    <w:rsid w:val="7809EFE8"/>
    <w:rsid w:val="793888D4"/>
    <w:rsid w:val="7CE236EA"/>
    <w:rsid w:val="7F44B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5052"/>
  <w15:chartTrackingRefBased/>
  <w15:docId w15:val="{D30E8556-238E-4E8A-8F52-01E3C267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1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7B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7B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382"/>
    <w:pPr>
      <w:ind w:left="720"/>
      <w:contextualSpacing/>
    </w:pPr>
  </w:style>
  <w:style w:type="paragraph" w:styleId="Header">
    <w:name w:val="header"/>
    <w:basedOn w:val="Normal"/>
    <w:link w:val="HeaderChar"/>
    <w:uiPriority w:val="99"/>
    <w:rsid w:val="00CF284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CF284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F2847"/>
    <w:rPr>
      <w:sz w:val="16"/>
      <w:szCs w:val="16"/>
    </w:rPr>
  </w:style>
  <w:style w:type="paragraph" w:styleId="CommentText">
    <w:name w:val="annotation text"/>
    <w:basedOn w:val="Normal"/>
    <w:link w:val="CommentTextChar"/>
    <w:uiPriority w:val="99"/>
    <w:unhideWhenUsed/>
    <w:rsid w:val="00CF284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F2847"/>
    <w:rPr>
      <w:rFonts w:ascii="Times New Roman" w:eastAsia="Times New Roman" w:hAnsi="Times New Roman" w:cs="Times New Roman"/>
      <w:sz w:val="20"/>
      <w:szCs w:val="20"/>
    </w:rPr>
  </w:style>
  <w:style w:type="table" w:styleId="TableGrid">
    <w:name w:val="Table Grid"/>
    <w:basedOn w:val="TableNormal"/>
    <w:uiPriority w:val="39"/>
    <w:rsid w:val="008A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494C"/>
    <w:pPr>
      <w:spacing w:after="0" w:line="240" w:lineRule="auto"/>
    </w:pPr>
  </w:style>
  <w:style w:type="paragraph" w:styleId="Footer">
    <w:name w:val="footer"/>
    <w:basedOn w:val="Normal"/>
    <w:link w:val="FooterChar"/>
    <w:uiPriority w:val="99"/>
    <w:unhideWhenUsed/>
    <w:rsid w:val="00DE1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C53"/>
  </w:style>
  <w:style w:type="paragraph" w:styleId="CommentSubject">
    <w:name w:val="annotation subject"/>
    <w:basedOn w:val="CommentText"/>
    <w:next w:val="CommentText"/>
    <w:link w:val="CommentSubjectChar"/>
    <w:uiPriority w:val="99"/>
    <w:semiHidden/>
    <w:unhideWhenUsed/>
    <w:rsid w:val="008F6D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6D2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91E01"/>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386AB0"/>
    <w:rPr>
      <w:color w:val="2B579A"/>
      <w:shd w:val="clear" w:color="auto" w:fill="E1DFDD"/>
    </w:rPr>
  </w:style>
  <w:style w:type="character" w:customStyle="1" w:styleId="Heading1Char">
    <w:name w:val="Heading 1 Char"/>
    <w:basedOn w:val="DefaultParagraphFont"/>
    <w:link w:val="Heading1"/>
    <w:uiPriority w:val="9"/>
    <w:rsid w:val="000D1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7BE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17B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DFCF-8601-4E7C-8045-EFD55C14D35B}">
  <ds:schemaRefs>
    <ds:schemaRef ds:uri="http://schemas.microsoft.com/sharepoint/v3/contenttype/forms"/>
  </ds:schemaRefs>
</ds:datastoreItem>
</file>

<file path=customXml/itemProps2.xml><?xml version="1.0" encoding="utf-8"?>
<ds:datastoreItem xmlns:ds="http://schemas.openxmlformats.org/officeDocument/2006/customXml" ds:itemID="{CBD4ED23-E6B9-422E-9A72-47C7B5C55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A42CB-4307-4D5E-B8B9-0827055D83AC}">
  <ds:schemaRefs>
    <ds:schemaRef ds:uri="http://www.w3.org/XML/1998/namespace"/>
    <ds:schemaRef ds:uri="http://purl.org/dc/elements/1.1/"/>
    <ds:schemaRef ds:uri="http://schemas.microsoft.com/office/2006/metadata/properties"/>
    <ds:schemaRef ds:uri="http://purl.org/dc/terms/"/>
    <ds:schemaRef ds:uri="a84c8341-80aa-4b48-9373-d3a3de2ad48e"/>
    <ds:schemaRef ds:uri="http://schemas.microsoft.com/office/2006/documentManagement/types"/>
    <ds:schemaRef ds:uri="http://purl.org/dc/dcmitype/"/>
    <ds:schemaRef ds:uri="http://schemas.microsoft.com/office/infopath/2007/PartnerControls"/>
    <ds:schemaRef ds:uri="ca181a51-b58f-4101-967e-bee951ab042e"/>
    <ds:schemaRef ds:uri="http://schemas.openxmlformats.org/package/2006/metadata/core-properties"/>
  </ds:schemaRefs>
</ds:datastoreItem>
</file>

<file path=customXml/itemProps4.xml><?xml version="1.0" encoding="utf-8"?>
<ds:datastoreItem xmlns:ds="http://schemas.openxmlformats.org/officeDocument/2006/customXml" ds:itemID="{BC83DF97-AD93-4172-9224-63E466EE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Tarbox, Andrew (EHS)</dc:creator>
  <cp:keywords/>
  <dc:description/>
  <cp:lastModifiedBy>Jamros, Michael R (EHS)</cp:lastModifiedBy>
  <cp:revision>12</cp:revision>
  <dcterms:created xsi:type="dcterms:W3CDTF">2023-08-22T15:13:00Z</dcterms:created>
  <dcterms:modified xsi:type="dcterms:W3CDTF">2023-12-12T15:04:00Z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