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B34" w:rsidRDefault="00A312AD" w:rsidP="00A312AD">
      <w:pPr>
        <w:spacing w:after="0"/>
        <w:jc w:val="center"/>
        <w:rPr>
          <w:rFonts w:ascii="Calibri" w:hAnsi="Calibri" w:cs="Calibri"/>
          <w:b/>
          <w:sz w:val="40"/>
          <w:szCs w:val="40"/>
        </w:rPr>
      </w:pPr>
      <w:r w:rsidRPr="00A312AD">
        <w:rPr>
          <w:rFonts w:ascii="Calibri" w:hAnsi="Calibri" w:cs="Calibri"/>
          <w:b/>
          <w:sz w:val="40"/>
          <w:szCs w:val="40"/>
        </w:rPr>
        <w:t>Actuarial Analysis of the</w:t>
      </w:r>
      <w:r>
        <w:rPr>
          <w:rFonts w:ascii="Calibri" w:hAnsi="Calibri" w:cs="Calibri"/>
          <w:b/>
          <w:sz w:val="40"/>
          <w:szCs w:val="40"/>
        </w:rPr>
        <w:br/>
      </w:r>
      <w:r w:rsidRPr="00A312AD">
        <w:rPr>
          <w:rFonts w:ascii="Calibri" w:hAnsi="Calibri" w:cs="Calibri"/>
          <w:b/>
          <w:sz w:val="40"/>
          <w:szCs w:val="40"/>
        </w:rPr>
        <w:t>Drug Formulary Commission’s</w:t>
      </w:r>
      <w:r>
        <w:rPr>
          <w:rFonts w:ascii="Calibri" w:hAnsi="Calibri" w:cs="Calibri"/>
          <w:b/>
          <w:sz w:val="40"/>
          <w:szCs w:val="40"/>
        </w:rPr>
        <w:br/>
      </w:r>
      <w:r w:rsidRPr="00A312AD">
        <w:rPr>
          <w:rFonts w:ascii="Calibri" w:hAnsi="Calibri" w:cs="Calibri"/>
          <w:b/>
          <w:sz w:val="40"/>
          <w:szCs w:val="40"/>
        </w:rPr>
        <w:t>Abuse-Deterrent Drug Formulary</w:t>
      </w:r>
      <w:r>
        <w:rPr>
          <w:rFonts w:ascii="Calibri" w:hAnsi="Calibri" w:cs="Calibri"/>
          <w:b/>
          <w:sz w:val="40"/>
          <w:szCs w:val="40"/>
        </w:rPr>
        <w:br/>
      </w:r>
      <w:r w:rsidRPr="00A312AD">
        <w:rPr>
          <w:rFonts w:ascii="Calibri" w:hAnsi="Calibri" w:cs="Calibri"/>
          <w:b/>
          <w:sz w:val="40"/>
          <w:szCs w:val="40"/>
        </w:rPr>
        <w:t>under Chapter 258 of the Acts of 2014</w:t>
      </w:r>
      <w:r>
        <w:rPr>
          <w:rFonts w:ascii="Calibri" w:hAnsi="Calibri" w:cs="Calibri"/>
          <w:b/>
          <w:sz w:val="40"/>
          <w:szCs w:val="40"/>
        </w:rPr>
        <w:br/>
      </w:r>
      <w:r w:rsidR="00006394">
        <w:rPr>
          <w:rFonts w:ascii="Calibri" w:hAnsi="Calibri" w:cs="Calibri"/>
          <w:b/>
          <w:sz w:val="40"/>
          <w:szCs w:val="40"/>
        </w:rPr>
        <w:t>“An Act to increase opportunities for</w:t>
      </w:r>
      <w:r>
        <w:rPr>
          <w:rFonts w:ascii="Calibri" w:hAnsi="Calibri" w:cs="Calibri"/>
          <w:b/>
          <w:sz w:val="40"/>
          <w:szCs w:val="40"/>
        </w:rPr>
        <w:br/>
      </w:r>
      <w:r w:rsidR="00006394">
        <w:rPr>
          <w:rFonts w:ascii="Calibri" w:hAnsi="Calibri" w:cs="Calibri"/>
          <w:b/>
          <w:sz w:val="40"/>
          <w:szCs w:val="40"/>
        </w:rPr>
        <w:t>long-term substance abuse recovery”</w:t>
      </w:r>
    </w:p>
    <w:p w:rsidR="00E338A7" w:rsidRPr="0028450C" w:rsidRDefault="00E338A7" w:rsidP="00006394">
      <w:pPr>
        <w:spacing w:after="0"/>
        <w:jc w:val="center"/>
        <w:rPr>
          <w:rFonts w:ascii="Calibri" w:hAnsi="Calibri" w:cs="Calibri"/>
          <w:b/>
          <w:sz w:val="40"/>
          <w:szCs w:val="40"/>
        </w:rPr>
      </w:pPr>
    </w:p>
    <w:p w:rsidR="00A82B34" w:rsidRDefault="00A82B34" w:rsidP="00A82B34">
      <w:pPr>
        <w:jc w:val="center"/>
        <w:rPr>
          <w:rFonts w:ascii="Calibri" w:hAnsi="Calibri" w:cs="Calibri"/>
          <w:b/>
          <w:sz w:val="40"/>
          <w:szCs w:val="40"/>
        </w:rPr>
      </w:pPr>
    </w:p>
    <w:p w:rsidR="00C00001" w:rsidRPr="004944C0" w:rsidRDefault="00C00001" w:rsidP="00A82B34">
      <w:pPr>
        <w:jc w:val="center"/>
        <w:rPr>
          <w:rFonts w:ascii="Calibri" w:hAnsi="Calibri" w:cs="Calibri"/>
          <w:b/>
          <w:sz w:val="40"/>
          <w:szCs w:val="40"/>
        </w:rPr>
      </w:pPr>
    </w:p>
    <w:p w:rsidR="00A82B34" w:rsidRPr="0028450C" w:rsidRDefault="00A82B34" w:rsidP="00A82B34">
      <w:pPr>
        <w:jc w:val="center"/>
        <w:rPr>
          <w:rFonts w:ascii="Calibri" w:hAnsi="Calibri" w:cs="Calibri"/>
          <w:sz w:val="32"/>
          <w:szCs w:val="32"/>
        </w:rPr>
      </w:pPr>
      <w:r w:rsidRPr="0028450C">
        <w:rPr>
          <w:rFonts w:ascii="Calibri" w:hAnsi="Calibri" w:cs="Calibri"/>
          <w:sz w:val="32"/>
          <w:szCs w:val="32"/>
        </w:rPr>
        <w:t>Prepared for</w:t>
      </w:r>
      <w:r w:rsidR="0028450C">
        <w:rPr>
          <w:rFonts w:ascii="Calibri" w:hAnsi="Calibri" w:cs="Calibri"/>
          <w:sz w:val="32"/>
          <w:szCs w:val="32"/>
        </w:rPr>
        <w:br/>
      </w:r>
      <w:r w:rsidRPr="007D7FE9">
        <w:rPr>
          <w:rFonts w:ascii="Calibri" w:hAnsi="Calibri" w:cs="Calibri"/>
          <w:sz w:val="32"/>
          <w:szCs w:val="32"/>
        </w:rPr>
        <w:t>Commonwealth of Massachusetts</w:t>
      </w:r>
      <w:r w:rsidR="0028450C" w:rsidRPr="007D7FE9">
        <w:rPr>
          <w:rFonts w:ascii="Calibri" w:hAnsi="Calibri" w:cs="Calibri"/>
          <w:sz w:val="32"/>
          <w:szCs w:val="32"/>
        </w:rPr>
        <w:br/>
      </w:r>
      <w:r w:rsidR="000E35B7">
        <w:rPr>
          <w:rFonts w:ascii="Calibri" w:hAnsi="Calibri" w:cs="Calibri"/>
          <w:sz w:val="32"/>
          <w:szCs w:val="32"/>
        </w:rPr>
        <w:t>Center for Health Information and Analysis</w:t>
      </w:r>
    </w:p>
    <w:p w:rsidR="0028450C" w:rsidRPr="0028450C" w:rsidRDefault="00365319" w:rsidP="0028450C">
      <w:pPr>
        <w:jc w:val="center"/>
        <w:rPr>
          <w:rFonts w:ascii="Calibri" w:hAnsi="Calibri" w:cs="Calibri"/>
          <w:sz w:val="32"/>
          <w:szCs w:val="32"/>
        </w:rPr>
      </w:pPr>
      <w:r>
        <w:rPr>
          <w:rFonts w:ascii="Calibri" w:hAnsi="Calibri" w:cs="Calibri"/>
          <w:sz w:val="32"/>
          <w:szCs w:val="32"/>
        </w:rPr>
        <w:t>December</w:t>
      </w:r>
      <w:r w:rsidR="005218D7">
        <w:rPr>
          <w:rFonts w:ascii="Calibri" w:hAnsi="Calibri" w:cs="Calibri"/>
          <w:sz w:val="32"/>
          <w:szCs w:val="32"/>
        </w:rPr>
        <w:t xml:space="preserve"> </w:t>
      </w:r>
      <w:r w:rsidR="00806E61">
        <w:rPr>
          <w:rFonts w:ascii="Calibri" w:hAnsi="Calibri" w:cs="Calibri"/>
          <w:sz w:val="32"/>
          <w:szCs w:val="32"/>
        </w:rPr>
        <w:t>2016</w:t>
      </w:r>
    </w:p>
    <w:p w:rsidR="00A82B34" w:rsidRPr="00A82B34" w:rsidRDefault="00A82B34" w:rsidP="00A82B34">
      <w:pPr>
        <w:jc w:val="center"/>
        <w:rPr>
          <w:rFonts w:ascii="Calibri" w:hAnsi="Calibri" w:cs="Calibri"/>
          <w:sz w:val="40"/>
          <w:szCs w:val="40"/>
        </w:rPr>
      </w:pPr>
    </w:p>
    <w:p w:rsidR="00FE11A5" w:rsidRPr="0028450C" w:rsidRDefault="00FE11A5" w:rsidP="00FE11A5">
      <w:pPr>
        <w:jc w:val="center"/>
        <w:rPr>
          <w:rFonts w:ascii="Calibri" w:hAnsi="Calibri" w:cs="Calibri"/>
          <w:sz w:val="32"/>
          <w:szCs w:val="32"/>
        </w:rPr>
      </w:pPr>
    </w:p>
    <w:p w:rsidR="00A82B34" w:rsidRPr="0028450C" w:rsidRDefault="00A82B34" w:rsidP="00A82B34">
      <w:pPr>
        <w:jc w:val="center"/>
        <w:rPr>
          <w:rFonts w:ascii="Calibri" w:hAnsi="Calibri" w:cs="Calibri"/>
          <w:sz w:val="32"/>
          <w:szCs w:val="32"/>
        </w:rPr>
      </w:pPr>
      <w:r w:rsidRPr="0028450C">
        <w:rPr>
          <w:rFonts w:ascii="Calibri" w:hAnsi="Calibri" w:cs="Calibri"/>
          <w:sz w:val="32"/>
          <w:szCs w:val="32"/>
        </w:rPr>
        <w:t>Prepared by</w:t>
      </w:r>
      <w:r w:rsidR="0028450C">
        <w:rPr>
          <w:rFonts w:ascii="Calibri" w:hAnsi="Calibri" w:cs="Calibri"/>
          <w:sz w:val="32"/>
          <w:szCs w:val="32"/>
        </w:rPr>
        <w:br/>
      </w:r>
      <w:r w:rsidRPr="0028450C">
        <w:rPr>
          <w:rFonts w:ascii="Calibri" w:hAnsi="Calibri" w:cs="Calibri"/>
          <w:sz w:val="32"/>
          <w:szCs w:val="32"/>
        </w:rPr>
        <w:t>Compass Health Analytics, Inc.</w:t>
      </w:r>
    </w:p>
    <w:p w:rsidR="008544C7" w:rsidRPr="00FE11A5" w:rsidRDefault="008544C7" w:rsidP="00C6579D">
      <w:pPr>
        <w:jc w:val="center"/>
        <w:rPr>
          <w:rFonts w:ascii="Calibri" w:hAnsi="Calibri" w:cs="Calibri"/>
          <w:sz w:val="32"/>
          <w:szCs w:val="32"/>
        </w:rPr>
      </w:pPr>
    </w:p>
    <w:p w:rsidR="008544C7" w:rsidRPr="00FE11A5" w:rsidRDefault="008544C7" w:rsidP="00C6579D">
      <w:pPr>
        <w:spacing w:after="60"/>
        <w:jc w:val="center"/>
        <w:rPr>
          <w:rFonts w:ascii="Calibri" w:hAnsi="Calibri" w:cs="Calibri"/>
          <w:sz w:val="32"/>
          <w:szCs w:val="32"/>
        </w:rPr>
      </w:pPr>
    </w:p>
    <w:p w:rsidR="002B0738" w:rsidRDefault="006B67FC" w:rsidP="00685A73">
      <w:r>
        <w:rPr>
          <w:noProof/>
        </w:rPr>
        <w:drawing>
          <wp:anchor distT="0" distB="0" distL="114300" distR="114300" simplePos="0" relativeHeight="251657728" behindDoc="0" locked="0" layoutInCell="1" allowOverlap="1">
            <wp:simplePos x="0" y="0"/>
            <wp:positionH relativeFrom="column">
              <wp:posOffset>2124075</wp:posOffset>
            </wp:positionH>
            <wp:positionV relativeFrom="paragraph">
              <wp:posOffset>184150</wp:posOffset>
            </wp:positionV>
            <wp:extent cx="1666875" cy="771525"/>
            <wp:effectExtent l="0" t="0" r="9525" b="952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771525"/>
                    </a:xfrm>
                    <a:prstGeom prst="rect">
                      <a:avLst/>
                    </a:prstGeom>
                    <a:noFill/>
                  </pic:spPr>
                </pic:pic>
              </a:graphicData>
            </a:graphic>
          </wp:anchor>
        </w:drawing>
      </w:r>
    </w:p>
    <w:p w:rsidR="008544C7" w:rsidRDefault="008544C7" w:rsidP="00685A73"/>
    <w:p w:rsidR="00A312AD" w:rsidRDefault="006D3C08" w:rsidP="00FA6A0A">
      <w:pPr>
        <w:spacing w:after="0" w:line="240" w:lineRule="auto"/>
        <w:jc w:val="center"/>
        <w:rPr>
          <w:rFonts w:ascii="Calibri" w:hAnsi="Calibri" w:cs="Calibri"/>
          <w:b/>
          <w:sz w:val="32"/>
          <w:szCs w:val="32"/>
        </w:rPr>
      </w:pPr>
      <w:r>
        <w:rPr>
          <w:rFonts w:ascii="Calibri" w:hAnsi="Calibri" w:cs="Calibri"/>
          <w:b/>
          <w:sz w:val="32"/>
          <w:szCs w:val="32"/>
        </w:rPr>
        <w:br w:type="page"/>
      </w:r>
      <w:r w:rsidR="00A312AD" w:rsidRPr="00A312AD">
        <w:rPr>
          <w:rFonts w:ascii="Calibri" w:hAnsi="Calibri" w:cs="Calibri"/>
          <w:b/>
          <w:sz w:val="32"/>
          <w:szCs w:val="32"/>
        </w:rPr>
        <w:lastRenderedPageBreak/>
        <w:t>Actuarial Analysis of</w:t>
      </w:r>
      <w:r w:rsidR="006756D8">
        <w:rPr>
          <w:rFonts w:ascii="Calibri" w:hAnsi="Calibri" w:cs="Calibri"/>
          <w:b/>
          <w:sz w:val="32"/>
          <w:szCs w:val="32"/>
        </w:rPr>
        <w:t xml:space="preserve"> the </w:t>
      </w:r>
      <w:r w:rsidR="00A312AD" w:rsidRPr="00A312AD">
        <w:rPr>
          <w:rFonts w:ascii="Calibri" w:hAnsi="Calibri" w:cs="Calibri"/>
          <w:b/>
          <w:sz w:val="32"/>
          <w:szCs w:val="32"/>
        </w:rPr>
        <w:t>Drug Formulary Commission</w:t>
      </w:r>
      <w:r w:rsidR="00A312AD">
        <w:rPr>
          <w:rFonts w:ascii="Calibri" w:hAnsi="Calibri" w:cs="Calibri"/>
          <w:b/>
          <w:sz w:val="32"/>
          <w:szCs w:val="32"/>
        </w:rPr>
        <w:t>’s</w:t>
      </w:r>
      <w:r w:rsidR="00D32861">
        <w:rPr>
          <w:rFonts w:ascii="Calibri" w:hAnsi="Calibri" w:cs="Calibri"/>
          <w:b/>
          <w:sz w:val="32"/>
          <w:szCs w:val="32"/>
        </w:rPr>
        <w:br/>
        <w:t>Abuse-Deterrent Drug Formulary</w:t>
      </w:r>
    </w:p>
    <w:p w:rsidR="00C468C2" w:rsidRPr="00A312AD" w:rsidRDefault="00C468C2" w:rsidP="004D4FEB"/>
    <w:p w:rsidR="00685A73" w:rsidRDefault="00685A73" w:rsidP="00E07B58">
      <w:pPr>
        <w:jc w:val="center"/>
        <w:rPr>
          <w:rFonts w:ascii="Calibri" w:hAnsi="Calibri" w:cs="Calibri"/>
          <w:b/>
          <w:sz w:val="32"/>
          <w:szCs w:val="32"/>
        </w:rPr>
      </w:pPr>
      <w:r w:rsidRPr="00876A1A">
        <w:rPr>
          <w:rFonts w:ascii="Calibri" w:hAnsi="Calibri" w:cs="Calibri"/>
          <w:b/>
          <w:sz w:val="32"/>
          <w:szCs w:val="32"/>
        </w:rPr>
        <w:t>Table of Contents</w:t>
      </w:r>
    </w:p>
    <w:p w:rsidR="00636B31" w:rsidRDefault="004051E1">
      <w:pPr>
        <w:pStyle w:val="TOC1"/>
        <w:rPr>
          <w:rFonts w:eastAsiaTheme="minorEastAsia" w:cstheme="minorBidi"/>
          <w:noProof/>
        </w:rPr>
      </w:pPr>
      <w:r>
        <w:rPr>
          <w:rFonts w:cs="Calibri"/>
        </w:rPr>
        <w:fldChar w:fldCharType="begin"/>
      </w:r>
      <w:r w:rsidR="000F620C">
        <w:rPr>
          <w:rFonts w:cs="Calibri"/>
        </w:rPr>
        <w:instrText xml:space="preserve"> TOC \o "1-2" \h \z \u </w:instrText>
      </w:r>
      <w:r>
        <w:rPr>
          <w:rFonts w:cs="Calibri"/>
        </w:rPr>
        <w:fldChar w:fldCharType="separate"/>
      </w:r>
      <w:hyperlink w:anchor="_Toc468887989" w:history="1">
        <w:r w:rsidR="00636B31" w:rsidRPr="00B31CE4">
          <w:rPr>
            <w:rStyle w:val="Hyperlink"/>
            <w:noProof/>
          </w:rPr>
          <w:t>Executive Summary</w:t>
        </w:r>
        <w:r w:rsidR="00636B31">
          <w:rPr>
            <w:noProof/>
            <w:webHidden/>
          </w:rPr>
          <w:tab/>
        </w:r>
        <w:r w:rsidR="00636B31">
          <w:rPr>
            <w:noProof/>
            <w:webHidden/>
          </w:rPr>
          <w:fldChar w:fldCharType="begin"/>
        </w:r>
        <w:r w:rsidR="00636B31">
          <w:rPr>
            <w:noProof/>
            <w:webHidden/>
          </w:rPr>
          <w:instrText xml:space="preserve"> PAGEREF _Toc468887989 \h </w:instrText>
        </w:r>
        <w:r w:rsidR="00636B31">
          <w:rPr>
            <w:noProof/>
            <w:webHidden/>
          </w:rPr>
        </w:r>
        <w:r w:rsidR="00636B31">
          <w:rPr>
            <w:noProof/>
            <w:webHidden/>
          </w:rPr>
          <w:fldChar w:fldCharType="separate"/>
        </w:r>
        <w:r w:rsidR="00636B31">
          <w:rPr>
            <w:noProof/>
            <w:webHidden/>
          </w:rPr>
          <w:t>i</w:t>
        </w:r>
        <w:r w:rsidR="00636B31">
          <w:rPr>
            <w:noProof/>
            <w:webHidden/>
          </w:rPr>
          <w:fldChar w:fldCharType="end"/>
        </w:r>
      </w:hyperlink>
    </w:p>
    <w:p w:rsidR="00636B31" w:rsidRDefault="00636B31">
      <w:pPr>
        <w:pStyle w:val="TOC1"/>
        <w:rPr>
          <w:rFonts w:eastAsiaTheme="minorEastAsia" w:cstheme="minorBidi"/>
          <w:noProof/>
        </w:rPr>
      </w:pPr>
      <w:hyperlink w:anchor="_Toc468887990" w:history="1">
        <w:r w:rsidRPr="00B31CE4">
          <w:rPr>
            <w:rStyle w:val="Hyperlink"/>
            <w:noProof/>
          </w:rPr>
          <w:t>1. Introduction</w:t>
        </w:r>
        <w:r>
          <w:rPr>
            <w:noProof/>
            <w:webHidden/>
          </w:rPr>
          <w:tab/>
        </w:r>
        <w:r>
          <w:rPr>
            <w:noProof/>
            <w:webHidden/>
          </w:rPr>
          <w:fldChar w:fldCharType="begin"/>
        </w:r>
        <w:r>
          <w:rPr>
            <w:noProof/>
            <w:webHidden/>
          </w:rPr>
          <w:instrText xml:space="preserve"> PAGEREF _Toc468887990 \h </w:instrText>
        </w:r>
        <w:r>
          <w:rPr>
            <w:noProof/>
            <w:webHidden/>
          </w:rPr>
        </w:r>
        <w:r>
          <w:rPr>
            <w:noProof/>
            <w:webHidden/>
          </w:rPr>
          <w:fldChar w:fldCharType="separate"/>
        </w:r>
        <w:r>
          <w:rPr>
            <w:noProof/>
            <w:webHidden/>
          </w:rPr>
          <w:t>1</w:t>
        </w:r>
        <w:r>
          <w:rPr>
            <w:noProof/>
            <w:webHidden/>
          </w:rPr>
          <w:fldChar w:fldCharType="end"/>
        </w:r>
      </w:hyperlink>
    </w:p>
    <w:p w:rsidR="00636B31" w:rsidRDefault="00636B31">
      <w:pPr>
        <w:pStyle w:val="TOC1"/>
        <w:rPr>
          <w:rFonts w:eastAsiaTheme="minorEastAsia" w:cstheme="minorBidi"/>
          <w:noProof/>
        </w:rPr>
      </w:pPr>
      <w:hyperlink w:anchor="_Toc468887991" w:history="1">
        <w:r w:rsidRPr="00B31CE4">
          <w:rPr>
            <w:rStyle w:val="Hyperlink"/>
            <w:noProof/>
          </w:rPr>
          <w:t>2. Interpretation</w:t>
        </w:r>
        <w:r>
          <w:rPr>
            <w:noProof/>
            <w:webHidden/>
          </w:rPr>
          <w:tab/>
        </w:r>
        <w:r>
          <w:rPr>
            <w:noProof/>
            <w:webHidden/>
          </w:rPr>
          <w:fldChar w:fldCharType="begin"/>
        </w:r>
        <w:r>
          <w:rPr>
            <w:noProof/>
            <w:webHidden/>
          </w:rPr>
          <w:instrText xml:space="preserve"> PAGEREF _Toc468887991 \h </w:instrText>
        </w:r>
        <w:r>
          <w:rPr>
            <w:noProof/>
            <w:webHidden/>
          </w:rPr>
        </w:r>
        <w:r>
          <w:rPr>
            <w:noProof/>
            <w:webHidden/>
          </w:rPr>
          <w:fldChar w:fldCharType="separate"/>
        </w:r>
        <w:r>
          <w:rPr>
            <w:noProof/>
            <w:webHidden/>
          </w:rPr>
          <w:t>2</w:t>
        </w:r>
        <w:r>
          <w:rPr>
            <w:noProof/>
            <w:webHidden/>
          </w:rPr>
          <w:fldChar w:fldCharType="end"/>
        </w:r>
      </w:hyperlink>
    </w:p>
    <w:p w:rsidR="00636B31" w:rsidRDefault="00636B31">
      <w:pPr>
        <w:pStyle w:val="TOC2"/>
        <w:rPr>
          <w:rFonts w:eastAsiaTheme="minorEastAsia" w:cstheme="minorBidi"/>
          <w:noProof/>
        </w:rPr>
      </w:pPr>
      <w:hyperlink w:anchor="_Toc468887992" w:history="1">
        <w:r w:rsidRPr="00B31CE4">
          <w:rPr>
            <w:rStyle w:val="Hyperlink"/>
            <w:noProof/>
          </w:rPr>
          <w:t>2.1. Opioid abuse and abuse-deterrent opioids</w:t>
        </w:r>
        <w:r>
          <w:rPr>
            <w:noProof/>
            <w:webHidden/>
          </w:rPr>
          <w:tab/>
        </w:r>
        <w:r>
          <w:rPr>
            <w:noProof/>
            <w:webHidden/>
          </w:rPr>
          <w:fldChar w:fldCharType="begin"/>
        </w:r>
        <w:r>
          <w:rPr>
            <w:noProof/>
            <w:webHidden/>
          </w:rPr>
          <w:instrText xml:space="preserve"> PAGEREF _Toc468887992 \h </w:instrText>
        </w:r>
        <w:r>
          <w:rPr>
            <w:noProof/>
            <w:webHidden/>
          </w:rPr>
        </w:r>
        <w:r>
          <w:rPr>
            <w:noProof/>
            <w:webHidden/>
          </w:rPr>
          <w:fldChar w:fldCharType="separate"/>
        </w:r>
        <w:r>
          <w:rPr>
            <w:noProof/>
            <w:webHidden/>
          </w:rPr>
          <w:t>2</w:t>
        </w:r>
        <w:r>
          <w:rPr>
            <w:noProof/>
            <w:webHidden/>
          </w:rPr>
          <w:fldChar w:fldCharType="end"/>
        </w:r>
      </w:hyperlink>
    </w:p>
    <w:p w:rsidR="00636B31" w:rsidRDefault="00636B31">
      <w:pPr>
        <w:pStyle w:val="TOC2"/>
        <w:rPr>
          <w:rFonts w:eastAsiaTheme="minorEastAsia" w:cstheme="minorBidi"/>
          <w:noProof/>
        </w:rPr>
      </w:pPr>
      <w:hyperlink w:anchor="_Toc468887993" w:history="1">
        <w:r w:rsidRPr="00B31CE4">
          <w:rPr>
            <w:rStyle w:val="Hyperlink"/>
            <w:noProof/>
          </w:rPr>
          <w:t>2.2. Provisions of Chapter 258 pertaining to ADOs</w:t>
        </w:r>
        <w:r>
          <w:rPr>
            <w:noProof/>
            <w:webHidden/>
          </w:rPr>
          <w:tab/>
        </w:r>
        <w:r>
          <w:rPr>
            <w:noProof/>
            <w:webHidden/>
          </w:rPr>
          <w:fldChar w:fldCharType="begin"/>
        </w:r>
        <w:r>
          <w:rPr>
            <w:noProof/>
            <w:webHidden/>
          </w:rPr>
          <w:instrText xml:space="preserve"> PAGEREF _Toc468887993 \h </w:instrText>
        </w:r>
        <w:r>
          <w:rPr>
            <w:noProof/>
            <w:webHidden/>
          </w:rPr>
        </w:r>
        <w:r>
          <w:rPr>
            <w:noProof/>
            <w:webHidden/>
          </w:rPr>
          <w:fldChar w:fldCharType="separate"/>
        </w:r>
        <w:r>
          <w:rPr>
            <w:noProof/>
            <w:webHidden/>
          </w:rPr>
          <w:t>3</w:t>
        </w:r>
        <w:r>
          <w:rPr>
            <w:noProof/>
            <w:webHidden/>
          </w:rPr>
          <w:fldChar w:fldCharType="end"/>
        </w:r>
      </w:hyperlink>
    </w:p>
    <w:p w:rsidR="00636B31" w:rsidRDefault="00636B31">
      <w:pPr>
        <w:pStyle w:val="TOC2"/>
        <w:rPr>
          <w:rFonts w:eastAsiaTheme="minorEastAsia" w:cstheme="minorBidi"/>
          <w:noProof/>
        </w:rPr>
      </w:pPr>
      <w:hyperlink w:anchor="_Toc468887994" w:history="1">
        <w:r w:rsidRPr="00B31CE4">
          <w:rPr>
            <w:rStyle w:val="Hyperlink"/>
            <w:noProof/>
          </w:rPr>
          <w:t>2.3. Plans affected by Chapter 258</w:t>
        </w:r>
        <w:r>
          <w:rPr>
            <w:noProof/>
            <w:webHidden/>
          </w:rPr>
          <w:tab/>
        </w:r>
        <w:r>
          <w:rPr>
            <w:noProof/>
            <w:webHidden/>
          </w:rPr>
          <w:fldChar w:fldCharType="begin"/>
        </w:r>
        <w:r>
          <w:rPr>
            <w:noProof/>
            <w:webHidden/>
          </w:rPr>
          <w:instrText xml:space="preserve"> PAGEREF _Toc468887994 \h </w:instrText>
        </w:r>
        <w:r>
          <w:rPr>
            <w:noProof/>
            <w:webHidden/>
          </w:rPr>
        </w:r>
        <w:r>
          <w:rPr>
            <w:noProof/>
            <w:webHidden/>
          </w:rPr>
          <w:fldChar w:fldCharType="separate"/>
        </w:r>
        <w:r>
          <w:rPr>
            <w:noProof/>
            <w:webHidden/>
          </w:rPr>
          <w:t>4</w:t>
        </w:r>
        <w:r>
          <w:rPr>
            <w:noProof/>
            <w:webHidden/>
          </w:rPr>
          <w:fldChar w:fldCharType="end"/>
        </w:r>
      </w:hyperlink>
    </w:p>
    <w:p w:rsidR="00636B31" w:rsidRDefault="00636B31">
      <w:pPr>
        <w:pStyle w:val="TOC2"/>
        <w:rPr>
          <w:rFonts w:eastAsiaTheme="minorEastAsia" w:cstheme="minorBidi"/>
          <w:noProof/>
        </w:rPr>
      </w:pPr>
      <w:hyperlink w:anchor="_Toc468887995" w:history="1">
        <w:r w:rsidRPr="00B31CE4">
          <w:rPr>
            <w:rStyle w:val="Hyperlink"/>
            <w:noProof/>
          </w:rPr>
          <w:t>2.4. Other existing laws affecting ADOs</w:t>
        </w:r>
        <w:r>
          <w:rPr>
            <w:noProof/>
            <w:webHidden/>
          </w:rPr>
          <w:tab/>
        </w:r>
        <w:r>
          <w:rPr>
            <w:noProof/>
            <w:webHidden/>
          </w:rPr>
          <w:fldChar w:fldCharType="begin"/>
        </w:r>
        <w:r>
          <w:rPr>
            <w:noProof/>
            <w:webHidden/>
          </w:rPr>
          <w:instrText xml:space="preserve"> PAGEREF _Toc468887995 \h </w:instrText>
        </w:r>
        <w:r>
          <w:rPr>
            <w:noProof/>
            <w:webHidden/>
          </w:rPr>
        </w:r>
        <w:r>
          <w:rPr>
            <w:noProof/>
            <w:webHidden/>
          </w:rPr>
          <w:fldChar w:fldCharType="separate"/>
        </w:r>
        <w:r>
          <w:rPr>
            <w:noProof/>
            <w:webHidden/>
          </w:rPr>
          <w:t>5</w:t>
        </w:r>
        <w:r>
          <w:rPr>
            <w:noProof/>
            <w:webHidden/>
          </w:rPr>
          <w:fldChar w:fldCharType="end"/>
        </w:r>
      </w:hyperlink>
    </w:p>
    <w:p w:rsidR="00636B31" w:rsidRDefault="00636B31">
      <w:pPr>
        <w:pStyle w:val="TOC1"/>
        <w:rPr>
          <w:rFonts w:eastAsiaTheme="minorEastAsia" w:cstheme="minorBidi"/>
          <w:noProof/>
        </w:rPr>
      </w:pPr>
      <w:hyperlink w:anchor="_Toc468887996" w:history="1">
        <w:r w:rsidRPr="00B31CE4">
          <w:rPr>
            <w:rStyle w:val="Hyperlink"/>
            <w:noProof/>
          </w:rPr>
          <w:t>3. Methodology</w:t>
        </w:r>
        <w:r>
          <w:rPr>
            <w:noProof/>
            <w:webHidden/>
          </w:rPr>
          <w:tab/>
        </w:r>
        <w:r>
          <w:rPr>
            <w:noProof/>
            <w:webHidden/>
          </w:rPr>
          <w:fldChar w:fldCharType="begin"/>
        </w:r>
        <w:r>
          <w:rPr>
            <w:noProof/>
            <w:webHidden/>
          </w:rPr>
          <w:instrText xml:space="preserve"> PAGEREF _Toc468887996 \h </w:instrText>
        </w:r>
        <w:r>
          <w:rPr>
            <w:noProof/>
            <w:webHidden/>
          </w:rPr>
        </w:r>
        <w:r>
          <w:rPr>
            <w:noProof/>
            <w:webHidden/>
          </w:rPr>
          <w:fldChar w:fldCharType="separate"/>
        </w:r>
        <w:r>
          <w:rPr>
            <w:noProof/>
            <w:webHidden/>
          </w:rPr>
          <w:t>5</w:t>
        </w:r>
        <w:r>
          <w:rPr>
            <w:noProof/>
            <w:webHidden/>
          </w:rPr>
          <w:fldChar w:fldCharType="end"/>
        </w:r>
      </w:hyperlink>
    </w:p>
    <w:p w:rsidR="00636B31" w:rsidRDefault="00636B31">
      <w:pPr>
        <w:pStyle w:val="TOC2"/>
        <w:rPr>
          <w:rFonts w:eastAsiaTheme="minorEastAsia" w:cstheme="minorBidi"/>
          <w:noProof/>
        </w:rPr>
      </w:pPr>
      <w:hyperlink w:anchor="_Toc468887997" w:history="1">
        <w:r w:rsidRPr="00B31CE4">
          <w:rPr>
            <w:rStyle w:val="Hyperlink"/>
            <w:noProof/>
          </w:rPr>
          <w:t>3.1. Overview</w:t>
        </w:r>
        <w:r>
          <w:rPr>
            <w:noProof/>
            <w:webHidden/>
          </w:rPr>
          <w:tab/>
        </w:r>
        <w:r>
          <w:rPr>
            <w:noProof/>
            <w:webHidden/>
          </w:rPr>
          <w:fldChar w:fldCharType="begin"/>
        </w:r>
        <w:r>
          <w:rPr>
            <w:noProof/>
            <w:webHidden/>
          </w:rPr>
          <w:instrText xml:space="preserve"> PAGEREF _Toc468887997 \h </w:instrText>
        </w:r>
        <w:r>
          <w:rPr>
            <w:noProof/>
            <w:webHidden/>
          </w:rPr>
        </w:r>
        <w:r>
          <w:rPr>
            <w:noProof/>
            <w:webHidden/>
          </w:rPr>
          <w:fldChar w:fldCharType="separate"/>
        </w:r>
        <w:r>
          <w:rPr>
            <w:noProof/>
            <w:webHidden/>
          </w:rPr>
          <w:t>5</w:t>
        </w:r>
        <w:r>
          <w:rPr>
            <w:noProof/>
            <w:webHidden/>
          </w:rPr>
          <w:fldChar w:fldCharType="end"/>
        </w:r>
      </w:hyperlink>
    </w:p>
    <w:p w:rsidR="00636B31" w:rsidRDefault="00636B31">
      <w:pPr>
        <w:pStyle w:val="TOC2"/>
        <w:rPr>
          <w:rFonts w:eastAsiaTheme="minorEastAsia" w:cstheme="minorBidi"/>
          <w:noProof/>
        </w:rPr>
      </w:pPr>
      <w:hyperlink w:anchor="_Toc468887998" w:history="1">
        <w:r w:rsidRPr="00B31CE4">
          <w:rPr>
            <w:rStyle w:val="Hyperlink"/>
            <w:noProof/>
          </w:rPr>
          <w:t>3.2. Data sources</w:t>
        </w:r>
        <w:r>
          <w:rPr>
            <w:noProof/>
            <w:webHidden/>
          </w:rPr>
          <w:tab/>
        </w:r>
        <w:r>
          <w:rPr>
            <w:noProof/>
            <w:webHidden/>
          </w:rPr>
          <w:fldChar w:fldCharType="begin"/>
        </w:r>
        <w:r>
          <w:rPr>
            <w:noProof/>
            <w:webHidden/>
          </w:rPr>
          <w:instrText xml:space="preserve"> PAGEREF _Toc468887998 \h </w:instrText>
        </w:r>
        <w:r>
          <w:rPr>
            <w:noProof/>
            <w:webHidden/>
          </w:rPr>
        </w:r>
        <w:r>
          <w:rPr>
            <w:noProof/>
            <w:webHidden/>
          </w:rPr>
          <w:fldChar w:fldCharType="separate"/>
        </w:r>
        <w:r>
          <w:rPr>
            <w:noProof/>
            <w:webHidden/>
          </w:rPr>
          <w:t>6</w:t>
        </w:r>
        <w:r>
          <w:rPr>
            <w:noProof/>
            <w:webHidden/>
          </w:rPr>
          <w:fldChar w:fldCharType="end"/>
        </w:r>
      </w:hyperlink>
    </w:p>
    <w:p w:rsidR="00636B31" w:rsidRDefault="00636B31">
      <w:pPr>
        <w:pStyle w:val="TOC2"/>
        <w:rPr>
          <w:rFonts w:eastAsiaTheme="minorEastAsia" w:cstheme="minorBidi"/>
          <w:noProof/>
        </w:rPr>
      </w:pPr>
      <w:hyperlink w:anchor="_Toc468887999" w:history="1">
        <w:r w:rsidRPr="00B31CE4">
          <w:rPr>
            <w:rStyle w:val="Hyperlink"/>
            <w:noProof/>
          </w:rPr>
          <w:t>3.3. Steps in the analysis</w:t>
        </w:r>
        <w:r>
          <w:rPr>
            <w:noProof/>
            <w:webHidden/>
          </w:rPr>
          <w:tab/>
        </w:r>
        <w:r>
          <w:rPr>
            <w:noProof/>
            <w:webHidden/>
          </w:rPr>
          <w:fldChar w:fldCharType="begin"/>
        </w:r>
        <w:r>
          <w:rPr>
            <w:noProof/>
            <w:webHidden/>
          </w:rPr>
          <w:instrText xml:space="preserve"> PAGEREF _Toc468887999 \h </w:instrText>
        </w:r>
        <w:r>
          <w:rPr>
            <w:noProof/>
            <w:webHidden/>
          </w:rPr>
        </w:r>
        <w:r>
          <w:rPr>
            <w:noProof/>
            <w:webHidden/>
          </w:rPr>
          <w:fldChar w:fldCharType="separate"/>
        </w:r>
        <w:r>
          <w:rPr>
            <w:noProof/>
            <w:webHidden/>
          </w:rPr>
          <w:t>6</w:t>
        </w:r>
        <w:r>
          <w:rPr>
            <w:noProof/>
            <w:webHidden/>
          </w:rPr>
          <w:fldChar w:fldCharType="end"/>
        </w:r>
      </w:hyperlink>
    </w:p>
    <w:p w:rsidR="00636B31" w:rsidRDefault="00636B31">
      <w:pPr>
        <w:pStyle w:val="TOC2"/>
        <w:rPr>
          <w:rFonts w:eastAsiaTheme="minorEastAsia" w:cstheme="minorBidi"/>
          <w:noProof/>
        </w:rPr>
      </w:pPr>
      <w:hyperlink w:anchor="_Toc468888000" w:history="1">
        <w:r w:rsidRPr="00B31CE4">
          <w:rPr>
            <w:rStyle w:val="Hyperlink"/>
            <w:noProof/>
          </w:rPr>
          <w:t>3.4. Limitations</w:t>
        </w:r>
        <w:r>
          <w:rPr>
            <w:noProof/>
            <w:webHidden/>
          </w:rPr>
          <w:tab/>
        </w:r>
        <w:r>
          <w:rPr>
            <w:noProof/>
            <w:webHidden/>
          </w:rPr>
          <w:fldChar w:fldCharType="begin"/>
        </w:r>
        <w:r>
          <w:rPr>
            <w:noProof/>
            <w:webHidden/>
          </w:rPr>
          <w:instrText xml:space="preserve"> PAGEREF _Toc468888000 \h </w:instrText>
        </w:r>
        <w:r>
          <w:rPr>
            <w:noProof/>
            <w:webHidden/>
          </w:rPr>
        </w:r>
        <w:r>
          <w:rPr>
            <w:noProof/>
            <w:webHidden/>
          </w:rPr>
          <w:fldChar w:fldCharType="separate"/>
        </w:r>
        <w:r>
          <w:rPr>
            <w:noProof/>
            <w:webHidden/>
          </w:rPr>
          <w:t>7</w:t>
        </w:r>
        <w:r>
          <w:rPr>
            <w:noProof/>
            <w:webHidden/>
          </w:rPr>
          <w:fldChar w:fldCharType="end"/>
        </w:r>
      </w:hyperlink>
    </w:p>
    <w:p w:rsidR="00636B31" w:rsidRDefault="00636B31">
      <w:pPr>
        <w:pStyle w:val="TOC1"/>
        <w:rPr>
          <w:rFonts w:eastAsiaTheme="minorEastAsia" w:cstheme="minorBidi"/>
          <w:noProof/>
        </w:rPr>
      </w:pPr>
      <w:hyperlink w:anchor="_Toc468888001" w:history="1">
        <w:r w:rsidRPr="00B31CE4">
          <w:rPr>
            <w:rStyle w:val="Hyperlink"/>
            <w:noProof/>
          </w:rPr>
          <w:t>4. Analysis</w:t>
        </w:r>
        <w:r>
          <w:rPr>
            <w:noProof/>
            <w:webHidden/>
          </w:rPr>
          <w:tab/>
        </w:r>
        <w:r>
          <w:rPr>
            <w:noProof/>
            <w:webHidden/>
          </w:rPr>
          <w:fldChar w:fldCharType="begin"/>
        </w:r>
        <w:r>
          <w:rPr>
            <w:noProof/>
            <w:webHidden/>
          </w:rPr>
          <w:instrText xml:space="preserve"> PAGEREF _Toc468888001 \h </w:instrText>
        </w:r>
        <w:r>
          <w:rPr>
            <w:noProof/>
            <w:webHidden/>
          </w:rPr>
        </w:r>
        <w:r>
          <w:rPr>
            <w:noProof/>
            <w:webHidden/>
          </w:rPr>
          <w:fldChar w:fldCharType="separate"/>
        </w:r>
        <w:r>
          <w:rPr>
            <w:noProof/>
            <w:webHidden/>
          </w:rPr>
          <w:t>8</w:t>
        </w:r>
        <w:r>
          <w:rPr>
            <w:noProof/>
            <w:webHidden/>
          </w:rPr>
          <w:fldChar w:fldCharType="end"/>
        </w:r>
      </w:hyperlink>
    </w:p>
    <w:p w:rsidR="00636B31" w:rsidRDefault="00636B31">
      <w:pPr>
        <w:pStyle w:val="TOC2"/>
        <w:rPr>
          <w:rFonts w:eastAsiaTheme="minorEastAsia" w:cstheme="minorBidi"/>
          <w:noProof/>
        </w:rPr>
      </w:pPr>
      <w:hyperlink w:anchor="_Toc468888002" w:history="1">
        <w:r w:rsidRPr="00B31CE4">
          <w:rPr>
            <w:rStyle w:val="Hyperlink"/>
            <w:noProof/>
          </w:rPr>
          <w:t>4.1. Utilization of formulary opioids in the absence of substitution</w:t>
        </w:r>
        <w:r>
          <w:rPr>
            <w:noProof/>
            <w:webHidden/>
          </w:rPr>
          <w:tab/>
        </w:r>
        <w:r>
          <w:rPr>
            <w:noProof/>
            <w:webHidden/>
          </w:rPr>
          <w:fldChar w:fldCharType="begin"/>
        </w:r>
        <w:r>
          <w:rPr>
            <w:noProof/>
            <w:webHidden/>
          </w:rPr>
          <w:instrText xml:space="preserve"> PAGEREF _Toc468888002 \h </w:instrText>
        </w:r>
        <w:r>
          <w:rPr>
            <w:noProof/>
            <w:webHidden/>
          </w:rPr>
        </w:r>
        <w:r>
          <w:rPr>
            <w:noProof/>
            <w:webHidden/>
          </w:rPr>
          <w:fldChar w:fldCharType="separate"/>
        </w:r>
        <w:r>
          <w:rPr>
            <w:noProof/>
            <w:webHidden/>
          </w:rPr>
          <w:t>9</w:t>
        </w:r>
        <w:r>
          <w:rPr>
            <w:noProof/>
            <w:webHidden/>
          </w:rPr>
          <w:fldChar w:fldCharType="end"/>
        </w:r>
      </w:hyperlink>
    </w:p>
    <w:p w:rsidR="00636B31" w:rsidRDefault="00636B31">
      <w:pPr>
        <w:pStyle w:val="TOC2"/>
        <w:rPr>
          <w:rFonts w:eastAsiaTheme="minorEastAsia" w:cstheme="minorBidi"/>
          <w:noProof/>
        </w:rPr>
      </w:pPr>
      <w:hyperlink w:anchor="_Toc468888003" w:history="1">
        <w:r w:rsidRPr="00B31CE4">
          <w:rPr>
            <w:rStyle w:val="Hyperlink"/>
            <w:noProof/>
          </w:rPr>
          <w:t>4.2. Cost of draft formulary opioids in the absence of substitution</w:t>
        </w:r>
        <w:r>
          <w:rPr>
            <w:noProof/>
            <w:webHidden/>
          </w:rPr>
          <w:tab/>
        </w:r>
        <w:r>
          <w:rPr>
            <w:noProof/>
            <w:webHidden/>
          </w:rPr>
          <w:fldChar w:fldCharType="begin"/>
        </w:r>
        <w:r>
          <w:rPr>
            <w:noProof/>
            <w:webHidden/>
          </w:rPr>
          <w:instrText xml:space="preserve"> PAGEREF _Toc468888003 \h </w:instrText>
        </w:r>
        <w:r>
          <w:rPr>
            <w:noProof/>
            <w:webHidden/>
          </w:rPr>
        </w:r>
        <w:r>
          <w:rPr>
            <w:noProof/>
            <w:webHidden/>
          </w:rPr>
          <w:fldChar w:fldCharType="separate"/>
        </w:r>
        <w:r>
          <w:rPr>
            <w:noProof/>
            <w:webHidden/>
          </w:rPr>
          <w:t>10</w:t>
        </w:r>
        <w:r>
          <w:rPr>
            <w:noProof/>
            <w:webHidden/>
          </w:rPr>
          <w:fldChar w:fldCharType="end"/>
        </w:r>
      </w:hyperlink>
    </w:p>
    <w:p w:rsidR="00636B31" w:rsidRDefault="00636B31">
      <w:pPr>
        <w:pStyle w:val="TOC2"/>
        <w:rPr>
          <w:rFonts w:eastAsiaTheme="minorEastAsia" w:cstheme="minorBidi"/>
          <w:noProof/>
        </w:rPr>
      </w:pPr>
      <w:hyperlink w:anchor="_Toc468888004" w:history="1">
        <w:r w:rsidRPr="00B31CE4">
          <w:rPr>
            <w:rStyle w:val="Hyperlink"/>
            <w:noProof/>
          </w:rPr>
          <w:t>4.3. Estimated conversion from HPHR opioids to ADOs</w:t>
        </w:r>
        <w:r>
          <w:rPr>
            <w:noProof/>
            <w:webHidden/>
          </w:rPr>
          <w:tab/>
        </w:r>
        <w:r>
          <w:rPr>
            <w:noProof/>
            <w:webHidden/>
          </w:rPr>
          <w:fldChar w:fldCharType="begin"/>
        </w:r>
        <w:r>
          <w:rPr>
            <w:noProof/>
            <w:webHidden/>
          </w:rPr>
          <w:instrText xml:space="preserve"> PAGEREF _Toc468888004 \h </w:instrText>
        </w:r>
        <w:r>
          <w:rPr>
            <w:noProof/>
            <w:webHidden/>
          </w:rPr>
        </w:r>
        <w:r>
          <w:rPr>
            <w:noProof/>
            <w:webHidden/>
          </w:rPr>
          <w:fldChar w:fldCharType="separate"/>
        </w:r>
        <w:r>
          <w:rPr>
            <w:noProof/>
            <w:webHidden/>
          </w:rPr>
          <w:t>11</w:t>
        </w:r>
        <w:r>
          <w:rPr>
            <w:noProof/>
            <w:webHidden/>
          </w:rPr>
          <w:fldChar w:fldCharType="end"/>
        </w:r>
      </w:hyperlink>
    </w:p>
    <w:p w:rsidR="00636B31" w:rsidRDefault="00636B31">
      <w:pPr>
        <w:pStyle w:val="TOC2"/>
        <w:rPr>
          <w:rFonts w:eastAsiaTheme="minorEastAsia" w:cstheme="minorBidi"/>
          <w:noProof/>
        </w:rPr>
      </w:pPr>
      <w:hyperlink w:anchor="_Toc468888005" w:history="1">
        <w:r w:rsidRPr="00B31CE4">
          <w:rPr>
            <w:rStyle w:val="Hyperlink"/>
            <w:noProof/>
          </w:rPr>
          <w:t>4.4. Estimated change to utilization of HPHR opioids and ADOs</w:t>
        </w:r>
        <w:r>
          <w:rPr>
            <w:noProof/>
            <w:webHidden/>
          </w:rPr>
          <w:tab/>
        </w:r>
        <w:r>
          <w:rPr>
            <w:noProof/>
            <w:webHidden/>
          </w:rPr>
          <w:fldChar w:fldCharType="begin"/>
        </w:r>
        <w:r>
          <w:rPr>
            <w:noProof/>
            <w:webHidden/>
          </w:rPr>
          <w:instrText xml:space="preserve"> PAGEREF _Toc468888005 \h </w:instrText>
        </w:r>
        <w:r>
          <w:rPr>
            <w:noProof/>
            <w:webHidden/>
          </w:rPr>
        </w:r>
        <w:r>
          <w:rPr>
            <w:noProof/>
            <w:webHidden/>
          </w:rPr>
          <w:fldChar w:fldCharType="separate"/>
        </w:r>
        <w:r>
          <w:rPr>
            <w:noProof/>
            <w:webHidden/>
          </w:rPr>
          <w:t>13</w:t>
        </w:r>
        <w:r>
          <w:rPr>
            <w:noProof/>
            <w:webHidden/>
          </w:rPr>
          <w:fldChar w:fldCharType="end"/>
        </w:r>
      </w:hyperlink>
    </w:p>
    <w:p w:rsidR="00636B31" w:rsidRDefault="00636B31">
      <w:pPr>
        <w:pStyle w:val="TOC2"/>
        <w:rPr>
          <w:rFonts w:eastAsiaTheme="minorEastAsia" w:cstheme="minorBidi"/>
          <w:noProof/>
        </w:rPr>
      </w:pPr>
      <w:hyperlink w:anchor="_Toc468888006" w:history="1">
        <w:r w:rsidRPr="00B31CE4">
          <w:rPr>
            <w:rStyle w:val="Hyperlink"/>
            <w:noProof/>
          </w:rPr>
          <w:t>4.5. Estimated change to total cost of HPHR opioids and ADOs</w:t>
        </w:r>
        <w:r>
          <w:rPr>
            <w:noProof/>
            <w:webHidden/>
          </w:rPr>
          <w:tab/>
        </w:r>
        <w:r>
          <w:rPr>
            <w:noProof/>
            <w:webHidden/>
          </w:rPr>
          <w:fldChar w:fldCharType="begin"/>
        </w:r>
        <w:r>
          <w:rPr>
            <w:noProof/>
            <w:webHidden/>
          </w:rPr>
          <w:instrText xml:space="preserve"> PAGEREF _Toc468888006 \h </w:instrText>
        </w:r>
        <w:r>
          <w:rPr>
            <w:noProof/>
            <w:webHidden/>
          </w:rPr>
        </w:r>
        <w:r>
          <w:rPr>
            <w:noProof/>
            <w:webHidden/>
          </w:rPr>
          <w:fldChar w:fldCharType="separate"/>
        </w:r>
        <w:r>
          <w:rPr>
            <w:noProof/>
            <w:webHidden/>
          </w:rPr>
          <w:t>14</w:t>
        </w:r>
        <w:r>
          <w:rPr>
            <w:noProof/>
            <w:webHidden/>
          </w:rPr>
          <w:fldChar w:fldCharType="end"/>
        </w:r>
      </w:hyperlink>
    </w:p>
    <w:p w:rsidR="00636B31" w:rsidRDefault="00636B31">
      <w:pPr>
        <w:pStyle w:val="TOC2"/>
        <w:rPr>
          <w:rFonts w:eastAsiaTheme="minorEastAsia" w:cstheme="minorBidi"/>
          <w:noProof/>
        </w:rPr>
      </w:pPr>
      <w:hyperlink w:anchor="_Toc468888007" w:history="1">
        <w:r w:rsidRPr="00B31CE4">
          <w:rPr>
            <w:rStyle w:val="Hyperlink"/>
            <w:noProof/>
          </w:rPr>
          <w:t>4.6. Estimated marginal cost and PMPM of HPHR opioids and ADOs</w:t>
        </w:r>
        <w:r>
          <w:rPr>
            <w:noProof/>
            <w:webHidden/>
          </w:rPr>
          <w:tab/>
        </w:r>
        <w:r>
          <w:rPr>
            <w:noProof/>
            <w:webHidden/>
          </w:rPr>
          <w:fldChar w:fldCharType="begin"/>
        </w:r>
        <w:r>
          <w:rPr>
            <w:noProof/>
            <w:webHidden/>
          </w:rPr>
          <w:instrText xml:space="preserve"> PAGEREF _Toc468888007 \h </w:instrText>
        </w:r>
        <w:r>
          <w:rPr>
            <w:noProof/>
            <w:webHidden/>
          </w:rPr>
        </w:r>
        <w:r>
          <w:rPr>
            <w:noProof/>
            <w:webHidden/>
          </w:rPr>
          <w:fldChar w:fldCharType="separate"/>
        </w:r>
        <w:r>
          <w:rPr>
            <w:noProof/>
            <w:webHidden/>
          </w:rPr>
          <w:t>16</w:t>
        </w:r>
        <w:r>
          <w:rPr>
            <w:noProof/>
            <w:webHidden/>
          </w:rPr>
          <w:fldChar w:fldCharType="end"/>
        </w:r>
      </w:hyperlink>
    </w:p>
    <w:p w:rsidR="00636B31" w:rsidRDefault="00636B31">
      <w:pPr>
        <w:pStyle w:val="TOC2"/>
        <w:rPr>
          <w:rFonts w:eastAsiaTheme="minorEastAsia" w:cstheme="minorBidi"/>
          <w:noProof/>
        </w:rPr>
      </w:pPr>
      <w:hyperlink w:anchor="_Toc468888008" w:history="1">
        <w:r w:rsidRPr="00B31CE4">
          <w:rPr>
            <w:rStyle w:val="Hyperlink"/>
            <w:noProof/>
          </w:rPr>
          <w:t>4.7. Projected PMPM cost of substitution requirement</w:t>
        </w:r>
        <w:r>
          <w:rPr>
            <w:noProof/>
            <w:webHidden/>
          </w:rPr>
          <w:tab/>
        </w:r>
        <w:r>
          <w:rPr>
            <w:noProof/>
            <w:webHidden/>
          </w:rPr>
          <w:fldChar w:fldCharType="begin"/>
        </w:r>
        <w:r>
          <w:rPr>
            <w:noProof/>
            <w:webHidden/>
          </w:rPr>
          <w:instrText xml:space="preserve"> PAGEREF _Toc468888008 \h </w:instrText>
        </w:r>
        <w:r>
          <w:rPr>
            <w:noProof/>
            <w:webHidden/>
          </w:rPr>
        </w:r>
        <w:r>
          <w:rPr>
            <w:noProof/>
            <w:webHidden/>
          </w:rPr>
          <w:fldChar w:fldCharType="separate"/>
        </w:r>
        <w:r>
          <w:rPr>
            <w:noProof/>
            <w:webHidden/>
          </w:rPr>
          <w:t>16</w:t>
        </w:r>
        <w:r>
          <w:rPr>
            <w:noProof/>
            <w:webHidden/>
          </w:rPr>
          <w:fldChar w:fldCharType="end"/>
        </w:r>
      </w:hyperlink>
    </w:p>
    <w:p w:rsidR="00636B31" w:rsidRDefault="00636B31">
      <w:pPr>
        <w:pStyle w:val="TOC2"/>
        <w:rPr>
          <w:rFonts w:eastAsiaTheme="minorEastAsia" w:cstheme="minorBidi"/>
          <w:noProof/>
        </w:rPr>
      </w:pPr>
      <w:hyperlink w:anchor="_Toc468888009" w:history="1">
        <w:r w:rsidRPr="00B31CE4">
          <w:rPr>
            <w:rStyle w:val="Hyperlink"/>
            <w:noProof/>
          </w:rPr>
          <w:t>4.8. Carrier retention and increase in premium</w:t>
        </w:r>
        <w:r>
          <w:rPr>
            <w:noProof/>
            <w:webHidden/>
          </w:rPr>
          <w:tab/>
        </w:r>
        <w:r>
          <w:rPr>
            <w:noProof/>
            <w:webHidden/>
          </w:rPr>
          <w:fldChar w:fldCharType="begin"/>
        </w:r>
        <w:r>
          <w:rPr>
            <w:noProof/>
            <w:webHidden/>
          </w:rPr>
          <w:instrText xml:space="preserve"> PAGEREF _Toc468888009 \h </w:instrText>
        </w:r>
        <w:r>
          <w:rPr>
            <w:noProof/>
            <w:webHidden/>
          </w:rPr>
        </w:r>
        <w:r>
          <w:rPr>
            <w:noProof/>
            <w:webHidden/>
          </w:rPr>
          <w:fldChar w:fldCharType="separate"/>
        </w:r>
        <w:r>
          <w:rPr>
            <w:noProof/>
            <w:webHidden/>
          </w:rPr>
          <w:t>17</w:t>
        </w:r>
        <w:r>
          <w:rPr>
            <w:noProof/>
            <w:webHidden/>
          </w:rPr>
          <w:fldChar w:fldCharType="end"/>
        </w:r>
      </w:hyperlink>
    </w:p>
    <w:p w:rsidR="00636B31" w:rsidRDefault="00636B31">
      <w:pPr>
        <w:pStyle w:val="TOC2"/>
        <w:rPr>
          <w:rFonts w:eastAsiaTheme="minorEastAsia" w:cstheme="minorBidi"/>
          <w:noProof/>
        </w:rPr>
      </w:pPr>
      <w:hyperlink w:anchor="_Toc468888010" w:history="1">
        <w:r w:rsidRPr="00B31CE4">
          <w:rPr>
            <w:rStyle w:val="Hyperlink"/>
            <w:noProof/>
          </w:rPr>
          <w:t>4.9. Projected fully-insured population in Massachusetts</w:t>
        </w:r>
        <w:r>
          <w:rPr>
            <w:noProof/>
            <w:webHidden/>
          </w:rPr>
          <w:tab/>
        </w:r>
        <w:r>
          <w:rPr>
            <w:noProof/>
            <w:webHidden/>
          </w:rPr>
          <w:fldChar w:fldCharType="begin"/>
        </w:r>
        <w:r>
          <w:rPr>
            <w:noProof/>
            <w:webHidden/>
          </w:rPr>
          <w:instrText xml:space="preserve"> PAGEREF _Toc468888010 \h </w:instrText>
        </w:r>
        <w:r>
          <w:rPr>
            <w:noProof/>
            <w:webHidden/>
          </w:rPr>
        </w:r>
        <w:r>
          <w:rPr>
            <w:noProof/>
            <w:webHidden/>
          </w:rPr>
          <w:fldChar w:fldCharType="separate"/>
        </w:r>
        <w:r>
          <w:rPr>
            <w:noProof/>
            <w:webHidden/>
          </w:rPr>
          <w:t>18</w:t>
        </w:r>
        <w:r>
          <w:rPr>
            <w:noProof/>
            <w:webHidden/>
          </w:rPr>
          <w:fldChar w:fldCharType="end"/>
        </w:r>
      </w:hyperlink>
    </w:p>
    <w:p w:rsidR="00636B31" w:rsidRDefault="00636B31">
      <w:pPr>
        <w:pStyle w:val="TOC2"/>
        <w:rPr>
          <w:rFonts w:eastAsiaTheme="minorEastAsia" w:cstheme="minorBidi"/>
          <w:noProof/>
        </w:rPr>
      </w:pPr>
      <w:hyperlink w:anchor="_Toc468888011" w:history="1">
        <w:r w:rsidRPr="00B31CE4">
          <w:rPr>
            <w:rStyle w:val="Hyperlink"/>
            <w:noProof/>
          </w:rPr>
          <w:t>4.10. Total incremental medical expense and increase in premium</w:t>
        </w:r>
        <w:r>
          <w:rPr>
            <w:noProof/>
            <w:webHidden/>
          </w:rPr>
          <w:tab/>
        </w:r>
        <w:r>
          <w:rPr>
            <w:noProof/>
            <w:webHidden/>
          </w:rPr>
          <w:fldChar w:fldCharType="begin"/>
        </w:r>
        <w:r>
          <w:rPr>
            <w:noProof/>
            <w:webHidden/>
          </w:rPr>
          <w:instrText xml:space="preserve"> PAGEREF _Toc468888011 \h </w:instrText>
        </w:r>
        <w:r>
          <w:rPr>
            <w:noProof/>
            <w:webHidden/>
          </w:rPr>
        </w:r>
        <w:r>
          <w:rPr>
            <w:noProof/>
            <w:webHidden/>
          </w:rPr>
          <w:fldChar w:fldCharType="separate"/>
        </w:r>
        <w:r>
          <w:rPr>
            <w:noProof/>
            <w:webHidden/>
          </w:rPr>
          <w:t>18</w:t>
        </w:r>
        <w:r>
          <w:rPr>
            <w:noProof/>
            <w:webHidden/>
          </w:rPr>
          <w:fldChar w:fldCharType="end"/>
        </w:r>
      </w:hyperlink>
    </w:p>
    <w:p w:rsidR="00636B31" w:rsidRDefault="00636B31">
      <w:pPr>
        <w:pStyle w:val="TOC2"/>
        <w:rPr>
          <w:rFonts w:eastAsiaTheme="minorEastAsia" w:cstheme="minorBidi"/>
          <w:noProof/>
        </w:rPr>
      </w:pPr>
      <w:hyperlink w:anchor="_Toc468888012" w:history="1">
        <w:r w:rsidRPr="00B31CE4">
          <w:rPr>
            <w:rStyle w:val="Hyperlink"/>
            <w:noProof/>
          </w:rPr>
          <w:t>4.11. Projected utilization changes for draft formulary opioids without the substitution requirement</w:t>
        </w:r>
        <w:r>
          <w:rPr>
            <w:noProof/>
            <w:webHidden/>
          </w:rPr>
          <w:tab/>
        </w:r>
        <w:r>
          <w:rPr>
            <w:noProof/>
            <w:webHidden/>
          </w:rPr>
          <w:fldChar w:fldCharType="begin"/>
        </w:r>
        <w:r>
          <w:rPr>
            <w:noProof/>
            <w:webHidden/>
          </w:rPr>
          <w:instrText xml:space="preserve"> PAGEREF _Toc468888012 \h </w:instrText>
        </w:r>
        <w:r>
          <w:rPr>
            <w:noProof/>
            <w:webHidden/>
          </w:rPr>
        </w:r>
        <w:r>
          <w:rPr>
            <w:noProof/>
            <w:webHidden/>
          </w:rPr>
          <w:fldChar w:fldCharType="separate"/>
        </w:r>
        <w:r>
          <w:rPr>
            <w:noProof/>
            <w:webHidden/>
          </w:rPr>
          <w:t>18</w:t>
        </w:r>
        <w:r>
          <w:rPr>
            <w:noProof/>
            <w:webHidden/>
          </w:rPr>
          <w:fldChar w:fldCharType="end"/>
        </w:r>
      </w:hyperlink>
    </w:p>
    <w:p w:rsidR="00636B31" w:rsidRDefault="00636B31">
      <w:pPr>
        <w:pStyle w:val="TOC1"/>
        <w:rPr>
          <w:rFonts w:eastAsiaTheme="minorEastAsia" w:cstheme="minorBidi"/>
          <w:noProof/>
        </w:rPr>
      </w:pPr>
      <w:hyperlink w:anchor="_Toc468888013" w:history="1">
        <w:r w:rsidRPr="00B31CE4">
          <w:rPr>
            <w:rStyle w:val="Hyperlink"/>
            <w:noProof/>
          </w:rPr>
          <w:t>5. Results</w:t>
        </w:r>
        <w:r>
          <w:rPr>
            <w:noProof/>
            <w:webHidden/>
          </w:rPr>
          <w:tab/>
        </w:r>
        <w:r>
          <w:rPr>
            <w:noProof/>
            <w:webHidden/>
          </w:rPr>
          <w:fldChar w:fldCharType="begin"/>
        </w:r>
        <w:r>
          <w:rPr>
            <w:noProof/>
            <w:webHidden/>
          </w:rPr>
          <w:instrText xml:space="preserve"> PAGEREF _Toc468888013 \h </w:instrText>
        </w:r>
        <w:r>
          <w:rPr>
            <w:noProof/>
            <w:webHidden/>
          </w:rPr>
        </w:r>
        <w:r>
          <w:rPr>
            <w:noProof/>
            <w:webHidden/>
          </w:rPr>
          <w:fldChar w:fldCharType="separate"/>
        </w:r>
        <w:r>
          <w:rPr>
            <w:noProof/>
            <w:webHidden/>
          </w:rPr>
          <w:t>19</w:t>
        </w:r>
        <w:r>
          <w:rPr>
            <w:noProof/>
            <w:webHidden/>
          </w:rPr>
          <w:fldChar w:fldCharType="end"/>
        </w:r>
      </w:hyperlink>
    </w:p>
    <w:p w:rsidR="00636B31" w:rsidRDefault="00636B31">
      <w:pPr>
        <w:pStyle w:val="TOC2"/>
        <w:rPr>
          <w:rFonts w:eastAsiaTheme="minorEastAsia" w:cstheme="minorBidi"/>
          <w:noProof/>
        </w:rPr>
      </w:pPr>
      <w:hyperlink w:anchor="_Toc468888014" w:history="1">
        <w:r w:rsidRPr="00B31CE4">
          <w:rPr>
            <w:rStyle w:val="Hyperlink"/>
            <w:noProof/>
          </w:rPr>
          <w:t>5.1. Two-year estimated impact</w:t>
        </w:r>
        <w:r>
          <w:rPr>
            <w:noProof/>
            <w:webHidden/>
          </w:rPr>
          <w:tab/>
        </w:r>
        <w:r>
          <w:rPr>
            <w:noProof/>
            <w:webHidden/>
          </w:rPr>
          <w:fldChar w:fldCharType="begin"/>
        </w:r>
        <w:r>
          <w:rPr>
            <w:noProof/>
            <w:webHidden/>
          </w:rPr>
          <w:instrText xml:space="preserve"> PAGEREF _Toc468888014 \h </w:instrText>
        </w:r>
        <w:r>
          <w:rPr>
            <w:noProof/>
            <w:webHidden/>
          </w:rPr>
        </w:r>
        <w:r>
          <w:rPr>
            <w:noProof/>
            <w:webHidden/>
          </w:rPr>
          <w:fldChar w:fldCharType="separate"/>
        </w:r>
        <w:r>
          <w:rPr>
            <w:noProof/>
            <w:webHidden/>
          </w:rPr>
          <w:t>20</w:t>
        </w:r>
        <w:r>
          <w:rPr>
            <w:noProof/>
            <w:webHidden/>
          </w:rPr>
          <w:fldChar w:fldCharType="end"/>
        </w:r>
      </w:hyperlink>
    </w:p>
    <w:p w:rsidR="00636B31" w:rsidRDefault="00636B31">
      <w:pPr>
        <w:pStyle w:val="TOC2"/>
        <w:rPr>
          <w:rFonts w:eastAsiaTheme="minorEastAsia" w:cstheme="minorBidi"/>
          <w:noProof/>
        </w:rPr>
      </w:pPr>
      <w:hyperlink w:anchor="_Toc468888015" w:history="1">
        <w:r w:rsidRPr="00B31CE4">
          <w:rPr>
            <w:rStyle w:val="Hyperlink"/>
            <w:noProof/>
          </w:rPr>
          <w:t>5.2. Impact on the GIC</w:t>
        </w:r>
        <w:r>
          <w:rPr>
            <w:noProof/>
            <w:webHidden/>
          </w:rPr>
          <w:tab/>
        </w:r>
        <w:r>
          <w:rPr>
            <w:noProof/>
            <w:webHidden/>
          </w:rPr>
          <w:fldChar w:fldCharType="begin"/>
        </w:r>
        <w:r>
          <w:rPr>
            <w:noProof/>
            <w:webHidden/>
          </w:rPr>
          <w:instrText xml:space="preserve"> PAGEREF _Toc468888015 \h </w:instrText>
        </w:r>
        <w:r>
          <w:rPr>
            <w:noProof/>
            <w:webHidden/>
          </w:rPr>
        </w:r>
        <w:r>
          <w:rPr>
            <w:noProof/>
            <w:webHidden/>
          </w:rPr>
          <w:fldChar w:fldCharType="separate"/>
        </w:r>
        <w:r>
          <w:rPr>
            <w:noProof/>
            <w:webHidden/>
          </w:rPr>
          <w:t>20</w:t>
        </w:r>
        <w:r>
          <w:rPr>
            <w:noProof/>
            <w:webHidden/>
          </w:rPr>
          <w:fldChar w:fldCharType="end"/>
        </w:r>
      </w:hyperlink>
    </w:p>
    <w:p w:rsidR="00636B31" w:rsidRDefault="00636B31">
      <w:pPr>
        <w:pStyle w:val="TOC1"/>
        <w:rPr>
          <w:rFonts w:eastAsiaTheme="minorEastAsia" w:cstheme="minorBidi"/>
          <w:noProof/>
        </w:rPr>
      </w:pPr>
      <w:hyperlink w:anchor="_Toc468888016" w:history="1">
        <w:r w:rsidRPr="00B31CE4">
          <w:rPr>
            <w:rStyle w:val="Hyperlink"/>
            <w:noProof/>
          </w:rPr>
          <w:t>Appendix A: Draft Formulary of Substitutions for Opioids with Heightened Public Health Risk</w:t>
        </w:r>
        <w:r>
          <w:rPr>
            <w:noProof/>
            <w:webHidden/>
          </w:rPr>
          <w:tab/>
        </w:r>
        <w:r>
          <w:rPr>
            <w:noProof/>
            <w:webHidden/>
          </w:rPr>
          <w:fldChar w:fldCharType="begin"/>
        </w:r>
        <w:r>
          <w:rPr>
            <w:noProof/>
            <w:webHidden/>
          </w:rPr>
          <w:instrText xml:space="preserve"> PAGEREF _Toc468888016 \h </w:instrText>
        </w:r>
        <w:r>
          <w:rPr>
            <w:noProof/>
            <w:webHidden/>
          </w:rPr>
        </w:r>
        <w:r>
          <w:rPr>
            <w:noProof/>
            <w:webHidden/>
          </w:rPr>
          <w:fldChar w:fldCharType="separate"/>
        </w:r>
        <w:r>
          <w:rPr>
            <w:noProof/>
            <w:webHidden/>
          </w:rPr>
          <w:t>22</w:t>
        </w:r>
        <w:r>
          <w:rPr>
            <w:noProof/>
            <w:webHidden/>
          </w:rPr>
          <w:fldChar w:fldCharType="end"/>
        </w:r>
      </w:hyperlink>
    </w:p>
    <w:p w:rsidR="00636B31" w:rsidRDefault="00636B31">
      <w:pPr>
        <w:pStyle w:val="TOC1"/>
        <w:rPr>
          <w:rFonts w:eastAsiaTheme="minorEastAsia" w:cstheme="minorBidi"/>
          <w:noProof/>
        </w:rPr>
      </w:pPr>
      <w:hyperlink w:anchor="_Toc468888017" w:history="1">
        <w:r w:rsidRPr="00B31CE4">
          <w:rPr>
            <w:rStyle w:val="Hyperlink"/>
            <w:noProof/>
          </w:rPr>
          <w:t>Appendix B: Membership Affected by the Proposed Formulary</w:t>
        </w:r>
        <w:r>
          <w:rPr>
            <w:noProof/>
            <w:webHidden/>
          </w:rPr>
          <w:tab/>
        </w:r>
        <w:r>
          <w:rPr>
            <w:noProof/>
            <w:webHidden/>
          </w:rPr>
          <w:fldChar w:fldCharType="begin"/>
        </w:r>
        <w:r>
          <w:rPr>
            <w:noProof/>
            <w:webHidden/>
          </w:rPr>
          <w:instrText xml:space="preserve"> PAGEREF _Toc468888017 \h </w:instrText>
        </w:r>
        <w:r>
          <w:rPr>
            <w:noProof/>
            <w:webHidden/>
          </w:rPr>
        </w:r>
        <w:r>
          <w:rPr>
            <w:noProof/>
            <w:webHidden/>
          </w:rPr>
          <w:fldChar w:fldCharType="separate"/>
        </w:r>
        <w:r>
          <w:rPr>
            <w:noProof/>
            <w:webHidden/>
          </w:rPr>
          <w:t>24</w:t>
        </w:r>
        <w:r>
          <w:rPr>
            <w:noProof/>
            <w:webHidden/>
          </w:rPr>
          <w:fldChar w:fldCharType="end"/>
        </w:r>
      </w:hyperlink>
    </w:p>
    <w:p w:rsidR="00636B31" w:rsidRDefault="00636B31">
      <w:pPr>
        <w:pStyle w:val="TOC1"/>
        <w:rPr>
          <w:rFonts w:eastAsiaTheme="minorEastAsia" w:cstheme="minorBidi"/>
          <w:noProof/>
        </w:rPr>
      </w:pPr>
      <w:hyperlink w:anchor="_Toc468888018" w:history="1">
        <w:r w:rsidRPr="00B31CE4">
          <w:rPr>
            <w:rStyle w:val="Hyperlink"/>
            <w:noProof/>
          </w:rPr>
          <w:t>Appendix C: Comparison to DPH Drug Formulary Commission Cost Estimates</w:t>
        </w:r>
        <w:r>
          <w:rPr>
            <w:noProof/>
            <w:webHidden/>
          </w:rPr>
          <w:tab/>
        </w:r>
        <w:r>
          <w:rPr>
            <w:noProof/>
            <w:webHidden/>
          </w:rPr>
          <w:fldChar w:fldCharType="begin"/>
        </w:r>
        <w:r>
          <w:rPr>
            <w:noProof/>
            <w:webHidden/>
          </w:rPr>
          <w:instrText xml:space="preserve"> PAGEREF _Toc468888018 \h </w:instrText>
        </w:r>
        <w:r>
          <w:rPr>
            <w:noProof/>
            <w:webHidden/>
          </w:rPr>
        </w:r>
        <w:r>
          <w:rPr>
            <w:noProof/>
            <w:webHidden/>
          </w:rPr>
          <w:fldChar w:fldCharType="separate"/>
        </w:r>
        <w:r>
          <w:rPr>
            <w:noProof/>
            <w:webHidden/>
          </w:rPr>
          <w:t>25</w:t>
        </w:r>
        <w:r>
          <w:rPr>
            <w:noProof/>
            <w:webHidden/>
          </w:rPr>
          <w:fldChar w:fldCharType="end"/>
        </w:r>
      </w:hyperlink>
    </w:p>
    <w:p w:rsidR="00636B31" w:rsidRDefault="00636B31">
      <w:pPr>
        <w:pStyle w:val="TOC1"/>
        <w:rPr>
          <w:rFonts w:eastAsiaTheme="minorEastAsia" w:cstheme="minorBidi"/>
          <w:noProof/>
        </w:rPr>
      </w:pPr>
      <w:hyperlink w:anchor="_Toc468888019" w:history="1">
        <w:r w:rsidRPr="00B31CE4">
          <w:rPr>
            <w:rStyle w:val="Hyperlink"/>
            <w:noProof/>
          </w:rPr>
          <w:t>Endnotes</w:t>
        </w:r>
        <w:r>
          <w:rPr>
            <w:noProof/>
            <w:webHidden/>
          </w:rPr>
          <w:tab/>
        </w:r>
        <w:r>
          <w:rPr>
            <w:noProof/>
            <w:webHidden/>
          </w:rPr>
          <w:fldChar w:fldCharType="begin"/>
        </w:r>
        <w:r>
          <w:rPr>
            <w:noProof/>
            <w:webHidden/>
          </w:rPr>
          <w:instrText xml:space="preserve"> PAGEREF _Toc468888019 \h </w:instrText>
        </w:r>
        <w:r>
          <w:rPr>
            <w:noProof/>
            <w:webHidden/>
          </w:rPr>
        </w:r>
        <w:r>
          <w:rPr>
            <w:noProof/>
            <w:webHidden/>
          </w:rPr>
          <w:fldChar w:fldCharType="separate"/>
        </w:r>
        <w:r>
          <w:rPr>
            <w:noProof/>
            <w:webHidden/>
          </w:rPr>
          <w:t>26</w:t>
        </w:r>
        <w:r>
          <w:rPr>
            <w:noProof/>
            <w:webHidden/>
          </w:rPr>
          <w:fldChar w:fldCharType="end"/>
        </w:r>
      </w:hyperlink>
    </w:p>
    <w:p w:rsidR="0028450C" w:rsidRDefault="004051E1" w:rsidP="008334BE">
      <w:pPr>
        <w:spacing w:after="60" w:line="240" w:lineRule="auto"/>
      </w:pPr>
      <w:r>
        <w:rPr>
          <w:rFonts w:asciiTheme="minorHAnsi" w:hAnsiTheme="minorHAnsi" w:cs="Calibri"/>
        </w:rPr>
        <w:fldChar w:fldCharType="end"/>
      </w:r>
      <w:r w:rsidR="0028450C">
        <w:br w:type="page"/>
      </w:r>
      <w:r w:rsidR="0028450C" w:rsidRPr="0028450C">
        <w:lastRenderedPageBreak/>
        <w:t xml:space="preserve">This report was prepared by </w:t>
      </w:r>
      <w:r w:rsidR="00806E61">
        <w:t xml:space="preserve">Amy Raslevich, MPP, MBA, </w:t>
      </w:r>
      <w:r w:rsidR="0022245C">
        <w:t xml:space="preserve">Valerie Hamilton, RN, MHA, JD, </w:t>
      </w:r>
      <w:r w:rsidR="000E35B7">
        <w:t>Andrea Clark, MS</w:t>
      </w:r>
      <w:r w:rsidR="0028450C" w:rsidRPr="0028450C">
        <w:t>,</w:t>
      </w:r>
      <w:r w:rsidR="00B576F8" w:rsidRPr="00B576F8">
        <w:t xml:space="preserve"> </w:t>
      </w:r>
      <w:r w:rsidR="0022245C">
        <w:t xml:space="preserve">Jeffrey Stock, FSA, MAAA, </w:t>
      </w:r>
      <w:r w:rsidR="00806E61">
        <w:t xml:space="preserve">Jennifer </w:t>
      </w:r>
      <w:r w:rsidR="002648B4">
        <w:t>Elwood</w:t>
      </w:r>
      <w:r w:rsidR="00806E61">
        <w:t xml:space="preserve">, FSA, MAAA, </w:t>
      </w:r>
      <w:r w:rsidR="00C87371">
        <w:t xml:space="preserve">and </w:t>
      </w:r>
      <w:r w:rsidR="007B58BE">
        <w:t>James</w:t>
      </w:r>
      <w:r w:rsidR="00C87371">
        <w:t xml:space="preserve"> Highland, PhD</w:t>
      </w:r>
      <w:r w:rsidR="00B576F8">
        <w:t>.</w:t>
      </w:r>
    </w:p>
    <w:p w:rsidR="002B0F4D" w:rsidRDefault="002B0F4D" w:rsidP="00481340">
      <w:pPr>
        <w:jc w:val="center"/>
        <w:rPr>
          <w:rFonts w:ascii="Calibri" w:hAnsi="Calibri" w:cs="Calibri"/>
          <w:b/>
          <w:sz w:val="32"/>
          <w:szCs w:val="32"/>
        </w:rPr>
      </w:pPr>
    </w:p>
    <w:p w:rsidR="002B0F4D" w:rsidRDefault="002B0F4D" w:rsidP="00481340">
      <w:pPr>
        <w:jc w:val="center"/>
        <w:rPr>
          <w:rFonts w:ascii="Calibri" w:hAnsi="Calibri" w:cs="Calibri"/>
          <w:b/>
          <w:sz w:val="32"/>
          <w:szCs w:val="32"/>
        </w:rPr>
        <w:sectPr w:rsidR="002B0F4D" w:rsidSect="002B0F4D">
          <w:footerReference w:type="default" r:id="rId15"/>
          <w:footnotePr>
            <w:numFmt w:val="lowerRoman"/>
          </w:footnotePr>
          <w:endnotePr>
            <w:numFmt w:val="decimal"/>
            <w:numRestart w:val="eachSect"/>
          </w:endnotePr>
          <w:type w:val="continuous"/>
          <w:pgSz w:w="12240" w:h="15840"/>
          <w:pgMar w:top="1440" w:right="1440" w:bottom="1440" w:left="1440" w:header="720" w:footer="720" w:gutter="0"/>
          <w:pgNumType w:start="0"/>
          <w:cols w:space="720"/>
          <w:titlePg/>
          <w:docGrid w:linePitch="360"/>
        </w:sectPr>
      </w:pPr>
    </w:p>
    <w:p w:rsidR="00A312AD" w:rsidRDefault="00A312AD" w:rsidP="00FA6A0A">
      <w:pPr>
        <w:spacing w:after="0" w:line="240" w:lineRule="auto"/>
        <w:jc w:val="center"/>
        <w:rPr>
          <w:rFonts w:ascii="Calibri" w:hAnsi="Calibri" w:cs="Calibri"/>
          <w:b/>
          <w:sz w:val="32"/>
          <w:szCs w:val="32"/>
        </w:rPr>
      </w:pPr>
      <w:bookmarkStart w:id="0" w:name="_Toc348967797"/>
      <w:r w:rsidRPr="00A312AD">
        <w:rPr>
          <w:rFonts w:ascii="Calibri" w:hAnsi="Calibri" w:cs="Calibri"/>
          <w:b/>
          <w:sz w:val="32"/>
          <w:szCs w:val="32"/>
        </w:rPr>
        <w:lastRenderedPageBreak/>
        <w:t>Actuarial Analysis of</w:t>
      </w:r>
      <w:r>
        <w:rPr>
          <w:rFonts w:ascii="Calibri" w:hAnsi="Calibri" w:cs="Calibri"/>
          <w:b/>
          <w:sz w:val="32"/>
          <w:szCs w:val="32"/>
        </w:rPr>
        <w:t xml:space="preserve"> th</w:t>
      </w:r>
      <w:r w:rsidR="006756D8">
        <w:rPr>
          <w:rFonts w:ascii="Calibri" w:hAnsi="Calibri" w:cs="Calibri"/>
          <w:b/>
          <w:sz w:val="32"/>
          <w:szCs w:val="32"/>
        </w:rPr>
        <w:t xml:space="preserve">e </w:t>
      </w:r>
      <w:r w:rsidRPr="00A312AD">
        <w:rPr>
          <w:rFonts w:ascii="Calibri" w:hAnsi="Calibri" w:cs="Calibri"/>
          <w:b/>
          <w:sz w:val="32"/>
          <w:szCs w:val="32"/>
        </w:rPr>
        <w:t>Drug Formulary Commission</w:t>
      </w:r>
      <w:r>
        <w:rPr>
          <w:rFonts w:ascii="Calibri" w:hAnsi="Calibri" w:cs="Calibri"/>
          <w:b/>
          <w:sz w:val="32"/>
          <w:szCs w:val="32"/>
        </w:rPr>
        <w:t>’s</w:t>
      </w:r>
      <w:r w:rsidR="00D32861">
        <w:rPr>
          <w:rFonts w:ascii="Calibri" w:hAnsi="Calibri" w:cs="Calibri"/>
          <w:b/>
          <w:sz w:val="32"/>
          <w:szCs w:val="32"/>
        </w:rPr>
        <w:br/>
        <w:t>Abuse-Deterrent Drug Formulary</w:t>
      </w:r>
    </w:p>
    <w:p w:rsidR="005B3E6F" w:rsidRPr="000852FF" w:rsidRDefault="005B3E6F" w:rsidP="002B0738">
      <w:pPr>
        <w:pStyle w:val="Heading1"/>
      </w:pPr>
      <w:bookmarkStart w:id="1" w:name="_Toc468887989"/>
      <w:r>
        <w:t>Executive Summary</w:t>
      </w:r>
      <w:bookmarkEnd w:id="0"/>
      <w:bookmarkEnd w:id="1"/>
    </w:p>
    <w:p w:rsidR="00D628E4" w:rsidRDefault="004665A9" w:rsidP="00B04D32">
      <w:pPr>
        <w:rPr>
          <w:rFonts w:asciiTheme="majorHAnsi" w:hAnsiTheme="majorHAnsi"/>
        </w:rPr>
      </w:pPr>
      <w:r w:rsidRPr="00F802AA">
        <w:rPr>
          <w:rFonts w:asciiTheme="majorHAnsi" w:hAnsiTheme="majorHAnsi"/>
        </w:rPr>
        <w:t>Chapter 258 of the Acts of 2014</w:t>
      </w:r>
      <w:r w:rsidR="00E613C9">
        <w:rPr>
          <w:rStyle w:val="EndnoteReference"/>
          <w:rFonts w:asciiTheme="majorHAnsi" w:hAnsiTheme="majorHAnsi"/>
        </w:rPr>
        <w:endnoteReference w:id="1"/>
      </w:r>
      <w:r w:rsidRPr="00F802AA">
        <w:rPr>
          <w:rFonts w:asciiTheme="majorHAnsi" w:hAnsiTheme="majorHAnsi"/>
        </w:rPr>
        <w:t xml:space="preserve"> was signed by Governor Deval Patrick on Augu</w:t>
      </w:r>
      <w:r w:rsidR="009D2CA9">
        <w:rPr>
          <w:rFonts w:asciiTheme="majorHAnsi" w:hAnsiTheme="majorHAnsi"/>
        </w:rPr>
        <w:t>st 6, 2014</w:t>
      </w:r>
      <w:r w:rsidRPr="00F802AA">
        <w:rPr>
          <w:rFonts w:asciiTheme="majorHAnsi" w:hAnsiTheme="majorHAnsi"/>
        </w:rPr>
        <w:t xml:space="preserve">.  </w:t>
      </w:r>
      <w:r w:rsidR="00B14F73">
        <w:rPr>
          <w:rFonts w:asciiTheme="majorHAnsi" w:hAnsiTheme="majorHAnsi"/>
        </w:rPr>
        <w:t>T</w:t>
      </w:r>
      <w:r w:rsidRPr="00F802AA">
        <w:rPr>
          <w:rFonts w:asciiTheme="majorHAnsi" w:hAnsiTheme="majorHAnsi"/>
        </w:rPr>
        <w:t xml:space="preserve">he new law </w:t>
      </w:r>
      <w:r w:rsidR="0063696D">
        <w:rPr>
          <w:rFonts w:asciiTheme="majorHAnsi" w:hAnsiTheme="majorHAnsi"/>
        </w:rPr>
        <w:t xml:space="preserve">amended </w:t>
      </w:r>
      <w:r w:rsidR="00494AB6">
        <w:rPr>
          <w:rFonts w:asciiTheme="majorHAnsi" w:hAnsiTheme="majorHAnsi"/>
        </w:rPr>
        <w:t>the statute</w:t>
      </w:r>
      <w:r w:rsidR="0063696D">
        <w:rPr>
          <w:rFonts w:asciiTheme="majorHAnsi" w:hAnsiTheme="majorHAnsi"/>
        </w:rPr>
        <w:t xml:space="preserve"> establishing </w:t>
      </w:r>
      <w:r w:rsidR="008D6C6E">
        <w:rPr>
          <w:rFonts w:asciiTheme="majorHAnsi" w:hAnsiTheme="majorHAnsi"/>
        </w:rPr>
        <w:t xml:space="preserve">the </w:t>
      </w:r>
      <w:r w:rsidR="003D1867">
        <w:rPr>
          <w:rFonts w:asciiTheme="majorHAnsi" w:hAnsiTheme="majorHAnsi"/>
        </w:rPr>
        <w:t>Drug Formulary C</w:t>
      </w:r>
      <w:r w:rsidR="00F802AA">
        <w:rPr>
          <w:rFonts w:asciiTheme="majorHAnsi" w:hAnsiTheme="majorHAnsi"/>
        </w:rPr>
        <w:t>ommission</w:t>
      </w:r>
      <w:r w:rsidR="0063696D">
        <w:rPr>
          <w:rFonts w:asciiTheme="majorHAnsi" w:hAnsiTheme="majorHAnsi"/>
        </w:rPr>
        <w:t xml:space="preserve"> </w:t>
      </w:r>
      <w:r w:rsidR="004317DD">
        <w:rPr>
          <w:rFonts w:asciiTheme="majorHAnsi" w:hAnsiTheme="majorHAnsi"/>
        </w:rPr>
        <w:t>(</w:t>
      </w:r>
      <w:r w:rsidR="009D2CA9">
        <w:rPr>
          <w:rFonts w:asciiTheme="majorHAnsi" w:hAnsiTheme="majorHAnsi"/>
        </w:rPr>
        <w:t xml:space="preserve">the </w:t>
      </w:r>
      <w:r w:rsidR="00B72EF3">
        <w:rPr>
          <w:rFonts w:asciiTheme="majorHAnsi" w:hAnsiTheme="majorHAnsi"/>
        </w:rPr>
        <w:t>C</w:t>
      </w:r>
      <w:r w:rsidR="004317DD">
        <w:rPr>
          <w:rFonts w:asciiTheme="majorHAnsi" w:hAnsiTheme="majorHAnsi"/>
        </w:rPr>
        <w:t>ommission</w:t>
      </w:r>
      <w:r w:rsidR="00A83D55">
        <w:rPr>
          <w:rFonts w:asciiTheme="majorHAnsi" w:hAnsiTheme="majorHAnsi"/>
        </w:rPr>
        <w:t xml:space="preserve">) </w:t>
      </w:r>
      <w:r w:rsidR="0063696D">
        <w:rPr>
          <w:rFonts w:asciiTheme="majorHAnsi" w:hAnsiTheme="majorHAnsi"/>
        </w:rPr>
        <w:t>in the Department of Public Health (DPH)</w:t>
      </w:r>
      <w:r w:rsidR="008518FB">
        <w:rPr>
          <w:rFonts w:asciiTheme="majorHAnsi" w:hAnsiTheme="majorHAnsi"/>
        </w:rPr>
        <w:t>,</w:t>
      </w:r>
      <w:r w:rsidR="009D2CA9">
        <w:rPr>
          <w:rFonts w:asciiTheme="majorHAnsi" w:hAnsiTheme="majorHAnsi"/>
        </w:rPr>
        <w:t xml:space="preserve"> charging</w:t>
      </w:r>
      <w:r w:rsidR="00B14F73">
        <w:rPr>
          <w:rFonts w:asciiTheme="majorHAnsi" w:hAnsiTheme="majorHAnsi"/>
        </w:rPr>
        <w:t xml:space="preserve"> the</w:t>
      </w:r>
      <w:r w:rsidR="00D628E4">
        <w:rPr>
          <w:rFonts w:asciiTheme="majorHAnsi" w:hAnsiTheme="majorHAnsi"/>
        </w:rPr>
        <w:t xml:space="preserve"> C</w:t>
      </w:r>
      <w:r w:rsidR="00835698">
        <w:rPr>
          <w:rFonts w:asciiTheme="majorHAnsi" w:hAnsiTheme="majorHAnsi"/>
        </w:rPr>
        <w:t>ommission</w:t>
      </w:r>
      <w:r w:rsidR="0063696D">
        <w:rPr>
          <w:rFonts w:asciiTheme="majorHAnsi" w:hAnsiTheme="majorHAnsi"/>
        </w:rPr>
        <w:t xml:space="preserve"> with</w:t>
      </w:r>
      <w:r w:rsidR="00BA5188">
        <w:rPr>
          <w:rFonts w:asciiTheme="majorHAnsi" w:hAnsiTheme="majorHAnsi"/>
        </w:rPr>
        <w:t xml:space="preserve"> </w:t>
      </w:r>
      <w:r w:rsidR="0063696D">
        <w:rPr>
          <w:rFonts w:asciiTheme="majorHAnsi" w:hAnsiTheme="majorHAnsi"/>
        </w:rPr>
        <w:t>preparing</w:t>
      </w:r>
      <w:r w:rsidR="0020167D" w:rsidRPr="0020167D">
        <w:rPr>
          <w:rFonts w:asciiTheme="majorHAnsi" w:hAnsiTheme="majorHAnsi"/>
        </w:rPr>
        <w:t xml:space="preserve"> a drug formulary of </w:t>
      </w:r>
      <w:r w:rsidR="00F77134">
        <w:rPr>
          <w:rFonts w:asciiTheme="majorHAnsi" w:hAnsiTheme="majorHAnsi"/>
        </w:rPr>
        <w:t>chemically</w:t>
      </w:r>
      <w:r w:rsidR="002B4529">
        <w:rPr>
          <w:rFonts w:asciiTheme="majorHAnsi" w:hAnsiTheme="majorHAnsi"/>
        </w:rPr>
        <w:t>-</w:t>
      </w:r>
      <w:r w:rsidR="00F77134">
        <w:rPr>
          <w:rFonts w:asciiTheme="majorHAnsi" w:hAnsiTheme="majorHAnsi"/>
        </w:rPr>
        <w:t xml:space="preserve">equivalent </w:t>
      </w:r>
      <w:r w:rsidR="0020167D" w:rsidRPr="0020167D">
        <w:rPr>
          <w:rFonts w:asciiTheme="majorHAnsi" w:hAnsiTheme="majorHAnsi"/>
        </w:rPr>
        <w:t xml:space="preserve">substitutions for Schedule II </w:t>
      </w:r>
      <w:r w:rsidR="00131275">
        <w:rPr>
          <w:rFonts w:asciiTheme="majorHAnsi" w:hAnsiTheme="majorHAnsi"/>
        </w:rPr>
        <w:t>and</w:t>
      </w:r>
      <w:r w:rsidR="0020167D" w:rsidRPr="0020167D">
        <w:rPr>
          <w:rFonts w:asciiTheme="majorHAnsi" w:hAnsiTheme="majorHAnsi"/>
        </w:rPr>
        <w:t xml:space="preserve"> III </w:t>
      </w:r>
      <w:r w:rsidR="00F874C0">
        <w:rPr>
          <w:rFonts w:asciiTheme="majorHAnsi" w:hAnsiTheme="majorHAnsi"/>
        </w:rPr>
        <w:t>non-</w:t>
      </w:r>
      <w:r w:rsidR="00E43B95">
        <w:rPr>
          <w:rFonts w:asciiTheme="majorHAnsi" w:hAnsiTheme="majorHAnsi"/>
        </w:rPr>
        <w:t>abuse-deterrent</w:t>
      </w:r>
      <w:r w:rsidR="00F874C0">
        <w:rPr>
          <w:rFonts w:asciiTheme="majorHAnsi" w:hAnsiTheme="majorHAnsi"/>
        </w:rPr>
        <w:t xml:space="preserve"> </w:t>
      </w:r>
      <w:r w:rsidR="0063696D">
        <w:rPr>
          <w:rFonts w:asciiTheme="majorHAnsi" w:hAnsiTheme="majorHAnsi"/>
        </w:rPr>
        <w:t>opioids</w:t>
      </w:r>
      <w:r w:rsidR="00F874C0">
        <w:rPr>
          <w:rFonts w:asciiTheme="majorHAnsi" w:hAnsiTheme="majorHAnsi"/>
        </w:rPr>
        <w:t xml:space="preserve"> </w:t>
      </w:r>
      <w:r w:rsidR="0020167D" w:rsidRPr="0020167D">
        <w:rPr>
          <w:rFonts w:asciiTheme="majorHAnsi" w:hAnsiTheme="majorHAnsi"/>
        </w:rPr>
        <w:t xml:space="preserve">that the Commission determined </w:t>
      </w:r>
      <w:r w:rsidR="0020167D">
        <w:rPr>
          <w:rFonts w:asciiTheme="majorHAnsi" w:hAnsiTheme="majorHAnsi"/>
        </w:rPr>
        <w:t xml:space="preserve">to </w:t>
      </w:r>
      <w:r w:rsidR="0020167D" w:rsidRPr="0020167D">
        <w:rPr>
          <w:rFonts w:asciiTheme="majorHAnsi" w:hAnsiTheme="majorHAnsi"/>
        </w:rPr>
        <w:t xml:space="preserve">have a heightened level of public health risk </w:t>
      </w:r>
      <w:r w:rsidR="005071C6">
        <w:rPr>
          <w:rFonts w:asciiTheme="majorHAnsi" w:hAnsiTheme="majorHAnsi"/>
        </w:rPr>
        <w:t xml:space="preserve">(HPHR) </w:t>
      </w:r>
      <w:r w:rsidR="0020167D" w:rsidRPr="0020167D">
        <w:rPr>
          <w:rFonts w:asciiTheme="majorHAnsi" w:hAnsiTheme="majorHAnsi"/>
        </w:rPr>
        <w:t>due to the drugs’</w:t>
      </w:r>
      <w:r w:rsidR="0020167D">
        <w:rPr>
          <w:rFonts w:asciiTheme="majorHAnsi" w:hAnsiTheme="majorHAnsi"/>
        </w:rPr>
        <w:t xml:space="preserve"> potential for abuse and misuse.</w:t>
      </w:r>
      <w:r w:rsidR="00F37C17">
        <w:rPr>
          <w:rFonts w:asciiTheme="majorHAnsi" w:hAnsiTheme="majorHAnsi"/>
        </w:rPr>
        <w:t xml:space="preserve">  </w:t>
      </w:r>
      <w:r w:rsidR="00566B71">
        <w:rPr>
          <w:rFonts w:asciiTheme="majorHAnsi" w:hAnsiTheme="majorHAnsi"/>
        </w:rPr>
        <w:t xml:space="preserve">Except in cases where the practitioner </w:t>
      </w:r>
      <w:r w:rsidR="00835698">
        <w:rPr>
          <w:rFonts w:asciiTheme="majorHAnsi" w:hAnsiTheme="majorHAnsi"/>
        </w:rPr>
        <w:t>has indicated “no substitution,” the</w:t>
      </w:r>
      <w:r w:rsidR="00566B71">
        <w:rPr>
          <w:rFonts w:asciiTheme="majorHAnsi" w:hAnsiTheme="majorHAnsi"/>
        </w:rPr>
        <w:t xml:space="preserve"> </w:t>
      </w:r>
      <w:r w:rsidR="00C5239B">
        <w:rPr>
          <w:rFonts w:asciiTheme="majorHAnsi" w:hAnsiTheme="majorHAnsi"/>
        </w:rPr>
        <w:t xml:space="preserve">new law requires </w:t>
      </w:r>
      <w:r w:rsidR="00566B71">
        <w:rPr>
          <w:rFonts w:asciiTheme="majorHAnsi" w:hAnsiTheme="majorHAnsi"/>
        </w:rPr>
        <w:t>pharmacist</w:t>
      </w:r>
      <w:r w:rsidR="00BA5188">
        <w:rPr>
          <w:rFonts w:asciiTheme="majorHAnsi" w:hAnsiTheme="majorHAnsi"/>
        </w:rPr>
        <w:t>s</w:t>
      </w:r>
      <w:r w:rsidR="00566B71">
        <w:rPr>
          <w:rFonts w:asciiTheme="majorHAnsi" w:hAnsiTheme="majorHAnsi"/>
        </w:rPr>
        <w:t xml:space="preserve"> </w:t>
      </w:r>
      <w:r w:rsidR="00C5239B">
        <w:rPr>
          <w:rFonts w:asciiTheme="majorHAnsi" w:hAnsiTheme="majorHAnsi"/>
        </w:rPr>
        <w:t>to</w:t>
      </w:r>
      <w:r w:rsidR="00566B71">
        <w:rPr>
          <w:rFonts w:asciiTheme="majorHAnsi" w:hAnsiTheme="majorHAnsi"/>
        </w:rPr>
        <w:t xml:space="preserve"> dispense an intercha</w:t>
      </w:r>
      <w:r w:rsidR="009E3AC9">
        <w:rPr>
          <w:rFonts w:asciiTheme="majorHAnsi" w:hAnsiTheme="majorHAnsi"/>
        </w:rPr>
        <w:t xml:space="preserve">ngeable </w:t>
      </w:r>
      <w:r w:rsidR="00E43B95">
        <w:rPr>
          <w:rFonts w:asciiTheme="majorHAnsi" w:hAnsiTheme="majorHAnsi"/>
        </w:rPr>
        <w:t>abuse-deterrent</w:t>
      </w:r>
      <w:r w:rsidR="009E3AC9">
        <w:rPr>
          <w:rFonts w:asciiTheme="majorHAnsi" w:hAnsiTheme="majorHAnsi"/>
        </w:rPr>
        <w:t xml:space="preserve"> </w:t>
      </w:r>
      <w:r w:rsidR="00F659B5">
        <w:rPr>
          <w:rFonts w:asciiTheme="majorHAnsi" w:hAnsiTheme="majorHAnsi"/>
        </w:rPr>
        <w:t xml:space="preserve">opioid </w:t>
      </w:r>
      <w:r w:rsidR="00305A5D">
        <w:rPr>
          <w:rFonts w:asciiTheme="majorHAnsi" w:hAnsiTheme="majorHAnsi"/>
        </w:rPr>
        <w:t xml:space="preserve">(ADO) </w:t>
      </w:r>
      <w:r w:rsidR="009E3AC9">
        <w:rPr>
          <w:rFonts w:asciiTheme="majorHAnsi" w:hAnsiTheme="majorHAnsi"/>
        </w:rPr>
        <w:t>product,</w:t>
      </w:r>
      <w:r w:rsidR="00F3156D">
        <w:rPr>
          <w:rFonts w:asciiTheme="majorHAnsi" w:hAnsiTheme="majorHAnsi"/>
        </w:rPr>
        <w:t xml:space="preserve"> </w:t>
      </w:r>
      <w:r w:rsidR="00566B71">
        <w:rPr>
          <w:rFonts w:asciiTheme="majorHAnsi" w:hAnsiTheme="majorHAnsi"/>
        </w:rPr>
        <w:t>if one exists</w:t>
      </w:r>
      <w:r w:rsidR="00EF460B">
        <w:rPr>
          <w:rFonts w:asciiTheme="majorHAnsi" w:hAnsiTheme="majorHAnsi"/>
        </w:rPr>
        <w:t xml:space="preserve">, </w:t>
      </w:r>
      <w:r w:rsidR="00835698">
        <w:rPr>
          <w:rFonts w:asciiTheme="majorHAnsi" w:hAnsiTheme="majorHAnsi"/>
        </w:rPr>
        <w:t>or if none exists, a less expensive, reasonably available, interchangeable drug product as allowed by the most current formulary or supplement thereof</w:t>
      </w:r>
      <w:r w:rsidR="00566B71">
        <w:rPr>
          <w:rFonts w:asciiTheme="majorHAnsi" w:hAnsiTheme="majorHAnsi"/>
        </w:rPr>
        <w:t>.</w:t>
      </w:r>
      <w:r w:rsidR="0009200A">
        <w:rPr>
          <w:rStyle w:val="EndnoteReference"/>
          <w:rFonts w:asciiTheme="majorHAnsi" w:hAnsiTheme="majorHAnsi"/>
        </w:rPr>
        <w:endnoteReference w:id="2"/>
      </w:r>
      <w:r w:rsidR="00566B71">
        <w:rPr>
          <w:rFonts w:asciiTheme="majorHAnsi" w:hAnsiTheme="majorHAnsi"/>
        </w:rPr>
        <w:t xml:space="preserve">  </w:t>
      </w:r>
      <w:r w:rsidR="00D628E4">
        <w:t>Abuse-deterrent drug products are manufactured with physical, chemical, or other barriers that make abuse more difficult or less attractive or rewarding</w:t>
      </w:r>
      <w:r w:rsidR="00D142CD">
        <w:t>.</w:t>
      </w:r>
    </w:p>
    <w:p w:rsidR="00B04D32" w:rsidRPr="0063696D" w:rsidRDefault="00595740" w:rsidP="00B04D32">
      <w:r>
        <w:rPr>
          <w:rFonts w:asciiTheme="majorHAnsi" w:hAnsiTheme="majorHAnsi"/>
        </w:rPr>
        <w:t xml:space="preserve">Chapter 258 </w:t>
      </w:r>
      <w:r w:rsidR="00F37C17">
        <w:rPr>
          <w:rFonts w:asciiTheme="majorHAnsi" w:hAnsiTheme="majorHAnsi"/>
        </w:rPr>
        <w:t xml:space="preserve">provides that coverage for the </w:t>
      </w:r>
      <w:r w:rsidR="00E43B95">
        <w:rPr>
          <w:rFonts w:asciiTheme="majorHAnsi" w:hAnsiTheme="majorHAnsi"/>
        </w:rPr>
        <w:t>abuse-deterrent</w:t>
      </w:r>
      <w:r w:rsidR="00F37C17">
        <w:rPr>
          <w:rFonts w:asciiTheme="majorHAnsi" w:hAnsiTheme="majorHAnsi"/>
        </w:rPr>
        <w:t xml:space="preserve"> drug products listed on the formulary</w:t>
      </w:r>
      <w:r w:rsidR="00F77134">
        <w:rPr>
          <w:rFonts w:asciiTheme="majorHAnsi" w:hAnsiTheme="majorHAnsi"/>
        </w:rPr>
        <w:t xml:space="preserve"> of chemically</w:t>
      </w:r>
      <w:r w:rsidR="002B4529">
        <w:rPr>
          <w:rFonts w:asciiTheme="majorHAnsi" w:hAnsiTheme="majorHAnsi"/>
        </w:rPr>
        <w:t>-</w:t>
      </w:r>
      <w:r w:rsidR="00F77134">
        <w:rPr>
          <w:rFonts w:asciiTheme="majorHAnsi" w:hAnsiTheme="majorHAnsi"/>
        </w:rPr>
        <w:t>equivalent substitutions</w:t>
      </w:r>
      <w:r w:rsidR="00F37C17">
        <w:rPr>
          <w:rFonts w:asciiTheme="majorHAnsi" w:hAnsiTheme="majorHAnsi"/>
        </w:rPr>
        <w:t xml:space="preserve"> shall be on a basis not less favorable than non-</w:t>
      </w:r>
      <w:r w:rsidR="00E43B95">
        <w:rPr>
          <w:rFonts w:asciiTheme="majorHAnsi" w:hAnsiTheme="majorHAnsi"/>
        </w:rPr>
        <w:t>abuse-deterrent</w:t>
      </w:r>
      <w:r w:rsidR="00F37C17">
        <w:rPr>
          <w:rFonts w:asciiTheme="majorHAnsi" w:hAnsiTheme="majorHAnsi"/>
        </w:rPr>
        <w:t xml:space="preserve"> opioid drug products, and an increase in patient cost sharing </w:t>
      </w:r>
      <w:r w:rsidR="00EA004B">
        <w:rPr>
          <w:rFonts w:asciiTheme="majorHAnsi" w:hAnsiTheme="majorHAnsi"/>
        </w:rPr>
        <w:t>shall</w:t>
      </w:r>
      <w:r w:rsidR="00571F9E">
        <w:rPr>
          <w:rFonts w:asciiTheme="majorHAnsi" w:hAnsiTheme="majorHAnsi"/>
        </w:rPr>
        <w:t xml:space="preserve"> not </w:t>
      </w:r>
      <w:r w:rsidR="00EA004B">
        <w:rPr>
          <w:rFonts w:asciiTheme="majorHAnsi" w:hAnsiTheme="majorHAnsi"/>
        </w:rPr>
        <w:t xml:space="preserve">be </w:t>
      </w:r>
      <w:r w:rsidR="00571F9E">
        <w:rPr>
          <w:rFonts w:asciiTheme="majorHAnsi" w:hAnsiTheme="majorHAnsi"/>
        </w:rPr>
        <w:t>allowed</w:t>
      </w:r>
      <w:r w:rsidR="00F37C17">
        <w:rPr>
          <w:rFonts w:asciiTheme="majorHAnsi" w:hAnsiTheme="majorHAnsi"/>
        </w:rPr>
        <w:t xml:space="preserve">. </w:t>
      </w:r>
      <w:r w:rsidR="0063696D">
        <w:rPr>
          <w:rFonts w:asciiTheme="majorHAnsi" w:hAnsiTheme="majorHAnsi"/>
        </w:rPr>
        <w:t xml:space="preserve"> </w:t>
      </w:r>
      <w:r w:rsidR="0063696D">
        <w:t xml:space="preserve">The effect of this requirement, </w:t>
      </w:r>
      <w:r w:rsidR="00AC50DE">
        <w:t>in addition to the</w:t>
      </w:r>
      <w:r w:rsidR="0063696D">
        <w:t xml:space="preserve"> changes to </w:t>
      </w:r>
      <w:r w:rsidR="00131275">
        <w:t xml:space="preserve">the </w:t>
      </w:r>
      <w:r w:rsidR="0063696D">
        <w:t xml:space="preserve">pharmacy substitution procedure, is to encourage a shift to abuse-deterrent opioids </w:t>
      </w:r>
      <w:r>
        <w:t>while insulating</w:t>
      </w:r>
      <w:r w:rsidR="0063696D">
        <w:t xml:space="preserve"> patients from the increased cost.</w:t>
      </w:r>
    </w:p>
    <w:p w:rsidR="004375F3" w:rsidRDefault="00874E2F" w:rsidP="00F802AA">
      <w:r>
        <w:rPr>
          <w:rFonts w:asciiTheme="majorHAnsi" w:hAnsiTheme="majorHAnsi"/>
        </w:rPr>
        <w:t xml:space="preserve">Section 4 </w:t>
      </w:r>
      <w:r w:rsidR="00414596">
        <w:rPr>
          <w:rFonts w:asciiTheme="majorHAnsi" w:hAnsiTheme="majorHAnsi"/>
        </w:rPr>
        <w:t xml:space="preserve">of Chapter 258 </w:t>
      </w:r>
      <w:r w:rsidR="0040225C">
        <w:rPr>
          <w:rFonts w:asciiTheme="majorHAnsi" w:hAnsiTheme="majorHAnsi"/>
        </w:rPr>
        <w:t>provided that the C</w:t>
      </w:r>
      <w:r w:rsidR="00B14F73">
        <w:rPr>
          <w:rFonts w:asciiTheme="majorHAnsi" w:hAnsiTheme="majorHAnsi"/>
        </w:rPr>
        <w:t>ommission may request an insurance</w:t>
      </w:r>
      <w:r w:rsidR="00E3538C">
        <w:rPr>
          <w:rFonts w:asciiTheme="majorHAnsi" w:hAnsiTheme="majorHAnsi"/>
        </w:rPr>
        <w:t xml:space="preserve"> benefit review </w:t>
      </w:r>
      <w:r w:rsidR="00C5239B">
        <w:t xml:space="preserve">by the </w:t>
      </w:r>
      <w:r w:rsidR="00C5239B" w:rsidRPr="00FF5117">
        <w:t>Massachusetts Center for Health Information and Analysis (CHIA)</w:t>
      </w:r>
      <w:r w:rsidR="00C5239B">
        <w:t xml:space="preserve">.  Insurance benefit reviews analyze </w:t>
      </w:r>
      <w:r w:rsidR="003B5B12">
        <w:t xml:space="preserve">the potential impact of mandated health care insurance benefits on the premiums paid by businesses and consumers.  </w:t>
      </w:r>
      <w:r w:rsidR="00914965" w:rsidRPr="00914965">
        <w:t>The Commission requested such a review, and CHIA engaged Compass Health Analytics, Inc. (Compass) to provide an actuarial estimate of the effect implementation of a draft formulary of abuse-deterrent substitutes, prepared pursuant to Chapter 258, would have on the cost of health insurance in Massachusetts</w:t>
      </w:r>
      <w:r w:rsidR="00914965">
        <w:t>.</w:t>
      </w:r>
    </w:p>
    <w:p w:rsidR="00ED0C40" w:rsidRDefault="00ED0C40" w:rsidP="00ED0C40">
      <w:pPr>
        <w:pStyle w:val="Subhead2"/>
      </w:pPr>
      <w:r>
        <w:t>Background</w:t>
      </w:r>
    </w:p>
    <w:p w:rsidR="00DF3B60" w:rsidRDefault="008B65B0" w:rsidP="0020167D">
      <w:r>
        <w:t xml:space="preserve">Prescription opioids are </w:t>
      </w:r>
      <w:r w:rsidR="00DF3B60">
        <w:t>powerful pain-reducing medications that include prescription oxycodone</w:t>
      </w:r>
      <w:r w:rsidR="00EA6CA9">
        <w:t xml:space="preserve"> (e.g., Oxyc</w:t>
      </w:r>
      <w:r w:rsidR="00D64244">
        <w:t>ontin</w:t>
      </w:r>
      <w:r w:rsidR="00D97EC4" w:rsidRPr="00D97EC4">
        <w:rPr>
          <w:vertAlign w:val="superscript"/>
        </w:rPr>
        <w:t>®</w:t>
      </w:r>
      <w:r w:rsidR="00D64244">
        <w:t>, Percocet</w:t>
      </w:r>
      <w:r w:rsidR="00D97EC4" w:rsidRPr="00D97EC4">
        <w:rPr>
          <w:vertAlign w:val="superscript"/>
        </w:rPr>
        <w:t>®</w:t>
      </w:r>
      <w:r w:rsidR="00D64244">
        <w:t>)</w:t>
      </w:r>
      <w:r w:rsidR="00DF3B60">
        <w:t xml:space="preserve">, hydrocodone </w:t>
      </w:r>
      <w:r w:rsidR="00D64244">
        <w:t>(e.g., Vicodin</w:t>
      </w:r>
      <w:r w:rsidR="00D97EC4" w:rsidRPr="00D97EC4">
        <w:rPr>
          <w:vertAlign w:val="superscript"/>
        </w:rPr>
        <w:t>®</w:t>
      </w:r>
      <w:r w:rsidR="00D64244">
        <w:t xml:space="preserve">) </w:t>
      </w:r>
      <w:r w:rsidR="00DF3B60">
        <w:t>and morphine</w:t>
      </w:r>
      <w:r w:rsidR="00D64244">
        <w:t xml:space="preserve"> (e.g., Kadian</w:t>
      </w:r>
      <w:r w:rsidR="00D97EC4" w:rsidRPr="00D97EC4">
        <w:rPr>
          <w:vertAlign w:val="superscript"/>
        </w:rPr>
        <w:t>®</w:t>
      </w:r>
      <w:r w:rsidR="00D64244">
        <w:t>, Avinza</w:t>
      </w:r>
      <w:r w:rsidR="00D97EC4" w:rsidRPr="00D97EC4">
        <w:rPr>
          <w:vertAlign w:val="superscript"/>
        </w:rPr>
        <w:t>®</w:t>
      </w:r>
      <w:r w:rsidR="0022245C">
        <w:t>, MS Contin</w:t>
      </w:r>
      <w:r w:rsidR="0022245C" w:rsidRPr="00D97EC4">
        <w:rPr>
          <w:vertAlign w:val="superscript"/>
        </w:rPr>
        <w:t>®</w:t>
      </w:r>
      <w:r w:rsidR="00D64244">
        <w:t>)</w:t>
      </w:r>
      <w:r w:rsidR="00DF3B60">
        <w:t>, among others, and have both benefits as well as potentially serious risks</w:t>
      </w:r>
      <w:r w:rsidR="0020167D">
        <w:t>.</w:t>
      </w:r>
      <w:r w:rsidR="00DF3B60">
        <w:rPr>
          <w:rStyle w:val="EndnoteReference"/>
        </w:rPr>
        <w:endnoteReference w:id="3"/>
      </w:r>
      <w:r w:rsidR="0059332B" w:rsidRPr="0059332B">
        <w:rPr>
          <w:vertAlign w:val="superscript"/>
        </w:rPr>
        <w:t>,</w:t>
      </w:r>
      <w:r w:rsidR="00D64244">
        <w:rPr>
          <w:rStyle w:val="EndnoteReference"/>
        </w:rPr>
        <w:endnoteReference w:id="4"/>
      </w:r>
      <w:r w:rsidR="00DF3B60">
        <w:t xml:space="preserve">  </w:t>
      </w:r>
      <w:r>
        <w:t>Prescription o</w:t>
      </w:r>
      <w:r w:rsidR="00DF3B60">
        <w:t xml:space="preserve">pioids can help to manage </w:t>
      </w:r>
      <w:r w:rsidR="00A60C00">
        <w:t xml:space="preserve">moderate to severe </w:t>
      </w:r>
      <w:r w:rsidR="00DF3B60">
        <w:t>pain when properly prescribed and used.</w:t>
      </w:r>
      <w:r w:rsidR="00DF3B60">
        <w:rPr>
          <w:rStyle w:val="EndnoteReference"/>
        </w:rPr>
        <w:endnoteReference w:id="5"/>
      </w:r>
      <w:r w:rsidR="00104A9F" w:rsidRPr="0022245C">
        <w:rPr>
          <w:vertAlign w:val="superscript"/>
        </w:rPr>
        <w:t>,</w:t>
      </w:r>
      <w:r w:rsidR="00104A9F">
        <w:rPr>
          <w:rStyle w:val="EndnoteReference"/>
        </w:rPr>
        <w:endnoteReference w:id="6"/>
      </w:r>
      <w:r w:rsidR="00DF3B60">
        <w:t xml:space="preserve">  </w:t>
      </w:r>
      <w:r w:rsidR="0059332B">
        <w:t>They reduce the intensity of pain signals reaching the brain and affect the brain areas controlling emotion, diminishing the effects of a painful stimulus.</w:t>
      </w:r>
      <w:r w:rsidR="0059332B">
        <w:rPr>
          <w:rStyle w:val="EndnoteReference"/>
        </w:rPr>
        <w:endnoteReference w:id="7"/>
      </w:r>
      <w:r w:rsidR="0059332B">
        <w:t xml:space="preserve">  </w:t>
      </w:r>
      <w:r w:rsidR="00DF3B60">
        <w:t xml:space="preserve">When opioids are misused or abused, they can cause serious harm, including </w:t>
      </w:r>
      <w:r w:rsidR="005328CF">
        <w:t>opioid use disorder,</w:t>
      </w:r>
      <w:r w:rsidR="007B637A">
        <w:rPr>
          <w:rStyle w:val="EndnoteReference"/>
        </w:rPr>
        <w:endnoteReference w:id="8"/>
      </w:r>
      <w:r w:rsidR="00DF3B60">
        <w:t xml:space="preserve"> overdose, and death.</w:t>
      </w:r>
      <w:r w:rsidR="00A60C00">
        <w:rPr>
          <w:rStyle w:val="EndnoteReference"/>
        </w:rPr>
        <w:endnoteReference w:id="9"/>
      </w:r>
      <w:r w:rsidR="007B637A" w:rsidRPr="00BD2D98">
        <w:rPr>
          <w:vertAlign w:val="superscript"/>
        </w:rPr>
        <w:t>,</w:t>
      </w:r>
      <w:r w:rsidR="007B637A">
        <w:rPr>
          <w:rStyle w:val="EndnoteReference"/>
        </w:rPr>
        <w:endnoteReference w:id="10"/>
      </w:r>
      <w:r w:rsidR="00907555">
        <w:t xml:space="preserve"> </w:t>
      </w:r>
    </w:p>
    <w:p w:rsidR="00BF6EEA" w:rsidRPr="00BF6EEA" w:rsidRDefault="00DC5AB8" w:rsidP="00BF6EEA">
      <w:pPr>
        <w:rPr>
          <w:rFonts w:eastAsia="Times New Roman"/>
        </w:rPr>
      </w:pPr>
      <w:r>
        <w:t xml:space="preserve">The </w:t>
      </w:r>
      <w:r w:rsidR="0055171F">
        <w:t>C</w:t>
      </w:r>
      <w:r w:rsidR="00F659B5">
        <w:t>enters for Disease Control and Prevention (C</w:t>
      </w:r>
      <w:r w:rsidR="0055171F">
        <w:t>DC</w:t>
      </w:r>
      <w:r w:rsidR="00F659B5">
        <w:t>)</w:t>
      </w:r>
      <w:r w:rsidR="0055171F">
        <w:t xml:space="preserve"> refers to the</w:t>
      </w:r>
      <w:r w:rsidR="00A621DB">
        <w:t xml:space="preserve"> rising</w:t>
      </w:r>
      <w:r w:rsidR="0055171F">
        <w:t xml:space="preserve"> number of deaths by prescription overdose as an epidemic.</w:t>
      </w:r>
      <w:r w:rsidR="0055171F">
        <w:rPr>
          <w:rStyle w:val="EndnoteReference"/>
        </w:rPr>
        <w:endnoteReference w:id="11"/>
      </w:r>
      <w:r>
        <w:t xml:space="preserve"> </w:t>
      </w:r>
      <w:r w:rsidR="0094328F">
        <w:t xml:space="preserve"> </w:t>
      </w:r>
      <w:r>
        <w:t xml:space="preserve">Since 1999, deaths </w:t>
      </w:r>
      <w:r w:rsidR="00CD3BE5">
        <w:t>involving</w:t>
      </w:r>
      <w:r>
        <w:t xml:space="preserve"> opioids </w:t>
      </w:r>
      <w:r w:rsidR="00CD3BE5">
        <w:t xml:space="preserve">(including prescription opioid pain medications and heroin) </w:t>
      </w:r>
      <w:r w:rsidR="0055171F">
        <w:t xml:space="preserve">in the United States </w:t>
      </w:r>
      <w:r>
        <w:t xml:space="preserve">have quadrupled, and during </w:t>
      </w:r>
      <w:r>
        <w:lastRenderedPageBreak/>
        <w:t xml:space="preserve">the same time period, the amount of prescription opioids </w:t>
      </w:r>
      <w:r w:rsidR="00BF6EEA" w:rsidRPr="00BF6EEA">
        <w:rPr>
          <w:rFonts w:eastAsia="Times New Roman"/>
        </w:rPr>
        <w:t>sold in the United States nearly quadrupled.</w:t>
      </w:r>
      <w:r w:rsidR="00BF6EEA" w:rsidRPr="00BF6EEA">
        <w:rPr>
          <w:rFonts w:eastAsia="Times New Roman"/>
          <w:vertAlign w:val="superscript"/>
        </w:rPr>
        <w:endnoteReference w:id="12"/>
      </w:r>
      <w:r w:rsidR="00BF6EEA">
        <w:rPr>
          <w:rFonts w:eastAsia="Times New Roman"/>
        </w:rPr>
        <w:t xml:space="preserve">  At least</w:t>
      </w:r>
      <w:r w:rsidR="00BF6EEA" w:rsidRPr="00BF6EEA">
        <w:rPr>
          <w:rFonts w:eastAsia="Times New Roman"/>
        </w:rPr>
        <w:t xml:space="preserve"> half of all opioid deaths involve a prescription opioid.</w:t>
      </w:r>
      <w:r w:rsidR="00BF6EEA" w:rsidRPr="00BF6EEA">
        <w:rPr>
          <w:rFonts w:eastAsia="Times New Roman"/>
          <w:vertAlign w:val="superscript"/>
        </w:rPr>
        <w:endnoteReference w:id="13"/>
      </w:r>
      <w:r w:rsidR="00CD3BE5">
        <w:rPr>
          <w:rFonts w:eastAsia="Times New Roman"/>
        </w:rPr>
        <w:t xml:space="preserve">  </w:t>
      </w:r>
      <w:r w:rsidR="00BF6EEA" w:rsidRPr="00BF6EEA">
        <w:rPr>
          <w:rFonts w:eastAsia="Times New Roman"/>
        </w:rPr>
        <w:t xml:space="preserve">In response to these statistics, the federal and state governments have launched numerous initiatives, and abuse deterrent opioid formulations have been developed.  </w:t>
      </w:r>
    </w:p>
    <w:p w:rsidR="004C2A77" w:rsidRDefault="00B14F73" w:rsidP="004C2A77">
      <w:pPr>
        <w:pStyle w:val="Subhead2"/>
      </w:pPr>
      <w:r>
        <w:t>Provisions of the law</w:t>
      </w:r>
      <w:r w:rsidR="0098721A">
        <w:t xml:space="preserve"> pertaining to </w:t>
      </w:r>
      <w:r w:rsidR="00E43B95">
        <w:t>abuse-deterrent</w:t>
      </w:r>
      <w:r w:rsidR="0098721A">
        <w:t xml:space="preserve"> opioids</w:t>
      </w:r>
    </w:p>
    <w:p w:rsidR="00B14F73" w:rsidRDefault="00B14F73" w:rsidP="005E43BA">
      <w:pPr>
        <w:pStyle w:val="Toplist"/>
      </w:pPr>
      <w:r>
        <w:t xml:space="preserve">Prior to the enactment of Chapter 258, Massachusetts law required pharmacists to dispense a less expensive, reasonably available, interchangeable drug product for all prescriptions as allowed by the most current formulary or supplement thereof, except in cases where the practitioner indicated “no substitution.”  Chapter 258 of the Acts of 2014, amends this requirement in the case of certain prescriptions </w:t>
      </w:r>
      <w:r w:rsidR="00F77928">
        <w:t xml:space="preserve">with a heightened level of public health risk (HPHR) due to the drugs’ potential for abuse and misuse </w:t>
      </w:r>
      <w:r>
        <w:t xml:space="preserve">and provides </w:t>
      </w:r>
      <w:r w:rsidR="005E43BA">
        <w:t>that</w:t>
      </w:r>
      <w:r w:rsidR="00A621DB">
        <w:t>,</w:t>
      </w:r>
      <w:r w:rsidR="005E43BA">
        <w:t xml:space="preserve"> </w:t>
      </w:r>
      <w:r w:rsidR="00A621DB">
        <w:t>except in cases where the prescrib</w:t>
      </w:r>
      <w:r>
        <w:t>er has indicated “no substitution</w:t>
      </w:r>
      <w:r w:rsidR="00A621DB">
        <w:t>,</w:t>
      </w:r>
      <w:r>
        <w:t xml:space="preserve">” the pharmacist shall dispense </w:t>
      </w:r>
      <w:r w:rsidR="0085412A">
        <w:t>a chemically</w:t>
      </w:r>
      <w:r w:rsidR="0052087A">
        <w:t>-</w:t>
      </w:r>
      <w:r w:rsidR="0085412A">
        <w:t>equivalent</w:t>
      </w:r>
      <w:r>
        <w:t xml:space="preserve"> </w:t>
      </w:r>
      <w:r w:rsidR="00E43B95">
        <w:t>abuse-deterrent</w:t>
      </w:r>
      <w:r>
        <w:t xml:space="preserve"> product if one exists</w:t>
      </w:r>
      <w:r w:rsidR="00A621DB">
        <w:t xml:space="preserve"> on the Commission’s formulary of </w:t>
      </w:r>
      <w:r w:rsidR="0085412A">
        <w:t>chemically</w:t>
      </w:r>
      <w:r w:rsidR="0052087A">
        <w:t>-</w:t>
      </w:r>
      <w:r w:rsidR="0085412A">
        <w:t>equivalent substitutions</w:t>
      </w:r>
      <w:r>
        <w:t>; or if none exists, a less expensive, reasonably available, interchangeable drug</w:t>
      </w:r>
      <w:r w:rsidR="00A621DB">
        <w:t xml:space="preserve"> product as allowed by the current formulary</w:t>
      </w:r>
      <w:r>
        <w:t>.</w:t>
      </w:r>
    </w:p>
    <w:p w:rsidR="00B14F73" w:rsidRPr="009F5F74" w:rsidRDefault="00A621DB" w:rsidP="005E43BA">
      <w:r>
        <w:t xml:space="preserve">Other sections of Chapter 258 direct carriers to </w:t>
      </w:r>
      <w:r w:rsidR="005E43BA">
        <w:t>c</w:t>
      </w:r>
      <w:r>
        <w:t xml:space="preserve">over </w:t>
      </w:r>
      <w:r w:rsidR="000B42DC">
        <w:t>ADOs</w:t>
      </w:r>
      <w:r w:rsidR="00B14F73">
        <w:t xml:space="preserve"> l</w:t>
      </w:r>
      <w:r w:rsidR="0098721A">
        <w:t xml:space="preserve">isted on the formulary developed by the commission </w:t>
      </w:r>
      <w:r w:rsidR="00B14F73">
        <w:t xml:space="preserve">on a basis not less favorable than </w:t>
      </w:r>
      <w:r>
        <w:t xml:space="preserve">that for </w:t>
      </w:r>
      <w:r w:rsidR="00B14F73">
        <w:t>non-</w:t>
      </w:r>
      <w:r w:rsidR="00E43B95">
        <w:t>abuse-deterrent</w:t>
      </w:r>
      <w:r w:rsidR="0098721A">
        <w:t xml:space="preserve"> opioid drug products.</w:t>
      </w:r>
    </w:p>
    <w:p w:rsidR="00ED0C40" w:rsidRDefault="00ED0C40" w:rsidP="00ED0C40">
      <w:pPr>
        <w:pStyle w:val="Subhead2"/>
      </w:pPr>
      <w:r>
        <w:t>Analysis</w:t>
      </w:r>
    </w:p>
    <w:p w:rsidR="009E4224" w:rsidRDefault="009E4224" w:rsidP="009E4224">
      <w:pPr>
        <w:pStyle w:val="Toplist"/>
      </w:pPr>
      <w:r>
        <w:t>Compass estimated the impact of the Chapter 258 drug formulary substitution requirement by analyzing:</w:t>
      </w:r>
    </w:p>
    <w:p w:rsidR="009E4224" w:rsidRDefault="009E4224" w:rsidP="009E4224">
      <w:pPr>
        <w:pStyle w:val="Bullet1"/>
        <w:spacing w:line="276" w:lineRule="auto"/>
      </w:pPr>
      <w:r>
        <w:t xml:space="preserve">The utilization of each relevant </w:t>
      </w:r>
      <w:r w:rsidR="00914965">
        <w:t xml:space="preserve">drug in the draft </w:t>
      </w:r>
      <w:r>
        <w:t>formulary in the absence of the substitution requirement</w:t>
      </w:r>
    </w:p>
    <w:p w:rsidR="00BC1FD3" w:rsidRDefault="00BC1FD3" w:rsidP="00BC1FD3">
      <w:pPr>
        <w:pStyle w:val="Bullet1"/>
        <w:spacing w:line="276" w:lineRule="auto"/>
      </w:pPr>
      <w:r>
        <w:t>The utilization of each relevant formulary drug accounting for the substitution requirement</w:t>
      </w:r>
    </w:p>
    <w:p w:rsidR="009E4224" w:rsidRDefault="009E4224" w:rsidP="00A621DB">
      <w:pPr>
        <w:pStyle w:val="Bullet1last"/>
      </w:pPr>
      <w:r>
        <w:t>The cost of the relevant formulary drugs</w:t>
      </w:r>
    </w:p>
    <w:p w:rsidR="009E4224" w:rsidRDefault="009E4224" w:rsidP="009E4224">
      <w:r>
        <w:t>Compass then aggregated these components and projected</w:t>
      </w:r>
      <w:r w:rsidR="00305A5D">
        <w:t xml:space="preserve"> them forward over the next two years (2017 to 2018</w:t>
      </w:r>
      <w:r>
        <w:t xml:space="preserve">) for </w:t>
      </w:r>
      <w:r w:rsidRPr="0066290B">
        <w:t>the</w:t>
      </w:r>
      <w:r>
        <w:t xml:space="preserve"> </w:t>
      </w:r>
      <w:r w:rsidRPr="0066290B">
        <w:t>fully-insured Massachusetts population</w:t>
      </w:r>
      <w:r>
        <w:t xml:space="preserve"> under age 65, forecasting medical inflation and adding insurer</w:t>
      </w:r>
      <w:r w:rsidRPr="0066290B">
        <w:t xml:space="preserve"> retention (administrative</w:t>
      </w:r>
      <w:r>
        <w:t xml:space="preserve"> cost and profit) to arrive at an estimate of the bill’s effect on premiums.  </w:t>
      </w:r>
    </w:p>
    <w:p w:rsidR="009E4224" w:rsidRDefault="009E4224" w:rsidP="009E4224">
      <w:r>
        <w:t>This analysis relies on estimates of the percent of utilization of the HPHR opioids that would be replaced by ADOs.  This uncertainty is addressed by modeling a range of assumptions within reasonable judgment-based limits, and producing a range of incremental impact estimates based on varying these parameters.</w:t>
      </w:r>
    </w:p>
    <w:p w:rsidR="00ED0C40" w:rsidRPr="0041218D" w:rsidRDefault="00ED0C40" w:rsidP="00ED0C40">
      <w:pPr>
        <w:pStyle w:val="Subhead2"/>
      </w:pPr>
      <w:r w:rsidRPr="0041218D">
        <w:t>Summary results</w:t>
      </w:r>
    </w:p>
    <w:p w:rsidR="00202F91" w:rsidRDefault="00DC36A8" w:rsidP="00DC36A8">
      <w:r>
        <w:t xml:space="preserve">This analysis estimates that the drug formulary substitution requirement would increase fully-insured premiums by as much as 0.05 percent on average over the next two years; a more likely </w:t>
      </w:r>
      <w:r>
        <w:lastRenderedPageBreak/>
        <w:t>increase is in the range of 0.04 percent, equivalent to an average annual expenditure of $</w:t>
      </w:r>
      <w:r w:rsidR="00642B9B">
        <w:t>4.1</w:t>
      </w:r>
      <w:r>
        <w:t xml:space="preserve"> million over the period 2017 to 2018.</w:t>
      </w:r>
      <w:r w:rsidR="00414596">
        <w:t xml:space="preserve"> </w:t>
      </w:r>
      <w:r w:rsidR="00DB4AA8">
        <w:t xml:space="preserve"> </w:t>
      </w:r>
      <w:r w:rsidR="000F5431">
        <w:t xml:space="preserve">While the utilization of opioids may decrease in response to numerous state and federal initiatives, the cost of the mandate is driven by the comparatively higher cost of the brand name ADOs </w:t>
      </w:r>
      <w:r w:rsidR="001603C6">
        <w:t>substituted for</w:t>
      </w:r>
      <w:r w:rsidR="00237A06">
        <w:t xml:space="preserve"> generic HPHR</w:t>
      </w:r>
      <w:r w:rsidR="00572D98">
        <w:t xml:space="preserve"> opioid</w:t>
      </w:r>
      <w:r w:rsidR="00237A06">
        <w:t>s</w:t>
      </w:r>
      <w:r w:rsidR="00305A5D">
        <w:t xml:space="preserve">, which </w:t>
      </w:r>
      <w:r>
        <w:t xml:space="preserve">currently </w:t>
      </w:r>
      <w:r w:rsidR="00305A5D">
        <w:t>comprise the vast majority of utilization for all of the relevant formulary drugs</w:t>
      </w:r>
      <w:r w:rsidR="00237A06">
        <w:t>.</w:t>
      </w:r>
    </w:p>
    <w:p w:rsidR="00642B9B" w:rsidRPr="00865D86" w:rsidRDefault="00DC36A8" w:rsidP="00DC36A8">
      <w:pPr>
        <w:pStyle w:val="TableTitle"/>
      </w:pPr>
      <w:r w:rsidRPr="00865D86">
        <w:t xml:space="preserve">Table </w:t>
      </w:r>
      <w:r>
        <w:t>ES-1</w:t>
      </w:r>
      <w:r w:rsidRPr="00865D86">
        <w:t>: Summary Results</w:t>
      </w:r>
    </w:p>
    <w:tbl>
      <w:tblPr>
        <w:tblW w:w="6799" w:type="dxa"/>
        <w:jc w:val="center"/>
        <w:tblLayout w:type="fixed"/>
        <w:tblCellMar>
          <w:top w:w="14" w:type="dxa"/>
          <w:left w:w="58" w:type="dxa"/>
          <w:bottom w:w="14" w:type="dxa"/>
          <w:right w:w="58" w:type="dxa"/>
        </w:tblCellMar>
        <w:tblLook w:val="04A0"/>
      </w:tblPr>
      <w:tblGrid>
        <w:gridCol w:w="3050"/>
        <w:gridCol w:w="853"/>
        <w:gridCol w:w="854"/>
        <w:gridCol w:w="1056"/>
        <w:gridCol w:w="986"/>
      </w:tblGrid>
      <w:tr w:rsidR="00FE3202" w:rsidRPr="00324AAC" w:rsidTr="00C87371">
        <w:trPr>
          <w:cantSplit/>
          <w:jc w:val="center"/>
        </w:trPr>
        <w:tc>
          <w:tcPr>
            <w:tcW w:w="3050" w:type="dxa"/>
            <w:tcBorders>
              <w:top w:val="single" w:sz="4" w:space="0" w:color="BFBFBF"/>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jc w:val="right"/>
              <w:rPr>
                <w:rFonts w:asciiTheme="minorHAnsi" w:hAnsiTheme="minorHAnsi"/>
                <w:sz w:val="18"/>
                <w:szCs w:val="18"/>
              </w:rPr>
            </w:pPr>
          </w:p>
        </w:tc>
        <w:tc>
          <w:tcPr>
            <w:tcW w:w="853" w:type="dxa"/>
            <w:tcBorders>
              <w:top w:val="single" w:sz="4" w:space="0" w:color="BFBFBF"/>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jc w:val="right"/>
              <w:rPr>
                <w:rFonts w:asciiTheme="minorHAnsi" w:hAnsiTheme="minorHAnsi"/>
                <w:b/>
                <w:sz w:val="18"/>
                <w:szCs w:val="18"/>
              </w:rPr>
            </w:pPr>
            <w:r w:rsidRPr="00324AAC">
              <w:rPr>
                <w:rFonts w:asciiTheme="minorHAnsi" w:hAnsiTheme="minorHAnsi"/>
                <w:b/>
                <w:sz w:val="18"/>
                <w:szCs w:val="18"/>
              </w:rPr>
              <w:t>2017</w:t>
            </w:r>
          </w:p>
        </w:tc>
        <w:tc>
          <w:tcPr>
            <w:tcW w:w="854" w:type="dxa"/>
            <w:tcBorders>
              <w:top w:val="single" w:sz="4" w:space="0" w:color="BFBFBF"/>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jc w:val="right"/>
              <w:rPr>
                <w:rFonts w:asciiTheme="minorHAnsi" w:hAnsiTheme="minorHAnsi"/>
                <w:b/>
                <w:sz w:val="18"/>
                <w:szCs w:val="18"/>
              </w:rPr>
            </w:pPr>
            <w:r w:rsidRPr="00324AAC">
              <w:rPr>
                <w:rFonts w:asciiTheme="minorHAnsi" w:hAnsiTheme="minorHAnsi"/>
                <w:b/>
                <w:sz w:val="18"/>
                <w:szCs w:val="18"/>
              </w:rPr>
              <w:t>2018</w:t>
            </w:r>
          </w:p>
        </w:tc>
        <w:tc>
          <w:tcPr>
            <w:tcW w:w="1056" w:type="dxa"/>
            <w:tcBorders>
              <w:top w:val="single" w:sz="4" w:space="0" w:color="BFBFBF"/>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jc w:val="right"/>
              <w:rPr>
                <w:rFonts w:asciiTheme="minorHAnsi" w:hAnsiTheme="minorHAnsi"/>
                <w:b/>
                <w:sz w:val="18"/>
                <w:szCs w:val="18"/>
              </w:rPr>
            </w:pPr>
            <w:r w:rsidRPr="00324AAC">
              <w:rPr>
                <w:rFonts w:asciiTheme="minorHAnsi" w:hAnsiTheme="minorHAnsi"/>
                <w:b/>
                <w:sz w:val="18"/>
                <w:szCs w:val="18"/>
              </w:rPr>
              <w:t>Average</w:t>
            </w:r>
          </w:p>
        </w:tc>
        <w:tc>
          <w:tcPr>
            <w:tcW w:w="986" w:type="dxa"/>
            <w:tcBorders>
              <w:top w:val="single" w:sz="4" w:space="0" w:color="BFBFBF"/>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jc w:val="right"/>
              <w:rPr>
                <w:rFonts w:asciiTheme="minorHAnsi" w:hAnsiTheme="minorHAnsi"/>
                <w:b/>
                <w:sz w:val="18"/>
                <w:szCs w:val="18"/>
              </w:rPr>
            </w:pPr>
            <w:r>
              <w:rPr>
                <w:rFonts w:asciiTheme="minorHAnsi" w:hAnsiTheme="minorHAnsi"/>
                <w:b/>
                <w:sz w:val="18"/>
                <w:szCs w:val="18"/>
              </w:rPr>
              <w:t>2</w:t>
            </w:r>
            <w:r w:rsidRPr="00324AAC">
              <w:rPr>
                <w:rFonts w:asciiTheme="minorHAnsi" w:hAnsiTheme="minorHAnsi"/>
                <w:b/>
                <w:sz w:val="18"/>
                <w:szCs w:val="18"/>
              </w:rPr>
              <w:t xml:space="preserve"> Yr Total</w:t>
            </w:r>
          </w:p>
        </w:tc>
      </w:tr>
      <w:tr w:rsidR="00FE3202" w:rsidRPr="00324AAC" w:rsidTr="00C87371">
        <w:trPr>
          <w:cantSplit/>
          <w:jc w:val="center"/>
        </w:trPr>
        <w:tc>
          <w:tcPr>
            <w:tcW w:w="3050" w:type="dxa"/>
            <w:tcBorders>
              <w:top w:val="single" w:sz="4" w:space="0" w:color="BFBFBF"/>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Members (000s)</w:t>
            </w:r>
          </w:p>
        </w:tc>
        <w:tc>
          <w:tcPr>
            <w:tcW w:w="853" w:type="dxa"/>
            <w:tcBorders>
              <w:top w:val="single" w:sz="4" w:space="0" w:color="BFBFBF"/>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rPr>
            </w:pPr>
            <w:r w:rsidRPr="008454AB">
              <w:rPr>
                <w:rFonts w:asciiTheme="minorHAnsi" w:hAnsiTheme="minorHAnsi"/>
                <w:sz w:val="18"/>
              </w:rPr>
              <w:t>2,159</w:t>
            </w:r>
          </w:p>
        </w:tc>
        <w:tc>
          <w:tcPr>
            <w:tcW w:w="854" w:type="dxa"/>
            <w:tcBorders>
              <w:top w:val="single" w:sz="4" w:space="0" w:color="BFBFBF"/>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rPr>
            </w:pPr>
            <w:r w:rsidRPr="008454AB">
              <w:rPr>
                <w:rFonts w:asciiTheme="minorHAnsi" w:hAnsiTheme="minorHAnsi"/>
                <w:sz w:val="18"/>
              </w:rPr>
              <w:t>2,156</w:t>
            </w:r>
          </w:p>
        </w:tc>
        <w:tc>
          <w:tcPr>
            <w:tcW w:w="1056" w:type="dxa"/>
            <w:tcBorders>
              <w:top w:val="single" w:sz="4" w:space="0" w:color="BFBFBF"/>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rPr>
            </w:pPr>
          </w:p>
        </w:tc>
        <w:tc>
          <w:tcPr>
            <w:tcW w:w="986" w:type="dxa"/>
            <w:tcBorders>
              <w:top w:val="single" w:sz="4" w:space="0" w:color="BFBFBF"/>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rPr>
            </w:pPr>
          </w:p>
        </w:tc>
      </w:tr>
      <w:tr w:rsidR="00FE3202" w:rsidRPr="00324AAC" w:rsidTr="00C87371">
        <w:trPr>
          <w:cantSplit/>
          <w:jc w:val="center"/>
        </w:trPr>
        <w:tc>
          <w:tcPr>
            <w:tcW w:w="3050" w:type="dxa"/>
            <w:tcBorders>
              <w:top w:val="single" w:sz="4" w:space="0" w:color="BFBFBF"/>
              <w:left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Medical Expense Low ($000s)</w:t>
            </w:r>
          </w:p>
        </w:tc>
        <w:tc>
          <w:tcPr>
            <w:tcW w:w="853"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$2,032 </w:t>
            </w:r>
          </w:p>
        </w:tc>
        <w:tc>
          <w:tcPr>
            <w:tcW w:w="854"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$2,982 </w:t>
            </w:r>
          </w:p>
        </w:tc>
        <w:tc>
          <w:tcPr>
            <w:tcW w:w="1056"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$2,507 </w:t>
            </w:r>
          </w:p>
        </w:tc>
        <w:tc>
          <w:tcPr>
            <w:tcW w:w="986"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$5,014 </w:t>
            </w:r>
          </w:p>
        </w:tc>
      </w:tr>
      <w:tr w:rsidR="00FE3202" w:rsidRPr="00324AAC" w:rsidTr="00C87371">
        <w:trPr>
          <w:cantSplit/>
          <w:jc w:val="center"/>
        </w:trPr>
        <w:tc>
          <w:tcPr>
            <w:tcW w:w="3050" w:type="dxa"/>
            <w:tcBorders>
              <w:left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Medical Expense Mid ($000s)</w:t>
            </w:r>
          </w:p>
        </w:tc>
        <w:tc>
          <w:tcPr>
            <w:tcW w:w="853"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$2,988 </w:t>
            </w:r>
          </w:p>
        </w:tc>
        <w:tc>
          <w:tcPr>
            <w:tcW w:w="854"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$4,383 </w:t>
            </w:r>
          </w:p>
        </w:tc>
        <w:tc>
          <w:tcPr>
            <w:tcW w:w="1056"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$3,685 </w:t>
            </w:r>
          </w:p>
        </w:tc>
        <w:tc>
          <w:tcPr>
            <w:tcW w:w="986"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$7,371 </w:t>
            </w:r>
          </w:p>
        </w:tc>
      </w:tr>
      <w:tr w:rsidR="00FE3202" w:rsidRPr="00324AAC" w:rsidTr="00C87371">
        <w:trPr>
          <w:cantSplit/>
          <w:jc w:val="center"/>
        </w:trPr>
        <w:tc>
          <w:tcPr>
            <w:tcW w:w="3050" w:type="dxa"/>
            <w:tcBorders>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Medical Expense High ($000s)</w:t>
            </w:r>
          </w:p>
        </w:tc>
        <w:tc>
          <w:tcPr>
            <w:tcW w:w="853"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$4,024 </w:t>
            </w:r>
          </w:p>
        </w:tc>
        <w:tc>
          <w:tcPr>
            <w:tcW w:w="854"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$5,904 </w:t>
            </w:r>
          </w:p>
        </w:tc>
        <w:tc>
          <w:tcPr>
            <w:tcW w:w="1056"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$4,964 </w:t>
            </w:r>
          </w:p>
        </w:tc>
        <w:tc>
          <w:tcPr>
            <w:tcW w:w="986"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$9,928 </w:t>
            </w:r>
          </w:p>
        </w:tc>
      </w:tr>
      <w:tr w:rsidR="00FE3202" w:rsidRPr="00324AAC" w:rsidTr="00C87371">
        <w:trPr>
          <w:cantSplit/>
          <w:jc w:val="center"/>
        </w:trPr>
        <w:tc>
          <w:tcPr>
            <w:tcW w:w="3050" w:type="dxa"/>
            <w:tcBorders>
              <w:top w:val="single" w:sz="4" w:space="0" w:color="BFBFBF"/>
              <w:left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Low ($000s)</w:t>
            </w:r>
          </w:p>
        </w:tc>
        <w:tc>
          <w:tcPr>
            <w:tcW w:w="853"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$2,284 </w:t>
            </w:r>
          </w:p>
        </w:tc>
        <w:tc>
          <w:tcPr>
            <w:tcW w:w="854"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$3,350 </w:t>
            </w:r>
          </w:p>
        </w:tc>
        <w:tc>
          <w:tcPr>
            <w:tcW w:w="1056"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$2,817 </w:t>
            </w:r>
          </w:p>
        </w:tc>
        <w:tc>
          <w:tcPr>
            <w:tcW w:w="986"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$5,634 </w:t>
            </w:r>
          </w:p>
        </w:tc>
      </w:tr>
      <w:tr w:rsidR="00FE3202" w:rsidRPr="00324AAC" w:rsidTr="00C87371">
        <w:trPr>
          <w:cantSplit/>
          <w:jc w:val="center"/>
        </w:trPr>
        <w:tc>
          <w:tcPr>
            <w:tcW w:w="3050" w:type="dxa"/>
            <w:tcBorders>
              <w:left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Mid ($000s)</w:t>
            </w:r>
          </w:p>
        </w:tc>
        <w:tc>
          <w:tcPr>
            <w:tcW w:w="853"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$3,357 </w:t>
            </w:r>
          </w:p>
        </w:tc>
        <w:tc>
          <w:tcPr>
            <w:tcW w:w="854"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$4,925 </w:t>
            </w:r>
          </w:p>
        </w:tc>
        <w:tc>
          <w:tcPr>
            <w:tcW w:w="1056"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$4,141 </w:t>
            </w:r>
          </w:p>
        </w:tc>
        <w:tc>
          <w:tcPr>
            <w:tcW w:w="986"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$8,282 </w:t>
            </w:r>
          </w:p>
        </w:tc>
      </w:tr>
      <w:tr w:rsidR="00FE3202" w:rsidRPr="00324AAC" w:rsidTr="00C87371">
        <w:trPr>
          <w:cantSplit/>
          <w:jc w:val="center"/>
        </w:trPr>
        <w:tc>
          <w:tcPr>
            <w:tcW w:w="3050" w:type="dxa"/>
            <w:tcBorders>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High ($000s)</w:t>
            </w:r>
          </w:p>
        </w:tc>
        <w:tc>
          <w:tcPr>
            <w:tcW w:w="853"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$4,521 </w:t>
            </w:r>
          </w:p>
        </w:tc>
        <w:tc>
          <w:tcPr>
            <w:tcW w:w="854"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$6,634 </w:t>
            </w:r>
          </w:p>
        </w:tc>
        <w:tc>
          <w:tcPr>
            <w:tcW w:w="1056"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$5,578 </w:t>
            </w:r>
          </w:p>
        </w:tc>
        <w:tc>
          <w:tcPr>
            <w:tcW w:w="986"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$11,155 </w:t>
            </w:r>
          </w:p>
        </w:tc>
      </w:tr>
      <w:tr w:rsidR="00FE3202" w:rsidRPr="00324AAC" w:rsidTr="00C87371">
        <w:trPr>
          <w:cantSplit/>
          <w:jc w:val="center"/>
        </w:trPr>
        <w:tc>
          <w:tcPr>
            <w:tcW w:w="3050" w:type="dxa"/>
            <w:tcBorders>
              <w:top w:val="single" w:sz="4" w:space="0" w:color="BFBFBF"/>
              <w:left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PMPM Low</w:t>
            </w:r>
          </w:p>
        </w:tc>
        <w:tc>
          <w:tcPr>
            <w:tcW w:w="853"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$0.12 </w:t>
            </w:r>
          </w:p>
        </w:tc>
        <w:tc>
          <w:tcPr>
            <w:tcW w:w="854"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$0.13 </w:t>
            </w:r>
          </w:p>
        </w:tc>
        <w:tc>
          <w:tcPr>
            <w:tcW w:w="1056"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$0.13 </w:t>
            </w:r>
          </w:p>
        </w:tc>
        <w:tc>
          <w:tcPr>
            <w:tcW w:w="986"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$0.13 </w:t>
            </w:r>
          </w:p>
        </w:tc>
      </w:tr>
      <w:tr w:rsidR="00FE3202" w:rsidRPr="00324AAC" w:rsidTr="00C87371">
        <w:trPr>
          <w:cantSplit/>
          <w:jc w:val="center"/>
        </w:trPr>
        <w:tc>
          <w:tcPr>
            <w:tcW w:w="3050" w:type="dxa"/>
            <w:tcBorders>
              <w:left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PMPM Mid</w:t>
            </w:r>
          </w:p>
        </w:tc>
        <w:tc>
          <w:tcPr>
            <w:tcW w:w="853"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$0.18 </w:t>
            </w:r>
          </w:p>
        </w:tc>
        <w:tc>
          <w:tcPr>
            <w:tcW w:w="854"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$0.19 </w:t>
            </w:r>
          </w:p>
        </w:tc>
        <w:tc>
          <w:tcPr>
            <w:tcW w:w="1056"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$0.19 </w:t>
            </w:r>
          </w:p>
        </w:tc>
        <w:tc>
          <w:tcPr>
            <w:tcW w:w="986"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$0.19 </w:t>
            </w:r>
          </w:p>
        </w:tc>
      </w:tr>
      <w:tr w:rsidR="00FE3202" w:rsidRPr="00324AAC" w:rsidTr="00C87371">
        <w:trPr>
          <w:cantSplit/>
          <w:jc w:val="center"/>
        </w:trPr>
        <w:tc>
          <w:tcPr>
            <w:tcW w:w="3050" w:type="dxa"/>
            <w:tcBorders>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PMPM High</w:t>
            </w:r>
          </w:p>
        </w:tc>
        <w:tc>
          <w:tcPr>
            <w:tcW w:w="853"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$0.24 </w:t>
            </w:r>
          </w:p>
        </w:tc>
        <w:tc>
          <w:tcPr>
            <w:tcW w:w="854"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$0.26 </w:t>
            </w:r>
          </w:p>
        </w:tc>
        <w:tc>
          <w:tcPr>
            <w:tcW w:w="1056"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$0.25 </w:t>
            </w:r>
          </w:p>
        </w:tc>
        <w:tc>
          <w:tcPr>
            <w:tcW w:w="986"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$0.25 </w:t>
            </w:r>
          </w:p>
        </w:tc>
      </w:tr>
      <w:tr w:rsidR="00FE3202" w:rsidRPr="00324AAC" w:rsidTr="00C87371">
        <w:trPr>
          <w:cantSplit/>
          <w:jc w:val="center"/>
        </w:trPr>
        <w:tc>
          <w:tcPr>
            <w:tcW w:w="3050" w:type="dxa"/>
            <w:tcBorders>
              <w:top w:val="single" w:sz="4" w:space="0" w:color="BFBFBF"/>
              <w:left w:val="single" w:sz="4" w:space="0" w:color="BFBFBF"/>
              <w:bottom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Estimated Monthly Premium</w:t>
            </w:r>
          </w:p>
        </w:tc>
        <w:tc>
          <w:tcPr>
            <w:tcW w:w="853" w:type="dxa"/>
            <w:tcBorders>
              <w:top w:val="single" w:sz="4" w:space="0" w:color="BFBFBF"/>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$463 </w:t>
            </w:r>
          </w:p>
        </w:tc>
        <w:tc>
          <w:tcPr>
            <w:tcW w:w="854" w:type="dxa"/>
            <w:tcBorders>
              <w:top w:val="single" w:sz="4" w:space="0" w:color="BFBFBF"/>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$473 </w:t>
            </w:r>
          </w:p>
        </w:tc>
        <w:tc>
          <w:tcPr>
            <w:tcW w:w="1056" w:type="dxa"/>
            <w:tcBorders>
              <w:top w:val="single" w:sz="4" w:space="0" w:color="BFBFBF"/>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$468 </w:t>
            </w:r>
          </w:p>
        </w:tc>
        <w:tc>
          <w:tcPr>
            <w:tcW w:w="986" w:type="dxa"/>
            <w:tcBorders>
              <w:top w:val="single" w:sz="4" w:space="0" w:color="BFBFBF"/>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 xml:space="preserve">$468 </w:t>
            </w:r>
          </w:p>
        </w:tc>
      </w:tr>
      <w:tr w:rsidR="00FE3202" w:rsidRPr="00324AAC" w:rsidTr="00C87371">
        <w:trPr>
          <w:cantSplit/>
          <w:jc w:val="center"/>
        </w:trPr>
        <w:tc>
          <w:tcPr>
            <w:tcW w:w="3050" w:type="dxa"/>
            <w:tcBorders>
              <w:top w:val="single" w:sz="4" w:space="0" w:color="BFBFBF"/>
              <w:left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 Rise Low</w:t>
            </w:r>
          </w:p>
        </w:tc>
        <w:tc>
          <w:tcPr>
            <w:tcW w:w="853"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0.03%</w:t>
            </w:r>
          </w:p>
        </w:tc>
        <w:tc>
          <w:tcPr>
            <w:tcW w:w="854"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0.03%</w:t>
            </w:r>
          </w:p>
        </w:tc>
        <w:tc>
          <w:tcPr>
            <w:tcW w:w="1056"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0.03%</w:t>
            </w:r>
          </w:p>
        </w:tc>
        <w:tc>
          <w:tcPr>
            <w:tcW w:w="986" w:type="dxa"/>
            <w:tcBorders>
              <w:top w:val="single" w:sz="4" w:space="0" w:color="BFBFBF"/>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0.03%</w:t>
            </w:r>
          </w:p>
        </w:tc>
      </w:tr>
      <w:tr w:rsidR="00FE3202" w:rsidRPr="00324AAC" w:rsidTr="00C87371">
        <w:trPr>
          <w:cantSplit/>
          <w:jc w:val="center"/>
        </w:trPr>
        <w:tc>
          <w:tcPr>
            <w:tcW w:w="3050" w:type="dxa"/>
            <w:tcBorders>
              <w:left w:val="single" w:sz="4" w:space="0" w:color="BFBFBF"/>
              <w:right w:val="single" w:sz="4" w:space="0" w:color="BFBFBF"/>
            </w:tcBorders>
            <w:vAlign w:val="center"/>
          </w:tcPr>
          <w:p w:rsidR="00FE3202" w:rsidRPr="00324AAC" w:rsidRDefault="00FE3202" w:rsidP="00C87371">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 Rise Mid</w:t>
            </w:r>
          </w:p>
        </w:tc>
        <w:tc>
          <w:tcPr>
            <w:tcW w:w="853"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0.04%</w:t>
            </w:r>
          </w:p>
        </w:tc>
        <w:tc>
          <w:tcPr>
            <w:tcW w:w="854"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0.04%</w:t>
            </w:r>
          </w:p>
        </w:tc>
        <w:tc>
          <w:tcPr>
            <w:tcW w:w="1056"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0.04%</w:t>
            </w:r>
          </w:p>
        </w:tc>
        <w:tc>
          <w:tcPr>
            <w:tcW w:w="986" w:type="dxa"/>
            <w:tcBorders>
              <w:left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0.04%</w:t>
            </w:r>
          </w:p>
        </w:tc>
      </w:tr>
      <w:tr w:rsidR="00FE3202" w:rsidRPr="00324AAC" w:rsidTr="00C87371">
        <w:trPr>
          <w:cantSplit/>
          <w:jc w:val="center"/>
        </w:trPr>
        <w:tc>
          <w:tcPr>
            <w:tcW w:w="3050" w:type="dxa"/>
            <w:tcBorders>
              <w:left w:val="single" w:sz="4" w:space="0" w:color="BFBFBF"/>
              <w:bottom w:val="single" w:sz="4" w:space="0" w:color="BFBFBF"/>
              <w:right w:val="single" w:sz="4" w:space="0" w:color="BFBFBF"/>
            </w:tcBorders>
            <w:vAlign w:val="center"/>
          </w:tcPr>
          <w:p w:rsidR="00FE3202" w:rsidRPr="00324AAC" w:rsidRDefault="00FE3202" w:rsidP="00C87371">
            <w:pPr>
              <w:pStyle w:val="Toplist"/>
              <w:keepNext w:val="0"/>
              <w:spacing w:after="0" w:line="240" w:lineRule="auto"/>
              <w:rPr>
                <w:rFonts w:asciiTheme="minorHAnsi" w:hAnsiTheme="minorHAnsi"/>
                <w:sz w:val="18"/>
                <w:szCs w:val="18"/>
              </w:rPr>
            </w:pPr>
            <w:r w:rsidRPr="00324AAC">
              <w:rPr>
                <w:rFonts w:asciiTheme="minorHAnsi" w:hAnsiTheme="minorHAnsi" w:cs="Calibri"/>
                <w:color w:val="000000"/>
                <w:sz w:val="18"/>
                <w:szCs w:val="18"/>
              </w:rPr>
              <w:t>Premium % Rise High</w:t>
            </w:r>
          </w:p>
        </w:tc>
        <w:tc>
          <w:tcPr>
            <w:tcW w:w="853"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0.05%</w:t>
            </w:r>
          </w:p>
        </w:tc>
        <w:tc>
          <w:tcPr>
            <w:tcW w:w="854"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0.05%</w:t>
            </w:r>
          </w:p>
        </w:tc>
        <w:tc>
          <w:tcPr>
            <w:tcW w:w="1056"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0.05%</w:t>
            </w:r>
          </w:p>
        </w:tc>
        <w:tc>
          <w:tcPr>
            <w:tcW w:w="986" w:type="dxa"/>
            <w:tcBorders>
              <w:left w:val="single" w:sz="4" w:space="0" w:color="BFBFBF"/>
              <w:bottom w:val="single" w:sz="4" w:space="0" w:color="BFBFBF"/>
              <w:right w:val="single" w:sz="4" w:space="0" w:color="BFBFBF"/>
            </w:tcBorders>
            <w:vAlign w:val="center"/>
          </w:tcPr>
          <w:p w:rsidR="00FE3202" w:rsidRPr="008454AB" w:rsidRDefault="00FE3202" w:rsidP="00C87371">
            <w:pPr>
              <w:spacing w:after="0" w:line="240" w:lineRule="auto"/>
              <w:jc w:val="right"/>
              <w:rPr>
                <w:rFonts w:asciiTheme="minorHAnsi" w:hAnsiTheme="minorHAnsi"/>
                <w:sz w:val="18"/>
                <w:szCs w:val="18"/>
              </w:rPr>
            </w:pPr>
            <w:r w:rsidRPr="008454AB">
              <w:rPr>
                <w:rFonts w:asciiTheme="minorHAnsi" w:hAnsiTheme="minorHAnsi"/>
                <w:sz w:val="18"/>
                <w:szCs w:val="18"/>
              </w:rPr>
              <w:t>0.05%</w:t>
            </w:r>
          </w:p>
        </w:tc>
      </w:tr>
    </w:tbl>
    <w:p w:rsidR="00F623B3" w:rsidRDefault="00C6187E" w:rsidP="00F623B3">
      <w:pPr>
        <w:pStyle w:val="Subhead2"/>
      </w:pPr>
      <w:r>
        <w:br w:type="page"/>
      </w:r>
      <w:r w:rsidR="00F623B3">
        <w:lastRenderedPageBreak/>
        <w:t>Executive Summary Endnotes</w:t>
      </w:r>
    </w:p>
    <w:p w:rsidR="005253EC" w:rsidRDefault="005253EC" w:rsidP="00802687">
      <w:pPr>
        <w:spacing w:after="0" w:line="240" w:lineRule="auto"/>
        <w:jc w:val="center"/>
        <w:rPr>
          <w:rFonts w:ascii="Calibri" w:hAnsi="Calibri" w:cs="Calibri"/>
          <w:b/>
          <w:sz w:val="32"/>
          <w:szCs w:val="32"/>
        </w:rPr>
        <w:sectPr w:rsidR="005253EC" w:rsidSect="002B0F4D">
          <w:footerReference w:type="default" r:id="rId16"/>
          <w:footnotePr>
            <w:numFmt w:val="lowerRoman"/>
          </w:footnotePr>
          <w:endnotePr>
            <w:numFmt w:val="decimal"/>
            <w:numRestart w:val="eachSect"/>
          </w:endnotePr>
          <w:pgSz w:w="12240" w:h="15840"/>
          <w:pgMar w:top="1440" w:right="1440" w:bottom="1440" w:left="1440" w:header="720" w:footer="720" w:gutter="0"/>
          <w:pgNumType w:fmt="lowerRoman" w:start="1"/>
          <w:cols w:space="720"/>
          <w:docGrid w:linePitch="360"/>
        </w:sectPr>
      </w:pPr>
    </w:p>
    <w:p w:rsidR="00A312AD" w:rsidRDefault="00A312AD" w:rsidP="006756D8">
      <w:pPr>
        <w:spacing w:after="0" w:line="240" w:lineRule="auto"/>
        <w:jc w:val="center"/>
        <w:rPr>
          <w:rFonts w:ascii="Calibri" w:hAnsi="Calibri" w:cs="Calibri"/>
          <w:b/>
          <w:sz w:val="32"/>
          <w:szCs w:val="32"/>
        </w:rPr>
      </w:pPr>
      <w:bookmarkStart w:id="2" w:name="_Toc348967798"/>
      <w:bookmarkStart w:id="3" w:name="_Toc450936000"/>
      <w:r w:rsidRPr="00A312AD">
        <w:rPr>
          <w:rFonts w:ascii="Calibri" w:hAnsi="Calibri" w:cs="Calibri"/>
          <w:b/>
          <w:sz w:val="32"/>
          <w:szCs w:val="32"/>
        </w:rPr>
        <w:lastRenderedPageBreak/>
        <w:t>Actuarial Analysis of</w:t>
      </w:r>
      <w:r w:rsidR="006756D8">
        <w:rPr>
          <w:rFonts w:ascii="Calibri" w:hAnsi="Calibri" w:cs="Calibri"/>
          <w:b/>
          <w:sz w:val="32"/>
          <w:szCs w:val="32"/>
        </w:rPr>
        <w:t xml:space="preserve"> the </w:t>
      </w:r>
      <w:r w:rsidRPr="00A312AD">
        <w:rPr>
          <w:rFonts w:ascii="Calibri" w:hAnsi="Calibri" w:cs="Calibri"/>
          <w:b/>
          <w:sz w:val="32"/>
          <w:szCs w:val="32"/>
        </w:rPr>
        <w:t>Drug Formulary Commission</w:t>
      </w:r>
      <w:r>
        <w:rPr>
          <w:rFonts w:ascii="Calibri" w:hAnsi="Calibri" w:cs="Calibri"/>
          <w:b/>
          <w:sz w:val="32"/>
          <w:szCs w:val="32"/>
        </w:rPr>
        <w:t>’s</w:t>
      </w:r>
      <w:r>
        <w:rPr>
          <w:rFonts w:ascii="Calibri" w:hAnsi="Calibri" w:cs="Calibri"/>
          <w:b/>
          <w:sz w:val="32"/>
          <w:szCs w:val="32"/>
        </w:rPr>
        <w:br/>
        <w:t>Ab</w:t>
      </w:r>
      <w:r w:rsidR="00D32861">
        <w:rPr>
          <w:rFonts w:ascii="Calibri" w:hAnsi="Calibri" w:cs="Calibri"/>
          <w:b/>
          <w:sz w:val="32"/>
          <w:szCs w:val="32"/>
        </w:rPr>
        <w:t>use-Deterrent Drug Formulary</w:t>
      </w:r>
    </w:p>
    <w:p w:rsidR="002B0738" w:rsidRDefault="00794D5C" w:rsidP="002B0738">
      <w:pPr>
        <w:pStyle w:val="Heading1"/>
      </w:pPr>
      <w:bookmarkStart w:id="4" w:name="_Toc459278563"/>
      <w:bookmarkStart w:id="5" w:name="_Toc468887990"/>
      <w:r>
        <w:t xml:space="preserve">1. </w:t>
      </w:r>
      <w:r w:rsidR="002B0738">
        <w:t>Introduction</w:t>
      </w:r>
      <w:bookmarkEnd w:id="2"/>
      <w:bookmarkEnd w:id="3"/>
      <w:bookmarkEnd w:id="4"/>
      <w:bookmarkEnd w:id="5"/>
    </w:p>
    <w:p w:rsidR="004A1E07" w:rsidRPr="00F802AA" w:rsidRDefault="004A1E07" w:rsidP="00237A06">
      <w:pPr>
        <w:pStyle w:val="Toplist"/>
      </w:pPr>
      <w:r w:rsidRPr="00F802AA">
        <w:t>Chapter 258 of the Acts of 2014</w:t>
      </w:r>
      <w:r w:rsidR="009E3D07">
        <w:rPr>
          <w:rStyle w:val="EndnoteReference"/>
        </w:rPr>
        <w:endnoteReference w:id="14"/>
      </w:r>
      <w:r w:rsidR="009E3D07">
        <w:t xml:space="preserve"> </w:t>
      </w:r>
      <w:r w:rsidRPr="00F802AA">
        <w:t>was signed by Governor Deval Patrick on Augu</w:t>
      </w:r>
      <w:r w:rsidR="00C743AE">
        <w:t>st 6, 2014</w:t>
      </w:r>
      <w:r w:rsidRPr="00F802AA">
        <w:t>.  Section</w:t>
      </w:r>
      <w:r w:rsidR="00533942">
        <w:t> </w:t>
      </w:r>
      <w:r w:rsidR="00C743AE">
        <w:t>4</w:t>
      </w:r>
      <w:r w:rsidR="00765E39">
        <w:t xml:space="preserve"> of the new law </w:t>
      </w:r>
      <w:r w:rsidR="009E3D07">
        <w:t>charged</w:t>
      </w:r>
      <w:r w:rsidR="00C500EF">
        <w:t xml:space="preserve"> the </w:t>
      </w:r>
      <w:r w:rsidR="00765E39">
        <w:t>Drug F</w:t>
      </w:r>
      <w:r w:rsidRPr="00F802AA">
        <w:t>o</w:t>
      </w:r>
      <w:r w:rsidR="00765E39">
        <w:t>rmulary C</w:t>
      </w:r>
      <w:r w:rsidRPr="00F802AA">
        <w:t xml:space="preserve">ommission </w:t>
      </w:r>
      <w:r w:rsidR="000B4357">
        <w:t>(</w:t>
      </w:r>
      <w:r w:rsidR="009E3D07">
        <w:t xml:space="preserve">the </w:t>
      </w:r>
      <w:r w:rsidR="000B4357">
        <w:t>Commission</w:t>
      </w:r>
      <w:r w:rsidR="00765E39">
        <w:t xml:space="preserve">) in </w:t>
      </w:r>
      <w:r w:rsidR="009E3D07">
        <w:t xml:space="preserve">the </w:t>
      </w:r>
      <w:r w:rsidR="00765E39">
        <w:t>Department of Public Health (DPH)</w:t>
      </w:r>
      <w:r w:rsidR="00C500EF">
        <w:t xml:space="preserve"> </w:t>
      </w:r>
      <w:r w:rsidRPr="00F802AA">
        <w:t>with</w:t>
      </w:r>
      <w:r w:rsidR="00FC3AE0">
        <w:t>:</w:t>
      </w:r>
    </w:p>
    <w:p w:rsidR="004A1E07" w:rsidRPr="00F802AA" w:rsidRDefault="004A1E07" w:rsidP="009E3D07">
      <w:pPr>
        <w:pStyle w:val="Bullet1"/>
      </w:pPr>
      <w:r w:rsidRPr="00F802AA">
        <w:t>Determining a list of drugs that are opiates</w:t>
      </w:r>
      <w:r w:rsidR="005D4497">
        <w:rPr>
          <w:rStyle w:val="EndnoteReference"/>
        </w:rPr>
        <w:endnoteReference w:id="15"/>
      </w:r>
      <w:r w:rsidRPr="00F802AA">
        <w:t xml:space="preserve">, as </w:t>
      </w:r>
      <w:r w:rsidRPr="009E3D07">
        <w:t>defined</w:t>
      </w:r>
      <w:r w:rsidRPr="00F802AA">
        <w:t xml:space="preserve"> in section 1 of chapter 94C, and contained in schedule II</w:t>
      </w:r>
      <w:r w:rsidR="00D17E9E">
        <w:rPr>
          <w:rStyle w:val="EndnoteReference"/>
          <w:rFonts w:asciiTheme="majorHAnsi" w:hAnsiTheme="majorHAnsi"/>
        </w:rPr>
        <w:endnoteReference w:id="16"/>
      </w:r>
      <w:r w:rsidRPr="00F802AA">
        <w:t xml:space="preserve"> or III</w:t>
      </w:r>
      <w:r w:rsidR="00D17E9E">
        <w:rPr>
          <w:rStyle w:val="EndnoteReference"/>
          <w:rFonts w:asciiTheme="majorHAnsi" w:hAnsiTheme="majorHAnsi"/>
        </w:rPr>
        <w:endnoteReference w:id="17"/>
      </w:r>
      <w:r w:rsidRPr="00F802AA">
        <w:t xml:space="preserve"> of section 3 of chapter 94C, that have a heightened level of public health risk </w:t>
      </w:r>
      <w:r w:rsidR="005D4497">
        <w:t xml:space="preserve">(HPHR) </w:t>
      </w:r>
      <w:r w:rsidRPr="00F802AA">
        <w:t>due to the drugs’ pot</w:t>
      </w:r>
      <w:r w:rsidR="00533942">
        <w:t>ential for abuse and misuse</w:t>
      </w:r>
    </w:p>
    <w:p w:rsidR="004A1E07" w:rsidRDefault="004A1E07" w:rsidP="00237A06">
      <w:pPr>
        <w:pStyle w:val="Bullet1last"/>
      </w:pPr>
      <w:r w:rsidRPr="00F802AA">
        <w:t xml:space="preserve">Preparing a drug formulary of </w:t>
      </w:r>
      <w:r w:rsidR="004741A5">
        <w:t>chemically-equivalent</w:t>
      </w:r>
      <w:r w:rsidR="008F1D12">
        <w:rPr>
          <w:rStyle w:val="EndnoteReference"/>
        </w:rPr>
        <w:endnoteReference w:id="18"/>
      </w:r>
      <w:r w:rsidRPr="00F802AA">
        <w:t xml:space="preserve"> substitutions for drugs on t</w:t>
      </w:r>
      <w:r w:rsidR="00443678">
        <w:t>his list that incorporate abuse-</w:t>
      </w:r>
      <w:r w:rsidRPr="00F802AA">
        <w:t>deterrent properties</w:t>
      </w:r>
      <w:r w:rsidR="005D4497">
        <w:t xml:space="preserve"> (described below)</w:t>
      </w:r>
    </w:p>
    <w:p w:rsidR="00B142C9" w:rsidRDefault="00B142C9" w:rsidP="00765E39">
      <w:r>
        <w:t xml:space="preserve">Except in cases where the practitioner has indicated “no substitution,” Section 17 of the new law requires pharmacists to dispense </w:t>
      </w:r>
      <w:r w:rsidR="0085412A">
        <w:t>a chemically</w:t>
      </w:r>
      <w:r w:rsidR="0052087A">
        <w:t>-</w:t>
      </w:r>
      <w:r w:rsidR="0085412A">
        <w:t>equivalent</w:t>
      </w:r>
      <w:r>
        <w:t xml:space="preserve"> </w:t>
      </w:r>
      <w:r w:rsidR="00E43B95">
        <w:t>abuse-deterrent</w:t>
      </w:r>
      <w:r>
        <w:t xml:space="preserve"> </w:t>
      </w:r>
      <w:r w:rsidR="00245BD0">
        <w:t xml:space="preserve">opioid (ADO) </w:t>
      </w:r>
      <w:r w:rsidR="0028559A">
        <w:t xml:space="preserve">drug </w:t>
      </w:r>
      <w:r>
        <w:t>product, if one exists</w:t>
      </w:r>
      <w:r w:rsidR="00ED5C1B">
        <w:t>;</w:t>
      </w:r>
      <w:r w:rsidR="00ED5C1B">
        <w:rPr>
          <w:rFonts w:asciiTheme="majorHAnsi" w:hAnsiTheme="majorHAnsi"/>
        </w:rPr>
        <w:t xml:space="preserve"> or if none exists, a less expensive, reasonably available, interchangeable drug product as allowed by the most current formulary or supplement thereof.</w:t>
      </w:r>
      <w:r w:rsidR="00ED5C1B">
        <w:rPr>
          <w:rStyle w:val="EndnoteReference"/>
          <w:rFonts w:asciiTheme="majorHAnsi" w:hAnsiTheme="majorHAnsi"/>
        </w:rPr>
        <w:endnoteReference w:id="19"/>
      </w:r>
      <w:r w:rsidR="003351D8">
        <w:t xml:space="preserve">  </w:t>
      </w:r>
      <w:r w:rsidR="00245BD0">
        <w:t xml:space="preserve">A given </w:t>
      </w:r>
      <w:r w:rsidR="003351D8">
        <w:t xml:space="preserve">substituted </w:t>
      </w:r>
      <w:r w:rsidR="00245BD0">
        <w:t>ADO</w:t>
      </w:r>
      <w:r w:rsidR="003351D8">
        <w:t xml:space="preserve"> might be more expensive than</w:t>
      </w:r>
      <w:r w:rsidR="00095BA0">
        <w:t xml:space="preserve"> the originally-</w:t>
      </w:r>
      <w:r w:rsidR="00D25AAF">
        <w:t>prescribed drug, resulting in</w:t>
      </w:r>
      <w:r w:rsidR="00095BA0">
        <w:t xml:space="preserve"> increased cost to health insurance carriers.</w:t>
      </w:r>
    </w:p>
    <w:p w:rsidR="00B142C9" w:rsidRPr="0063696D" w:rsidRDefault="00B142C9" w:rsidP="00765E39">
      <w:r>
        <w:t xml:space="preserve">Chapter 258 provides that coverage for the </w:t>
      </w:r>
      <w:r w:rsidR="00245BD0">
        <w:t>ADOs</w:t>
      </w:r>
      <w:r>
        <w:t xml:space="preserve"> listed on the formulary shall be on a basis not less favorable than </w:t>
      </w:r>
      <w:r w:rsidR="006F3AE1">
        <w:t xml:space="preserve">that for </w:t>
      </w:r>
      <w:r>
        <w:t>non-</w:t>
      </w:r>
      <w:r w:rsidR="00E43B95">
        <w:t>abuse-deterrent</w:t>
      </w:r>
      <w:r>
        <w:t xml:space="preserve"> opioid drug products, and an increase in patient cost sharing shall not be allowed.  The effect of this requirement, on top of the changes to pharmacy substitution procedure, is to encourage a shift to abuse-deterrent opioids</w:t>
      </w:r>
      <w:r w:rsidR="00AB2B14">
        <w:t>,</w:t>
      </w:r>
      <w:r>
        <w:t xml:space="preserve"> while insulating patients from </w:t>
      </w:r>
      <w:r w:rsidR="00C33406">
        <w:t xml:space="preserve">potential </w:t>
      </w:r>
      <w:r w:rsidR="000A3838">
        <w:t>increases in</w:t>
      </w:r>
      <w:r>
        <w:t xml:space="preserve"> cost.</w:t>
      </w:r>
    </w:p>
    <w:p w:rsidR="00844B59" w:rsidRDefault="00B142C9" w:rsidP="00765E39">
      <w:r>
        <w:t>I</w:t>
      </w:r>
      <w:r w:rsidR="00AB2B14">
        <w:t xml:space="preserve">n July 2016, the </w:t>
      </w:r>
      <w:r>
        <w:t xml:space="preserve">Commission </w:t>
      </w:r>
      <w:r w:rsidR="0085412A">
        <w:t>completed analysis of a</w:t>
      </w:r>
      <w:r>
        <w:t xml:space="preserve"> draft drug formulary</w:t>
      </w:r>
      <w:r w:rsidR="00F57789">
        <w:rPr>
          <w:rStyle w:val="FootnoteReference"/>
        </w:rPr>
        <w:footnoteReference w:id="1"/>
      </w:r>
      <w:r>
        <w:t xml:space="preserve"> that included </w:t>
      </w:r>
      <w:r w:rsidR="00AF457C">
        <w:t>seven</w:t>
      </w:r>
      <w:r>
        <w:t xml:space="preserve"> interchangeable </w:t>
      </w:r>
      <w:r w:rsidR="00E43B95">
        <w:t>abuse-deterrent</w:t>
      </w:r>
      <w:r w:rsidR="0098721A">
        <w:t xml:space="preserve"> drug products</w:t>
      </w:r>
      <w:r w:rsidR="00571829">
        <w:t>, as outlined in Appendix A</w:t>
      </w:r>
      <w:r>
        <w:t>.</w:t>
      </w:r>
      <w:r w:rsidR="001603C6">
        <w:rPr>
          <w:rStyle w:val="EndnoteReference"/>
        </w:rPr>
        <w:endnoteReference w:id="20"/>
      </w:r>
      <w:r>
        <w:t xml:space="preserve">  Two of the interchangeable </w:t>
      </w:r>
      <w:r w:rsidR="004279A3">
        <w:t>ADOs,</w:t>
      </w:r>
      <w:r w:rsidR="003A1D42">
        <w:t xml:space="preserve"> </w:t>
      </w:r>
      <w:r w:rsidR="002263ED">
        <w:t>Embeda</w:t>
      </w:r>
      <w:r w:rsidR="002263ED" w:rsidRPr="00874E2F">
        <w:rPr>
          <w:vertAlign w:val="superscript"/>
        </w:rPr>
        <w:t>®</w:t>
      </w:r>
      <w:r w:rsidR="002263ED">
        <w:t xml:space="preserve"> and Hysingla ER</w:t>
      </w:r>
      <w:r w:rsidR="002263ED" w:rsidRPr="00874E2F">
        <w:rPr>
          <w:vertAlign w:val="superscript"/>
        </w:rPr>
        <w:t>®</w:t>
      </w:r>
      <w:r w:rsidR="002263ED">
        <w:t>,</w:t>
      </w:r>
      <w:r>
        <w:t xml:space="preserve"> are </w:t>
      </w:r>
      <w:r w:rsidR="004741A5">
        <w:t>chemically-equivalent</w:t>
      </w:r>
      <w:r w:rsidR="008F1D12">
        <w:rPr>
          <w:rFonts w:asciiTheme="majorHAnsi" w:hAnsiTheme="majorHAnsi"/>
        </w:rPr>
        <w:t xml:space="preserve"> </w:t>
      </w:r>
      <w:r w:rsidR="003A1D42">
        <w:t>substitutions</w:t>
      </w:r>
      <w:r>
        <w:t xml:space="preserve"> for identified heightened public </w:t>
      </w:r>
      <w:r w:rsidR="00087257">
        <w:t>health risk</w:t>
      </w:r>
      <w:r w:rsidR="00FC3AE0">
        <w:t xml:space="preserve"> (HPHR)</w:t>
      </w:r>
      <w:r w:rsidR="00087257">
        <w:t xml:space="preserve"> opioid drug products</w:t>
      </w:r>
      <w:r>
        <w:t xml:space="preserve">.  </w:t>
      </w:r>
      <w:r w:rsidR="00961CAC" w:rsidRPr="00BF6EEA">
        <w:t xml:space="preserve">The Commission did not identify equivalent HPHR opioid drug products for the following </w:t>
      </w:r>
      <w:r w:rsidR="00A83341">
        <w:t>five</w:t>
      </w:r>
      <w:r w:rsidR="00961CAC" w:rsidRPr="00BF6EEA">
        <w:t xml:space="preserve"> ADOs on the draft list: Nucynta ER</w:t>
      </w:r>
      <w:r w:rsidR="00961CAC" w:rsidRPr="00BF6EEA">
        <w:rPr>
          <w:vertAlign w:val="superscript"/>
        </w:rPr>
        <w:t xml:space="preserve">® </w:t>
      </w:r>
      <w:r w:rsidR="00961CAC" w:rsidRPr="00BF6EEA">
        <w:t>(tapentadol extended release tablet), Oxa</w:t>
      </w:r>
      <w:r w:rsidR="00396090">
        <w:t>y</w:t>
      </w:r>
      <w:r w:rsidR="00961CAC" w:rsidRPr="00BF6EEA">
        <w:t>do</w:t>
      </w:r>
      <w:r w:rsidR="00961CAC" w:rsidRPr="00BF6EEA">
        <w:rPr>
          <w:vertAlign w:val="superscript"/>
        </w:rPr>
        <w:t xml:space="preserve">® </w:t>
      </w:r>
      <w:r w:rsidR="00961CAC" w:rsidRPr="00BF6EEA">
        <w:t>(oxycodone immediate-release tablet), Oxycodone extended-release tablet</w:t>
      </w:r>
      <w:r w:rsidR="00961CAC" w:rsidRPr="00BF6EEA">
        <w:rPr>
          <w:rStyle w:val="EndnoteReference"/>
        </w:rPr>
        <w:endnoteReference w:id="21"/>
      </w:r>
      <w:r w:rsidR="008D3527">
        <w:t>, Oxyc</w:t>
      </w:r>
      <w:r w:rsidR="00961CAC" w:rsidRPr="00BF6EEA">
        <w:t>ontin</w:t>
      </w:r>
      <w:r w:rsidR="00961CAC" w:rsidRPr="00BF6EEA">
        <w:rPr>
          <w:vertAlign w:val="superscript"/>
        </w:rPr>
        <w:t xml:space="preserve">® </w:t>
      </w:r>
      <w:r w:rsidR="00961CAC" w:rsidRPr="00BF6EEA">
        <w:t>(</w:t>
      </w:r>
      <w:proofErr w:type="spellStart"/>
      <w:r w:rsidR="00961CAC" w:rsidRPr="00BF6EEA">
        <w:t>oxyocodone</w:t>
      </w:r>
      <w:proofErr w:type="spellEnd"/>
      <w:r w:rsidR="00961CAC" w:rsidRPr="00BF6EEA">
        <w:t xml:space="preserve"> extended-release tablet)</w:t>
      </w:r>
      <w:r w:rsidR="00A83341">
        <w:t xml:space="preserve"> and Xtamp</w:t>
      </w:r>
      <w:r w:rsidR="00790755">
        <w:t>z</w:t>
      </w:r>
      <w:r w:rsidR="00A83341">
        <w:t>a</w:t>
      </w:r>
      <w:r w:rsidR="00790755">
        <w:t xml:space="preserve"> ER</w:t>
      </w:r>
      <w:r w:rsidR="00790755" w:rsidRPr="00BF6EEA">
        <w:rPr>
          <w:vertAlign w:val="superscript"/>
        </w:rPr>
        <w:t>®</w:t>
      </w:r>
      <w:r w:rsidR="00790755">
        <w:t xml:space="preserve"> (oxycodone extended-release tablet).  </w:t>
      </w:r>
      <w:r w:rsidR="001502B2">
        <w:t>T</w:t>
      </w:r>
      <w:r w:rsidR="001614F5">
        <w:t>he focus of this analysis is on the impact</w:t>
      </w:r>
      <w:r w:rsidR="00D653B6">
        <w:t xml:space="preserve"> of the substitution</w:t>
      </w:r>
      <w:r w:rsidR="00AB2B14">
        <w:t xml:space="preserve"> requirement</w:t>
      </w:r>
      <w:r w:rsidR="001502B2">
        <w:t>; therefore</w:t>
      </w:r>
      <w:r w:rsidR="00D653B6">
        <w:t>, t</w:t>
      </w:r>
      <w:r w:rsidR="001614F5">
        <w:t xml:space="preserve">he </w:t>
      </w:r>
      <w:r w:rsidR="00011F12">
        <w:t>five</w:t>
      </w:r>
      <w:r w:rsidR="001614F5">
        <w:t xml:space="preserve"> ADOs without equ</w:t>
      </w:r>
      <w:r w:rsidR="00AB2B14">
        <w:t xml:space="preserve">ivalent HPHR opioids are </w:t>
      </w:r>
      <w:r w:rsidR="001603C6">
        <w:t>not included in the calculations</w:t>
      </w:r>
      <w:r w:rsidR="001614F5">
        <w:t>.</w:t>
      </w:r>
    </w:p>
    <w:p w:rsidR="00B142C9" w:rsidRDefault="00224771" w:rsidP="00765E39">
      <w:r>
        <w:t xml:space="preserve">As provided </w:t>
      </w:r>
      <w:r w:rsidR="00566CD1">
        <w:t>in</w:t>
      </w:r>
      <w:r w:rsidR="006A2688">
        <w:t xml:space="preserve"> Section 4</w:t>
      </w:r>
      <w:r w:rsidR="00AB2B14">
        <w:t xml:space="preserve"> of the law</w:t>
      </w:r>
      <w:r w:rsidR="006A2688">
        <w:t>, t</w:t>
      </w:r>
      <w:r w:rsidR="00B142C9">
        <w:t xml:space="preserve">he Commission requested an insurance benefit review by the </w:t>
      </w:r>
      <w:r w:rsidR="00B142C9" w:rsidRPr="00FF5117">
        <w:t>Massachusetts Center for Health Information and Analysis (CHIA)</w:t>
      </w:r>
      <w:r w:rsidR="00B142C9">
        <w:t xml:space="preserve">.  Insurance benefit reviews </w:t>
      </w:r>
      <w:r w:rsidR="00B142C9">
        <w:lastRenderedPageBreak/>
        <w:t xml:space="preserve">analyze the potential impact of mandated benefits on the </w:t>
      </w:r>
      <w:r w:rsidR="00AB2B14">
        <w:t xml:space="preserve">health insurance </w:t>
      </w:r>
      <w:r w:rsidR="00B142C9">
        <w:t xml:space="preserve">premiums paid by businesses and consumers.  </w:t>
      </w:r>
      <w:r w:rsidR="00914965">
        <w:t>The Commission requested such a review, and CHIA engaged Compass Health Analytics, Inc. (Compass) to provide an actuarial estimate of the effect implementation of the draft formulary would have on the cost of health insurance in Massachusetts.</w:t>
      </w:r>
    </w:p>
    <w:p w:rsidR="00125EE3" w:rsidRPr="00450238" w:rsidRDefault="00A92B42" w:rsidP="00125EE3">
      <w:pPr>
        <w:pStyle w:val="Heading1"/>
      </w:pPr>
      <w:bookmarkStart w:id="6" w:name="_Toc459278564"/>
      <w:bookmarkStart w:id="7" w:name="_Toc348967799"/>
      <w:bookmarkStart w:id="8" w:name="_Toc450936001"/>
      <w:bookmarkStart w:id="9" w:name="_Toc468887991"/>
      <w:r>
        <w:t>2. Interpretation</w:t>
      </w:r>
      <w:bookmarkEnd w:id="6"/>
      <w:bookmarkEnd w:id="7"/>
      <w:bookmarkEnd w:id="8"/>
      <w:bookmarkEnd w:id="9"/>
    </w:p>
    <w:p w:rsidR="009F5F74" w:rsidRDefault="005264AE" w:rsidP="009F5F74">
      <w:pPr>
        <w:pStyle w:val="Heading2"/>
      </w:pPr>
      <w:bookmarkStart w:id="10" w:name="_Toc348967801"/>
      <w:bookmarkStart w:id="11" w:name="_Toc453922506"/>
      <w:bookmarkStart w:id="12" w:name="_Toc459278566"/>
      <w:bookmarkStart w:id="13" w:name="_Toc468887992"/>
      <w:r>
        <w:t>2.1.</w:t>
      </w:r>
      <w:r w:rsidR="00C33406">
        <w:t xml:space="preserve"> Opioid a</w:t>
      </w:r>
      <w:r w:rsidR="0040225C">
        <w:t>buse and</w:t>
      </w:r>
      <w:r>
        <w:t xml:space="preserve"> </w:t>
      </w:r>
      <w:bookmarkEnd w:id="10"/>
      <w:bookmarkEnd w:id="11"/>
      <w:r w:rsidR="00C33406">
        <w:t>abuse-deterrent o</w:t>
      </w:r>
      <w:r w:rsidR="009C15CE">
        <w:t>pioids</w:t>
      </w:r>
      <w:bookmarkEnd w:id="12"/>
      <w:bookmarkEnd w:id="13"/>
    </w:p>
    <w:p w:rsidR="00FB6107" w:rsidRDefault="00FB6107" w:rsidP="00FB6107">
      <w:r>
        <w:t>The Centers for Disease Control and Prevention (CDC) refers to the</w:t>
      </w:r>
      <w:r w:rsidR="0015558E">
        <w:t xml:space="preserve"> rising</w:t>
      </w:r>
      <w:r>
        <w:t xml:space="preserve"> number of deaths by prescription overdose as an epidemic.</w:t>
      </w:r>
      <w:r>
        <w:rPr>
          <w:rStyle w:val="EndnoteReference"/>
        </w:rPr>
        <w:endnoteReference w:id="22"/>
      </w:r>
      <w:r>
        <w:t xml:space="preserve">  Since 1999, deaths </w:t>
      </w:r>
      <w:r w:rsidR="000C57F0">
        <w:t>involving opioids (including prescription opioid</w:t>
      </w:r>
      <w:r>
        <w:t xml:space="preserve"> </w:t>
      </w:r>
      <w:r w:rsidR="000C57F0">
        <w:t xml:space="preserve">pain medications and heroin) </w:t>
      </w:r>
      <w:r>
        <w:t xml:space="preserve">in the United States have quadrupled, and during the same time period, the amount of prescription opioids </w:t>
      </w:r>
      <w:r w:rsidR="000C57F0">
        <w:t>sold in the U.S.</w:t>
      </w:r>
      <w:r w:rsidR="0085412A">
        <w:t xml:space="preserve"> </w:t>
      </w:r>
      <w:r>
        <w:t>nearly quadrupled.</w:t>
      </w:r>
      <w:r>
        <w:rPr>
          <w:rStyle w:val="EndnoteReference"/>
        </w:rPr>
        <w:endnoteReference w:id="23"/>
      </w:r>
      <w:r>
        <w:t xml:space="preserve">  </w:t>
      </w:r>
      <w:r w:rsidR="000C57F0" w:rsidRPr="000C57F0">
        <w:rPr>
          <w:rFonts w:eastAsia="Times New Roman"/>
        </w:rPr>
        <w:t>At least half of all opioid deaths involve a prescription opioid.</w:t>
      </w:r>
      <w:r w:rsidR="000C57F0" w:rsidRPr="000C57F0">
        <w:rPr>
          <w:rFonts w:eastAsia="Times New Roman"/>
          <w:vertAlign w:val="superscript"/>
        </w:rPr>
        <w:endnoteReference w:id="24"/>
      </w:r>
      <w:r w:rsidR="000C57F0" w:rsidRPr="000C57F0">
        <w:rPr>
          <w:rFonts w:eastAsia="Times New Roman"/>
        </w:rPr>
        <w:t xml:space="preserve">  </w:t>
      </w:r>
      <w:r>
        <w:t>From 1999 to 2014, more than 165,000 individuals in the United States died from opioid pain medication overdose.</w:t>
      </w:r>
      <w:r>
        <w:rPr>
          <w:rStyle w:val="EndnoteReference"/>
        </w:rPr>
        <w:endnoteReference w:id="25"/>
      </w:r>
      <w:r>
        <w:t xml:space="preserve">  In 2015, the estimated rate of unintentional opioid-related (including heroin, opioid pain medications, and other opioids) overdose deaths in Massachusetts was 24.6 per 100,000 residents.</w:t>
      </w:r>
      <w:r>
        <w:rPr>
          <w:rStyle w:val="EndnoteReference"/>
        </w:rPr>
        <w:endnoteReference w:id="26"/>
      </w:r>
      <w:r>
        <w:t xml:space="preserve">  In response to these statistics, the federal and state governments have launched numerous initiatives.</w:t>
      </w:r>
    </w:p>
    <w:p w:rsidR="00FB6107" w:rsidRDefault="00FB6107" w:rsidP="00522751">
      <w:r>
        <w:t>Prescription opioids are available as immediate-release (IR) or extended release/long-acting (ER/LA) formulations.  Although misuse or abuse of any opioid formulation can lead to serious side effects, including overdose and death, the risk is significantly higher for the ER/LA formulations.</w:t>
      </w:r>
      <w:r>
        <w:rPr>
          <w:rStyle w:val="EndnoteReference"/>
        </w:rPr>
        <w:endnoteReference w:id="27"/>
      </w:r>
      <w:r>
        <w:t xml:space="preserve">  This is because these formulations contain a greater amount of opioid, and tampering can transform an ER/LA formulation into an IR formulation.</w:t>
      </w:r>
      <w:r>
        <w:rPr>
          <w:rStyle w:val="EndnoteReference"/>
        </w:rPr>
        <w:endnoteReference w:id="28"/>
      </w:r>
      <w:r w:rsidRPr="00131275">
        <w:rPr>
          <w:sz w:val="24"/>
          <w:vertAlign w:val="superscript"/>
        </w:rPr>
        <w:t>,</w:t>
      </w:r>
      <w:r>
        <w:rPr>
          <w:rStyle w:val="EndnoteReference"/>
        </w:rPr>
        <w:endnoteReference w:id="29"/>
      </w:r>
      <w:r>
        <w:t xml:space="preserve"> </w:t>
      </w:r>
      <w:r w:rsidR="00D90C7F">
        <w:t xml:space="preserve"> T</w:t>
      </w:r>
      <w:r w:rsidR="00A34BAA">
        <w:t>o intensify their experience, some patients modify the route of administration (e.g., snorting or injecting them).</w:t>
      </w:r>
      <w:r w:rsidR="00A34BAA" w:rsidRPr="00A34BAA">
        <w:rPr>
          <w:rStyle w:val="EndnoteReference"/>
        </w:rPr>
        <w:t xml:space="preserve"> </w:t>
      </w:r>
      <w:r w:rsidR="00A34BAA">
        <w:rPr>
          <w:rStyle w:val="EndnoteReference"/>
        </w:rPr>
        <w:endnoteReference w:id="30"/>
      </w:r>
      <w:r w:rsidR="00A34BAA">
        <w:t xml:space="preserve">  These types of tampering behaviors increase the risk of serious medical complications, including overdose and death.</w:t>
      </w:r>
      <w:r w:rsidR="00A34BAA" w:rsidRPr="00A34BAA">
        <w:rPr>
          <w:rStyle w:val="EndnoteReference"/>
        </w:rPr>
        <w:t xml:space="preserve"> </w:t>
      </w:r>
      <w:r w:rsidR="00A34BAA">
        <w:rPr>
          <w:rStyle w:val="EndnoteReference"/>
        </w:rPr>
        <w:endnoteReference w:id="31"/>
      </w:r>
      <w:r w:rsidR="00A34BAA">
        <w:t xml:space="preserve">  </w:t>
      </w:r>
    </w:p>
    <w:p w:rsidR="0040225C" w:rsidRDefault="0040225C" w:rsidP="00237A06">
      <w:r>
        <w:t xml:space="preserve">Abuse-deterrent opioid drug products </w:t>
      </w:r>
      <w:r w:rsidR="004279A3">
        <w:t xml:space="preserve">(ADOs) </w:t>
      </w:r>
      <w:r>
        <w:t xml:space="preserve">are intended to thwart efforts to modify </w:t>
      </w:r>
      <w:r w:rsidR="00522751">
        <w:t xml:space="preserve">the </w:t>
      </w:r>
      <w:r>
        <w:t>route of administration</w:t>
      </w:r>
      <w:r w:rsidR="00D558E7">
        <w:t>,</w:t>
      </w:r>
      <w:r>
        <w:t xml:space="preserve"> and are manufactured with physical, chemical, or other barriers that make abuse more difficult or less attractive or rewarding.</w:t>
      </w:r>
      <w:r>
        <w:rPr>
          <w:rStyle w:val="EndnoteReference"/>
        </w:rPr>
        <w:endnoteReference w:id="32"/>
      </w:r>
      <w:r w:rsidR="00245BD0">
        <w:t xml:space="preserve">  The science of abuse-</w:t>
      </w:r>
      <w:r>
        <w:t>deterrence is relatively new, and the analytical, clinical, and statistical methods for evaluating ADO technologies are rapidly evolving.</w:t>
      </w:r>
      <w:r>
        <w:rPr>
          <w:rStyle w:val="EndnoteReference"/>
        </w:rPr>
        <w:endnoteReference w:id="33"/>
      </w:r>
      <w:r w:rsidR="00245BD0">
        <w:t xml:space="preserve">  The</w:t>
      </w:r>
      <w:r w:rsidR="00245BD0" w:rsidRPr="00245BD0">
        <w:t xml:space="preserve"> </w:t>
      </w:r>
      <w:r w:rsidR="00245BD0">
        <w:t>United States Food and Drug Administration (FDA)</w:t>
      </w:r>
      <w:r w:rsidR="00C57F27">
        <w:t xml:space="preserve"> currently </w:t>
      </w:r>
      <w:r w:rsidR="00245BD0">
        <w:t xml:space="preserve">approves </w:t>
      </w:r>
      <w:r w:rsidR="00C57F27">
        <w:t xml:space="preserve">seven </w:t>
      </w:r>
      <w:r>
        <w:t>extended-release (ER) opioid products with abuse-deterrent properties,</w:t>
      </w:r>
      <w:r>
        <w:rPr>
          <w:rStyle w:val="EndnoteReference"/>
        </w:rPr>
        <w:endnoteReference w:id="34"/>
      </w:r>
      <w:r>
        <w:t xml:space="preserve"> but to date, the FDA has not approved any such abuse-deterrent labeling for Immediate Release (IR) opioids.</w:t>
      </w:r>
      <w:r>
        <w:rPr>
          <w:rStyle w:val="EndnoteReference"/>
        </w:rPr>
        <w:endnoteReference w:id="35"/>
      </w:r>
      <w:r>
        <w:t xml:space="preserve">  </w:t>
      </w:r>
    </w:p>
    <w:p w:rsidR="005D7071" w:rsidRDefault="005D7071" w:rsidP="00237A06">
      <w:pPr>
        <w:pStyle w:val="Toplist"/>
      </w:pPr>
      <w:r>
        <w:t>In Ju</w:t>
      </w:r>
      <w:r w:rsidR="003D08C1">
        <w:t>ly 2016, the C</w:t>
      </w:r>
      <w:r w:rsidR="00A728CB">
        <w:t>ommission completed</w:t>
      </w:r>
      <w:r>
        <w:t xml:space="preserve"> a draft drug formulary of </w:t>
      </w:r>
      <w:r w:rsidR="004741A5">
        <w:t>chemically-equivalent</w:t>
      </w:r>
      <w:r>
        <w:t xml:space="preserve"> substitutions for schedule II and III opioids that were determined to have a </w:t>
      </w:r>
      <w:r w:rsidR="00611B1F">
        <w:t>HPHR</w:t>
      </w:r>
      <w:r>
        <w:t xml:space="preserve"> due to the drugs’ pote</w:t>
      </w:r>
      <w:r w:rsidR="006A2688">
        <w:t>ntial for abuse and misuse</w:t>
      </w:r>
      <w:r w:rsidR="00D558E7">
        <w:t>,</w:t>
      </w:r>
      <w:r w:rsidR="006A2688">
        <w:t xml:space="preserve"> and incorporated one of the following</w:t>
      </w:r>
      <w:r w:rsidR="00571829">
        <w:t xml:space="preserve"> (see Appendix A)</w:t>
      </w:r>
      <w:r>
        <w:t>:</w:t>
      </w:r>
    </w:p>
    <w:p w:rsidR="005D7071" w:rsidRDefault="005D7071" w:rsidP="0098721A">
      <w:pPr>
        <w:pStyle w:val="Numlist"/>
        <w:numPr>
          <w:ilvl w:val="0"/>
          <w:numId w:val="29"/>
        </w:numPr>
      </w:pPr>
      <w:r>
        <w:t xml:space="preserve">A physical or chemical barrier that (i) prevents chewing, crushing, cutting, grating, grinding, melting or other physical manipulations that enable abuse or (ii) resists extraction </w:t>
      </w:r>
      <w:r w:rsidR="00D558E7">
        <w:t>o</w:t>
      </w:r>
      <w:r>
        <w:t>f the opioid by common solvents such as water, al</w:t>
      </w:r>
      <w:r w:rsidR="00C57F27">
        <w:t>cohol or other organic solvents</w:t>
      </w:r>
    </w:p>
    <w:p w:rsidR="005D7071" w:rsidRDefault="005D7071" w:rsidP="005D7071">
      <w:pPr>
        <w:pStyle w:val="Numlist"/>
      </w:pPr>
      <w:r>
        <w:lastRenderedPageBreak/>
        <w:t>An agonist or antagonist combination that interferes with, reduces or defeats the</w:t>
      </w:r>
      <w:r w:rsidR="00C57F27">
        <w:t xml:space="preserve"> euphoria associated with abuse</w:t>
      </w:r>
    </w:p>
    <w:p w:rsidR="005D7071" w:rsidRDefault="005D7071" w:rsidP="005D7071">
      <w:pPr>
        <w:pStyle w:val="Numlist"/>
      </w:pPr>
      <w:r>
        <w:t>An aversion q</w:t>
      </w:r>
      <w:r w:rsidR="0025706E">
        <w:t>uality that produces an unpleas</w:t>
      </w:r>
      <w:r>
        <w:t xml:space="preserve">ant effect if the dosage form is manipulated or </w:t>
      </w:r>
      <w:r w:rsidR="0040225C">
        <w:t>altered</w:t>
      </w:r>
      <w:r>
        <w:t xml:space="preserve"> or a hi</w:t>
      </w:r>
      <w:r w:rsidR="00C57F27">
        <w:t>gher dose than directed is used</w:t>
      </w:r>
    </w:p>
    <w:p w:rsidR="005D7071" w:rsidRDefault="005D7071" w:rsidP="005D7071">
      <w:pPr>
        <w:pStyle w:val="Numlist"/>
      </w:pPr>
      <w:r>
        <w:t>A delivery system that, un</w:t>
      </w:r>
      <w:r w:rsidR="00C57F27">
        <w:t>der FDA</w:t>
      </w:r>
      <w:r>
        <w:t xml:space="preserve"> guida</w:t>
      </w:r>
      <w:r w:rsidR="00C57F27">
        <w:t>nce, offers resistance to abuse</w:t>
      </w:r>
    </w:p>
    <w:p w:rsidR="005D7071" w:rsidRDefault="005D7071" w:rsidP="005D7071">
      <w:pPr>
        <w:pStyle w:val="Numlist"/>
      </w:pPr>
      <w:r>
        <w:t>A prodrug</w:t>
      </w:r>
      <w:r w:rsidR="00820026">
        <w:rPr>
          <w:rStyle w:val="EndnoteReference"/>
        </w:rPr>
        <w:endnoteReference w:id="36"/>
      </w:r>
      <w:r>
        <w:t xml:space="preserve"> technique that limits opioid activity until transformed i</w:t>
      </w:r>
      <w:r w:rsidR="00C57F27">
        <w:t>n the gastrointestinal tract</w:t>
      </w:r>
    </w:p>
    <w:p w:rsidR="005D7071" w:rsidRDefault="005D7071" w:rsidP="00095BA0">
      <w:pPr>
        <w:pStyle w:val="Numlist"/>
        <w:spacing w:after="200"/>
      </w:pPr>
      <w:r>
        <w:t xml:space="preserve">Any other technique, as may </w:t>
      </w:r>
      <w:r w:rsidR="0074716A">
        <w:t>be identified or recommend</w:t>
      </w:r>
      <w:r>
        <w:t>ed by</w:t>
      </w:r>
      <w:r w:rsidR="00C57F27">
        <w:t xml:space="preserve"> the FDA</w:t>
      </w:r>
      <w:r w:rsidR="000C323B">
        <w:t>,</w:t>
      </w:r>
      <w:r>
        <w:t xml:space="preserve"> that offers</w:t>
      </w:r>
      <w:r w:rsidR="00C57F27">
        <w:t xml:space="preserve"> significant abuse deterrence</w:t>
      </w:r>
    </w:p>
    <w:p w:rsidR="00095BA0" w:rsidRDefault="00095BA0" w:rsidP="00095BA0">
      <w:pPr>
        <w:pStyle w:val="Toplist"/>
      </w:pPr>
      <w:bookmarkStart w:id="14" w:name="_Toc453922507"/>
      <w:bookmarkStart w:id="15" w:name="_Toc459278567"/>
      <w:r>
        <w:t>When considering whether a drug is a chemically-equivalent substitution, Chapter 258 instructed the Commission to consider:</w:t>
      </w:r>
    </w:p>
    <w:p w:rsidR="00095BA0" w:rsidRDefault="00095BA0" w:rsidP="00095BA0">
      <w:pPr>
        <w:pStyle w:val="Bullet1"/>
      </w:pPr>
      <w:r>
        <w:t xml:space="preserve">The accessibility of the drug and its proposed </w:t>
      </w:r>
      <w:r w:rsidRPr="00237A06">
        <w:t>substitute</w:t>
      </w:r>
    </w:p>
    <w:p w:rsidR="00095BA0" w:rsidRDefault="00095BA0" w:rsidP="00095BA0">
      <w:pPr>
        <w:pStyle w:val="Bullet1"/>
      </w:pPr>
      <w:r>
        <w:t>Whether the drug’s substitute is cost prohibitive</w:t>
      </w:r>
    </w:p>
    <w:p w:rsidR="00095BA0" w:rsidRDefault="00095BA0" w:rsidP="00095BA0">
      <w:pPr>
        <w:pStyle w:val="Bullet1"/>
      </w:pPr>
      <w:r>
        <w:t>The effectiveness of the substitution</w:t>
      </w:r>
    </w:p>
    <w:p w:rsidR="00095BA0" w:rsidRDefault="00095BA0" w:rsidP="00095BA0">
      <w:pPr>
        <w:pStyle w:val="Bullet1last"/>
      </w:pPr>
      <w:r>
        <w:t>Whether, based upon the current patter</w:t>
      </w:r>
      <w:r w:rsidR="00A83770">
        <w:t>n</w:t>
      </w:r>
      <w:r>
        <w:t>s of abuse and misuse, the drug’s substitute incorporates abuse-deterrent technology that will be an effective deterrent to such abuse and misuse</w:t>
      </w:r>
    </w:p>
    <w:p w:rsidR="00B64DB0" w:rsidRDefault="001502B2" w:rsidP="00B64DB0">
      <w:r>
        <w:t xml:space="preserve">Based on these criteria, the Commission </w:t>
      </w:r>
      <w:r w:rsidR="00B64DB0">
        <w:t>approved the following definition</w:t>
      </w:r>
      <w:r w:rsidR="002F170A">
        <w:t xml:space="preserve">: </w:t>
      </w:r>
      <w:r w:rsidR="00DC053E">
        <w:t xml:space="preserve"> </w:t>
      </w:r>
    </w:p>
    <w:p w:rsidR="00B04D83" w:rsidRDefault="00DC053E" w:rsidP="00B64DB0">
      <w:pPr>
        <w:pStyle w:val="Quoteblock"/>
      </w:pPr>
      <w:r>
        <w:t>Chemically Equivalent Substitution, for the purpose of creating a formulary of drugs with abuse deterrent properties that the commission has determined may be appropriately substituted for opioids 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biological effect.  Prodrugs or ingredients without analgesic effect that are used solely for abuse deterrent formulations need not be equivalent.</w:t>
      </w:r>
      <w:r>
        <w:rPr>
          <w:rStyle w:val="EndnoteReference"/>
        </w:rPr>
        <w:endnoteReference w:id="37"/>
      </w:r>
    </w:p>
    <w:p w:rsidR="005264AE" w:rsidRPr="003852E4" w:rsidRDefault="005264AE" w:rsidP="003852E4">
      <w:pPr>
        <w:pStyle w:val="Heading2"/>
      </w:pPr>
      <w:bookmarkStart w:id="16" w:name="_Toc468887993"/>
      <w:r>
        <w:t xml:space="preserve">2.2. Provisions of </w:t>
      </w:r>
      <w:bookmarkEnd w:id="14"/>
      <w:bookmarkEnd w:id="15"/>
      <w:r w:rsidR="001A48DA">
        <w:t>Chapter 258 pertaining to ADOs</w:t>
      </w:r>
      <w:bookmarkEnd w:id="16"/>
    </w:p>
    <w:p w:rsidR="00611B1F" w:rsidRDefault="00611B1F" w:rsidP="003852E4">
      <w:bookmarkStart w:id="17" w:name="_Toc348967800"/>
      <w:r>
        <w:t xml:space="preserve">The following paragraphs outline the provisions </w:t>
      </w:r>
      <w:r w:rsidR="001513DC">
        <w:t>of Chapter 258 relevant to this analysis</w:t>
      </w:r>
      <w:r>
        <w:t>.</w:t>
      </w:r>
    </w:p>
    <w:p w:rsidR="0025706E" w:rsidRDefault="003852E4" w:rsidP="0025706E">
      <w:pPr>
        <w:pStyle w:val="Subhead2"/>
      </w:pPr>
      <w:r>
        <w:t>Default s</w:t>
      </w:r>
      <w:r w:rsidR="00F93AD5">
        <w:t xml:space="preserve">ubstitution of ADOs for </w:t>
      </w:r>
      <w:r w:rsidR="00D558E7">
        <w:t>HPHR</w:t>
      </w:r>
      <w:r w:rsidR="00637FCD">
        <w:t xml:space="preserve"> opioid</w:t>
      </w:r>
      <w:r w:rsidR="00A621A5">
        <w:t>s</w:t>
      </w:r>
      <w:r w:rsidR="0025706E">
        <w:t xml:space="preserve"> by pharmacists</w:t>
      </w:r>
    </w:p>
    <w:p w:rsidR="00F93AD5" w:rsidRDefault="001513DC" w:rsidP="00C73DEA">
      <w:r>
        <w:t>Prior to enactment of Chapter 258, Massachusetts law required pharmacists to dispense a less expensive, reasonably available, interchangeable drug product for all prescriptions as allowed by the Commission’s current formulary, except in cases where the practitioner indicated “no substitution</w:t>
      </w:r>
      <w:r w:rsidR="003852E4">
        <w:t>.”</w:t>
      </w:r>
      <w:r w:rsidR="006F7027">
        <w:rPr>
          <w:rStyle w:val="EndnoteReference"/>
        </w:rPr>
        <w:endnoteReference w:id="38"/>
      </w:r>
      <w:r w:rsidR="003852E4">
        <w:t xml:space="preserve">  </w:t>
      </w:r>
      <w:r w:rsidR="00537E40">
        <w:t xml:space="preserve">In </w:t>
      </w:r>
      <w:r w:rsidR="00637FCD">
        <w:t>the case of a prescription for an HPHR opioid</w:t>
      </w:r>
      <w:r w:rsidR="00537E40">
        <w:t xml:space="preserve">, Chapter 258 requires pharmacists to dispense an interchangeable </w:t>
      </w:r>
      <w:r w:rsidR="00E43B95">
        <w:t>abuse-deterrent</w:t>
      </w:r>
      <w:r w:rsidR="00537E40">
        <w:t xml:space="preserve"> product if one exists, or if none </w:t>
      </w:r>
      <w:r w:rsidR="003D08C1">
        <w:t xml:space="preserve">exists, a less expensive, reasonably available, interchangeable drug product as allowed by the most current formulary or supplement thereof, as was required </w:t>
      </w:r>
      <w:r w:rsidR="002B58A8">
        <w:t xml:space="preserve">prior to the enactment of </w:t>
      </w:r>
      <w:r w:rsidR="003852E4">
        <w:t xml:space="preserve">Chapter </w:t>
      </w:r>
      <w:r w:rsidR="002B58A8">
        <w:t>258.</w:t>
      </w:r>
    </w:p>
    <w:p w:rsidR="002263ED" w:rsidRDefault="00137C23" w:rsidP="00C73DEA">
      <w:r>
        <w:lastRenderedPageBreak/>
        <w:t xml:space="preserve">The Commission’s minutes show evidence </w:t>
      </w:r>
      <w:r w:rsidR="00CA66EC">
        <w:t>of</w:t>
      </w:r>
      <w:r>
        <w:t xml:space="preserve"> questions raised</w:t>
      </w:r>
      <w:r w:rsidR="00CA66EC">
        <w:t xml:space="preserve"> </w:t>
      </w:r>
      <w:r>
        <w:t>about the legality under federal law of the default substitution requirement</w:t>
      </w:r>
      <w:r w:rsidR="00432710">
        <w:t xml:space="preserve"> </w:t>
      </w:r>
      <w:r>
        <w:t>for the specified ADOs.</w:t>
      </w:r>
      <w:r w:rsidR="00251036">
        <w:rPr>
          <w:rStyle w:val="EndnoteReference"/>
        </w:rPr>
        <w:endnoteReference w:id="39"/>
      </w:r>
      <w:r>
        <w:t xml:space="preserve">  </w:t>
      </w:r>
      <w:r w:rsidR="003852E4">
        <w:t>T</w:t>
      </w:r>
      <w:r w:rsidR="002263ED">
        <w:t>his analysis</w:t>
      </w:r>
      <w:r w:rsidR="003852E4">
        <w:t xml:space="preserve"> assumes</w:t>
      </w:r>
      <w:r w:rsidR="002263ED">
        <w:t xml:space="preserve"> the </w:t>
      </w:r>
      <w:r>
        <w:t xml:space="preserve">default </w:t>
      </w:r>
      <w:r w:rsidR="002263ED">
        <w:t xml:space="preserve">substitution of ADO’s for </w:t>
      </w:r>
      <w:r w:rsidR="00637FCD">
        <w:t>HPHR opioid</w:t>
      </w:r>
      <w:r w:rsidR="002263ED">
        <w:t>s is permiss</w:t>
      </w:r>
      <w:r w:rsidR="002B58A8">
        <w:t>ible under federal law.</w:t>
      </w:r>
    </w:p>
    <w:p w:rsidR="00611B1F" w:rsidRDefault="0025706E" w:rsidP="0025706E">
      <w:pPr>
        <w:pStyle w:val="Subhead2"/>
      </w:pPr>
      <w:r>
        <w:t xml:space="preserve">Coverage of ADOs </w:t>
      </w:r>
      <w:r w:rsidR="003852E4">
        <w:t>on a basis</w:t>
      </w:r>
      <w:r w:rsidR="00637FCD">
        <w:t xml:space="preserve"> not less favorable than </w:t>
      </w:r>
      <w:r w:rsidR="003852E4">
        <w:t xml:space="preserve">that for </w:t>
      </w:r>
      <w:r w:rsidR="00637FCD">
        <w:t>HPHR opioid</w:t>
      </w:r>
      <w:r>
        <w:t>s</w:t>
      </w:r>
    </w:p>
    <w:p w:rsidR="0025706E" w:rsidRDefault="0025706E" w:rsidP="0025706E">
      <w:r w:rsidRPr="004C3F1C">
        <w:t>Chapter 258</w:t>
      </w:r>
      <w:r>
        <w:t xml:space="preserve"> requires </w:t>
      </w:r>
      <w:r w:rsidRPr="004C3F1C">
        <w:t>health i</w:t>
      </w:r>
      <w:r>
        <w:t xml:space="preserve">nsurance plans to provide coverage for </w:t>
      </w:r>
      <w:r w:rsidR="003852E4">
        <w:t>ADO</w:t>
      </w:r>
      <w:r>
        <w:t xml:space="preserve"> </w:t>
      </w:r>
      <w:r w:rsidRPr="00256EFD">
        <w:t xml:space="preserve">drug products </w:t>
      </w:r>
      <w:r>
        <w:t>“</w:t>
      </w:r>
      <w:r w:rsidRPr="00256EFD">
        <w:t>on a basis not less favorable</w:t>
      </w:r>
      <w:r>
        <w:t>”</w:t>
      </w:r>
      <w:r w:rsidRPr="00256EFD">
        <w:t xml:space="preserve"> than </w:t>
      </w:r>
      <w:r>
        <w:t xml:space="preserve">coverage for </w:t>
      </w:r>
      <w:r w:rsidR="00637FCD">
        <w:t>HPHR</w:t>
      </w:r>
      <w:r>
        <w:t xml:space="preserve"> </w:t>
      </w:r>
      <w:r w:rsidRPr="00256EFD">
        <w:t xml:space="preserve">drug products covered by </w:t>
      </w:r>
      <w:r>
        <w:t>the plan</w:t>
      </w:r>
      <w:r w:rsidRPr="00256EFD">
        <w:t>.</w:t>
      </w:r>
      <w:r>
        <w:t xml:space="preserve"> </w:t>
      </w:r>
      <w:r w:rsidRPr="00256EFD">
        <w:t xml:space="preserve"> </w:t>
      </w:r>
      <w:r w:rsidR="00C73DEA">
        <w:t>An increase in patient cost sharing is not allowed to achieve</w:t>
      </w:r>
      <w:r w:rsidR="003852E4">
        <w:t xml:space="preserve"> compliance with this section.</w:t>
      </w:r>
    </w:p>
    <w:p w:rsidR="0025706E" w:rsidRDefault="0025706E" w:rsidP="0025706E">
      <w:r>
        <w:t xml:space="preserve">Because </w:t>
      </w:r>
      <w:r w:rsidR="001623F7">
        <w:t>most</w:t>
      </w:r>
      <w:r>
        <w:t xml:space="preserve"> ADO formulations are relatively new and under patent protection, they are </w:t>
      </w:r>
      <w:r w:rsidR="00095BA0">
        <w:t>often</w:t>
      </w:r>
      <w:r>
        <w:t xml:space="preserve"> more expensive than </w:t>
      </w:r>
      <w:r w:rsidR="00637FCD">
        <w:t>HPHR opioid</w:t>
      </w:r>
      <w:r>
        <w:t xml:space="preserve"> formulations that might be older and </w:t>
      </w:r>
      <w:r w:rsidR="003852E4">
        <w:t>available in</w:t>
      </w:r>
      <w:r>
        <w:t xml:space="preserve"> generic form.  Carriers often assign expensive drugs to classes (tiers) that require relatively higher copayments.  Chapter 258 would forbid carriers from assigning </w:t>
      </w:r>
      <w:r w:rsidR="003852E4">
        <w:t xml:space="preserve">substituted </w:t>
      </w:r>
      <w:r>
        <w:t xml:space="preserve">ADOs to higher copayment tiers.  </w:t>
      </w:r>
    </w:p>
    <w:p w:rsidR="0025706E" w:rsidRDefault="0025706E" w:rsidP="0025706E">
      <w:r>
        <w:t xml:space="preserve">The effect of this parity requirement, on top of the changes to the default pharmacy substitution procedures described above, is to encourage a shift to abuse-deterrent opioids defined in the formulary </w:t>
      </w:r>
      <w:r w:rsidR="00637FCD">
        <w:t>while insulating</w:t>
      </w:r>
      <w:r>
        <w:t xml:space="preserve"> patients from the increased cost of doing so.</w:t>
      </w:r>
    </w:p>
    <w:p w:rsidR="005264AE" w:rsidRPr="0015558E" w:rsidRDefault="005264AE" w:rsidP="0015558E">
      <w:pPr>
        <w:pStyle w:val="Heading2"/>
      </w:pPr>
      <w:bookmarkStart w:id="18" w:name="_Toc453922508"/>
      <w:bookmarkStart w:id="19" w:name="_Toc459278568"/>
      <w:bookmarkStart w:id="20" w:name="_Toc468887994"/>
      <w:r>
        <w:t xml:space="preserve">2.3. Plans affected by </w:t>
      </w:r>
      <w:bookmarkEnd w:id="17"/>
      <w:bookmarkEnd w:id="18"/>
      <w:bookmarkEnd w:id="19"/>
      <w:r w:rsidR="0007127D">
        <w:t>Chapter 258</w:t>
      </w:r>
      <w:bookmarkEnd w:id="20"/>
    </w:p>
    <w:p w:rsidR="00D90C7F" w:rsidRDefault="001623F7" w:rsidP="0015558E">
      <w:r>
        <w:t xml:space="preserve">Chapter 258’s requirement for </w:t>
      </w:r>
      <w:r w:rsidR="000759E8">
        <w:t xml:space="preserve">default substitution of </w:t>
      </w:r>
      <w:r w:rsidR="00521FA4">
        <w:t>a chemically</w:t>
      </w:r>
      <w:r w:rsidR="00194A89">
        <w:t>-</w:t>
      </w:r>
      <w:r w:rsidR="00521FA4">
        <w:t>equivalent substitution</w:t>
      </w:r>
      <w:r w:rsidR="000759E8">
        <w:t xml:space="preserve"> applies to all HPHR opioid prescriptions</w:t>
      </w:r>
      <w:r w:rsidR="00990D30">
        <w:t xml:space="preserve"> dispensed in the Commonwealth</w:t>
      </w:r>
      <w:r w:rsidR="0015558E">
        <w:t xml:space="preserve"> regardless of what entity</w:t>
      </w:r>
      <w:r>
        <w:t xml:space="preserve"> (commercial insurance, Medicare, Medicaid, the patient, etc.)</w:t>
      </w:r>
      <w:r w:rsidR="0015558E">
        <w:t xml:space="preserve"> pays for the dispensed drug. </w:t>
      </w:r>
      <w:r w:rsidR="000759E8">
        <w:t xml:space="preserve"> </w:t>
      </w:r>
      <w:r w:rsidR="0015558E">
        <w:t xml:space="preserve">However, </w:t>
      </w:r>
      <w:r w:rsidR="000759E8">
        <w:t>t</w:t>
      </w:r>
      <w:r w:rsidR="00D70A24">
        <w:t xml:space="preserve">he </w:t>
      </w:r>
      <w:r w:rsidR="0066784C">
        <w:t xml:space="preserve">separate </w:t>
      </w:r>
      <w:r w:rsidR="002D073C">
        <w:t xml:space="preserve">requirement to cover </w:t>
      </w:r>
      <w:r w:rsidR="000759E8">
        <w:t xml:space="preserve">the ADO </w:t>
      </w:r>
      <w:r w:rsidR="002D073C">
        <w:t>on a basis not less favorable than that for HPHR opioids</w:t>
      </w:r>
      <w:r w:rsidR="0015558E">
        <w:t xml:space="preserve"> </w:t>
      </w:r>
      <w:r w:rsidR="002D073C">
        <w:t xml:space="preserve">applies </w:t>
      </w:r>
      <w:r w:rsidR="000759E8">
        <w:t xml:space="preserve">only </w:t>
      </w:r>
      <w:r w:rsidR="002D073C">
        <w:t xml:space="preserve">to </w:t>
      </w:r>
      <w:r w:rsidR="002E0262">
        <w:t>the health insurance plans spe</w:t>
      </w:r>
      <w:r w:rsidR="002D073C">
        <w:t>c</w:t>
      </w:r>
      <w:r w:rsidR="002E0262">
        <w:t>ified in Chapter 258</w:t>
      </w:r>
      <w:r w:rsidR="002D073C">
        <w:t xml:space="preserve">.  </w:t>
      </w:r>
      <w:r w:rsidR="002E0262">
        <w:t>This analysis addresses the costs to those plans.</w:t>
      </w:r>
      <w:r w:rsidR="002E0262">
        <w:rPr>
          <w:rStyle w:val="FootnoteReference"/>
        </w:rPr>
        <w:footnoteReference w:id="2"/>
      </w:r>
    </w:p>
    <w:p w:rsidR="00A75DDE" w:rsidRDefault="0007127D" w:rsidP="00A75DDE">
      <w:pPr>
        <w:pStyle w:val="Toplist"/>
      </w:pPr>
      <w:r>
        <w:t>Chapter 258 amended</w:t>
      </w:r>
      <w:r w:rsidR="00A75DDE">
        <w:t xml:space="preserve"> the statutes </w:t>
      </w:r>
      <w:r>
        <w:t>regulating</w:t>
      </w:r>
      <w:r w:rsidR="00A75DDE">
        <w:t xml:space="preserve"> </w:t>
      </w:r>
      <w:r>
        <w:t>entities</w:t>
      </w:r>
      <w:r w:rsidR="00A75DDE">
        <w:t xml:space="preserve"> providing health insurance in Massachusetts</w:t>
      </w:r>
      <w:r w:rsidR="0066784C">
        <w:t xml:space="preserve"> to require </w:t>
      </w:r>
      <w:r w:rsidR="006A1BCE">
        <w:t xml:space="preserve">they cover the substituted ADOs on </w:t>
      </w:r>
      <w:r w:rsidR="006F3AE1">
        <w:t>a</w:t>
      </w:r>
      <w:r w:rsidR="006A1BCE">
        <w:t xml:space="preserve"> basis </w:t>
      </w:r>
      <w:r w:rsidR="006F3AE1">
        <w:t xml:space="preserve">not less favorable than that for </w:t>
      </w:r>
      <w:r w:rsidR="006A1BCE">
        <w:t>non-abuse deterrent opioids</w:t>
      </w:r>
      <w:r w:rsidR="00A75DDE" w:rsidRPr="00096036">
        <w:t xml:space="preserve">.  The following five sections of the </w:t>
      </w:r>
      <w:r w:rsidR="00A75DDE">
        <w:t xml:space="preserve">law </w:t>
      </w:r>
      <w:r w:rsidR="006F3AE1">
        <w:t xml:space="preserve">each </w:t>
      </w:r>
      <w:r w:rsidR="00A75DDE">
        <w:t>address a type of health insurance policy:</w:t>
      </w:r>
    </w:p>
    <w:p w:rsidR="00A75DDE" w:rsidRDefault="00A75DDE" w:rsidP="00A75DDE">
      <w:pPr>
        <w:pStyle w:val="Bullet1"/>
      </w:pPr>
      <w:r>
        <w:t>Section 9: Insurance for persons in service of the Commonwealth</w:t>
      </w:r>
      <w:r w:rsidR="00637FCD">
        <w:t>, administered by the Group Insurance Commission</w:t>
      </w:r>
      <w:r>
        <w:t xml:space="preserve"> (</w:t>
      </w:r>
      <w:r w:rsidR="00637FCD">
        <w:t>GIC</w:t>
      </w:r>
      <w:r w:rsidR="0007127D">
        <w:t>) (creating M.G.L. c. 32A, §</w:t>
      </w:r>
      <w:r>
        <w:t>17L)</w:t>
      </w:r>
    </w:p>
    <w:p w:rsidR="00A75DDE" w:rsidRDefault="00A75DDE" w:rsidP="00A75DDE">
      <w:pPr>
        <w:pStyle w:val="Bullet1"/>
      </w:pPr>
      <w:r>
        <w:t>Section 21</w:t>
      </w:r>
      <w:r w:rsidR="00637FCD">
        <w:t>:</w:t>
      </w:r>
      <w:r>
        <w:t xml:space="preserve"> Accident and sickness insurance poli</w:t>
      </w:r>
      <w:r w:rsidR="0007127D">
        <w:t>cies (creating M.G.L. c. 175, §</w:t>
      </w:r>
      <w:r>
        <w:t>47EE)</w:t>
      </w:r>
    </w:p>
    <w:p w:rsidR="00A75DDE" w:rsidRDefault="00A75DDE" w:rsidP="00A75DDE">
      <w:pPr>
        <w:pStyle w:val="Bullet1"/>
      </w:pPr>
      <w:r>
        <w:t>Section 23: Contracts with non-profit hospital service corporati</w:t>
      </w:r>
      <w:r w:rsidR="0007127D">
        <w:t>ons (creating M.G.L. c. 176A, §</w:t>
      </w:r>
      <w:r>
        <w:t>8GG)</w:t>
      </w:r>
    </w:p>
    <w:p w:rsidR="00A75DDE" w:rsidRDefault="00A75DDE" w:rsidP="00A75DDE">
      <w:pPr>
        <w:pStyle w:val="Bullet1"/>
      </w:pPr>
      <w:r>
        <w:t>Section 25</w:t>
      </w:r>
      <w:r w:rsidR="00637FCD">
        <w:t>:</w:t>
      </w:r>
      <w:r>
        <w:t xml:space="preserve"> Certificates under medical service agreeme</w:t>
      </w:r>
      <w:r w:rsidR="0007127D">
        <w:t>nts (creating M.G.L. c. 176B, §</w:t>
      </w:r>
      <w:r>
        <w:t>4GG)</w:t>
      </w:r>
    </w:p>
    <w:p w:rsidR="00A75DDE" w:rsidRDefault="00A75DDE" w:rsidP="00A75DDE">
      <w:pPr>
        <w:pStyle w:val="Bullet1last"/>
      </w:pPr>
      <w:r>
        <w:t>Section 27: Health maintenance contra</w:t>
      </w:r>
      <w:r w:rsidR="0007127D">
        <w:t>cts (creating M.G.L. c. 176G, §</w:t>
      </w:r>
      <w:r>
        <w:t>4Y)</w:t>
      </w:r>
    </w:p>
    <w:p w:rsidR="00A75DDE" w:rsidRDefault="00A75DDE" w:rsidP="002B58A8">
      <w:r>
        <w:lastRenderedPageBreak/>
        <w:t>The law requires coverage for members under the relevant plans, regardless of whether they reside within the Commonwealth or merely have their principal place of employment in the Commonwealth.</w:t>
      </w:r>
      <w:r w:rsidR="002D073C">
        <w:t xml:space="preserve">  </w:t>
      </w:r>
      <w:r w:rsidR="006F3AE1">
        <w:t>Note that h</w:t>
      </w:r>
      <w:r w:rsidR="002D073C">
        <w:t>ealth benefit plan mandates do not apply to plans that cover Massachusetts residents b</w:t>
      </w:r>
      <w:r w:rsidR="006F3AE1">
        <w:t>ut are issued in other states (although prescriptions for these residents will be affected by the substitution requirement along with everyone else’s).</w:t>
      </w:r>
    </w:p>
    <w:p w:rsidR="00A75DDE" w:rsidRPr="00A75DDE" w:rsidRDefault="00A75DDE" w:rsidP="002B58A8">
      <w:r w:rsidRPr="00420564">
        <w:t>Self-insured plans</w:t>
      </w:r>
      <w:r w:rsidR="0066784C">
        <w:t xml:space="preserve">, other than those administered by </w:t>
      </w:r>
      <w:r w:rsidR="00D82463">
        <w:t xml:space="preserve">the </w:t>
      </w:r>
      <w:r w:rsidR="0066784C">
        <w:t xml:space="preserve">GIC (see above) </w:t>
      </w:r>
      <w:r w:rsidRPr="00420564">
        <w:t xml:space="preserve">are </w:t>
      </w:r>
      <w:r w:rsidR="0066784C">
        <w:t xml:space="preserve">not </w:t>
      </w:r>
      <w:r w:rsidRPr="00420564">
        <w:t>subject to state-level health insurance benefit mandates.</w:t>
      </w:r>
      <w:r>
        <w:t xml:space="preserve">  St</w:t>
      </w:r>
      <w:r w:rsidRPr="00420564">
        <w:t xml:space="preserve">ate mandates </w:t>
      </w:r>
      <w:r>
        <w:t xml:space="preserve">do not </w:t>
      </w:r>
      <w:r w:rsidRPr="00420564">
        <w:t xml:space="preserve">apply to Medicare, and this analysis assumes </w:t>
      </w:r>
      <w:r>
        <w:t xml:space="preserve">that </w:t>
      </w:r>
      <w:r w:rsidRPr="00420564">
        <w:t xml:space="preserve">this mandate does not </w:t>
      </w:r>
      <w:r>
        <w:t>affect</w:t>
      </w:r>
      <w:r w:rsidRPr="00420564">
        <w:t xml:space="preserve"> Medicare extension/supplement plans even to the extent they are regulated by state law.</w:t>
      </w:r>
      <w:r>
        <w:t xml:space="preserve"> </w:t>
      </w:r>
      <w:r w:rsidRPr="0005451B">
        <w:t xml:space="preserve"> </w:t>
      </w:r>
      <w:r>
        <w:t>T</w:t>
      </w:r>
      <w:r w:rsidRPr="0005451B">
        <w:t xml:space="preserve">his </w:t>
      </w:r>
      <w:r>
        <w:t xml:space="preserve">analysis </w:t>
      </w:r>
      <w:r w:rsidRPr="0005451B">
        <w:t>does not apply to Medicaid/MassHealth</w:t>
      </w:r>
      <w:r w:rsidR="00F3156D">
        <w:t>.</w:t>
      </w:r>
    </w:p>
    <w:p w:rsidR="005264AE" w:rsidRDefault="00356EEA" w:rsidP="005264AE">
      <w:pPr>
        <w:pStyle w:val="Heading2"/>
      </w:pPr>
      <w:bookmarkStart w:id="21" w:name="_Toc459278569"/>
      <w:bookmarkStart w:id="22" w:name="_Toc348967803"/>
      <w:bookmarkStart w:id="23" w:name="_Toc453922509"/>
      <w:bookmarkStart w:id="24" w:name="_Toc468887995"/>
      <w:r>
        <w:t>2.4. Other e</w:t>
      </w:r>
      <w:r w:rsidR="005264AE">
        <w:t xml:space="preserve">xisting laws affecting </w:t>
      </w:r>
      <w:bookmarkEnd w:id="21"/>
      <w:bookmarkEnd w:id="22"/>
      <w:bookmarkEnd w:id="23"/>
      <w:r w:rsidR="0074716A">
        <w:t>ADOs</w:t>
      </w:r>
      <w:bookmarkEnd w:id="24"/>
    </w:p>
    <w:p w:rsidR="001C2704" w:rsidRDefault="001C2704" w:rsidP="001C2704">
      <w:r>
        <w:t xml:space="preserve">Chapter 52 of the Acts of 2016 was signed into law March 14, 2016.  </w:t>
      </w:r>
      <w:r w:rsidR="00276FB9">
        <w:t>It</w:t>
      </w:r>
      <w:r>
        <w:t xml:space="preserve"> has multiple provisions that regulate opioid prescrip</w:t>
      </w:r>
      <w:r w:rsidR="00684C4B">
        <w:t>tions.  The law imposes a seven-</w:t>
      </w:r>
      <w:r>
        <w:t>day limit on prescribing non-</w:t>
      </w:r>
      <w:r w:rsidR="00E43B95">
        <w:t>abuse-deterrent</w:t>
      </w:r>
      <w:r>
        <w:t xml:space="preserve"> opioid drug products, excluding certain circumstances (excep</w:t>
      </w:r>
      <w:r w:rsidR="00684C4B">
        <w:t>t for minors for whom the seven-</w:t>
      </w:r>
      <w:r>
        <w:t>day limit always applies).  It requires use of the Prescription Monitoring Program (PMP) by prescribers</w:t>
      </w:r>
      <w:r w:rsidR="00637FCD">
        <w:t>,</w:t>
      </w:r>
      <w:r>
        <w:t xml:space="preserve"> and establishes a benchmark mechanism to monitor prescriber opioid prescription practices.</w:t>
      </w:r>
      <w:r w:rsidR="00934601">
        <w:rPr>
          <w:rStyle w:val="EndnoteReference"/>
        </w:rPr>
        <w:endnoteReference w:id="40"/>
      </w:r>
      <w:r>
        <w:t xml:space="preserve">  It requires certain patient evaluations and pain management agreements between prescribers of opioid drug products and their patients.  The law also charges the Commission </w:t>
      </w:r>
      <w:r w:rsidR="00684C4B">
        <w:t>with</w:t>
      </w:r>
      <w:r>
        <w:t xml:space="preserve"> identify</w:t>
      </w:r>
      <w:r w:rsidR="00684C4B">
        <w:t>ing</w:t>
      </w:r>
      <w:r>
        <w:t xml:space="preserve"> and publish</w:t>
      </w:r>
      <w:r w:rsidR="00684C4B">
        <w:t>ing</w:t>
      </w:r>
      <w:r>
        <w:t xml:space="preserve"> a list of non-opioid drug products </w:t>
      </w:r>
      <w:r w:rsidR="00934601">
        <w:t>approved by the FDA</w:t>
      </w:r>
      <w:r>
        <w:t xml:space="preserve"> that are effective pain management alternatives and have a lesser potential for abuse than an opioid drug product contained in Schedules II and III.  The </w:t>
      </w:r>
      <w:r w:rsidR="00684C4B">
        <w:t xml:space="preserve">intent </w:t>
      </w:r>
      <w:r>
        <w:t>of these provisions is to encourage more judicious</w:t>
      </w:r>
      <w:r w:rsidR="00684C4B">
        <w:t xml:space="preserve"> prescribing</w:t>
      </w:r>
      <w:r>
        <w:t xml:space="preserve"> </w:t>
      </w:r>
      <w:r w:rsidR="00684C4B">
        <w:t xml:space="preserve">potentially leading to a </w:t>
      </w:r>
      <w:r>
        <w:t>reduction in the use of non-</w:t>
      </w:r>
      <w:r w:rsidR="00E43B95">
        <w:t>abuse-deterrent</w:t>
      </w:r>
      <w:r>
        <w:t xml:space="preserve"> opioid products.</w:t>
      </w:r>
      <w:r w:rsidR="001502B2">
        <w:rPr>
          <w:rStyle w:val="EndnoteReference"/>
        </w:rPr>
        <w:endnoteReference w:id="41"/>
      </w:r>
    </w:p>
    <w:p w:rsidR="007170D6" w:rsidRDefault="00070119" w:rsidP="00F3156D">
      <w:r>
        <w:t>On July 22, 2016, President Obama signed into law the Comprehensive Addiction and Recovery Act</w:t>
      </w:r>
      <w:r w:rsidR="00DB4AA8">
        <w:t xml:space="preserve"> (CARA)</w:t>
      </w:r>
      <w:r w:rsidR="006F3CC6">
        <w:rPr>
          <w:rStyle w:val="EndnoteReference"/>
        </w:rPr>
        <w:endnoteReference w:id="42"/>
      </w:r>
      <w:r w:rsidR="00DB4AA8">
        <w:t xml:space="preserve"> impacting opioid abuse</w:t>
      </w:r>
      <w:r>
        <w:t xml:space="preserve"> prevention, treatment, recovery, law enforcement, criminal justice reform, and overdose reversal.  While this law does not </w:t>
      </w:r>
      <w:r w:rsidR="00DB4AA8">
        <w:t>address</w:t>
      </w:r>
      <w:r>
        <w:t xml:space="preserve"> ADOs directly, several of its provision</w:t>
      </w:r>
      <w:r w:rsidR="00D653B6">
        <w:t>s</w:t>
      </w:r>
      <w:r>
        <w:t xml:space="preserve"> </w:t>
      </w:r>
      <w:r w:rsidR="00F53DE6">
        <w:t>may</w:t>
      </w:r>
      <w:r w:rsidR="00DB4AA8">
        <w:t xml:space="preserve"> lead to a</w:t>
      </w:r>
      <w:r>
        <w:t xml:space="preserve"> reduction in the use and misuse of</w:t>
      </w:r>
      <w:r w:rsidR="008A697A">
        <w:t xml:space="preserve"> opioid products. </w:t>
      </w:r>
    </w:p>
    <w:p w:rsidR="00A05842" w:rsidRDefault="00A05842" w:rsidP="00A05842">
      <w:pPr>
        <w:pStyle w:val="Heading1"/>
      </w:pPr>
      <w:bookmarkStart w:id="25" w:name="_Toc400658743"/>
      <w:bookmarkStart w:id="26" w:name="_Toc402352417"/>
      <w:bookmarkStart w:id="27" w:name="_Toc417656080"/>
      <w:bookmarkStart w:id="28" w:name="_Toc449710530"/>
      <w:bookmarkStart w:id="29" w:name="_Toc468887996"/>
      <w:r>
        <w:t>3. Methodology</w:t>
      </w:r>
      <w:bookmarkEnd w:id="29"/>
    </w:p>
    <w:p w:rsidR="00AB109F" w:rsidRPr="00A538BF" w:rsidRDefault="00AB109F" w:rsidP="00AB109F">
      <w:pPr>
        <w:pStyle w:val="Heading2"/>
      </w:pPr>
      <w:bookmarkStart w:id="30" w:name="_Toc468887997"/>
      <w:r>
        <w:t>3.1. Overview</w:t>
      </w:r>
      <w:bookmarkEnd w:id="25"/>
      <w:bookmarkEnd w:id="26"/>
      <w:bookmarkEnd w:id="27"/>
      <w:bookmarkEnd w:id="28"/>
      <w:bookmarkEnd w:id="30"/>
    </w:p>
    <w:p w:rsidR="00AB109F" w:rsidRDefault="00AB109F" w:rsidP="00AB109F">
      <w:r>
        <w:t xml:space="preserve">Projecting the impact of the </w:t>
      </w:r>
      <w:r w:rsidR="002E45C3">
        <w:t xml:space="preserve">proposed </w:t>
      </w:r>
      <w:r>
        <w:t xml:space="preserve">formulary on premiums requires estimating the </w:t>
      </w:r>
      <w:r w:rsidR="002E45C3">
        <w:t xml:space="preserve">volume </w:t>
      </w:r>
      <w:r>
        <w:t>of HPHR opioid</w:t>
      </w:r>
      <w:r w:rsidR="002E45C3">
        <w:t xml:space="preserve"> prescriptions</w:t>
      </w:r>
      <w:r>
        <w:t xml:space="preserve"> that would be converted to ADOs</w:t>
      </w:r>
      <w:r w:rsidR="00D53901">
        <w:t>,</w:t>
      </w:r>
      <w:r>
        <w:t xml:space="preserve"> both in the absence of the </w:t>
      </w:r>
      <w:r w:rsidR="00B57755">
        <w:t>default substitution requirement and in response to that requirement</w:t>
      </w:r>
      <w:r>
        <w:t xml:space="preserve">.  Combining these components, and accounting for carrier retention, results in a baseline estimate of the proposed </w:t>
      </w:r>
      <w:r w:rsidR="0007127D">
        <w:t>formulary’s</w:t>
      </w:r>
      <w:r>
        <w:t xml:space="preserve"> incremental effect on premiums, which is then projected over the two years following the assumed January 1, 2017 </w:t>
      </w:r>
      <w:r w:rsidR="002E45C3">
        <w:t xml:space="preserve">effective </w:t>
      </w:r>
      <w:r>
        <w:t xml:space="preserve">date of the </w:t>
      </w:r>
      <w:r w:rsidR="002E45C3">
        <w:t>formulary</w:t>
      </w:r>
      <w:r>
        <w:t>.</w:t>
      </w:r>
    </w:p>
    <w:p w:rsidR="00AB109F" w:rsidRDefault="00AB109F" w:rsidP="00AB109F">
      <w:pPr>
        <w:pStyle w:val="Heading2"/>
      </w:pPr>
      <w:bookmarkStart w:id="31" w:name="_Toc348967806"/>
      <w:bookmarkStart w:id="32" w:name="_Toc400658745"/>
      <w:bookmarkStart w:id="33" w:name="_Toc402352419"/>
      <w:bookmarkStart w:id="34" w:name="_Toc417656082"/>
      <w:bookmarkStart w:id="35" w:name="_Toc449710531"/>
      <w:bookmarkStart w:id="36" w:name="_Toc400658744"/>
      <w:bookmarkStart w:id="37" w:name="_Toc402352418"/>
      <w:bookmarkStart w:id="38" w:name="_Toc417656081"/>
      <w:bookmarkStart w:id="39" w:name="_Toc468887998"/>
      <w:r>
        <w:lastRenderedPageBreak/>
        <w:t>3.2. Data sources</w:t>
      </w:r>
      <w:bookmarkEnd w:id="31"/>
      <w:bookmarkEnd w:id="32"/>
      <w:bookmarkEnd w:id="33"/>
      <w:bookmarkEnd w:id="34"/>
      <w:bookmarkEnd w:id="35"/>
      <w:bookmarkEnd w:id="39"/>
    </w:p>
    <w:p w:rsidR="00AB109F" w:rsidRPr="008D1723" w:rsidRDefault="00AB109F" w:rsidP="008D1723">
      <w:pPr>
        <w:pStyle w:val="Toplist"/>
      </w:pPr>
      <w:r w:rsidRPr="003012CE">
        <w:t>The primary data sources used in the analysis were:</w:t>
      </w:r>
    </w:p>
    <w:p w:rsidR="00AB109F" w:rsidRDefault="00AB109F" w:rsidP="00AB109F">
      <w:pPr>
        <w:pStyle w:val="Bullet1"/>
      </w:pPr>
      <w:r>
        <w:t>Utilization data for long-acting opioids for January 2014 to June 2016 from the Massachusetts Pres</w:t>
      </w:r>
      <w:r w:rsidR="00B57755">
        <w:t>cription Monitoring Program (</w:t>
      </w:r>
      <w:r>
        <w:t>PMP)</w:t>
      </w:r>
    </w:p>
    <w:p w:rsidR="00AB109F" w:rsidRPr="003012CE" w:rsidRDefault="00AB109F" w:rsidP="00AB109F">
      <w:pPr>
        <w:pStyle w:val="Bullet1"/>
      </w:pPr>
      <w:r>
        <w:t>Wholesale Acquisition Cost (WAC) per unit for ADOs and HPHR opioids provided by the Department of Public Health (DPH)</w:t>
      </w:r>
    </w:p>
    <w:p w:rsidR="00AB109F" w:rsidRDefault="00F96759" w:rsidP="00AB109F">
      <w:pPr>
        <w:pStyle w:val="Bullet1"/>
      </w:pPr>
      <w:r>
        <w:t>Carrier</w:t>
      </w:r>
      <w:r w:rsidR="00AB109F" w:rsidRPr="003012CE">
        <w:t xml:space="preserve"> claim data from </w:t>
      </w:r>
      <w:r>
        <w:t>the</w:t>
      </w:r>
      <w:r w:rsidR="00AB109F" w:rsidRPr="003012CE">
        <w:t xml:space="preserve"> </w:t>
      </w:r>
      <w:r w:rsidRPr="003012CE">
        <w:t xml:space="preserve">Massachusetts </w:t>
      </w:r>
      <w:r w:rsidR="00AB109F">
        <w:t>All Payer Claim Database (</w:t>
      </w:r>
      <w:r w:rsidR="00A445D1">
        <w:t>MA-</w:t>
      </w:r>
      <w:r w:rsidR="00AB109F">
        <w:t>APCD)</w:t>
      </w:r>
      <w:r w:rsidR="00AB109F" w:rsidRPr="003012CE">
        <w:t xml:space="preserve"> for calendar year 201</w:t>
      </w:r>
      <w:r w:rsidR="00AB109F">
        <w:t>4</w:t>
      </w:r>
      <w:r w:rsidR="00AB109F" w:rsidRPr="003012CE">
        <w:t>, for plans covering the majority of the under-65 fully</w:t>
      </w:r>
      <w:r w:rsidR="00AB109F">
        <w:t>-</w:t>
      </w:r>
      <w:r w:rsidR="00AB109F" w:rsidRPr="003012CE">
        <w:t xml:space="preserve">insured population subject to the </w:t>
      </w:r>
      <w:r>
        <w:t>coverage requirements of Chapter 258</w:t>
      </w:r>
    </w:p>
    <w:p w:rsidR="00AB109F" w:rsidRDefault="00AB109F" w:rsidP="00AB109F">
      <w:pPr>
        <w:pStyle w:val="Bullet1"/>
      </w:pPr>
      <w:r>
        <w:t>Consumer Price Index prescription drug information for 2013 to 2016</w:t>
      </w:r>
    </w:p>
    <w:p w:rsidR="00AB109F" w:rsidRDefault="00AB109F" w:rsidP="002B58A8">
      <w:pPr>
        <w:pStyle w:val="Bullet1last"/>
      </w:pPr>
      <w:r>
        <w:t xml:space="preserve">Information from </w:t>
      </w:r>
      <w:r w:rsidR="00762B1E">
        <w:t xml:space="preserve">the </w:t>
      </w:r>
      <w:r>
        <w:t xml:space="preserve">DPH Drug Formulary Commission and clinical providers </w:t>
      </w:r>
    </w:p>
    <w:p w:rsidR="00AB109F" w:rsidRPr="00762B1E" w:rsidRDefault="00AB109F" w:rsidP="00762B1E">
      <w:pPr>
        <w:pStyle w:val="Heading2"/>
      </w:pPr>
      <w:bookmarkStart w:id="40" w:name="_Toc449710532"/>
      <w:bookmarkStart w:id="41" w:name="_Toc468887999"/>
      <w:r>
        <w:t>3.3. Steps in the analysis</w:t>
      </w:r>
      <w:bookmarkEnd w:id="36"/>
      <w:bookmarkEnd w:id="37"/>
      <w:bookmarkEnd w:id="38"/>
      <w:bookmarkEnd w:id="40"/>
      <w:bookmarkEnd w:id="41"/>
    </w:p>
    <w:p w:rsidR="00AB109F" w:rsidRDefault="002B58A8" w:rsidP="00AB109F">
      <w:r>
        <w:t>T</w:t>
      </w:r>
      <w:r w:rsidR="00AB109F" w:rsidRPr="00D04345">
        <w:t>he following steps</w:t>
      </w:r>
      <w:r>
        <w:t xml:space="preserve"> summarize the analysis.</w:t>
      </w:r>
    </w:p>
    <w:p w:rsidR="00AB109F" w:rsidRDefault="00AB109F" w:rsidP="002B58A8">
      <w:pPr>
        <w:pStyle w:val="Subhead3"/>
      </w:pPr>
      <w:r>
        <w:t xml:space="preserve">Estimate </w:t>
      </w:r>
      <w:r w:rsidR="008D1723">
        <w:t xml:space="preserve">the </w:t>
      </w:r>
      <w:r>
        <w:t xml:space="preserve">utilization of HPHR opioids and ADOs in the absence of the </w:t>
      </w:r>
      <w:r w:rsidR="00762B1E">
        <w:t>substitution requirement</w:t>
      </w:r>
    </w:p>
    <w:p w:rsidR="00AB109F" w:rsidRPr="00D53901" w:rsidRDefault="00AB109F" w:rsidP="002B58A8">
      <w:pPr>
        <w:pStyle w:val="Bullet1"/>
      </w:pPr>
      <w:r w:rsidRPr="00D53901">
        <w:t xml:space="preserve">Determine utilization of HPHR opioids </w:t>
      </w:r>
      <w:r w:rsidR="0005450F">
        <w:t>in the draft formulary</w:t>
      </w:r>
      <w:r w:rsidR="0005450F" w:rsidRPr="00D53901">
        <w:t xml:space="preserve"> </w:t>
      </w:r>
      <w:r w:rsidRPr="00D53901">
        <w:t>for relevant population from 2014</w:t>
      </w:r>
      <w:r w:rsidR="00A445D1">
        <w:t xml:space="preserve"> MA-APCD</w:t>
      </w:r>
      <w:r w:rsidRPr="00D53901">
        <w:t>.</w:t>
      </w:r>
    </w:p>
    <w:p w:rsidR="00AB109F" w:rsidRPr="00D53901" w:rsidRDefault="00AB109F" w:rsidP="002B58A8">
      <w:pPr>
        <w:pStyle w:val="Bullet1"/>
      </w:pPr>
      <w:r w:rsidRPr="00D53901">
        <w:t>Calculate utilization changes for 2014 through June 2016 from PMP data to estimate 2016 baseline HPHR opioid utilization.</w:t>
      </w:r>
    </w:p>
    <w:p w:rsidR="00AB109F" w:rsidRPr="00D53901" w:rsidRDefault="00AB109F" w:rsidP="002B58A8">
      <w:pPr>
        <w:pStyle w:val="Bullet1last"/>
      </w:pPr>
      <w:r w:rsidRPr="00D53901">
        <w:t>Estimate 2016 baseline utilization of ADOs for relevan</w:t>
      </w:r>
      <w:r w:rsidR="00224997">
        <w:t>t population using PMP 2016 data</w:t>
      </w:r>
      <w:r w:rsidRPr="00D53901">
        <w:t>.</w:t>
      </w:r>
    </w:p>
    <w:p w:rsidR="00AB109F" w:rsidRPr="00E70915" w:rsidRDefault="00AB109F" w:rsidP="002B58A8">
      <w:pPr>
        <w:pStyle w:val="Subhead3"/>
      </w:pPr>
      <w:r w:rsidRPr="00E70915">
        <w:t xml:space="preserve">Estimate </w:t>
      </w:r>
      <w:r w:rsidR="008D1723">
        <w:t xml:space="preserve">the </w:t>
      </w:r>
      <w:r>
        <w:t xml:space="preserve">cost </w:t>
      </w:r>
      <w:r w:rsidRPr="00E70915">
        <w:t xml:space="preserve">of HPHR opioids and ADOs in the absence of the </w:t>
      </w:r>
      <w:r w:rsidR="00762B1E">
        <w:t>substitution requirement</w:t>
      </w:r>
    </w:p>
    <w:p w:rsidR="00AB109F" w:rsidRPr="00D53901" w:rsidRDefault="00AB109F" w:rsidP="002B58A8">
      <w:pPr>
        <w:pStyle w:val="Bullet1"/>
      </w:pPr>
      <w:r w:rsidRPr="00D53901">
        <w:t>Determine price for each HPHR opioid using paid cost per unit for rele</w:t>
      </w:r>
      <w:r w:rsidR="00762B1E">
        <w:t>vant population from 2014</w:t>
      </w:r>
      <w:r w:rsidR="00A445D1">
        <w:t xml:space="preserve"> MA-APCD</w:t>
      </w:r>
      <w:r w:rsidR="00762B1E">
        <w:t>.</w:t>
      </w:r>
    </w:p>
    <w:p w:rsidR="00AB109F" w:rsidRPr="00D53901" w:rsidRDefault="00AB109F" w:rsidP="002B58A8">
      <w:pPr>
        <w:pStyle w:val="Bullet1"/>
      </w:pPr>
      <w:r w:rsidRPr="00D53901">
        <w:t>Estimate price for each ADO using paid cost per unit from PMP 2015 WAC.</w:t>
      </w:r>
    </w:p>
    <w:p w:rsidR="00AB109F" w:rsidRPr="00D53901" w:rsidRDefault="00AB109F" w:rsidP="002B58A8">
      <w:pPr>
        <w:pStyle w:val="Bullet1"/>
      </w:pPr>
      <w:r w:rsidRPr="00D53901">
        <w:t>Estimate 2016 baseline price per unit for ADOs and HPHR opioids.</w:t>
      </w:r>
    </w:p>
    <w:p w:rsidR="00AB109F" w:rsidRPr="00D53901" w:rsidRDefault="00AB109F" w:rsidP="002B58A8">
      <w:pPr>
        <w:pStyle w:val="Bullet1"/>
      </w:pPr>
      <w:r w:rsidRPr="00D53901">
        <w:t>Project price increase per unit for all relevant drugs to 2016 baseline based on Consumer Price Index for prescription drugs.</w:t>
      </w:r>
      <w:r w:rsidRPr="00D53901">
        <w:rPr>
          <w:rStyle w:val="EndnoteReference"/>
          <w:rFonts w:asciiTheme="majorHAnsi" w:hAnsiTheme="majorHAnsi"/>
        </w:rPr>
        <w:endnoteReference w:id="43"/>
      </w:r>
      <w:r w:rsidRPr="00D53901">
        <w:t xml:space="preserve"> </w:t>
      </w:r>
    </w:p>
    <w:p w:rsidR="00AB109F" w:rsidRPr="00D53901" w:rsidRDefault="00AB109F" w:rsidP="002B58A8">
      <w:pPr>
        <w:pStyle w:val="Bullet1last"/>
      </w:pPr>
      <w:r w:rsidRPr="00D53901">
        <w:t xml:space="preserve">Multiply utilization </w:t>
      </w:r>
      <w:r w:rsidR="000F272B">
        <w:t>by</w:t>
      </w:r>
      <w:r w:rsidRPr="00D53901">
        <w:t xml:space="preserve"> price per unit to calculate total cost of HPHR opioids and ADOs for the relevant population in the absence of the </w:t>
      </w:r>
      <w:r w:rsidR="000F272B">
        <w:t>substitution requirement</w:t>
      </w:r>
      <w:r w:rsidRPr="00D53901">
        <w:t>.</w:t>
      </w:r>
    </w:p>
    <w:p w:rsidR="00AB109F" w:rsidRDefault="00AB109F" w:rsidP="002B58A8">
      <w:pPr>
        <w:pStyle w:val="Subhead3"/>
      </w:pPr>
      <w:r>
        <w:t xml:space="preserve">Estimate </w:t>
      </w:r>
      <w:r w:rsidR="008D1723">
        <w:t xml:space="preserve">the </w:t>
      </w:r>
      <w:r>
        <w:t xml:space="preserve">utilization and cost of HPHR opioids that would convert to ADOs due to </w:t>
      </w:r>
      <w:r w:rsidR="000F272B">
        <w:t>substitution</w:t>
      </w:r>
    </w:p>
    <w:p w:rsidR="00AB109F" w:rsidRPr="00D53901" w:rsidRDefault="00AB109F" w:rsidP="002B58A8">
      <w:pPr>
        <w:pStyle w:val="Bullet1"/>
      </w:pPr>
      <w:r w:rsidRPr="00D53901">
        <w:t>Determine drug conversion ratio for each HPHR opioid dosage level to equivalent ADO.</w:t>
      </w:r>
    </w:p>
    <w:p w:rsidR="00AB109F" w:rsidRPr="00D53901" w:rsidRDefault="00AB109F" w:rsidP="002B58A8">
      <w:pPr>
        <w:pStyle w:val="Bullet1"/>
      </w:pPr>
      <w:r w:rsidRPr="00D53901">
        <w:t xml:space="preserve">Develop low-, mid-, and high-scenario estimates of utilization by drug and form that would convert from HPHR to ADO due to the </w:t>
      </w:r>
      <w:r w:rsidR="00B57755">
        <w:t>substitution requirement</w:t>
      </w:r>
      <w:r w:rsidRPr="00D53901">
        <w:t>.</w:t>
      </w:r>
      <w:r w:rsidRPr="00D53901">
        <w:rPr>
          <w:i/>
        </w:rPr>
        <w:t xml:space="preserve"> </w:t>
      </w:r>
    </w:p>
    <w:p w:rsidR="00AB109F" w:rsidRPr="00D53901" w:rsidRDefault="00AB109F" w:rsidP="002B58A8">
      <w:pPr>
        <w:pStyle w:val="Bullet1last"/>
      </w:pPr>
      <w:r w:rsidRPr="00D53901">
        <w:lastRenderedPageBreak/>
        <w:t xml:space="preserve">Multiply converted utilization under each </w:t>
      </w:r>
      <w:r w:rsidRPr="002B58A8">
        <w:t>scenario</w:t>
      </w:r>
      <w:r w:rsidRPr="00D53901">
        <w:t xml:space="preserve"> by price per unit to estimate baseline annual costs.</w:t>
      </w:r>
    </w:p>
    <w:p w:rsidR="00AB109F" w:rsidRDefault="00AB109F" w:rsidP="002B58A8">
      <w:pPr>
        <w:pStyle w:val="Subhead3"/>
      </w:pPr>
      <w:r>
        <w:t xml:space="preserve">Estimate </w:t>
      </w:r>
      <w:r w:rsidR="008D1723">
        <w:t xml:space="preserve">the </w:t>
      </w:r>
      <w:r>
        <w:t xml:space="preserve">marginal cost of HPHR opioids that would convert to ADOs due to </w:t>
      </w:r>
      <w:r w:rsidR="00D11A48">
        <w:t>substitution</w:t>
      </w:r>
    </w:p>
    <w:p w:rsidR="00AB109F" w:rsidRDefault="00AB109F" w:rsidP="002B58A8">
      <w:pPr>
        <w:pStyle w:val="Bullet1"/>
      </w:pPr>
      <w:r>
        <w:t xml:space="preserve">Subtract cost of HPHR opioids and ADOs in the absence of </w:t>
      </w:r>
      <w:r w:rsidR="00D11A48">
        <w:t xml:space="preserve">substitution </w:t>
      </w:r>
      <w:r>
        <w:t xml:space="preserve">from costs under low, mid, and high conversion scenarios to estimate </w:t>
      </w:r>
      <w:r w:rsidR="00B57755">
        <w:t xml:space="preserve">the </w:t>
      </w:r>
      <w:r>
        <w:t xml:space="preserve">incremental cost of the </w:t>
      </w:r>
      <w:r w:rsidR="00B57755">
        <w:t>substitution requirement</w:t>
      </w:r>
      <w:r>
        <w:t>.</w:t>
      </w:r>
    </w:p>
    <w:p w:rsidR="00AB109F" w:rsidRDefault="00AB109F" w:rsidP="002B58A8">
      <w:pPr>
        <w:pStyle w:val="Bullet1"/>
      </w:pPr>
      <w:r>
        <w:t xml:space="preserve">Divide the annual incremental cost by the </w:t>
      </w:r>
      <w:r w:rsidRPr="002B58A8">
        <w:t>corresponding</w:t>
      </w:r>
      <w:r>
        <w:t xml:space="preserve"> membership to calculate baseline per member per month (PMPM) costs.</w:t>
      </w:r>
    </w:p>
    <w:p w:rsidR="00AB109F" w:rsidRDefault="00AB109F" w:rsidP="002B58A8">
      <w:pPr>
        <w:pStyle w:val="Bullet1last"/>
      </w:pPr>
      <w:r>
        <w:t>Project PMPM costs through projection period based on price increase per unit using the three-year average prescription drug CPI.</w:t>
      </w:r>
    </w:p>
    <w:p w:rsidR="00AB109F" w:rsidRPr="00481673" w:rsidRDefault="00AB109F" w:rsidP="002B58A8">
      <w:pPr>
        <w:pStyle w:val="Subhead3"/>
      </w:pPr>
      <w:r w:rsidRPr="00203597">
        <w:t xml:space="preserve">Calculate </w:t>
      </w:r>
      <w:r w:rsidR="002B58A8">
        <w:t xml:space="preserve">the </w:t>
      </w:r>
      <w:r w:rsidR="002B58A8" w:rsidRPr="00203597">
        <w:t xml:space="preserve">impact of projected </w:t>
      </w:r>
      <w:r w:rsidR="008D1723">
        <w:t xml:space="preserve">increases in medical expense </w:t>
      </w:r>
      <w:r w:rsidR="002B58A8">
        <w:t xml:space="preserve">on </w:t>
      </w:r>
      <w:r w:rsidRPr="00203597">
        <w:t xml:space="preserve">insurance </w:t>
      </w:r>
      <w:r>
        <w:t>premium</w:t>
      </w:r>
      <w:r w:rsidR="002B58A8">
        <w:t>s</w:t>
      </w:r>
    </w:p>
    <w:p w:rsidR="00AB109F" w:rsidRDefault="00AB109F" w:rsidP="002B58A8">
      <w:pPr>
        <w:pStyle w:val="Bullet1"/>
      </w:pPr>
      <w:r>
        <w:t xml:space="preserve">Estimate the impact of </w:t>
      </w:r>
      <w:r w:rsidR="00F96759">
        <w:t>carrier</w:t>
      </w:r>
      <w:r>
        <w:t xml:space="preserve"> retention (</w:t>
      </w:r>
      <w:r w:rsidRPr="002B58A8">
        <w:t>administrative</w:t>
      </w:r>
      <w:r>
        <w:t xml:space="preserve"> costs and profit) on premiums.</w:t>
      </w:r>
    </w:p>
    <w:p w:rsidR="00224997" w:rsidRDefault="00AB109F" w:rsidP="002B58A8">
      <w:pPr>
        <w:pStyle w:val="Bullet1"/>
      </w:pPr>
      <w:r>
        <w:t xml:space="preserve">Estimate the fully-insured Massachusetts population under age 65, projected for the next two years (2017 to 2018). </w:t>
      </w:r>
    </w:p>
    <w:p w:rsidR="00AB109F" w:rsidRPr="00D224C0" w:rsidRDefault="00AB109F" w:rsidP="002B58A8">
      <w:pPr>
        <w:pStyle w:val="Bullet1last"/>
      </w:pPr>
      <w:r w:rsidRPr="00D224C0">
        <w:t xml:space="preserve">Multiply the PMPM costs </w:t>
      </w:r>
      <w:r>
        <w:t xml:space="preserve">for each scenario </w:t>
      </w:r>
      <w:r w:rsidRPr="00D224C0">
        <w:t>by the corresponding membership to get annual incremental cost.</w:t>
      </w:r>
    </w:p>
    <w:p w:rsidR="00AB109F" w:rsidRPr="00C24C14" w:rsidRDefault="00AB109F" w:rsidP="00D11A48">
      <w:pPr>
        <w:pStyle w:val="Subhead3"/>
        <w:spacing w:after="200"/>
      </w:pPr>
      <w:r w:rsidRPr="00C24C14">
        <w:t>Estimate</w:t>
      </w:r>
      <w:r w:rsidR="002B58A8">
        <w:t xml:space="preserve"> the</w:t>
      </w:r>
      <w:r w:rsidR="008D1723">
        <w:t xml:space="preserve"> impact of potential </w:t>
      </w:r>
      <w:r w:rsidR="00D36162" w:rsidRPr="00C24C14">
        <w:t xml:space="preserve">changes </w:t>
      </w:r>
      <w:r w:rsidR="00D36162">
        <w:t xml:space="preserve">in </w:t>
      </w:r>
      <w:r w:rsidRPr="00C24C14">
        <w:t xml:space="preserve">utilization </w:t>
      </w:r>
      <w:r w:rsidR="00D36162">
        <w:t>of</w:t>
      </w:r>
      <w:r w:rsidR="00D11A48">
        <w:t xml:space="preserve"> these drugs on the PMPM costs</w:t>
      </w:r>
    </w:p>
    <w:p w:rsidR="00AB109F" w:rsidRDefault="00AB109F" w:rsidP="002B58A8">
      <w:r>
        <w:t>Section 4 describes these steps in more detail.</w:t>
      </w:r>
    </w:p>
    <w:p w:rsidR="00AB109F" w:rsidRDefault="00AB109F" w:rsidP="00AB109F">
      <w:pPr>
        <w:pStyle w:val="Heading2"/>
      </w:pPr>
      <w:bookmarkStart w:id="42" w:name="_Toc400658761"/>
      <w:bookmarkStart w:id="43" w:name="_Toc402352420"/>
      <w:bookmarkStart w:id="44" w:name="_Toc417656083"/>
      <w:bookmarkStart w:id="45" w:name="_Toc449710533"/>
      <w:bookmarkStart w:id="46" w:name="_Toc468888000"/>
      <w:r w:rsidRPr="00D1298B">
        <w:t>3.4. Limitations</w:t>
      </w:r>
      <w:bookmarkEnd w:id="42"/>
      <w:bookmarkEnd w:id="43"/>
      <w:bookmarkEnd w:id="44"/>
      <w:bookmarkEnd w:id="45"/>
      <w:bookmarkEnd w:id="46"/>
    </w:p>
    <w:p w:rsidR="00AB109F" w:rsidRDefault="00AB109F" w:rsidP="00AB109F">
      <w:r>
        <w:t xml:space="preserve">This analysis is limited to the drugs specifically outlined by the Drug Formulary Commission </w:t>
      </w:r>
      <w:r w:rsidR="0005450F">
        <w:t xml:space="preserve">in its draft </w:t>
      </w:r>
      <w:r>
        <w:t xml:space="preserve">as </w:t>
      </w:r>
      <w:r w:rsidR="005C4F3A">
        <w:t xml:space="preserve">components of </w:t>
      </w:r>
      <w:r w:rsidR="00C87729">
        <w:t>chemically-</w:t>
      </w:r>
      <w:r>
        <w:t>equivalent substitutions</w:t>
      </w:r>
      <w:r w:rsidR="00302318">
        <w:t xml:space="preserve">, including </w:t>
      </w:r>
      <w:r w:rsidR="00B26049">
        <w:t xml:space="preserve">four </w:t>
      </w:r>
      <w:r w:rsidR="00302318">
        <w:t>HPHR opioids</w:t>
      </w:r>
      <w:r w:rsidR="009A1375">
        <w:t xml:space="preserve"> </w:t>
      </w:r>
      <w:r w:rsidR="00302318">
        <w:t>and two ADOs</w:t>
      </w:r>
      <w:r w:rsidR="005C4F3A">
        <w:t>.  M</w:t>
      </w:r>
      <w:r>
        <w:t>any more opioid</w:t>
      </w:r>
      <w:r w:rsidR="005C4F3A">
        <w:t xml:space="preserve"> product</w:t>
      </w:r>
      <w:r>
        <w:t xml:space="preserve">s </w:t>
      </w:r>
      <w:r w:rsidR="005C4F3A">
        <w:t xml:space="preserve">are </w:t>
      </w:r>
      <w:r>
        <w:t>prescribed in general, including other ADOs</w:t>
      </w:r>
      <w:r w:rsidR="00724461">
        <w:t xml:space="preserve"> </w:t>
      </w:r>
      <w:r w:rsidR="00D13E4B">
        <w:t xml:space="preserve">the Commission did </w:t>
      </w:r>
      <w:r w:rsidR="00724461">
        <w:t xml:space="preserve">not </w:t>
      </w:r>
      <w:r w:rsidR="00D13E4B">
        <w:t>pair with</w:t>
      </w:r>
      <w:r w:rsidR="00724461">
        <w:t xml:space="preserve"> </w:t>
      </w:r>
      <w:r w:rsidR="00D13E4B">
        <w:t>chemically-</w:t>
      </w:r>
      <w:r w:rsidR="00724461">
        <w:t xml:space="preserve">equivalent </w:t>
      </w:r>
      <w:r w:rsidR="001364F6">
        <w:t>HPHR opioid</w:t>
      </w:r>
      <w:r w:rsidR="00724461">
        <w:t xml:space="preserve"> products</w:t>
      </w:r>
      <w:r>
        <w:t xml:space="preserve">.  However, this </w:t>
      </w:r>
      <w:r w:rsidR="00D1213E">
        <w:t>analysis</w:t>
      </w:r>
      <w:r>
        <w:t xml:space="preserve"> do</w:t>
      </w:r>
      <w:r w:rsidR="005D7EE3">
        <w:t xml:space="preserve">es not consider utilization </w:t>
      </w:r>
      <w:r>
        <w:t>of these other</w:t>
      </w:r>
      <w:r w:rsidR="005C4F3A">
        <w:t xml:space="preserve"> drugs, nor does it include </w:t>
      </w:r>
      <w:r>
        <w:t>estimation of utilization changes from these drugs to other opioids</w:t>
      </w:r>
      <w:r w:rsidR="00302318">
        <w:t xml:space="preserve"> that may be </w:t>
      </w:r>
      <w:r w:rsidR="00D1213E">
        <w:t>identified by the Commission as ADOs</w:t>
      </w:r>
      <w:r w:rsidR="00302318">
        <w:t xml:space="preserve"> but are not </w:t>
      </w:r>
      <w:r w:rsidR="00D955F7">
        <w:t xml:space="preserve">identified as components of a </w:t>
      </w:r>
      <w:r w:rsidR="00302318">
        <w:t xml:space="preserve">substitution </w:t>
      </w:r>
      <w:r w:rsidR="009E4224">
        <w:t>or that may be introduced to the market in the future</w:t>
      </w:r>
      <w:r>
        <w:t>.</w:t>
      </w:r>
    </w:p>
    <w:p w:rsidR="005D7EE3" w:rsidRDefault="005D7EE3" w:rsidP="00AB109F">
      <w:r>
        <w:t>This analysis is focused on the substituti</w:t>
      </w:r>
      <w:r w:rsidR="00C87729">
        <w:t>on of ADOs for chemically-</w:t>
      </w:r>
      <w:r>
        <w:t>equivalent HPHRs only.  The</w:t>
      </w:r>
      <w:r w:rsidR="00FA00C2">
        <w:t xml:space="preserve"> impact on drug prices and utilization of the</w:t>
      </w:r>
      <w:r>
        <w:t xml:space="preserve"> </w:t>
      </w:r>
      <w:r w:rsidR="00FA00C2">
        <w:t>law existing before enactment of Chapter 258,</w:t>
      </w:r>
      <w:r>
        <w:t xml:space="preserve"> </w:t>
      </w:r>
      <w:r w:rsidR="00FA00C2">
        <w:t>requiring</w:t>
      </w:r>
      <w:r>
        <w:t xml:space="preserve"> pharmacists to dispense a less</w:t>
      </w:r>
      <w:r w:rsidR="00FA00C2">
        <w:t>-</w:t>
      </w:r>
      <w:r>
        <w:t>expensive drug product for prescriptions</w:t>
      </w:r>
      <w:r w:rsidR="00FA00C2">
        <w:t>,</w:t>
      </w:r>
      <w:r>
        <w:t xml:space="preserve"> </w:t>
      </w:r>
      <w:r w:rsidR="00C11A2C">
        <w:t>is assumed to already be reflected in the baseline data.</w:t>
      </w:r>
    </w:p>
    <w:p w:rsidR="00AB109F" w:rsidRPr="009615B6" w:rsidRDefault="00AB109F" w:rsidP="00AB109F">
      <w:r>
        <w:t>All</w:t>
      </w:r>
      <w:r w:rsidR="00A445D1">
        <w:t xml:space="preserve"> MA-APCD</w:t>
      </w:r>
      <w:r>
        <w:t xml:space="preserve"> information used in this study</w:t>
      </w:r>
      <w:r w:rsidR="00724461">
        <w:t xml:space="preserve"> to generate PMPM costs</w:t>
      </w:r>
      <w:r>
        <w:t xml:space="preserve"> is based on data from the largest three health insurance carriers in the Massachusetts commercial market.</w:t>
      </w:r>
      <w:r>
        <w:rPr>
          <w:rStyle w:val="EndnoteReference"/>
        </w:rPr>
        <w:endnoteReference w:id="44"/>
      </w:r>
      <w:r>
        <w:t xml:space="preserve">  </w:t>
      </w:r>
      <w:r w:rsidR="00724461">
        <w:t>Aggregate dollar c</w:t>
      </w:r>
      <w:r w:rsidRPr="009615B6">
        <w:t>ost estimates contained in this report assume that the PMPM costs obtained from the</w:t>
      </w:r>
      <w:r w:rsidR="00A445D1">
        <w:t xml:space="preserve"> MA-APCD</w:t>
      </w:r>
      <w:r w:rsidRPr="009615B6">
        <w:t xml:space="preserve"> sample data are representative of the overall fully-insured commercial under-65 population.</w:t>
      </w:r>
    </w:p>
    <w:p w:rsidR="00AB109F" w:rsidRDefault="00AB109F" w:rsidP="00AB109F">
      <w:r>
        <w:lastRenderedPageBreak/>
        <w:t xml:space="preserve">One significant limitation of this study is that no single available data set includes complete information about the relevant </w:t>
      </w:r>
      <w:r w:rsidR="00956D73">
        <w:t xml:space="preserve">draft </w:t>
      </w:r>
      <w:r>
        <w:t>formulary drugs for the study population over time.  Therefore, both</w:t>
      </w:r>
      <w:r w:rsidR="00A445D1">
        <w:t xml:space="preserve"> MA-APCD</w:t>
      </w:r>
      <w:r>
        <w:t xml:space="preserve"> and PMP data were used to construct a projection model for ADO and HPHR opioid use through 2018.  </w:t>
      </w:r>
      <w:r w:rsidR="00EF62F6">
        <w:t>Below is a</w:t>
      </w:r>
      <w:r>
        <w:t xml:space="preserve"> description of the relevant data elements and the limitations in each database.</w:t>
      </w:r>
    </w:p>
    <w:tbl>
      <w:tblPr>
        <w:tblW w:w="864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top w:w="14" w:type="dxa"/>
          <w:left w:w="58" w:type="dxa"/>
          <w:bottom w:w="14" w:type="dxa"/>
          <w:right w:w="58" w:type="dxa"/>
        </w:tblCellMar>
        <w:tblLook w:val="04A0"/>
      </w:tblPr>
      <w:tblGrid>
        <w:gridCol w:w="2016"/>
        <w:gridCol w:w="3312"/>
        <w:gridCol w:w="3312"/>
      </w:tblGrid>
      <w:tr w:rsidR="00AB109F" w:rsidRPr="00D11FB0" w:rsidTr="00D955F7">
        <w:trPr>
          <w:cantSplit/>
          <w:jc w:val="center"/>
        </w:trPr>
        <w:tc>
          <w:tcPr>
            <w:tcW w:w="2016" w:type="dxa"/>
            <w:vAlign w:val="bottom"/>
          </w:tcPr>
          <w:p w:rsidR="00AB109F" w:rsidRPr="00D11FB0" w:rsidRDefault="00AB109F" w:rsidP="00194A89">
            <w:pPr>
              <w:keepNext/>
              <w:spacing w:after="0" w:line="240" w:lineRule="auto"/>
              <w:jc w:val="center"/>
              <w:rPr>
                <w:rFonts w:asciiTheme="minorHAnsi" w:hAnsiTheme="minorHAnsi"/>
                <w:sz w:val="20"/>
              </w:rPr>
            </w:pPr>
          </w:p>
        </w:tc>
        <w:tc>
          <w:tcPr>
            <w:tcW w:w="3312" w:type="dxa"/>
            <w:vAlign w:val="bottom"/>
          </w:tcPr>
          <w:p w:rsidR="00AB109F" w:rsidRPr="008D35D8" w:rsidRDefault="00AB109F" w:rsidP="00194A89">
            <w:pPr>
              <w:keepNext/>
              <w:spacing w:after="0" w:line="240" w:lineRule="auto"/>
              <w:jc w:val="center"/>
              <w:rPr>
                <w:rFonts w:asciiTheme="minorHAnsi" w:hAnsiTheme="minorHAnsi"/>
                <w:b/>
                <w:sz w:val="20"/>
              </w:rPr>
            </w:pPr>
            <w:r w:rsidRPr="008D35D8">
              <w:rPr>
                <w:rFonts w:asciiTheme="minorHAnsi" w:hAnsiTheme="minorHAnsi"/>
                <w:b/>
                <w:sz w:val="20"/>
              </w:rPr>
              <w:t>APCD</w:t>
            </w:r>
          </w:p>
        </w:tc>
        <w:tc>
          <w:tcPr>
            <w:tcW w:w="3312" w:type="dxa"/>
            <w:vAlign w:val="bottom"/>
          </w:tcPr>
          <w:p w:rsidR="00AB109F" w:rsidRPr="008D35D8" w:rsidRDefault="00AB109F" w:rsidP="00194A89">
            <w:pPr>
              <w:keepNext/>
              <w:spacing w:after="0" w:line="240" w:lineRule="auto"/>
              <w:jc w:val="center"/>
              <w:rPr>
                <w:rFonts w:asciiTheme="minorHAnsi" w:hAnsiTheme="minorHAnsi"/>
                <w:b/>
                <w:sz w:val="20"/>
              </w:rPr>
            </w:pPr>
            <w:r w:rsidRPr="008D35D8">
              <w:rPr>
                <w:rFonts w:asciiTheme="minorHAnsi" w:hAnsiTheme="minorHAnsi"/>
                <w:b/>
                <w:sz w:val="20"/>
              </w:rPr>
              <w:t>PMP</w:t>
            </w:r>
          </w:p>
        </w:tc>
      </w:tr>
      <w:tr w:rsidR="00AB109F" w:rsidRPr="00D11FB0" w:rsidTr="00D955F7">
        <w:trPr>
          <w:cantSplit/>
          <w:jc w:val="center"/>
        </w:trPr>
        <w:tc>
          <w:tcPr>
            <w:tcW w:w="2016" w:type="dxa"/>
          </w:tcPr>
          <w:p w:rsidR="00AB109F" w:rsidRPr="00D11FB0" w:rsidRDefault="00AB109F" w:rsidP="00194A89">
            <w:pPr>
              <w:keepNext/>
              <w:spacing w:after="0" w:line="240" w:lineRule="auto"/>
              <w:rPr>
                <w:rFonts w:asciiTheme="minorHAnsi" w:hAnsiTheme="minorHAnsi"/>
                <w:sz w:val="20"/>
              </w:rPr>
            </w:pPr>
            <w:r w:rsidRPr="00D11FB0">
              <w:rPr>
                <w:rFonts w:asciiTheme="minorHAnsi" w:hAnsiTheme="minorHAnsi"/>
                <w:sz w:val="20"/>
              </w:rPr>
              <w:t>Time period available</w:t>
            </w:r>
          </w:p>
        </w:tc>
        <w:tc>
          <w:tcPr>
            <w:tcW w:w="3312" w:type="dxa"/>
          </w:tcPr>
          <w:p w:rsidR="00AB109F" w:rsidRPr="00D11FB0" w:rsidRDefault="00AB109F" w:rsidP="00194A89">
            <w:pPr>
              <w:keepNext/>
              <w:spacing w:after="0" w:line="240" w:lineRule="auto"/>
              <w:rPr>
                <w:rFonts w:asciiTheme="minorHAnsi" w:hAnsiTheme="minorHAnsi"/>
                <w:sz w:val="20"/>
              </w:rPr>
            </w:pPr>
            <w:r w:rsidRPr="00D11FB0">
              <w:rPr>
                <w:rFonts w:asciiTheme="minorHAnsi" w:hAnsiTheme="minorHAnsi"/>
                <w:sz w:val="20"/>
              </w:rPr>
              <w:t>2014</w:t>
            </w:r>
            <w:r w:rsidR="00C034D9">
              <w:rPr>
                <w:rFonts w:asciiTheme="minorHAnsi" w:hAnsiTheme="minorHAnsi"/>
                <w:sz w:val="20"/>
              </w:rPr>
              <w:t xml:space="preserve"> was available for this analysis</w:t>
            </w:r>
          </w:p>
        </w:tc>
        <w:tc>
          <w:tcPr>
            <w:tcW w:w="3312" w:type="dxa"/>
          </w:tcPr>
          <w:p w:rsidR="00AB109F" w:rsidRPr="00D11FB0" w:rsidRDefault="00AB109F" w:rsidP="00194A89">
            <w:pPr>
              <w:keepNext/>
              <w:spacing w:after="0" w:line="240" w:lineRule="auto"/>
              <w:rPr>
                <w:rFonts w:asciiTheme="minorHAnsi" w:hAnsiTheme="minorHAnsi"/>
                <w:sz w:val="20"/>
              </w:rPr>
            </w:pPr>
            <w:r w:rsidRPr="00D11FB0">
              <w:rPr>
                <w:rFonts w:asciiTheme="minorHAnsi" w:hAnsiTheme="minorHAnsi"/>
                <w:sz w:val="20"/>
              </w:rPr>
              <w:t>2014 – June 2016</w:t>
            </w:r>
          </w:p>
        </w:tc>
      </w:tr>
      <w:tr w:rsidR="00AB109F" w:rsidRPr="00D11FB0" w:rsidTr="00D955F7">
        <w:trPr>
          <w:cantSplit/>
          <w:jc w:val="center"/>
        </w:trPr>
        <w:tc>
          <w:tcPr>
            <w:tcW w:w="2016" w:type="dxa"/>
          </w:tcPr>
          <w:p w:rsidR="00AB109F" w:rsidRPr="00D11FB0" w:rsidRDefault="00AB109F" w:rsidP="00194A89">
            <w:pPr>
              <w:keepNext/>
              <w:spacing w:after="0" w:line="240" w:lineRule="auto"/>
              <w:rPr>
                <w:rFonts w:asciiTheme="minorHAnsi" w:hAnsiTheme="minorHAnsi"/>
                <w:sz w:val="20"/>
              </w:rPr>
            </w:pPr>
            <w:r w:rsidRPr="00D11FB0">
              <w:rPr>
                <w:rFonts w:asciiTheme="minorHAnsi" w:hAnsiTheme="minorHAnsi"/>
                <w:sz w:val="20"/>
              </w:rPr>
              <w:t>Population</w:t>
            </w:r>
          </w:p>
        </w:tc>
        <w:tc>
          <w:tcPr>
            <w:tcW w:w="3312" w:type="dxa"/>
          </w:tcPr>
          <w:p w:rsidR="00AB109F" w:rsidRPr="00D11FB0" w:rsidRDefault="00AB109F" w:rsidP="00194A89">
            <w:pPr>
              <w:keepNext/>
              <w:spacing w:after="0" w:line="240" w:lineRule="auto"/>
              <w:rPr>
                <w:rFonts w:asciiTheme="minorHAnsi" w:hAnsiTheme="minorHAnsi"/>
                <w:sz w:val="20"/>
              </w:rPr>
            </w:pPr>
            <w:r w:rsidRPr="00D11FB0">
              <w:rPr>
                <w:rFonts w:asciiTheme="minorHAnsi" w:hAnsiTheme="minorHAnsi"/>
                <w:sz w:val="20"/>
              </w:rPr>
              <w:t>Fully-insured membership ages 0-64</w:t>
            </w:r>
          </w:p>
        </w:tc>
        <w:tc>
          <w:tcPr>
            <w:tcW w:w="3312" w:type="dxa"/>
          </w:tcPr>
          <w:p w:rsidR="00AB109F" w:rsidRPr="00D11FB0" w:rsidRDefault="00D955F7" w:rsidP="00194A89">
            <w:pPr>
              <w:keepNext/>
              <w:spacing w:after="0" w:line="240" w:lineRule="auto"/>
              <w:rPr>
                <w:rFonts w:asciiTheme="minorHAnsi" w:hAnsiTheme="minorHAnsi"/>
                <w:sz w:val="20"/>
              </w:rPr>
            </w:pPr>
            <w:r>
              <w:rPr>
                <w:rFonts w:asciiTheme="minorHAnsi" w:hAnsiTheme="minorHAnsi"/>
                <w:sz w:val="20"/>
              </w:rPr>
              <w:t>All prescriptions (for e</w:t>
            </w:r>
            <w:r w:rsidR="00AB109F" w:rsidRPr="00D11FB0">
              <w:rPr>
                <w:rFonts w:asciiTheme="minorHAnsi" w:hAnsiTheme="minorHAnsi"/>
                <w:sz w:val="20"/>
              </w:rPr>
              <w:t>ntire population</w:t>
            </w:r>
            <w:r>
              <w:rPr>
                <w:rFonts w:asciiTheme="minorHAnsi" w:hAnsiTheme="minorHAnsi"/>
                <w:sz w:val="20"/>
              </w:rPr>
              <w:t>)</w:t>
            </w:r>
          </w:p>
        </w:tc>
      </w:tr>
      <w:tr w:rsidR="00AB109F" w:rsidRPr="00D11FB0" w:rsidTr="00D955F7">
        <w:trPr>
          <w:cantSplit/>
          <w:jc w:val="center"/>
        </w:trPr>
        <w:tc>
          <w:tcPr>
            <w:tcW w:w="2016" w:type="dxa"/>
          </w:tcPr>
          <w:p w:rsidR="00AB109F" w:rsidRPr="00D11FB0" w:rsidRDefault="00AB109F" w:rsidP="00194A89">
            <w:pPr>
              <w:keepNext/>
              <w:spacing w:after="0" w:line="240" w:lineRule="auto"/>
              <w:rPr>
                <w:rFonts w:asciiTheme="minorHAnsi" w:hAnsiTheme="minorHAnsi"/>
                <w:sz w:val="20"/>
              </w:rPr>
            </w:pPr>
            <w:r w:rsidRPr="00D11FB0">
              <w:rPr>
                <w:rFonts w:asciiTheme="minorHAnsi" w:hAnsiTheme="minorHAnsi"/>
                <w:sz w:val="20"/>
              </w:rPr>
              <w:t>Price</w:t>
            </w:r>
          </w:p>
        </w:tc>
        <w:tc>
          <w:tcPr>
            <w:tcW w:w="3312" w:type="dxa"/>
          </w:tcPr>
          <w:p w:rsidR="00AB109F" w:rsidRPr="00D11FB0" w:rsidRDefault="00AB109F" w:rsidP="00194A89">
            <w:pPr>
              <w:keepNext/>
              <w:spacing w:after="0" w:line="240" w:lineRule="auto"/>
              <w:rPr>
                <w:rFonts w:asciiTheme="minorHAnsi" w:hAnsiTheme="minorHAnsi"/>
                <w:sz w:val="20"/>
              </w:rPr>
            </w:pPr>
            <w:r w:rsidRPr="00D11FB0">
              <w:rPr>
                <w:rFonts w:asciiTheme="minorHAnsi" w:hAnsiTheme="minorHAnsi"/>
                <w:sz w:val="20"/>
              </w:rPr>
              <w:t>Paid and Allowed amounts</w:t>
            </w:r>
          </w:p>
        </w:tc>
        <w:tc>
          <w:tcPr>
            <w:tcW w:w="3312" w:type="dxa"/>
          </w:tcPr>
          <w:p w:rsidR="00AB109F" w:rsidRPr="00D11FB0" w:rsidRDefault="00AB109F" w:rsidP="00194A89">
            <w:pPr>
              <w:keepNext/>
              <w:spacing w:after="0" w:line="240" w:lineRule="auto"/>
              <w:rPr>
                <w:rFonts w:asciiTheme="minorHAnsi" w:hAnsiTheme="minorHAnsi"/>
                <w:sz w:val="20"/>
              </w:rPr>
            </w:pPr>
            <w:r w:rsidRPr="00D11FB0">
              <w:rPr>
                <w:rFonts w:asciiTheme="minorHAnsi" w:hAnsiTheme="minorHAnsi"/>
                <w:sz w:val="20"/>
              </w:rPr>
              <w:t>Wholesale Acquisition Cost (WAC)</w:t>
            </w:r>
          </w:p>
        </w:tc>
      </w:tr>
      <w:tr w:rsidR="00AB109F" w:rsidRPr="00D11FB0" w:rsidTr="00D955F7">
        <w:trPr>
          <w:cantSplit/>
          <w:jc w:val="center"/>
        </w:trPr>
        <w:tc>
          <w:tcPr>
            <w:tcW w:w="2016" w:type="dxa"/>
          </w:tcPr>
          <w:p w:rsidR="00AB109F" w:rsidRPr="00D11FB0" w:rsidRDefault="00AB109F" w:rsidP="00194A89">
            <w:pPr>
              <w:keepNext/>
              <w:spacing w:after="0" w:line="240" w:lineRule="auto"/>
              <w:rPr>
                <w:rFonts w:asciiTheme="minorHAnsi" w:hAnsiTheme="minorHAnsi"/>
                <w:sz w:val="20"/>
              </w:rPr>
            </w:pPr>
            <w:r w:rsidRPr="00D11FB0">
              <w:rPr>
                <w:rFonts w:asciiTheme="minorHAnsi" w:hAnsiTheme="minorHAnsi"/>
                <w:sz w:val="20"/>
              </w:rPr>
              <w:t>Limitations</w:t>
            </w:r>
          </w:p>
        </w:tc>
        <w:tc>
          <w:tcPr>
            <w:tcW w:w="3312" w:type="dxa"/>
          </w:tcPr>
          <w:p w:rsidR="00AB109F" w:rsidRPr="00D11FB0" w:rsidRDefault="00AB109F" w:rsidP="00194A89">
            <w:pPr>
              <w:pStyle w:val="ListParagraph"/>
              <w:keepNext/>
              <w:numPr>
                <w:ilvl w:val="0"/>
                <w:numId w:val="35"/>
              </w:numPr>
              <w:ind w:left="162" w:hanging="180"/>
              <w:contextualSpacing/>
              <w:rPr>
                <w:rFonts w:asciiTheme="minorHAnsi" w:hAnsiTheme="minorHAnsi"/>
                <w:sz w:val="20"/>
              </w:rPr>
            </w:pPr>
            <w:r w:rsidRPr="00D11FB0">
              <w:rPr>
                <w:rFonts w:asciiTheme="minorHAnsi" w:hAnsiTheme="minorHAnsi"/>
                <w:sz w:val="20"/>
              </w:rPr>
              <w:t>2015 data unavailable</w:t>
            </w:r>
          </w:p>
          <w:p w:rsidR="00AB109F" w:rsidRPr="00D11FB0" w:rsidRDefault="00AB109F" w:rsidP="00194A89">
            <w:pPr>
              <w:pStyle w:val="ListParagraph"/>
              <w:keepNext/>
              <w:numPr>
                <w:ilvl w:val="0"/>
                <w:numId w:val="35"/>
              </w:numPr>
              <w:ind w:left="162" w:hanging="180"/>
              <w:contextualSpacing/>
              <w:rPr>
                <w:rFonts w:asciiTheme="minorHAnsi" w:hAnsiTheme="minorHAnsi"/>
                <w:sz w:val="20"/>
              </w:rPr>
            </w:pPr>
            <w:r w:rsidRPr="00D11FB0">
              <w:rPr>
                <w:rFonts w:asciiTheme="minorHAnsi" w:hAnsiTheme="minorHAnsi"/>
                <w:sz w:val="20"/>
              </w:rPr>
              <w:t>Relevant ADO drugs not released until 2015</w:t>
            </w:r>
          </w:p>
          <w:p w:rsidR="00AB109F" w:rsidRPr="00D11FB0" w:rsidRDefault="00AB109F" w:rsidP="00194A89">
            <w:pPr>
              <w:pStyle w:val="ListParagraph"/>
              <w:keepNext/>
              <w:numPr>
                <w:ilvl w:val="0"/>
                <w:numId w:val="35"/>
              </w:numPr>
              <w:ind w:left="162" w:hanging="180"/>
              <w:contextualSpacing/>
              <w:rPr>
                <w:rFonts w:asciiTheme="minorHAnsi" w:hAnsiTheme="minorHAnsi"/>
                <w:sz w:val="20"/>
              </w:rPr>
            </w:pPr>
            <w:r w:rsidRPr="00D11FB0">
              <w:rPr>
                <w:rFonts w:asciiTheme="minorHAnsi" w:hAnsiTheme="minorHAnsi"/>
                <w:sz w:val="20"/>
              </w:rPr>
              <w:t xml:space="preserve">Data </w:t>
            </w:r>
            <w:r w:rsidR="00C04297">
              <w:rPr>
                <w:rFonts w:asciiTheme="minorHAnsi" w:hAnsiTheme="minorHAnsi"/>
                <w:sz w:val="20"/>
              </w:rPr>
              <w:t>used</w:t>
            </w:r>
            <w:r w:rsidRPr="00D11FB0">
              <w:rPr>
                <w:rFonts w:asciiTheme="minorHAnsi" w:hAnsiTheme="minorHAnsi"/>
                <w:sz w:val="20"/>
              </w:rPr>
              <w:t xml:space="preserve"> from to</w:t>
            </w:r>
            <w:r w:rsidR="00BB115A">
              <w:rPr>
                <w:rFonts w:asciiTheme="minorHAnsi" w:hAnsiTheme="minorHAnsi"/>
                <w:sz w:val="20"/>
              </w:rPr>
              <w:t xml:space="preserve">p 3 </w:t>
            </w:r>
            <w:r w:rsidR="00F96759">
              <w:rPr>
                <w:rFonts w:asciiTheme="minorHAnsi" w:hAnsiTheme="minorHAnsi"/>
                <w:sz w:val="20"/>
              </w:rPr>
              <w:t>carrier</w:t>
            </w:r>
            <w:r w:rsidR="00BB115A">
              <w:rPr>
                <w:rFonts w:asciiTheme="minorHAnsi" w:hAnsiTheme="minorHAnsi"/>
                <w:sz w:val="20"/>
              </w:rPr>
              <w:t xml:space="preserve">s </w:t>
            </w:r>
            <w:r w:rsidR="00C04297">
              <w:rPr>
                <w:rFonts w:asciiTheme="minorHAnsi" w:hAnsiTheme="minorHAnsi"/>
                <w:sz w:val="20"/>
              </w:rPr>
              <w:t>only</w:t>
            </w:r>
          </w:p>
        </w:tc>
        <w:tc>
          <w:tcPr>
            <w:tcW w:w="3312" w:type="dxa"/>
          </w:tcPr>
          <w:p w:rsidR="00AB109F" w:rsidRPr="00D11FB0" w:rsidRDefault="00AB109F" w:rsidP="00194A89">
            <w:pPr>
              <w:pStyle w:val="ListParagraph"/>
              <w:keepNext/>
              <w:numPr>
                <w:ilvl w:val="0"/>
                <w:numId w:val="35"/>
              </w:numPr>
              <w:ind w:left="186" w:hanging="180"/>
              <w:contextualSpacing/>
              <w:rPr>
                <w:rFonts w:asciiTheme="minorHAnsi" w:hAnsiTheme="minorHAnsi"/>
                <w:sz w:val="20"/>
              </w:rPr>
            </w:pPr>
            <w:r w:rsidRPr="00D11FB0">
              <w:rPr>
                <w:rFonts w:asciiTheme="minorHAnsi" w:hAnsiTheme="minorHAnsi"/>
                <w:sz w:val="20"/>
              </w:rPr>
              <w:t>Unable to analyze relevant population as payer data is unavailable</w:t>
            </w:r>
          </w:p>
          <w:p w:rsidR="00AB109F" w:rsidRPr="00D11FB0" w:rsidRDefault="00AB109F" w:rsidP="00194A89">
            <w:pPr>
              <w:pStyle w:val="ListParagraph"/>
              <w:keepNext/>
              <w:numPr>
                <w:ilvl w:val="0"/>
                <w:numId w:val="35"/>
              </w:numPr>
              <w:ind w:left="186" w:hanging="180"/>
              <w:contextualSpacing/>
              <w:rPr>
                <w:rFonts w:asciiTheme="minorHAnsi" w:hAnsiTheme="minorHAnsi"/>
                <w:sz w:val="20"/>
              </w:rPr>
            </w:pPr>
            <w:r w:rsidRPr="00D11FB0">
              <w:rPr>
                <w:rFonts w:asciiTheme="minorHAnsi" w:hAnsiTheme="minorHAnsi"/>
                <w:sz w:val="20"/>
              </w:rPr>
              <w:t xml:space="preserve">WAC is not reflective of drug prices paid by </w:t>
            </w:r>
            <w:r w:rsidR="00C04297">
              <w:rPr>
                <w:rFonts w:asciiTheme="minorHAnsi" w:hAnsiTheme="minorHAnsi"/>
                <w:sz w:val="20"/>
              </w:rPr>
              <w:t>carrier</w:t>
            </w:r>
            <w:r w:rsidRPr="00D11FB0">
              <w:rPr>
                <w:rFonts w:asciiTheme="minorHAnsi" w:hAnsiTheme="minorHAnsi"/>
                <w:sz w:val="20"/>
              </w:rPr>
              <w:t>s</w:t>
            </w:r>
          </w:p>
        </w:tc>
      </w:tr>
    </w:tbl>
    <w:p w:rsidR="00AB109F" w:rsidRDefault="00AB109F" w:rsidP="00217798">
      <w:pPr>
        <w:pStyle w:val="NoSpacing"/>
      </w:pPr>
    </w:p>
    <w:p w:rsidR="00AB109F" w:rsidRPr="006E757F" w:rsidRDefault="0026315E" w:rsidP="00AB109F">
      <w:r>
        <w:t>T</w:t>
      </w:r>
      <w:r w:rsidR="00AB109F">
        <w:t xml:space="preserve">he ADOs analyzed in this study were introduced to the market in 2015, meaning that </w:t>
      </w:r>
      <w:r w:rsidR="00846D5E">
        <w:t xml:space="preserve">available </w:t>
      </w:r>
      <w:r w:rsidR="00AB109F">
        <w:t>data about the use of these drugs over time</w:t>
      </w:r>
      <w:r w:rsidR="00846D5E" w:rsidRPr="00846D5E">
        <w:t xml:space="preserve"> </w:t>
      </w:r>
      <w:r w:rsidR="00846D5E">
        <w:t>is very limited</w:t>
      </w:r>
      <w:r w:rsidR="00AB109F">
        <w:t xml:space="preserve">. </w:t>
      </w:r>
      <w:r w:rsidR="00846D5E">
        <w:t xml:space="preserve"> The expectation of the </w:t>
      </w:r>
      <w:r w:rsidR="00AB109F">
        <w:t xml:space="preserve">Commission is that more ADOs will be approved by the FDA in the near future, which will further disrupt patterns of utilization for all opioids.  Likewise, a variety of public health and other efforts beyond this </w:t>
      </w:r>
      <w:r w:rsidR="001826BD">
        <w:t>substitution</w:t>
      </w:r>
      <w:r w:rsidR="00302318">
        <w:t xml:space="preserve"> requirement</w:t>
      </w:r>
      <w:r w:rsidR="00AB109F">
        <w:t xml:space="preserve"> have been and are being implemented to limit the use and misuse of opioids overall; these programs are intended to decrease the utilization of opioids generally.  If effective, opioid use, and the cost impact of </w:t>
      </w:r>
      <w:r w:rsidR="00302318">
        <w:t xml:space="preserve">the </w:t>
      </w:r>
      <w:r w:rsidR="001826BD">
        <w:t>substitution</w:t>
      </w:r>
      <w:r w:rsidR="00302318">
        <w:t xml:space="preserve"> requirement</w:t>
      </w:r>
      <w:r w:rsidR="00AB109F">
        <w:t xml:space="preserve"> on insurance premiums, may fall below the estimates included in this projection.  However, no </w:t>
      </w:r>
      <w:r w:rsidR="00846D5E">
        <w:t xml:space="preserve">available </w:t>
      </w:r>
      <w:r w:rsidR="00AB109F">
        <w:t>historical data adequately captures all of these variables over time, and the number of variables that continues to change and impact opioid use makes projections less stable than is typical in other studies</w:t>
      </w:r>
      <w:r w:rsidR="00846D5E">
        <w:t xml:space="preserve"> of the effect of legislation on insurance costs</w:t>
      </w:r>
      <w:r w:rsidR="00AB109F">
        <w:t>.</w:t>
      </w:r>
    </w:p>
    <w:p w:rsidR="00AB109F" w:rsidRDefault="00AB109F" w:rsidP="00AB109F">
      <w:r>
        <w:t>These uncertainties are addressed by modeling a range of assumptions within reasonable judgment-based limits, and producing a range of estimates of incremental cost by varying these parameters.  The more detailed step-by-step description of the estimation process outlined in the next sections addresses these uncertainties</w:t>
      </w:r>
      <w:r w:rsidRPr="00346DEB">
        <w:t xml:space="preserve"> </w:t>
      </w:r>
      <w:r w:rsidR="00846D5E">
        <w:t>further.</w:t>
      </w:r>
    </w:p>
    <w:p w:rsidR="00AB109F" w:rsidRPr="00A05842" w:rsidRDefault="00AB109F" w:rsidP="00A05842">
      <w:pPr>
        <w:pStyle w:val="Heading1"/>
      </w:pPr>
      <w:bookmarkStart w:id="47" w:name="_Toc468888001"/>
      <w:r w:rsidRPr="001110CE">
        <w:t>4. Analysis</w:t>
      </w:r>
      <w:bookmarkEnd w:id="47"/>
    </w:p>
    <w:p w:rsidR="00AB109F" w:rsidRDefault="00AB109F" w:rsidP="00AB109F">
      <w:r>
        <w:t>This section describes the calculations outlined in the previous section in more detail.  The analysis includes development of a best estimate “middle-cost” scenario, as well as a low-cost scenario using assumptions that produced a lower estimate, and a high-cost scenario using more conservative assumptions that produced a higher estimated impact.</w:t>
      </w:r>
    </w:p>
    <w:p w:rsidR="00AB109F" w:rsidRDefault="004E45EE" w:rsidP="00AB109F">
      <w:r>
        <w:t xml:space="preserve">Chapter 258 </w:t>
      </w:r>
      <w:r w:rsidR="00AB109F">
        <w:t>requires pharmaci</w:t>
      </w:r>
      <w:r>
        <w:t>sts to substitute an ADO for a</w:t>
      </w:r>
      <w:r w:rsidR="00AB109F">
        <w:t xml:space="preserve"> prescribed chemically-equivalent HPHR opioid</w:t>
      </w:r>
      <w:r w:rsidR="00C034D9">
        <w:t xml:space="preserve">, adhering to </w:t>
      </w:r>
      <w:r w:rsidR="00540AB8">
        <w:t>substitutions defined by</w:t>
      </w:r>
      <w:r>
        <w:t xml:space="preserve"> the Commission, unless the prescriber overrides it</w:t>
      </w:r>
      <w:r w:rsidR="00AB109F">
        <w:t xml:space="preserve">.  The marginal cost of the </w:t>
      </w:r>
      <w:r>
        <w:t>requirement</w:t>
      </w:r>
      <w:r w:rsidR="00AB109F">
        <w:t xml:space="preserve"> is calculated for the Massachusetts fully-insured population under age 65 by estimating the differences between the utilization of these drugs under </w:t>
      </w:r>
      <w:r w:rsidR="00AB109F">
        <w:lastRenderedPageBreak/>
        <w:t xml:space="preserve">various conversion scenarios and the utilization estimated in the absence of the </w:t>
      </w:r>
      <w:r>
        <w:t>requirement</w:t>
      </w:r>
      <w:r w:rsidR="00AB109F">
        <w:t xml:space="preserve">.  Costs are then adjusted to account for drug price inflation and </w:t>
      </w:r>
      <w:r w:rsidR="00F96759">
        <w:t>carrier</w:t>
      </w:r>
      <w:r w:rsidR="00AB109F">
        <w:t xml:space="preserve"> retention.</w:t>
      </w:r>
    </w:p>
    <w:p w:rsidR="00AB109F" w:rsidRDefault="00AB109F" w:rsidP="00AB109F">
      <w:pPr>
        <w:pStyle w:val="Heading2"/>
      </w:pPr>
      <w:bookmarkStart w:id="48" w:name="_Toc417656085"/>
      <w:bookmarkStart w:id="49" w:name="_Toc449710535"/>
      <w:bookmarkStart w:id="50" w:name="_Toc468888002"/>
      <w:r w:rsidRPr="00196683">
        <w:t xml:space="preserve">4.1. </w:t>
      </w:r>
      <w:bookmarkEnd w:id="48"/>
      <w:bookmarkEnd w:id="49"/>
      <w:r>
        <w:t xml:space="preserve">Utilization of formulary opioids in the absence of </w:t>
      </w:r>
      <w:r w:rsidR="00EF62BF">
        <w:t>substitution</w:t>
      </w:r>
      <w:bookmarkEnd w:id="50"/>
    </w:p>
    <w:p w:rsidR="00AB109F" w:rsidRDefault="0005450F" w:rsidP="004E45EE">
      <w:r>
        <w:t xml:space="preserve">Assuming the Commission’s draft formulary, the </w:t>
      </w:r>
      <w:r w:rsidR="004E45EE">
        <w:t>substitution requirement</w:t>
      </w:r>
      <w:r w:rsidR="00AB109F">
        <w:t xml:space="preserve"> </w:t>
      </w:r>
      <w:r w:rsidR="004E45EE">
        <w:t>applies</w:t>
      </w:r>
      <w:r w:rsidR="00AB109F">
        <w:t xml:space="preserve"> to </w:t>
      </w:r>
      <w:r w:rsidR="00F57789">
        <w:t xml:space="preserve">four </w:t>
      </w:r>
      <w:r w:rsidR="00AB109F">
        <w:t>HPHR opioids and two ADOs, each with varying dosage and generic-form availability, outlined in Table 1.  One drug, Avinza, was taken off the market in brand-name form in July 2015, though the generic form is still available.  Zohydro, Embeda, and Hysingla were all introduced to the market in 2015; none are available in generic form.</w:t>
      </w:r>
    </w:p>
    <w:p w:rsidR="00C034D9" w:rsidRDefault="00C034D9" w:rsidP="00C034D9">
      <w:r>
        <w:t>The underlying calculations for these projections were based on each of the drug/dosage and generic/brand combinations (over 60 combinations).  F</w:t>
      </w:r>
      <w:bookmarkStart w:id="51" w:name="_GoBack"/>
      <w:bookmarkEnd w:id="51"/>
      <w:r>
        <w:t>or simplicity, this report will summarize these calculations variously by drug, drug category (HPHR, ADO), drug form (generic, brand), or in total.</w:t>
      </w:r>
    </w:p>
    <w:p w:rsidR="00AB109F" w:rsidRDefault="00AB109F" w:rsidP="004E45EE">
      <w:pPr>
        <w:pStyle w:val="TableTitle"/>
      </w:pPr>
      <w:r w:rsidRPr="00701459">
        <w:t xml:space="preserve">Table </w:t>
      </w:r>
      <w:r>
        <w:t>1</w:t>
      </w:r>
      <w:r w:rsidRPr="00701459">
        <w:t>:</w:t>
      </w:r>
      <w:r w:rsidRPr="00701459">
        <w:br/>
      </w:r>
      <w:r w:rsidR="0005450F">
        <w:t xml:space="preserve">Draft </w:t>
      </w:r>
      <w:r>
        <w:t>Drug Formulary HPHR Opioids and ADOs</w:t>
      </w:r>
    </w:p>
    <w:tbl>
      <w:tblPr>
        <w:tblStyle w:val="TableGrid"/>
        <w:tblW w:w="864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top w:w="14" w:type="dxa"/>
          <w:left w:w="58" w:type="dxa"/>
          <w:bottom w:w="14" w:type="dxa"/>
          <w:right w:w="58" w:type="dxa"/>
        </w:tblCellMar>
        <w:tblLook w:val="04A0"/>
      </w:tblPr>
      <w:tblGrid>
        <w:gridCol w:w="1728"/>
        <w:gridCol w:w="3312"/>
        <w:gridCol w:w="1080"/>
        <w:gridCol w:w="2520"/>
      </w:tblGrid>
      <w:tr w:rsidR="00AB109F" w:rsidRPr="008F4EC8" w:rsidTr="00217798">
        <w:trPr>
          <w:cantSplit/>
          <w:jc w:val="center"/>
        </w:trPr>
        <w:tc>
          <w:tcPr>
            <w:tcW w:w="1728" w:type="dxa"/>
          </w:tcPr>
          <w:p w:rsidR="00AB109F" w:rsidRPr="00A069F1" w:rsidRDefault="00AB109F" w:rsidP="00DA19B6">
            <w:pPr>
              <w:keepNext/>
              <w:spacing w:after="0" w:line="240" w:lineRule="auto"/>
              <w:rPr>
                <w:rFonts w:asciiTheme="minorHAnsi" w:hAnsiTheme="minorHAnsi"/>
                <w:sz w:val="20"/>
                <w:u w:val="single"/>
              </w:rPr>
            </w:pPr>
            <w:r w:rsidRPr="00A069F1">
              <w:rPr>
                <w:rFonts w:asciiTheme="minorHAnsi" w:hAnsiTheme="minorHAnsi"/>
                <w:sz w:val="20"/>
                <w:u w:val="single"/>
              </w:rPr>
              <w:t>HPHR Opioids</w:t>
            </w:r>
          </w:p>
        </w:tc>
        <w:tc>
          <w:tcPr>
            <w:tcW w:w="3312" w:type="dxa"/>
          </w:tcPr>
          <w:p w:rsidR="00AB109F" w:rsidRPr="00A069F1" w:rsidRDefault="00AB109F" w:rsidP="00DA19B6">
            <w:pPr>
              <w:keepNext/>
              <w:spacing w:after="0" w:line="240" w:lineRule="auto"/>
              <w:rPr>
                <w:rFonts w:asciiTheme="minorHAnsi" w:hAnsiTheme="minorHAnsi"/>
                <w:sz w:val="20"/>
                <w:u w:val="single"/>
              </w:rPr>
            </w:pPr>
            <w:r w:rsidRPr="00A069F1">
              <w:rPr>
                <w:rFonts w:asciiTheme="minorHAnsi" w:hAnsiTheme="minorHAnsi"/>
                <w:sz w:val="20"/>
                <w:u w:val="single"/>
              </w:rPr>
              <w:t>Dosage levels (mg)</w:t>
            </w:r>
          </w:p>
        </w:tc>
        <w:tc>
          <w:tcPr>
            <w:tcW w:w="1080" w:type="dxa"/>
          </w:tcPr>
          <w:p w:rsidR="00AB109F" w:rsidRPr="00A069F1" w:rsidRDefault="00AB109F" w:rsidP="00DA19B6">
            <w:pPr>
              <w:keepNext/>
              <w:spacing w:after="0" w:line="240" w:lineRule="auto"/>
              <w:rPr>
                <w:rFonts w:asciiTheme="minorHAnsi" w:hAnsiTheme="minorHAnsi"/>
                <w:sz w:val="20"/>
                <w:u w:val="single"/>
              </w:rPr>
            </w:pPr>
            <w:r w:rsidRPr="00A069F1">
              <w:rPr>
                <w:rFonts w:asciiTheme="minorHAnsi" w:hAnsiTheme="minorHAnsi"/>
                <w:sz w:val="20"/>
                <w:u w:val="single"/>
              </w:rPr>
              <w:t>Generic?</w:t>
            </w:r>
          </w:p>
        </w:tc>
        <w:tc>
          <w:tcPr>
            <w:tcW w:w="2520" w:type="dxa"/>
          </w:tcPr>
          <w:p w:rsidR="00AB109F" w:rsidRPr="00A069F1" w:rsidRDefault="00AB109F" w:rsidP="00DA19B6">
            <w:pPr>
              <w:keepNext/>
              <w:spacing w:after="0" w:line="240" w:lineRule="auto"/>
              <w:rPr>
                <w:rFonts w:asciiTheme="minorHAnsi" w:hAnsiTheme="minorHAnsi"/>
                <w:sz w:val="20"/>
                <w:u w:val="single"/>
              </w:rPr>
            </w:pPr>
            <w:r w:rsidRPr="00A069F1">
              <w:rPr>
                <w:rFonts w:asciiTheme="minorHAnsi" w:hAnsiTheme="minorHAnsi"/>
                <w:sz w:val="20"/>
                <w:u w:val="single"/>
              </w:rPr>
              <w:t>Notes</w:t>
            </w:r>
          </w:p>
        </w:tc>
      </w:tr>
      <w:tr w:rsidR="00AB109F" w:rsidRPr="008F4EC8" w:rsidTr="00217798">
        <w:trPr>
          <w:cantSplit/>
          <w:jc w:val="center"/>
        </w:trPr>
        <w:tc>
          <w:tcPr>
            <w:tcW w:w="1728" w:type="dxa"/>
          </w:tcPr>
          <w:p w:rsidR="00AB109F" w:rsidRPr="008F4EC8" w:rsidRDefault="00AB109F" w:rsidP="00DA19B6">
            <w:pPr>
              <w:keepNext/>
              <w:spacing w:after="0" w:line="240" w:lineRule="auto"/>
              <w:ind w:left="180"/>
              <w:rPr>
                <w:rFonts w:asciiTheme="minorHAnsi" w:hAnsiTheme="minorHAnsi"/>
                <w:sz w:val="20"/>
              </w:rPr>
            </w:pPr>
            <w:r w:rsidRPr="008F4EC8">
              <w:rPr>
                <w:rFonts w:asciiTheme="minorHAnsi" w:hAnsiTheme="minorHAnsi"/>
                <w:sz w:val="20"/>
              </w:rPr>
              <w:t>Avinza</w:t>
            </w:r>
          </w:p>
        </w:tc>
        <w:tc>
          <w:tcPr>
            <w:tcW w:w="3312" w:type="dxa"/>
          </w:tcPr>
          <w:p w:rsidR="00AB109F" w:rsidRPr="008F4EC8" w:rsidRDefault="00AB109F" w:rsidP="00DA19B6">
            <w:pPr>
              <w:keepNext/>
              <w:spacing w:after="0" w:line="240" w:lineRule="auto"/>
              <w:rPr>
                <w:rFonts w:asciiTheme="minorHAnsi" w:hAnsiTheme="minorHAnsi"/>
                <w:sz w:val="20"/>
              </w:rPr>
            </w:pPr>
            <w:r w:rsidRPr="008F4EC8">
              <w:rPr>
                <w:rFonts w:asciiTheme="minorHAnsi" w:hAnsiTheme="minorHAnsi"/>
                <w:sz w:val="20"/>
              </w:rPr>
              <w:t>30, 45, 60, 75, 90, 120</w:t>
            </w:r>
          </w:p>
        </w:tc>
        <w:tc>
          <w:tcPr>
            <w:tcW w:w="1080" w:type="dxa"/>
          </w:tcPr>
          <w:p w:rsidR="00AB109F" w:rsidRPr="008F4EC8" w:rsidRDefault="00AB109F" w:rsidP="00DA19B6">
            <w:pPr>
              <w:keepNext/>
              <w:spacing w:after="0" w:line="240" w:lineRule="auto"/>
              <w:rPr>
                <w:rFonts w:asciiTheme="minorHAnsi" w:hAnsiTheme="minorHAnsi"/>
                <w:sz w:val="20"/>
              </w:rPr>
            </w:pPr>
            <w:r>
              <w:rPr>
                <w:rFonts w:asciiTheme="minorHAnsi" w:hAnsiTheme="minorHAnsi"/>
                <w:sz w:val="20"/>
              </w:rPr>
              <w:t>Yes</w:t>
            </w:r>
          </w:p>
        </w:tc>
        <w:tc>
          <w:tcPr>
            <w:tcW w:w="2520" w:type="dxa"/>
          </w:tcPr>
          <w:p w:rsidR="00AB109F" w:rsidRDefault="00AB109F" w:rsidP="00DA19B6">
            <w:pPr>
              <w:keepNext/>
              <w:spacing w:after="0" w:line="240" w:lineRule="auto"/>
              <w:rPr>
                <w:rFonts w:asciiTheme="minorHAnsi" w:hAnsiTheme="minorHAnsi"/>
                <w:sz w:val="20"/>
              </w:rPr>
            </w:pPr>
            <w:r>
              <w:rPr>
                <w:rFonts w:asciiTheme="minorHAnsi" w:hAnsiTheme="minorHAnsi"/>
                <w:sz w:val="20"/>
              </w:rPr>
              <w:t>Brand only discontinued 7/15</w:t>
            </w:r>
          </w:p>
        </w:tc>
      </w:tr>
      <w:tr w:rsidR="00AB109F" w:rsidRPr="008F4EC8" w:rsidTr="00217798">
        <w:trPr>
          <w:cantSplit/>
          <w:jc w:val="center"/>
        </w:trPr>
        <w:tc>
          <w:tcPr>
            <w:tcW w:w="1728" w:type="dxa"/>
          </w:tcPr>
          <w:p w:rsidR="00AB109F" w:rsidRPr="008F4EC8" w:rsidRDefault="00AB109F" w:rsidP="00DA19B6">
            <w:pPr>
              <w:keepNext/>
              <w:spacing w:after="0" w:line="240" w:lineRule="auto"/>
              <w:ind w:left="180"/>
              <w:rPr>
                <w:rFonts w:asciiTheme="minorHAnsi" w:hAnsiTheme="minorHAnsi"/>
                <w:sz w:val="20"/>
              </w:rPr>
            </w:pPr>
            <w:r w:rsidRPr="008F4EC8">
              <w:rPr>
                <w:rFonts w:asciiTheme="minorHAnsi" w:hAnsiTheme="minorHAnsi"/>
                <w:sz w:val="20"/>
              </w:rPr>
              <w:t>Kadian</w:t>
            </w:r>
          </w:p>
        </w:tc>
        <w:tc>
          <w:tcPr>
            <w:tcW w:w="3312" w:type="dxa"/>
          </w:tcPr>
          <w:p w:rsidR="00AB109F" w:rsidRPr="008F4EC8" w:rsidRDefault="00AB109F" w:rsidP="00DA19B6">
            <w:pPr>
              <w:keepNext/>
              <w:spacing w:after="0" w:line="240" w:lineRule="auto"/>
              <w:rPr>
                <w:rFonts w:asciiTheme="minorHAnsi" w:hAnsiTheme="minorHAnsi"/>
                <w:sz w:val="20"/>
              </w:rPr>
            </w:pPr>
            <w:r w:rsidRPr="008F4EC8">
              <w:rPr>
                <w:rFonts w:asciiTheme="minorHAnsi" w:hAnsiTheme="minorHAnsi"/>
                <w:sz w:val="20"/>
              </w:rPr>
              <w:t xml:space="preserve">10, 20, 30, 40, 50, 60, </w:t>
            </w:r>
            <w:r>
              <w:rPr>
                <w:rFonts w:asciiTheme="minorHAnsi" w:hAnsiTheme="minorHAnsi"/>
                <w:sz w:val="20"/>
              </w:rPr>
              <w:t>7</w:t>
            </w:r>
            <w:r w:rsidRPr="008F4EC8">
              <w:rPr>
                <w:rFonts w:asciiTheme="minorHAnsi" w:hAnsiTheme="minorHAnsi"/>
                <w:sz w:val="20"/>
              </w:rPr>
              <w:t>0, 80, 100, 130, 150, 200</w:t>
            </w:r>
          </w:p>
        </w:tc>
        <w:tc>
          <w:tcPr>
            <w:tcW w:w="1080" w:type="dxa"/>
          </w:tcPr>
          <w:p w:rsidR="00AB109F" w:rsidRPr="008F4EC8" w:rsidRDefault="00AB109F" w:rsidP="00DA19B6">
            <w:pPr>
              <w:keepNext/>
              <w:spacing w:after="0" w:line="240" w:lineRule="auto"/>
              <w:rPr>
                <w:rFonts w:asciiTheme="minorHAnsi" w:hAnsiTheme="minorHAnsi"/>
                <w:sz w:val="20"/>
              </w:rPr>
            </w:pPr>
            <w:r>
              <w:rPr>
                <w:rFonts w:asciiTheme="minorHAnsi" w:hAnsiTheme="minorHAnsi"/>
                <w:sz w:val="20"/>
              </w:rPr>
              <w:t>Yes</w:t>
            </w:r>
          </w:p>
        </w:tc>
        <w:tc>
          <w:tcPr>
            <w:tcW w:w="2520" w:type="dxa"/>
          </w:tcPr>
          <w:p w:rsidR="00AB109F" w:rsidRDefault="00AB109F" w:rsidP="00DA19B6">
            <w:pPr>
              <w:keepNext/>
              <w:spacing w:after="0" w:line="240" w:lineRule="auto"/>
              <w:rPr>
                <w:rFonts w:asciiTheme="minorHAnsi" w:hAnsiTheme="minorHAnsi"/>
                <w:sz w:val="20"/>
              </w:rPr>
            </w:pPr>
          </w:p>
        </w:tc>
      </w:tr>
      <w:tr w:rsidR="00AB109F" w:rsidRPr="008F4EC8" w:rsidTr="00217798">
        <w:trPr>
          <w:cantSplit/>
          <w:jc w:val="center"/>
        </w:trPr>
        <w:tc>
          <w:tcPr>
            <w:tcW w:w="1728" w:type="dxa"/>
          </w:tcPr>
          <w:p w:rsidR="00AB109F" w:rsidRPr="008F4EC8" w:rsidRDefault="00AB109F" w:rsidP="00DA19B6">
            <w:pPr>
              <w:keepNext/>
              <w:spacing w:after="0" w:line="240" w:lineRule="auto"/>
              <w:ind w:left="180"/>
              <w:rPr>
                <w:rFonts w:asciiTheme="minorHAnsi" w:hAnsiTheme="minorHAnsi"/>
                <w:sz w:val="20"/>
              </w:rPr>
            </w:pPr>
            <w:r w:rsidRPr="008F4EC8">
              <w:rPr>
                <w:rFonts w:asciiTheme="minorHAnsi" w:hAnsiTheme="minorHAnsi"/>
                <w:sz w:val="20"/>
              </w:rPr>
              <w:t>MS Contin</w:t>
            </w:r>
          </w:p>
        </w:tc>
        <w:tc>
          <w:tcPr>
            <w:tcW w:w="3312" w:type="dxa"/>
          </w:tcPr>
          <w:p w:rsidR="00AB109F" w:rsidRPr="008F4EC8" w:rsidRDefault="00AB109F" w:rsidP="00DA19B6">
            <w:pPr>
              <w:keepNext/>
              <w:spacing w:after="0" w:line="240" w:lineRule="auto"/>
              <w:rPr>
                <w:rFonts w:asciiTheme="minorHAnsi" w:hAnsiTheme="minorHAnsi"/>
                <w:sz w:val="20"/>
              </w:rPr>
            </w:pPr>
            <w:r w:rsidRPr="008F4EC8">
              <w:rPr>
                <w:rFonts w:asciiTheme="minorHAnsi" w:hAnsiTheme="minorHAnsi"/>
                <w:sz w:val="20"/>
              </w:rPr>
              <w:t>15, 30, 60, 100, 200</w:t>
            </w:r>
          </w:p>
        </w:tc>
        <w:tc>
          <w:tcPr>
            <w:tcW w:w="1080" w:type="dxa"/>
          </w:tcPr>
          <w:p w:rsidR="00AB109F" w:rsidRPr="008F4EC8" w:rsidRDefault="00AB109F" w:rsidP="00DA19B6">
            <w:pPr>
              <w:keepNext/>
              <w:spacing w:after="0" w:line="240" w:lineRule="auto"/>
              <w:rPr>
                <w:rFonts w:asciiTheme="minorHAnsi" w:hAnsiTheme="minorHAnsi"/>
                <w:sz w:val="20"/>
              </w:rPr>
            </w:pPr>
            <w:r>
              <w:rPr>
                <w:rFonts w:asciiTheme="minorHAnsi" w:hAnsiTheme="minorHAnsi"/>
                <w:sz w:val="20"/>
              </w:rPr>
              <w:t>Yes</w:t>
            </w:r>
          </w:p>
        </w:tc>
        <w:tc>
          <w:tcPr>
            <w:tcW w:w="2520" w:type="dxa"/>
          </w:tcPr>
          <w:p w:rsidR="00AB109F" w:rsidRDefault="00AB109F" w:rsidP="00DA19B6">
            <w:pPr>
              <w:keepNext/>
              <w:spacing w:after="0" w:line="240" w:lineRule="auto"/>
              <w:rPr>
                <w:rFonts w:asciiTheme="minorHAnsi" w:hAnsiTheme="minorHAnsi"/>
                <w:sz w:val="20"/>
              </w:rPr>
            </w:pPr>
          </w:p>
        </w:tc>
      </w:tr>
      <w:tr w:rsidR="00AB109F" w:rsidRPr="008F4EC8" w:rsidTr="00217798">
        <w:trPr>
          <w:cantSplit/>
          <w:jc w:val="center"/>
        </w:trPr>
        <w:tc>
          <w:tcPr>
            <w:tcW w:w="1728" w:type="dxa"/>
          </w:tcPr>
          <w:p w:rsidR="00AB109F" w:rsidRPr="008F4EC8" w:rsidRDefault="00AB109F" w:rsidP="00DA19B6">
            <w:pPr>
              <w:keepNext/>
              <w:spacing w:after="0" w:line="240" w:lineRule="auto"/>
              <w:ind w:left="180"/>
              <w:rPr>
                <w:rFonts w:asciiTheme="minorHAnsi" w:hAnsiTheme="minorHAnsi"/>
                <w:sz w:val="20"/>
              </w:rPr>
            </w:pPr>
            <w:r w:rsidRPr="008F4EC8">
              <w:rPr>
                <w:rFonts w:asciiTheme="minorHAnsi" w:hAnsiTheme="minorHAnsi"/>
                <w:sz w:val="20"/>
              </w:rPr>
              <w:t>Zohydro</w:t>
            </w:r>
          </w:p>
        </w:tc>
        <w:tc>
          <w:tcPr>
            <w:tcW w:w="3312" w:type="dxa"/>
          </w:tcPr>
          <w:p w:rsidR="00AB109F" w:rsidRPr="008F4EC8" w:rsidRDefault="00AB109F" w:rsidP="00DA19B6">
            <w:pPr>
              <w:keepNext/>
              <w:spacing w:after="0" w:line="240" w:lineRule="auto"/>
              <w:rPr>
                <w:rFonts w:asciiTheme="minorHAnsi" w:hAnsiTheme="minorHAnsi"/>
                <w:sz w:val="20"/>
              </w:rPr>
            </w:pPr>
            <w:r w:rsidRPr="008F4EC8">
              <w:rPr>
                <w:rFonts w:asciiTheme="minorHAnsi" w:hAnsiTheme="minorHAnsi"/>
                <w:sz w:val="20"/>
              </w:rPr>
              <w:t>10, 15, 20, 30, 40, 50</w:t>
            </w:r>
          </w:p>
        </w:tc>
        <w:tc>
          <w:tcPr>
            <w:tcW w:w="1080" w:type="dxa"/>
          </w:tcPr>
          <w:p w:rsidR="00AB109F" w:rsidRPr="008F4EC8" w:rsidRDefault="00AB109F" w:rsidP="00DA19B6">
            <w:pPr>
              <w:keepNext/>
              <w:spacing w:after="0" w:line="240" w:lineRule="auto"/>
              <w:rPr>
                <w:rFonts w:asciiTheme="minorHAnsi" w:hAnsiTheme="minorHAnsi"/>
                <w:sz w:val="20"/>
              </w:rPr>
            </w:pPr>
            <w:r>
              <w:rPr>
                <w:rFonts w:asciiTheme="minorHAnsi" w:hAnsiTheme="minorHAnsi"/>
                <w:sz w:val="20"/>
              </w:rPr>
              <w:t>No</w:t>
            </w:r>
          </w:p>
        </w:tc>
        <w:tc>
          <w:tcPr>
            <w:tcW w:w="2520" w:type="dxa"/>
          </w:tcPr>
          <w:p w:rsidR="00AB109F" w:rsidRDefault="00AB109F" w:rsidP="00DA19B6">
            <w:pPr>
              <w:keepNext/>
              <w:spacing w:after="0" w:line="240" w:lineRule="auto"/>
              <w:rPr>
                <w:rFonts w:asciiTheme="minorHAnsi" w:hAnsiTheme="minorHAnsi"/>
                <w:sz w:val="20"/>
              </w:rPr>
            </w:pPr>
            <w:r>
              <w:rPr>
                <w:rFonts w:asciiTheme="minorHAnsi" w:hAnsiTheme="minorHAnsi"/>
                <w:sz w:val="20"/>
              </w:rPr>
              <w:t>Entered market 2015</w:t>
            </w:r>
          </w:p>
        </w:tc>
      </w:tr>
      <w:tr w:rsidR="00AB109F" w:rsidRPr="008F4EC8" w:rsidTr="00217798">
        <w:trPr>
          <w:cantSplit/>
          <w:jc w:val="center"/>
        </w:trPr>
        <w:tc>
          <w:tcPr>
            <w:tcW w:w="1728" w:type="dxa"/>
          </w:tcPr>
          <w:p w:rsidR="00AB109F" w:rsidRPr="00A069F1" w:rsidRDefault="00AB109F" w:rsidP="00DA19B6">
            <w:pPr>
              <w:keepNext/>
              <w:spacing w:after="0" w:line="240" w:lineRule="auto"/>
              <w:rPr>
                <w:rFonts w:asciiTheme="minorHAnsi" w:hAnsiTheme="minorHAnsi"/>
                <w:sz w:val="20"/>
                <w:u w:val="single"/>
              </w:rPr>
            </w:pPr>
            <w:r w:rsidRPr="00A069F1">
              <w:rPr>
                <w:rFonts w:asciiTheme="minorHAnsi" w:hAnsiTheme="minorHAnsi"/>
                <w:sz w:val="20"/>
                <w:u w:val="single"/>
              </w:rPr>
              <w:t>ADO</w:t>
            </w:r>
          </w:p>
        </w:tc>
        <w:tc>
          <w:tcPr>
            <w:tcW w:w="3312" w:type="dxa"/>
          </w:tcPr>
          <w:p w:rsidR="00AB109F" w:rsidRPr="00A069F1" w:rsidRDefault="00AB109F" w:rsidP="00DA19B6">
            <w:pPr>
              <w:keepNext/>
              <w:spacing w:after="0" w:line="240" w:lineRule="auto"/>
              <w:rPr>
                <w:rFonts w:asciiTheme="minorHAnsi" w:hAnsiTheme="minorHAnsi"/>
                <w:sz w:val="20"/>
                <w:u w:val="single"/>
              </w:rPr>
            </w:pPr>
            <w:r w:rsidRPr="00A069F1">
              <w:rPr>
                <w:rFonts w:asciiTheme="minorHAnsi" w:hAnsiTheme="minorHAnsi"/>
                <w:sz w:val="20"/>
                <w:u w:val="single"/>
              </w:rPr>
              <w:t>Dosage levels (mg)</w:t>
            </w:r>
          </w:p>
        </w:tc>
        <w:tc>
          <w:tcPr>
            <w:tcW w:w="1080" w:type="dxa"/>
          </w:tcPr>
          <w:p w:rsidR="00AB109F" w:rsidRPr="00A069F1" w:rsidRDefault="00AB109F" w:rsidP="00DA19B6">
            <w:pPr>
              <w:keepNext/>
              <w:spacing w:after="0" w:line="240" w:lineRule="auto"/>
              <w:rPr>
                <w:rFonts w:asciiTheme="minorHAnsi" w:hAnsiTheme="minorHAnsi"/>
                <w:sz w:val="20"/>
                <w:u w:val="single"/>
              </w:rPr>
            </w:pPr>
            <w:r w:rsidRPr="00A069F1">
              <w:rPr>
                <w:rFonts w:asciiTheme="minorHAnsi" w:hAnsiTheme="minorHAnsi"/>
                <w:sz w:val="20"/>
                <w:u w:val="single"/>
              </w:rPr>
              <w:t>Generic?</w:t>
            </w:r>
          </w:p>
        </w:tc>
        <w:tc>
          <w:tcPr>
            <w:tcW w:w="2520" w:type="dxa"/>
          </w:tcPr>
          <w:p w:rsidR="00AB109F" w:rsidRPr="00A069F1" w:rsidRDefault="00AB109F" w:rsidP="00DA19B6">
            <w:pPr>
              <w:keepNext/>
              <w:spacing w:after="0" w:line="240" w:lineRule="auto"/>
              <w:rPr>
                <w:rFonts w:asciiTheme="minorHAnsi" w:hAnsiTheme="minorHAnsi"/>
                <w:sz w:val="20"/>
                <w:u w:val="single"/>
              </w:rPr>
            </w:pPr>
            <w:r w:rsidRPr="00A069F1">
              <w:rPr>
                <w:rFonts w:asciiTheme="minorHAnsi" w:hAnsiTheme="minorHAnsi"/>
                <w:sz w:val="20"/>
                <w:u w:val="single"/>
              </w:rPr>
              <w:t>Notes</w:t>
            </w:r>
          </w:p>
        </w:tc>
      </w:tr>
      <w:tr w:rsidR="00AB109F" w:rsidRPr="008F4EC8" w:rsidTr="00217798">
        <w:trPr>
          <w:cantSplit/>
          <w:jc w:val="center"/>
        </w:trPr>
        <w:tc>
          <w:tcPr>
            <w:tcW w:w="1728" w:type="dxa"/>
          </w:tcPr>
          <w:p w:rsidR="00AB109F" w:rsidRPr="008F4EC8" w:rsidRDefault="00AB109F" w:rsidP="00DA19B6">
            <w:pPr>
              <w:keepNext/>
              <w:spacing w:after="0" w:line="240" w:lineRule="auto"/>
              <w:ind w:left="180"/>
              <w:rPr>
                <w:rFonts w:asciiTheme="minorHAnsi" w:hAnsiTheme="minorHAnsi"/>
                <w:sz w:val="20"/>
              </w:rPr>
            </w:pPr>
            <w:r w:rsidRPr="008F4EC8">
              <w:rPr>
                <w:rFonts w:asciiTheme="minorHAnsi" w:hAnsiTheme="minorHAnsi"/>
                <w:sz w:val="20"/>
              </w:rPr>
              <w:t>Embeda</w:t>
            </w:r>
          </w:p>
        </w:tc>
        <w:tc>
          <w:tcPr>
            <w:tcW w:w="3312" w:type="dxa"/>
          </w:tcPr>
          <w:p w:rsidR="00AB109F" w:rsidRPr="008F4EC8" w:rsidRDefault="00AB109F" w:rsidP="00DA19B6">
            <w:pPr>
              <w:keepNext/>
              <w:spacing w:after="0" w:line="240" w:lineRule="auto"/>
              <w:rPr>
                <w:rFonts w:asciiTheme="minorHAnsi" w:hAnsiTheme="minorHAnsi"/>
                <w:sz w:val="20"/>
              </w:rPr>
            </w:pPr>
            <w:r w:rsidRPr="008F4EC8">
              <w:rPr>
                <w:rFonts w:asciiTheme="minorHAnsi" w:hAnsiTheme="minorHAnsi"/>
                <w:sz w:val="20"/>
              </w:rPr>
              <w:t>20, 30, 50, 60, 80, 100</w:t>
            </w:r>
          </w:p>
        </w:tc>
        <w:tc>
          <w:tcPr>
            <w:tcW w:w="1080" w:type="dxa"/>
          </w:tcPr>
          <w:p w:rsidR="00AB109F" w:rsidRPr="008F4EC8" w:rsidRDefault="00AB109F" w:rsidP="00DA19B6">
            <w:pPr>
              <w:keepNext/>
              <w:spacing w:after="0" w:line="240" w:lineRule="auto"/>
              <w:rPr>
                <w:rFonts w:asciiTheme="minorHAnsi" w:hAnsiTheme="minorHAnsi"/>
                <w:sz w:val="20"/>
              </w:rPr>
            </w:pPr>
            <w:r>
              <w:rPr>
                <w:rFonts w:asciiTheme="minorHAnsi" w:hAnsiTheme="minorHAnsi"/>
                <w:sz w:val="20"/>
              </w:rPr>
              <w:t>No</w:t>
            </w:r>
          </w:p>
        </w:tc>
        <w:tc>
          <w:tcPr>
            <w:tcW w:w="2520" w:type="dxa"/>
          </w:tcPr>
          <w:p w:rsidR="00AB109F" w:rsidRDefault="00AB109F" w:rsidP="00DA19B6">
            <w:pPr>
              <w:keepNext/>
              <w:spacing w:after="0" w:line="240" w:lineRule="auto"/>
              <w:rPr>
                <w:rFonts w:asciiTheme="minorHAnsi" w:hAnsiTheme="minorHAnsi"/>
                <w:sz w:val="20"/>
              </w:rPr>
            </w:pPr>
            <w:r>
              <w:rPr>
                <w:rFonts w:asciiTheme="minorHAnsi" w:hAnsiTheme="minorHAnsi"/>
                <w:sz w:val="20"/>
              </w:rPr>
              <w:t>Entered market 2015</w:t>
            </w:r>
          </w:p>
        </w:tc>
      </w:tr>
      <w:tr w:rsidR="00AB109F" w:rsidRPr="008F4EC8" w:rsidTr="00217798">
        <w:trPr>
          <w:cantSplit/>
          <w:jc w:val="center"/>
        </w:trPr>
        <w:tc>
          <w:tcPr>
            <w:tcW w:w="1728" w:type="dxa"/>
          </w:tcPr>
          <w:p w:rsidR="00AB109F" w:rsidRPr="008F4EC8" w:rsidRDefault="00AB109F" w:rsidP="00DA19B6">
            <w:pPr>
              <w:keepNext/>
              <w:spacing w:after="0" w:line="240" w:lineRule="auto"/>
              <w:ind w:left="180"/>
              <w:rPr>
                <w:rFonts w:asciiTheme="minorHAnsi" w:hAnsiTheme="minorHAnsi"/>
                <w:sz w:val="20"/>
              </w:rPr>
            </w:pPr>
            <w:r w:rsidRPr="008F4EC8">
              <w:rPr>
                <w:rFonts w:asciiTheme="minorHAnsi" w:hAnsiTheme="minorHAnsi"/>
                <w:sz w:val="20"/>
              </w:rPr>
              <w:t>Hysingla</w:t>
            </w:r>
          </w:p>
        </w:tc>
        <w:tc>
          <w:tcPr>
            <w:tcW w:w="3312" w:type="dxa"/>
          </w:tcPr>
          <w:p w:rsidR="00AB109F" w:rsidRPr="008F4EC8" w:rsidRDefault="00AB109F" w:rsidP="00DA19B6">
            <w:pPr>
              <w:keepNext/>
              <w:spacing w:after="0" w:line="240" w:lineRule="auto"/>
              <w:rPr>
                <w:rFonts w:asciiTheme="minorHAnsi" w:hAnsiTheme="minorHAnsi"/>
                <w:sz w:val="20"/>
              </w:rPr>
            </w:pPr>
            <w:r w:rsidRPr="008F4EC8">
              <w:rPr>
                <w:rFonts w:asciiTheme="minorHAnsi" w:hAnsiTheme="minorHAnsi"/>
                <w:sz w:val="20"/>
              </w:rPr>
              <w:t>20, 30, 40, 60, 80, 100, 120</w:t>
            </w:r>
          </w:p>
        </w:tc>
        <w:tc>
          <w:tcPr>
            <w:tcW w:w="1080" w:type="dxa"/>
          </w:tcPr>
          <w:p w:rsidR="00AB109F" w:rsidRPr="008F4EC8" w:rsidRDefault="00AB109F" w:rsidP="00DA19B6">
            <w:pPr>
              <w:keepNext/>
              <w:spacing w:after="0" w:line="240" w:lineRule="auto"/>
              <w:rPr>
                <w:rFonts w:asciiTheme="minorHAnsi" w:hAnsiTheme="minorHAnsi"/>
                <w:sz w:val="20"/>
              </w:rPr>
            </w:pPr>
            <w:r>
              <w:rPr>
                <w:rFonts w:asciiTheme="minorHAnsi" w:hAnsiTheme="minorHAnsi"/>
                <w:sz w:val="20"/>
              </w:rPr>
              <w:t>No</w:t>
            </w:r>
          </w:p>
        </w:tc>
        <w:tc>
          <w:tcPr>
            <w:tcW w:w="2520" w:type="dxa"/>
          </w:tcPr>
          <w:p w:rsidR="00AB109F" w:rsidRDefault="00AB109F" w:rsidP="00DA19B6">
            <w:pPr>
              <w:keepNext/>
              <w:spacing w:after="0" w:line="240" w:lineRule="auto"/>
              <w:rPr>
                <w:rFonts w:asciiTheme="minorHAnsi" w:hAnsiTheme="minorHAnsi"/>
                <w:sz w:val="20"/>
              </w:rPr>
            </w:pPr>
            <w:r>
              <w:rPr>
                <w:rFonts w:asciiTheme="minorHAnsi" w:hAnsiTheme="minorHAnsi"/>
                <w:sz w:val="20"/>
              </w:rPr>
              <w:t>Entered market 2015</w:t>
            </w:r>
          </w:p>
        </w:tc>
      </w:tr>
    </w:tbl>
    <w:p w:rsidR="00AB109F" w:rsidRDefault="00AB109F" w:rsidP="00217798">
      <w:pPr>
        <w:pStyle w:val="NoSpacing"/>
      </w:pPr>
    </w:p>
    <w:p w:rsidR="00AB109F" w:rsidRDefault="00AB109F" w:rsidP="00AB109F">
      <w:r>
        <w:t xml:space="preserve">This analysis is intended to project costs of the </w:t>
      </w:r>
      <w:r w:rsidR="004E45EE">
        <w:t>substitution requirement</w:t>
      </w:r>
      <w:r>
        <w:t xml:space="preserve"> for the fully-insured population ages 0-64 in Massachusetts.  This requires </w:t>
      </w:r>
      <w:r w:rsidR="00C034D9">
        <w:t xml:space="preserve">analyzing </w:t>
      </w:r>
      <w:r>
        <w:t xml:space="preserve">utilization by patients covered by specific insurance types, which </w:t>
      </w:r>
      <w:r w:rsidR="004E45EE">
        <w:t>is available through</w:t>
      </w:r>
      <w:r w:rsidR="00A445D1">
        <w:t xml:space="preserve"> MA-APCD</w:t>
      </w:r>
      <w:r>
        <w:t xml:space="preserve"> data.  However,</w:t>
      </w:r>
      <w:r w:rsidR="00A445D1">
        <w:t xml:space="preserve"> MA-APCD</w:t>
      </w:r>
      <w:r>
        <w:t xml:space="preserve"> </w:t>
      </w:r>
      <w:r w:rsidR="00C034D9">
        <w:t xml:space="preserve">claims available for this analysis </w:t>
      </w:r>
      <w:r>
        <w:t xml:space="preserve">are current through </w:t>
      </w:r>
      <w:r w:rsidR="00C034D9">
        <w:t xml:space="preserve">only </w:t>
      </w:r>
      <w:r>
        <w:t xml:space="preserve">calendar year 2014, and four of the </w:t>
      </w:r>
      <w:r w:rsidR="00E73430">
        <w:t xml:space="preserve">proposed </w:t>
      </w:r>
      <w:r>
        <w:t>formulary drugs either entered the market or significantly changed in availability in 2015, including the only two ADOs on the list.  Therefore, the analysis relied on information from the PMP to augment</w:t>
      </w:r>
      <w:r w:rsidR="00A445D1">
        <w:t xml:space="preserve"> MA-APCD</w:t>
      </w:r>
      <w:r>
        <w:t xml:space="preserve"> </w:t>
      </w:r>
      <w:r w:rsidR="00EF62BF">
        <w:t>data</w:t>
      </w:r>
      <w:r>
        <w:t>.  As described previously, the PMP could not be used to provide baseline utilization data, as</w:t>
      </w:r>
      <w:r w:rsidR="00C034D9" w:rsidRPr="00C034D9">
        <w:t xml:space="preserve"> </w:t>
      </w:r>
      <w:r w:rsidR="00C034D9">
        <w:t>in the past that database did not collect</w:t>
      </w:r>
      <w:r>
        <w:t xml:space="preserve"> </w:t>
      </w:r>
      <w:r w:rsidR="00C034D9">
        <w:t xml:space="preserve">data </w:t>
      </w:r>
      <w:r>
        <w:t xml:space="preserve">on </w:t>
      </w:r>
      <w:r w:rsidR="007014E6">
        <w:t xml:space="preserve">patient health </w:t>
      </w:r>
      <w:r>
        <w:t xml:space="preserve">insurance coverage, and reflected </w:t>
      </w:r>
      <w:r w:rsidR="00C551F7">
        <w:t xml:space="preserve">merely </w:t>
      </w:r>
      <w:r>
        <w:t>whether or not a patient paid for the drug out-of-pocket.</w:t>
      </w:r>
    </w:p>
    <w:p w:rsidR="00AB109F" w:rsidRDefault="00AB109F" w:rsidP="00AB109F">
      <w:r>
        <w:t xml:space="preserve">As a first step, utilization </w:t>
      </w:r>
      <w:r w:rsidR="004D3C0D">
        <w:t xml:space="preserve">data </w:t>
      </w:r>
      <w:r>
        <w:t>for relevant drugs available in 2014 was pulled from the</w:t>
      </w:r>
      <w:r w:rsidR="00A445D1">
        <w:t xml:space="preserve"> MA-APCD</w:t>
      </w:r>
      <w:r>
        <w:t xml:space="preserve">.  For drugs introduced in 2015 </w:t>
      </w:r>
      <w:r w:rsidR="004D3C0D">
        <w:t>and</w:t>
      </w:r>
      <w:r>
        <w:t xml:space="preserve"> not in the</w:t>
      </w:r>
      <w:r w:rsidR="00A445D1">
        <w:t xml:space="preserve"> MA-APCD</w:t>
      </w:r>
      <w:r>
        <w:t xml:space="preserve">, 2016 PMP utilization data </w:t>
      </w:r>
      <w:r w:rsidR="004D3C0D">
        <w:t>serves as</w:t>
      </w:r>
      <w:r>
        <w:t xml:space="preserve"> a basis, and </w:t>
      </w:r>
      <w:r w:rsidR="004D3C0D">
        <w:t xml:space="preserve">is </w:t>
      </w:r>
      <w:r>
        <w:t xml:space="preserve">adjusted downward to capture only the relevant population of fully-insured commercial patients by applying the ratio of </w:t>
      </w:r>
      <w:r w:rsidR="007014E6">
        <w:t>2014</w:t>
      </w:r>
      <w:r w:rsidR="00A445D1">
        <w:t xml:space="preserve"> MA-APCD</w:t>
      </w:r>
      <w:r>
        <w:t xml:space="preserve"> to </w:t>
      </w:r>
      <w:r w:rsidR="007014E6">
        <w:t xml:space="preserve">2014 </w:t>
      </w:r>
      <w:r>
        <w:t xml:space="preserve">PMP utilization, which averaged 14.3 percent for the </w:t>
      </w:r>
      <w:r w:rsidR="00E73430">
        <w:t xml:space="preserve">proposed </w:t>
      </w:r>
      <w:r>
        <w:t xml:space="preserve">formulary drugs.  This data was adjusted based on trends by drug, form, and dosage calculated from PMP data for January 2014 through June 2016.  These calculations </w:t>
      </w:r>
      <w:r>
        <w:lastRenderedPageBreak/>
        <w:t xml:space="preserve">resulted in a 2016 baseline of utilization based on quantity dispensed, which </w:t>
      </w:r>
      <w:r w:rsidR="004D3C0D">
        <w:t xml:space="preserve">Table 2 </w:t>
      </w:r>
      <w:r>
        <w:t>summariz</w:t>
      </w:r>
      <w:r w:rsidR="004D3C0D">
        <w:t>es by drug and form.</w:t>
      </w:r>
    </w:p>
    <w:p w:rsidR="00AB109F" w:rsidRPr="00BE59A4" w:rsidRDefault="00AB109F" w:rsidP="00AB109F">
      <w:pPr>
        <w:pStyle w:val="TableTitle"/>
        <w:rPr>
          <w:szCs w:val="20"/>
        </w:rPr>
      </w:pPr>
      <w:r w:rsidRPr="00701459">
        <w:t xml:space="preserve">Table </w:t>
      </w:r>
      <w:r>
        <w:t>2</w:t>
      </w:r>
      <w:r w:rsidRPr="00701459">
        <w:t>:</w:t>
      </w:r>
      <w:r w:rsidRPr="00701459">
        <w:br/>
      </w:r>
      <w:r>
        <w:t xml:space="preserve">2016 Baseline </w:t>
      </w:r>
      <w:r w:rsidR="00E73430">
        <w:t xml:space="preserve">Draft </w:t>
      </w:r>
      <w:r>
        <w:t>Formulary Drug Utilization by Quantity Dispensed</w:t>
      </w:r>
    </w:p>
    <w:tbl>
      <w:tblPr>
        <w:tblW w:w="5225" w:type="dxa"/>
        <w:jc w:val="center"/>
        <w:tblCellMar>
          <w:top w:w="14" w:type="dxa"/>
          <w:left w:w="58" w:type="dxa"/>
          <w:bottom w:w="14" w:type="dxa"/>
          <w:right w:w="58" w:type="dxa"/>
        </w:tblCellMar>
        <w:tblLook w:val="04A0"/>
      </w:tblPr>
      <w:tblGrid>
        <w:gridCol w:w="1334"/>
        <w:gridCol w:w="1297"/>
        <w:gridCol w:w="1297"/>
        <w:gridCol w:w="1297"/>
      </w:tblGrid>
      <w:tr w:rsidR="00AB109F" w:rsidRPr="00BF5954" w:rsidTr="00DA19B6">
        <w:trPr>
          <w:cantSplit/>
          <w:jc w:val="center"/>
        </w:trPr>
        <w:tc>
          <w:tcPr>
            <w:tcW w:w="1334" w:type="dxa"/>
            <w:tcBorders>
              <w:bottom w:val="single" w:sz="4" w:space="0" w:color="auto"/>
            </w:tcBorders>
            <w:vAlign w:val="bottom"/>
          </w:tcPr>
          <w:p w:rsidR="00AB109F" w:rsidRPr="005731AB" w:rsidRDefault="00AB109F" w:rsidP="00DA19B6">
            <w:pPr>
              <w:keepNext/>
              <w:spacing w:after="0" w:line="240" w:lineRule="auto"/>
              <w:rPr>
                <w:rFonts w:ascii="Calibri" w:hAnsi="Calibri"/>
                <w:sz w:val="20"/>
              </w:rPr>
            </w:pPr>
          </w:p>
        </w:tc>
        <w:tc>
          <w:tcPr>
            <w:tcW w:w="1297" w:type="dxa"/>
            <w:tcBorders>
              <w:bottom w:val="single" w:sz="4" w:space="0" w:color="auto"/>
            </w:tcBorders>
            <w:vAlign w:val="center"/>
          </w:tcPr>
          <w:p w:rsidR="00AB109F" w:rsidRDefault="00AB109F" w:rsidP="00DA19B6">
            <w:pPr>
              <w:keepNext/>
              <w:spacing w:after="0" w:line="240" w:lineRule="auto"/>
              <w:jc w:val="right"/>
              <w:rPr>
                <w:rFonts w:ascii="Calibri" w:hAnsi="Calibri"/>
                <w:sz w:val="20"/>
              </w:rPr>
            </w:pPr>
            <w:r>
              <w:rPr>
                <w:rFonts w:ascii="Calibri" w:hAnsi="Calibri"/>
                <w:sz w:val="20"/>
              </w:rPr>
              <w:t>Brand</w:t>
            </w:r>
          </w:p>
        </w:tc>
        <w:tc>
          <w:tcPr>
            <w:tcW w:w="1297" w:type="dxa"/>
            <w:tcBorders>
              <w:bottom w:val="single" w:sz="4" w:space="0" w:color="auto"/>
            </w:tcBorders>
            <w:vAlign w:val="center"/>
          </w:tcPr>
          <w:p w:rsidR="00AB109F" w:rsidRDefault="00AB109F" w:rsidP="00DA19B6">
            <w:pPr>
              <w:keepNext/>
              <w:spacing w:after="0" w:line="240" w:lineRule="auto"/>
              <w:jc w:val="right"/>
              <w:rPr>
                <w:rFonts w:ascii="Calibri" w:hAnsi="Calibri"/>
                <w:sz w:val="20"/>
              </w:rPr>
            </w:pPr>
            <w:r>
              <w:rPr>
                <w:rFonts w:ascii="Calibri" w:hAnsi="Calibri"/>
                <w:sz w:val="20"/>
              </w:rPr>
              <w:t>Generic</w:t>
            </w:r>
          </w:p>
        </w:tc>
        <w:tc>
          <w:tcPr>
            <w:tcW w:w="1297" w:type="dxa"/>
            <w:tcBorders>
              <w:bottom w:val="single" w:sz="4" w:space="0" w:color="auto"/>
            </w:tcBorders>
            <w:vAlign w:val="center"/>
          </w:tcPr>
          <w:p w:rsidR="00AB109F" w:rsidRDefault="00AB109F" w:rsidP="00DA19B6">
            <w:pPr>
              <w:keepNext/>
              <w:spacing w:after="0" w:line="240" w:lineRule="auto"/>
              <w:jc w:val="right"/>
              <w:rPr>
                <w:rFonts w:ascii="Calibri" w:hAnsi="Calibri"/>
                <w:sz w:val="20"/>
              </w:rPr>
            </w:pPr>
            <w:r>
              <w:rPr>
                <w:rFonts w:ascii="Calibri" w:hAnsi="Calibri"/>
                <w:sz w:val="20"/>
              </w:rPr>
              <w:t>Total</w:t>
            </w:r>
          </w:p>
        </w:tc>
      </w:tr>
      <w:tr w:rsidR="00AB109F" w:rsidRPr="00D22869" w:rsidTr="00DA19B6">
        <w:trPr>
          <w:cantSplit/>
          <w:jc w:val="center"/>
        </w:trPr>
        <w:tc>
          <w:tcPr>
            <w:tcW w:w="1334" w:type="dxa"/>
            <w:tcBorders>
              <w:top w:val="single" w:sz="4" w:space="0" w:color="auto"/>
              <w:bottom w:val="dashSmallGap" w:sz="4" w:space="0" w:color="auto"/>
            </w:tcBorders>
            <w:vAlign w:val="center"/>
          </w:tcPr>
          <w:p w:rsidR="00AB109F" w:rsidRPr="00D22869" w:rsidRDefault="00AB109F" w:rsidP="00DA19B6">
            <w:pPr>
              <w:keepNext/>
              <w:spacing w:after="0" w:line="240" w:lineRule="auto"/>
              <w:rPr>
                <w:rFonts w:asciiTheme="minorHAnsi" w:hAnsiTheme="minorHAnsi"/>
                <w:sz w:val="20"/>
              </w:rPr>
            </w:pPr>
            <w:r>
              <w:rPr>
                <w:rFonts w:asciiTheme="minorHAnsi" w:hAnsiTheme="minorHAnsi"/>
                <w:sz w:val="20"/>
              </w:rPr>
              <w:t>HPHR Opioids</w:t>
            </w:r>
          </w:p>
        </w:tc>
        <w:tc>
          <w:tcPr>
            <w:tcW w:w="1297" w:type="dxa"/>
            <w:tcBorders>
              <w:top w:val="single" w:sz="4" w:space="0" w:color="auto"/>
              <w:bottom w:val="dashSmallGap" w:sz="4" w:space="0" w:color="auto"/>
            </w:tcBorders>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24,756</w:t>
            </w:r>
          </w:p>
        </w:tc>
        <w:tc>
          <w:tcPr>
            <w:tcW w:w="1297" w:type="dxa"/>
            <w:tcBorders>
              <w:top w:val="single" w:sz="4" w:space="0" w:color="auto"/>
              <w:bottom w:val="dashSmallGap" w:sz="4" w:space="0" w:color="auto"/>
            </w:tcBorders>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809,834</w:t>
            </w:r>
          </w:p>
        </w:tc>
        <w:tc>
          <w:tcPr>
            <w:tcW w:w="1297" w:type="dxa"/>
            <w:tcBorders>
              <w:top w:val="single" w:sz="4" w:space="0" w:color="auto"/>
              <w:bottom w:val="dashSmallGap" w:sz="4" w:space="0" w:color="auto"/>
            </w:tcBorders>
            <w:vAlign w:val="center"/>
          </w:tcPr>
          <w:p w:rsidR="00AB109F"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834,591</w:t>
            </w:r>
          </w:p>
        </w:tc>
      </w:tr>
      <w:tr w:rsidR="00AB109F" w:rsidRPr="00D22869" w:rsidTr="00DA19B6">
        <w:trPr>
          <w:cantSplit/>
          <w:jc w:val="center"/>
        </w:trPr>
        <w:tc>
          <w:tcPr>
            <w:tcW w:w="1334" w:type="dxa"/>
            <w:tcBorders>
              <w:top w:val="dashSmallGap" w:sz="4" w:space="0" w:color="auto"/>
            </w:tcBorders>
            <w:vAlign w:val="center"/>
          </w:tcPr>
          <w:p w:rsidR="00AB109F" w:rsidRPr="00D22869" w:rsidRDefault="00AB109F" w:rsidP="00365D96">
            <w:pPr>
              <w:keepNext/>
              <w:spacing w:after="0" w:line="240" w:lineRule="auto"/>
              <w:ind w:left="208"/>
              <w:rPr>
                <w:rFonts w:asciiTheme="minorHAnsi" w:hAnsiTheme="minorHAnsi"/>
                <w:sz w:val="20"/>
              </w:rPr>
            </w:pPr>
            <w:r>
              <w:rPr>
                <w:rFonts w:asciiTheme="minorHAnsi" w:hAnsiTheme="minorHAnsi"/>
                <w:sz w:val="20"/>
              </w:rPr>
              <w:t>Avi</w:t>
            </w:r>
            <w:r w:rsidR="00365D96">
              <w:rPr>
                <w:rFonts w:asciiTheme="minorHAnsi" w:hAnsiTheme="minorHAnsi"/>
                <w:sz w:val="20"/>
              </w:rPr>
              <w:t>nza</w:t>
            </w:r>
          </w:p>
        </w:tc>
        <w:tc>
          <w:tcPr>
            <w:tcW w:w="1297" w:type="dxa"/>
            <w:tcBorders>
              <w:top w:val="dashSmallGap" w:sz="4" w:space="0" w:color="auto"/>
            </w:tcBorders>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0</w:t>
            </w:r>
          </w:p>
        </w:tc>
        <w:tc>
          <w:tcPr>
            <w:tcW w:w="1297" w:type="dxa"/>
            <w:tcBorders>
              <w:top w:val="dashSmallGap" w:sz="4" w:space="0" w:color="auto"/>
            </w:tcBorders>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2,385</w:t>
            </w:r>
          </w:p>
        </w:tc>
        <w:tc>
          <w:tcPr>
            <w:tcW w:w="1297" w:type="dxa"/>
            <w:tcBorders>
              <w:top w:val="dashSmallGap" w:sz="4" w:space="0" w:color="auto"/>
            </w:tcBorders>
            <w:vAlign w:val="center"/>
          </w:tcPr>
          <w:p w:rsidR="00AB109F"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2,385</w:t>
            </w:r>
          </w:p>
        </w:tc>
      </w:tr>
      <w:tr w:rsidR="00AB109F" w:rsidRPr="00D22869" w:rsidTr="00DA19B6">
        <w:trPr>
          <w:cantSplit/>
          <w:jc w:val="center"/>
        </w:trPr>
        <w:tc>
          <w:tcPr>
            <w:tcW w:w="1334" w:type="dxa"/>
            <w:vAlign w:val="center"/>
          </w:tcPr>
          <w:p w:rsidR="00AB109F" w:rsidRPr="00D22869" w:rsidRDefault="00AB109F" w:rsidP="00DA19B6">
            <w:pPr>
              <w:keepNext/>
              <w:spacing w:after="0" w:line="240" w:lineRule="auto"/>
              <w:ind w:left="208"/>
              <w:rPr>
                <w:rFonts w:asciiTheme="minorHAnsi" w:hAnsiTheme="minorHAnsi"/>
                <w:sz w:val="20"/>
              </w:rPr>
            </w:pPr>
            <w:r>
              <w:rPr>
                <w:rFonts w:asciiTheme="minorHAnsi" w:hAnsiTheme="minorHAnsi"/>
                <w:sz w:val="20"/>
              </w:rPr>
              <w:t>Kadian</w:t>
            </w:r>
          </w:p>
        </w:tc>
        <w:tc>
          <w:tcPr>
            <w:tcW w:w="1297" w:type="dxa"/>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1,361</w:t>
            </w:r>
          </w:p>
        </w:tc>
        <w:tc>
          <w:tcPr>
            <w:tcW w:w="1297" w:type="dxa"/>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41,021</w:t>
            </w:r>
          </w:p>
        </w:tc>
        <w:tc>
          <w:tcPr>
            <w:tcW w:w="1297" w:type="dxa"/>
            <w:vAlign w:val="center"/>
          </w:tcPr>
          <w:p w:rsidR="00AB109F"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42,382</w:t>
            </w:r>
          </w:p>
        </w:tc>
      </w:tr>
      <w:tr w:rsidR="00AB109F" w:rsidRPr="00D22869" w:rsidTr="00DA19B6">
        <w:trPr>
          <w:cantSplit/>
          <w:jc w:val="center"/>
        </w:trPr>
        <w:tc>
          <w:tcPr>
            <w:tcW w:w="1334" w:type="dxa"/>
            <w:vAlign w:val="center"/>
          </w:tcPr>
          <w:p w:rsidR="00AB109F" w:rsidRDefault="00AB109F" w:rsidP="00DA19B6">
            <w:pPr>
              <w:keepNext/>
              <w:spacing w:after="0" w:line="240" w:lineRule="auto"/>
              <w:ind w:left="208"/>
              <w:rPr>
                <w:rFonts w:asciiTheme="minorHAnsi" w:hAnsiTheme="minorHAnsi"/>
                <w:sz w:val="20"/>
              </w:rPr>
            </w:pPr>
            <w:r>
              <w:rPr>
                <w:rFonts w:asciiTheme="minorHAnsi" w:hAnsiTheme="minorHAnsi"/>
                <w:sz w:val="20"/>
              </w:rPr>
              <w:t>MS Contin</w:t>
            </w:r>
          </w:p>
        </w:tc>
        <w:tc>
          <w:tcPr>
            <w:tcW w:w="1297" w:type="dxa"/>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4,692</w:t>
            </w:r>
          </w:p>
        </w:tc>
        <w:tc>
          <w:tcPr>
            <w:tcW w:w="1297" w:type="dxa"/>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766,429</w:t>
            </w:r>
          </w:p>
        </w:tc>
        <w:tc>
          <w:tcPr>
            <w:tcW w:w="1297" w:type="dxa"/>
            <w:vAlign w:val="center"/>
          </w:tcPr>
          <w:p w:rsidR="00AB109F"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771,121</w:t>
            </w:r>
          </w:p>
        </w:tc>
      </w:tr>
      <w:tr w:rsidR="00AB109F" w:rsidRPr="00D22869" w:rsidTr="00DA19B6">
        <w:trPr>
          <w:cantSplit/>
          <w:jc w:val="center"/>
        </w:trPr>
        <w:tc>
          <w:tcPr>
            <w:tcW w:w="1334" w:type="dxa"/>
            <w:tcBorders>
              <w:bottom w:val="single" w:sz="4" w:space="0" w:color="auto"/>
            </w:tcBorders>
            <w:vAlign w:val="center"/>
          </w:tcPr>
          <w:p w:rsidR="00AB109F" w:rsidRDefault="00AB109F" w:rsidP="00DA19B6">
            <w:pPr>
              <w:keepNext/>
              <w:spacing w:after="0" w:line="240" w:lineRule="auto"/>
              <w:ind w:left="208"/>
              <w:rPr>
                <w:rFonts w:asciiTheme="minorHAnsi" w:hAnsiTheme="minorHAnsi"/>
                <w:sz w:val="20"/>
              </w:rPr>
            </w:pPr>
            <w:r>
              <w:rPr>
                <w:rFonts w:asciiTheme="minorHAnsi" w:hAnsiTheme="minorHAnsi"/>
                <w:sz w:val="20"/>
              </w:rPr>
              <w:t>Zohydro</w:t>
            </w:r>
          </w:p>
        </w:tc>
        <w:tc>
          <w:tcPr>
            <w:tcW w:w="1297" w:type="dxa"/>
            <w:tcBorders>
              <w:bottom w:val="single" w:sz="4" w:space="0" w:color="auto"/>
            </w:tcBorders>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18,703</w:t>
            </w:r>
          </w:p>
        </w:tc>
        <w:tc>
          <w:tcPr>
            <w:tcW w:w="1297" w:type="dxa"/>
            <w:tcBorders>
              <w:bottom w:val="single" w:sz="4" w:space="0" w:color="auto"/>
            </w:tcBorders>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bottom w:val="single" w:sz="4" w:space="0" w:color="auto"/>
            </w:tcBorders>
            <w:vAlign w:val="center"/>
          </w:tcPr>
          <w:p w:rsidR="00AB109F"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18,703</w:t>
            </w:r>
          </w:p>
        </w:tc>
      </w:tr>
      <w:tr w:rsidR="00AB109F" w:rsidRPr="00D22869" w:rsidTr="00DA19B6">
        <w:trPr>
          <w:cantSplit/>
          <w:jc w:val="center"/>
        </w:trPr>
        <w:tc>
          <w:tcPr>
            <w:tcW w:w="1334" w:type="dxa"/>
            <w:tcBorders>
              <w:top w:val="single" w:sz="4" w:space="0" w:color="auto"/>
              <w:bottom w:val="dashSmallGap" w:sz="4" w:space="0" w:color="auto"/>
            </w:tcBorders>
            <w:vAlign w:val="center"/>
          </w:tcPr>
          <w:p w:rsidR="00AB109F" w:rsidRDefault="00AB109F" w:rsidP="00DA19B6">
            <w:pPr>
              <w:keepNext/>
              <w:spacing w:after="0" w:line="240" w:lineRule="auto"/>
              <w:rPr>
                <w:rFonts w:asciiTheme="minorHAnsi" w:hAnsiTheme="minorHAnsi"/>
                <w:sz w:val="20"/>
              </w:rPr>
            </w:pPr>
            <w:r>
              <w:rPr>
                <w:rFonts w:asciiTheme="minorHAnsi" w:hAnsiTheme="minorHAnsi"/>
                <w:sz w:val="20"/>
              </w:rPr>
              <w:t>ADOs</w:t>
            </w:r>
          </w:p>
        </w:tc>
        <w:tc>
          <w:tcPr>
            <w:tcW w:w="1297" w:type="dxa"/>
            <w:tcBorders>
              <w:top w:val="single" w:sz="4" w:space="0" w:color="auto"/>
              <w:bottom w:val="dashSmallGap" w:sz="4" w:space="0" w:color="auto"/>
            </w:tcBorders>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9,294</w:t>
            </w:r>
          </w:p>
        </w:tc>
        <w:tc>
          <w:tcPr>
            <w:tcW w:w="1297" w:type="dxa"/>
            <w:tcBorders>
              <w:top w:val="single" w:sz="4" w:space="0" w:color="auto"/>
              <w:bottom w:val="dashSmallGap" w:sz="4" w:space="0" w:color="auto"/>
            </w:tcBorders>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top w:val="single" w:sz="4" w:space="0" w:color="auto"/>
              <w:bottom w:val="dashSmallGap" w:sz="4" w:space="0" w:color="auto"/>
            </w:tcBorders>
            <w:vAlign w:val="center"/>
          </w:tcPr>
          <w:p w:rsidR="00AB109F"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9,294</w:t>
            </w:r>
          </w:p>
        </w:tc>
      </w:tr>
      <w:tr w:rsidR="00AB109F" w:rsidRPr="00D22869" w:rsidTr="00DA19B6">
        <w:trPr>
          <w:cantSplit/>
          <w:jc w:val="center"/>
        </w:trPr>
        <w:tc>
          <w:tcPr>
            <w:tcW w:w="1334" w:type="dxa"/>
            <w:tcBorders>
              <w:top w:val="dashSmallGap" w:sz="4" w:space="0" w:color="auto"/>
            </w:tcBorders>
            <w:vAlign w:val="center"/>
          </w:tcPr>
          <w:p w:rsidR="00AB109F" w:rsidRDefault="00AB109F" w:rsidP="00DA19B6">
            <w:pPr>
              <w:keepNext/>
              <w:spacing w:after="0" w:line="240" w:lineRule="auto"/>
              <w:ind w:left="208"/>
              <w:rPr>
                <w:rFonts w:asciiTheme="minorHAnsi" w:hAnsiTheme="minorHAnsi"/>
                <w:sz w:val="20"/>
              </w:rPr>
            </w:pPr>
            <w:r>
              <w:rPr>
                <w:rFonts w:asciiTheme="minorHAnsi" w:hAnsiTheme="minorHAnsi"/>
                <w:sz w:val="20"/>
              </w:rPr>
              <w:t>Embeda</w:t>
            </w:r>
          </w:p>
        </w:tc>
        <w:tc>
          <w:tcPr>
            <w:tcW w:w="1297" w:type="dxa"/>
            <w:tcBorders>
              <w:top w:val="dashSmallGap" w:sz="4" w:space="0" w:color="auto"/>
            </w:tcBorders>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5,904</w:t>
            </w:r>
          </w:p>
        </w:tc>
        <w:tc>
          <w:tcPr>
            <w:tcW w:w="1297" w:type="dxa"/>
            <w:tcBorders>
              <w:top w:val="dashSmallGap" w:sz="4" w:space="0" w:color="auto"/>
            </w:tcBorders>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top w:val="dashSmallGap" w:sz="4" w:space="0" w:color="auto"/>
            </w:tcBorders>
            <w:vAlign w:val="center"/>
          </w:tcPr>
          <w:p w:rsidR="00AB109F"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5,904</w:t>
            </w:r>
          </w:p>
        </w:tc>
      </w:tr>
      <w:tr w:rsidR="00AB109F" w:rsidRPr="00D22869" w:rsidTr="00DA19B6">
        <w:trPr>
          <w:cantSplit/>
          <w:jc w:val="center"/>
        </w:trPr>
        <w:tc>
          <w:tcPr>
            <w:tcW w:w="1334" w:type="dxa"/>
            <w:tcBorders>
              <w:bottom w:val="single" w:sz="4" w:space="0" w:color="auto"/>
            </w:tcBorders>
            <w:vAlign w:val="center"/>
          </w:tcPr>
          <w:p w:rsidR="00AB109F" w:rsidRDefault="00AB109F" w:rsidP="00DA19B6">
            <w:pPr>
              <w:keepNext/>
              <w:spacing w:after="0" w:line="240" w:lineRule="auto"/>
              <w:ind w:left="208"/>
              <w:rPr>
                <w:rFonts w:asciiTheme="minorHAnsi" w:hAnsiTheme="minorHAnsi"/>
                <w:sz w:val="20"/>
              </w:rPr>
            </w:pPr>
            <w:r>
              <w:rPr>
                <w:rFonts w:asciiTheme="minorHAnsi" w:hAnsiTheme="minorHAnsi"/>
                <w:sz w:val="20"/>
              </w:rPr>
              <w:t>Hysingla</w:t>
            </w:r>
          </w:p>
        </w:tc>
        <w:tc>
          <w:tcPr>
            <w:tcW w:w="1297" w:type="dxa"/>
            <w:tcBorders>
              <w:bottom w:val="single" w:sz="4" w:space="0" w:color="auto"/>
            </w:tcBorders>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3,390</w:t>
            </w:r>
          </w:p>
        </w:tc>
        <w:tc>
          <w:tcPr>
            <w:tcW w:w="1297" w:type="dxa"/>
            <w:tcBorders>
              <w:bottom w:val="single" w:sz="4" w:space="0" w:color="auto"/>
            </w:tcBorders>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bottom w:val="single" w:sz="4" w:space="0" w:color="auto"/>
            </w:tcBorders>
            <w:vAlign w:val="center"/>
          </w:tcPr>
          <w:p w:rsidR="00AB109F"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3,390</w:t>
            </w:r>
          </w:p>
        </w:tc>
      </w:tr>
      <w:tr w:rsidR="00AB109F" w:rsidRPr="00D22869" w:rsidTr="00DA19B6">
        <w:trPr>
          <w:cantSplit/>
          <w:jc w:val="center"/>
        </w:trPr>
        <w:tc>
          <w:tcPr>
            <w:tcW w:w="1334" w:type="dxa"/>
            <w:tcBorders>
              <w:top w:val="single" w:sz="4" w:space="0" w:color="auto"/>
            </w:tcBorders>
            <w:vAlign w:val="center"/>
          </w:tcPr>
          <w:p w:rsidR="00AB109F" w:rsidRDefault="00AB109F" w:rsidP="00DA19B6">
            <w:pPr>
              <w:keepNext/>
              <w:spacing w:after="0" w:line="240" w:lineRule="auto"/>
              <w:ind w:left="28"/>
              <w:rPr>
                <w:rFonts w:asciiTheme="minorHAnsi" w:hAnsiTheme="minorHAnsi"/>
                <w:sz w:val="20"/>
              </w:rPr>
            </w:pPr>
            <w:r>
              <w:rPr>
                <w:rFonts w:asciiTheme="minorHAnsi" w:hAnsiTheme="minorHAnsi"/>
                <w:sz w:val="20"/>
              </w:rPr>
              <w:t>Total</w:t>
            </w:r>
          </w:p>
        </w:tc>
        <w:tc>
          <w:tcPr>
            <w:tcW w:w="1297" w:type="dxa"/>
            <w:tcBorders>
              <w:top w:val="single" w:sz="4" w:space="0" w:color="auto"/>
            </w:tcBorders>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34,050</w:t>
            </w:r>
          </w:p>
        </w:tc>
        <w:tc>
          <w:tcPr>
            <w:tcW w:w="1297" w:type="dxa"/>
            <w:tcBorders>
              <w:top w:val="single" w:sz="4" w:space="0" w:color="auto"/>
            </w:tcBorders>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809,834</w:t>
            </w:r>
          </w:p>
        </w:tc>
        <w:tc>
          <w:tcPr>
            <w:tcW w:w="1297" w:type="dxa"/>
            <w:tcBorders>
              <w:top w:val="single" w:sz="4" w:space="0" w:color="auto"/>
            </w:tcBorders>
            <w:vAlign w:val="center"/>
          </w:tcPr>
          <w:p w:rsidR="00AB109F"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843,884</w:t>
            </w:r>
          </w:p>
        </w:tc>
      </w:tr>
    </w:tbl>
    <w:p w:rsidR="00AB109F" w:rsidRDefault="00AB109F" w:rsidP="00217798">
      <w:pPr>
        <w:pStyle w:val="NoSpacing"/>
      </w:pPr>
    </w:p>
    <w:p w:rsidR="00AB109F" w:rsidRDefault="00AB109F" w:rsidP="00AB109F">
      <w:pPr>
        <w:pStyle w:val="Heading2"/>
      </w:pPr>
      <w:bookmarkStart w:id="52" w:name="_Toc468888003"/>
      <w:r w:rsidRPr="00196683">
        <w:t>4.</w:t>
      </w:r>
      <w:r>
        <w:t>2</w:t>
      </w:r>
      <w:r w:rsidRPr="00196683">
        <w:t xml:space="preserve">. </w:t>
      </w:r>
      <w:r>
        <w:t xml:space="preserve">Cost of </w:t>
      </w:r>
      <w:r w:rsidR="00E73430">
        <w:t xml:space="preserve">draft </w:t>
      </w:r>
      <w:r>
        <w:t xml:space="preserve">formulary opioids in the absence of </w:t>
      </w:r>
      <w:r w:rsidR="00EF62BF">
        <w:t>substitution</w:t>
      </w:r>
      <w:bookmarkEnd w:id="52"/>
    </w:p>
    <w:p w:rsidR="00AB109F" w:rsidRDefault="00AB109F" w:rsidP="00AB109F">
      <w:r>
        <w:t>As with utilization data, use of both the</w:t>
      </w:r>
      <w:r w:rsidR="00A445D1">
        <w:t xml:space="preserve"> MA-APCD</w:t>
      </w:r>
      <w:r>
        <w:t xml:space="preserve"> and PMP was necessa</w:t>
      </w:r>
      <w:r w:rsidR="00574D63">
        <w:t xml:space="preserve">ry </w:t>
      </w:r>
      <w:r w:rsidR="00EF62BF">
        <w:t>to estimate the per-</w:t>
      </w:r>
      <w:r>
        <w:t>unit cost of each formulary drug</w:t>
      </w:r>
      <w:r w:rsidR="00EF62BF">
        <w:t xml:space="preserve"> and dosage by form.  T</w:t>
      </w:r>
      <w:r>
        <w:t>o appropriately reflect actual costs paid in the relevant Massachusetts health insurance market,</w:t>
      </w:r>
      <w:r w:rsidR="00A445D1">
        <w:t xml:space="preserve"> MA-APCD</w:t>
      </w:r>
      <w:r>
        <w:t xml:space="preserve"> data was used where available.  For drugs not introduced until 2015, 2015 Wholesale Acquisition Costs (WAC) by dosage and form were used, and adjusted downward based on the average ratio of 2015 PMP to 2014</w:t>
      </w:r>
      <w:r w:rsidR="00A445D1">
        <w:t xml:space="preserve"> MA-APCD</w:t>
      </w:r>
      <w:r>
        <w:t xml:space="preserve"> unit costs, a factor of </w:t>
      </w:r>
      <w:r w:rsidR="00BF5309">
        <w:t>1.58</w:t>
      </w:r>
      <w:r w:rsidRPr="00771F30">
        <w:t>.  WAC is one of several available drug pricing estimates</w:t>
      </w:r>
      <w:r w:rsidR="00EF76B3">
        <w:t xml:space="preserve"> available for purchase</w:t>
      </w:r>
      <w:r w:rsidRPr="00771F30">
        <w:t>, but does not reflect actual transaction costs for a given drug.</w:t>
      </w:r>
      <w:r w:rsidRPr="00771F30">
        <w:rPr>
          <w:rStyle w:val="EndnoteReference"/>
        </w:rPr>
        <w:endnoteReference w:id="45"/>
      </w:r>
    </w:p>
    <w:p w:rsidR="00AB109F" w:rsidRDefault="00AB109F" w:rsidP="00AB109F">
      <w:r w:rsidRPr="00CC39A1">
        <w:t>To then adjust 2014 prices to the 2016 baseline year, the Consumer Price Index (CPI) for prescription drugs was applied for each respective year.</w:t>
      </w:r>
      <w:r w:rsidRPr="00CC39A1">
        <w:rPr>
          <w:rStyle w:val="EndnoteReference"/>
        </w:rPr>
        <w:endnoteReference w:id="46"/>
      </w:r>
      <w:r w:rsidRPr="00CC39A1">
        <w:t xml:space="preserve">  </w:t>
      </w:r>
      <w:r w:rsidR="00E12669" w:rsidRPr="00CC39A1">
        <w:t>Table 3</w:t>
      </w:r>
      <w:r w:rsidR="00E12669">
        <w:t xml:space="preserve"> reflects these values</w:t>
      </w:r>
      <w:r w:rsidRPr="00CC39A1">
        <w:t>.</w:t>
      </w:r>
    </w:p>
    <w:p w:rsidR="00AB109F" w:rsidRPr="00BE59A4" w:rsidRDefault="00AB109F" w:rsidP="00AB109F">
      <w:pPr>
        <w:pStyle w:val="TableTitle"/>
        <w:rPr>
          <w:szCs w:val="20"/>
        </w:rPr>
      </w:pPr>
      <w:r w:rsidRPr="00701459">
        <w:t xml:space="preserve">Table </w:t>
      </w:r>
      <w:r>
        <w:t>3</w:t>
      </w:r>
      <w:r w:rsidRPr="00701459">
        <w:t>:</w:t>
      </w:r>
      <w:r w:rsidRPr="00701459">
        <w:br/>
      </w:r>
      <w:r>
        <w:t>Opioid Drug Price Inflation Estimates</w:t>
      </w:r>
    </w:p>
    <w:tbl>
      <w:tblPr>
        <w:tblW w:w="4121" w:type="dxa"/>
        <w:jc w:val="center"/>
        <w:tblInd w:w="-5" w:type="dxa"/>
        <w:tblCellMar>
          <w:top w:w="14" w:type="dxa"/>
          <w:left w:w="58" w:type="dxa"/>
          <w:bottom w:w="14" w:type="dxa"/>
          <w:right w:w="58" w:type="dxa"/>
        </w:tblCellMar>
        <w:tblLook w:val="04A0"/>
      </w:tblPr>
      <w:tblGrid>
        <w:gridCol w:w="2053"/>
        <w:gridCol w:w="1111"/>
        <w:gridCol w:w="957"/>
      </w:tblGrid>
      <w:tr w:rsidR="00AB109F" w:rsidRPr="00BF5954" w:rsidTr="00DA19B6">
        <w:trPr>
          <w:cantSplit/>
          <w:jc w:val="center"/>
        </w:trPr>
        <w:tc>
          <w:tcPr>
            <w:tcW w:w="2053" w:type="dxa"/>
            <w:vAlign w:val="bottom"/>
          </w:tcPr>
          <w:p w:rsidR="00AB109F" w:rsidRPr="005731AB" w:rsidRDefault="00AB109F" w:rsidP="00DA19B6">
            <w:pPr>
              <w:keepNext/>
              <w:spacing w:after="0" w:line="240" w:lineRule="auto"/>
              <w:rPr>
                <w:rFonts w:ascii="Calibri" w:hAnsi="Calibri"/>
                <w:sz w:val="20"/>
              </w:rPr>
            </w:pPr>
          </w:p>
        </w:tc>
        <w:tc>
          <w:tcPr>
            <w:tcW w:w="1111" w:type="dxa"/>
            <w:vAlign w:val="center"/>
          </w:tcPr>
          <w:p w:rsidR="00AB109F" w:rsidRPr="00A627FC" w:rsidRDefault="00AB109F" w:rsidP="00DA19B6">
            <w:pPr>
              <w:keepNext/>
              <w:spacing w:after="0" w:line="240" w:lineRule="auto"/>
              <w:jc w:val="right"/>
              <w:rPr>
                <w:rFonts w:ascii="Calibri" w:hAnsi="Calibri"/>
                <w:sz w:val="20"/>
                <w:u w:val="single"/>
              </w:rPr>
            </w:pPr>
            <w:r w:rsidRPr="00A627FC">
              <w:rPr>
                <w:rFonts w:ascii="Calibri" w:hAnsi="Calibri"/>
                <w:sz w:val="20"/>
                <w:u w:val="single"/>
              </w:rPr>
              <w:t>2014-15</w:t>
            </w:r>
          </w:p>
        </w:tc>
        <w:tc>
          <w:tcPr>
            <w:tcW w:w="957" w:type="dxa"/>
            <w:vAlign w:val="center"/>
          </w:tcPr>
          <w:p w:rsidR="00AB109F" w:rsidRPr="00A627FC" w:rsidRDefault="00AB109F" w:rsidP="00DA19B6">
            <w:pPr>
              <w:keepNext/>
              <w:spacing w:after="0" w:line="240" w:lineRule="auto"/>
              <w:jc w:val="right"/>
              <w:rPr>
                <w:rFonts w:ascii="Calibri" w:hAnsi="Calibri"/>
                <w:sz w:val="20"/>
                <w:u w:val="single"/>
              </w:rPr>
            </w:pPr>
            <w:r w:rsidRPr="00A627FC">
              <w:rPr>
                <w:rFonts w:ascii="Calibri" w:hAnsi="Calibri"/>
                <w:sz w:val="20"/>
                <w:u w:val="single"/>
              </w:rPr>
              <w:t>2015-16</w:t>
            </w:r>
          </w:p>
        </w:tc>
      </w:tr>
      <w:tr w:rsidR="00AB109F" w:rsidRPr="00D22869" w:rsidTr="00DA19B6">
        <w:trPr>
          <w:cantSplit/>
          <w:jc w:val="center"/>
        </w:trPr>
        <w:tc>
          <w:tcPr>
            <w:tcW w:w="2053" w:type="dxa"/>
            <w:vAlign w:val="center"/>
          </w:tcPr>
          <w:p w:rsidR="00AB109F" w:rsidRDefault="00AB109F" w:rsidP="00DA19B6">
            <w:pPr>
              <w:keepNext/>
              <w:spacing w:after="0" w:line="240" w:lineRule="auto"/>
              <w:ind w:left="28"/>
              <w:rPr>
                <w:rFonts w:asciiTheme="minorHAnsi" w:hAnsiTheme="minorHAnsi"/>
                <w:sz w:val="20"/>
              </w:rPr>
            </w:pPr>
            <w:r>
              <w:rPr>
                <w:rFonts w:asciiTheme="minorHAnsi" w:hAnsiTheme="minorHAnsi"/>
                <w:sz w:val="20"/>
              </w:rPr>
              <w:t>Prescription Drug CPI</w:t>
            </w:r>
          </w:p>
        </w:tc>
        <w:tc>
          <w:tcPr>
            <w:tcW w:w="1111" w:type="dxa"/>
            <w:vAlign w:val="center"/>
          </w:tcPr>
          <w:p w:rsidR="00AB109F" w:rsidRPr="00D22869" w:rsidRDefault="00AB109F" w:rsidP="00DA19B6">
            <w:pPr>
              <w:keepNext/>
              <w:spacing w:after="0" w:line="240" w:lineRule="auto"/>
              <w:jc w:val="right"/>
              <w:rPr>
                <w:rFonts w:asciiTheme="minorHAnsi" w:hAnsiTheme="minorHAnsi"/>
                <w:sz w:val="20"/>
              </w:rPr>
            </w:pPr>
            <w:r>
              <w:rPr>
                <w:rFonts w:asciiTheme="minorHAnsi" w:hAnsiTheme="minorHAnsi"/>
                <w:sz w:val="20"/>
              </w:rPr>
              <w:t>2.4%</w:t>
            </w:r>
          </w:p>
        </w:tc>
        <w:tc>
          <w:tcPr>
            <w:tcW w:w="957" w:type="dxa"/>
            <w:vAlign w:val="center"/>
          </w:tcPr>
          <w:p w:rsidR="00AB109F" w:rsidRPr="00D22869" w:rsidRDefault="00AB109F" w:rsidP="00DA19B6">
            <w:pPr>
              <w:keepNext/>
              <w:spacing w:after="0" w:line="240" w:lineRule="auto"/>
              <w:jc w:val="right"/>
              <w:rPr>
                <w:rFonts w:asciiTheme="minorHAnsi" w:hAnsiTheme="minorHAnsi" w:cs="Calibri"/>
                <w:sz w:val="20"/>
              </w:rPr>
            </w:pPr>
            <w:r>
              <w:rPr>
                <w:rFonts w:asciiTheme="minorHAnsi" w:hAnsiTheme="minorHAnsi" w:cs="Calibri"/>
                <w:sz w:val="20"/>
              </w:rPr>
              <w:t>5.0%</w:t>
            </w:r>
          </w:p>
        </w:tc>
      </w:tr>
    </w:tbl>
    <w:p w:rsidR="00AB109F" w:rsidRDefault="00AB109F" w:rsidP="00217798">
      <w:pPr>
        <w:pStyle w:val="NoSpacing"/>
      </w:pPr>
    </w:p>
    <w:p w:rsidR="00AB109F" w:rsidRDefault="00AB109F" w:rsidP="00217798">
      <w:r>
        <w:t>Prices for each drug by form and dosage level were projected for each year of the report; Table 4 averages these prices by drug and form.</w:t>
      </w:r>
    </w:p>
    <w:p w:rsidR="00AB109F" w:rsidRPr="00BE59A4" w:rsidRDefault="00AB109F" w:rsidP="00AB109F">
      <w:pPr>
        <w:pStyle w:val="TableTitle"/>
        <w:rPr>
          <w:szCs w:val="20"/>
        </w:rPr>
      </w:pPr>
      <w:r w:rsidRPr="00701459">
        <w:lastRenderedPageBreak/>
        <w:t xml:space="preserve">Table </w:t>
      </w:r>
      <w:r>
        <w:t>4</w:t>
      </w:r>
      <w:r w:rsidRPr="00701459">
        <w:t>:</w:t>
      </w:r>
      <w:r w:rsidRPr="00701459">
        <w:br/>
      </w:r>
      <w:r>
        <w:t>2016 Opioid Drug Price per Unit Estimates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58" w:type="dxa"/>
          <w:bottom w:w="14" w:type="dxa"/>
          <w:right w:w="58" w:type="dxa"/>
        </w:tblCellMar>
        <w:tblLook w:val="04A0"/>
      </w:tblPr>
      <w:tblGrid>
        <w:gridCol w:w="1368"/>
        <w:gridCol w:w="1368"/>
        <w:gridCol w:w="1368"/>
      </w:tblGrid>
      <w:tr w:rsidR="00AB109F" w:rsidRPr="007D30E0" w:rsidTr="00DA19B6">
        <w:trPr>
          <w:jc w:val="center"/>
        </w:trPr>
        <w:tc>
          <w:tcPr>
            <w:tcW w:w="1368" w:type="dxa"/>
            <w:tcBorders>
              <w:bottom w:val="single" w:sz="4" w:space="0" w:color="auto"/>
            </w:tcBorders>
          </w:tcPr>
          <w:p w:rsidR="00AB109F" w:rsidRPr="007D30E0" w:rsidRDefault="00AB109F" w:rsidP="00217798">
            <w:pPr>
              <w:keepNext/>
              <w:spacing w:after="0" w:line="240" w:lineRule="auto"/>
              <w:rPr>
                <w:rFonts w:asciiTheme="minorHAnsi" w:hAnsiTheme="minorHAnsi"/>
                <w:sz w:val="20"/>
                <w:szCs w:val="20"/>
              </w:rPr>
            </w:pPr>
          </w:p>
        </w:tc>
        <w:tc>
          <w:tcPr>
            <w:tcW w:w="1368" w:type="dxa"/>
            <w:tcBorders>
              <w:bottom w:val="single" w:sz="4" w:space="0" w:color="auto"/>
            </w:tcBorders>
            <w:vAlign w:val="center"/>
          </w:tcPr>
          <w:p w:rsidR="00AB109F" w:rsidRPr="008004C6" w:rsidRDefault="00AB109F" w:rsidP="00217798">
            <w:pPr>
              <w:keepNext/>
              <w:spacing w:after="0" w:line="240" w:lineRule="auto"/>
              <w:jc w:val="right"/>
              <w:rPr>
                <w:rFonts w:asciiTheme="minorHAnsi" w:hAnsiTheme="minorHAnsi"/>
                <w:sz w:val="20"/>
                <w:szCs w:val="20"/>
                <w:u w:val="single"/>
              </w:rPr>
            </w:pPr>
            <w:r>
              <w:rPr>
                <w:rFonts w:asciiTheme="minorHAnsi" w:hAnsiTheme="minorHAnsi"/>
                <w:sz w:val="20"/>
                <w:szCs w:val="20"/>
                <w:u w:val="single"/>
              </w:rPr>
              <w:t>Brand</w:t>
            </w:r>
          </w:p>
        </w:tc>
        <w:tc>
          <w:tcPr>
            <w:tcW w:w="1368" w:type="dxa"/>
            <w:tcBorders>
              <w:bottom w:val="single" w:sz="4" w:space="0" w:color="auto"/>
            </w:tcBorders>
            <w:vAlign w:val="center"/>
          </w:tcPr>
          <w:p w:rsidR="00AB109F" w:rsidRPr="008004C6" w:rsidRDefault="00AB109F" w:rsidP="00217798">
            <w:pPr>
              <w:keepNext/>
              <w:spacing w:after="0" w:line="240" w:lineRule="auto"/>
              <w:jc w:val="right"/>
              <w:rPr>
                <w:rFonts w:asciiTheme="minorHAnsi" w:hAnsiTheme="minorHAnsi"/>
                <w:sz w:val="20"/>
                <w:szCs w:val="20"/>
                <w:u w:val="single"/>
              </w:rPr>
            </w:pPr>
            <w:r>
              <w:rPr>
                <w:rFonts w:asciiTheme="minorHAnsi" w:hAnsiTheme="minorHAnsi"/>
                <w:sz w:val="20"/>
                <w:szCs w:val="20"/>
                <w:u w:val="single"/>
              </w:rPr>
              <w:t>Generic</w:t>
            </w:r>
          </w:p>
        </w:tc>
      </w:tr>
      <w:tr w:rsidR="00AB109F" w:rsidRPr="007D30E0" w:rsidTr="00DA19B6">
        <w:trPr>
          <w:jc w:val="center"/>
        </w:trPr>
        <w:tc>
          <w:tcPr>
            <w:tcW w:w="1368" w:type="dxa"/>
            <w:tcBorders>
              <w:top w:val="single" w:sz="4" w:space="0" w:color="auto"/>
              <w:bottom w:val="dashSmallGap" w:sz="4" w:space="0" w:color="auto"/>
              <w:right w:val="single" w:sz="4" w:space="0" w:color="auto"/>
            </w:tcBorders>
            <w:vAlign w:val="center"/>
          </w:tcPr>
          <w:p w:rsidR="00AB109F" w:rsidRPr="007D30E0" w:rsidRDefault="00AB109F" w:rsidP="00217798">
            <w:pPr>
              <w:keepNext/>
              <w:spacing w:after="0" w:line="240" w:lineRule="auto"/>
              <w:rPr>
                <w:rFonts w:asciiTheme="minorHAnsi" w:hAnsiTheme="minorHAnsi"/>
                <w:sz w:val="20"/>
                <w:szCs w:val="20"/>
              </w:rPr>
            </w:pPr>
            <w:r w:rsidRPr="007D30E0">
              <w:rPr>
                <w:rFonts w:asciiTheme="minorHAnsi" w:hAnsiTheme="minorHAnsi"/>
                <w:sz w:val="20"/>
                <w:szCs w:val="20"/>
              </w:rPr>
              <w:t>HPHR Opioids</w:t>
            </w:r>
          </w:p>
        </w:tc>
        <w:tc>
          <w:tcPr>
            <w:tcW w:w="1368" w:type="dxa"/>
            <w:tcBorders>
              <w:top w:val="single" w:sz="4" w:space="0" w:color="auto"/>
              <w:left w:val="single" w:sz="4" w:space="0" w:color="auto"/>
              <w:bottom w:val="dashSmallGap"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$8.95</w:t>
            </w:r>
          </w:p>
        </w:tc>
        <w:tc>
          <w:tcPr>
            <w:tcW w:w="1368" w:type="dxa"/>
            <w:tcBorders>
              <w:top w:val="single" w:sz="4" w:space="0" w:color="auto"/>
              <w:bottom w:val="dashSmallGap"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$5.79</w:t>
            </w:r>
          </w:p>
        </w:tc>
      </w:tr>
      <w:tr w:rsidR="00AB109F" w:rsidRPr="007D30E0" w:rsidTr="00DA19B6">
        <w:trPr>
          <w:jc w:val="center"/>
        </w:trPr>
        <w:tc>
          <w:tcPr>
            <w:tcW w:w="1368" w:type="dxa"/>
            <w:tcBorders>
              <w:top w:val="dashSmallGap" w:sz="4" w:space="0" w:color="auto"/>
              <w:right w:val="single" w:sz="4" w:space="0" w:color="auto"/>
            </w:tcBorders>
            <w:vAlign w:val="center"/>
          </w:tcPr>
          <w:p w:rsidR="00AB109F" w:rsidRPr="007D30E0" w:rsidRDefault="00365D96" w:rsidP="00217798">
            <w:pPr>
              <w:keepNext/>
              <w:spacing w:after="0" w:line="240" w:lineRule="auto"/>
              <w:ind w:left="208"/>
              <w:rPr>
                <w:rFonts w:asciiTheme="minorHAnsi" w:hAnsiTheme="minorHAnsi"/>
                <w:sz w:val="20"/>
                <w:szCs w:val="20"/>
              </w:rPr>
            </w:pPr>
            <w:r>
              <w:rPr>
                <w:rFonts w:asciiTheme="minorHAnsi" w:hAnsiTheme="minorHAnsi"/>
                <w:sz w:val="20"/>
                <w:szCs w:val="20"/>
              </w:rPr>
              <w:t>Avinza</w:t>
            </w:r>
          </w:p>
        </w:tc>
        <w:tc>
          <w:tcPr>
            <w:tcW w:w="1368" w:type="dxa"/>
            <w:tcBorders>
              <w:top w:val="dashSmallGap" w:sz="4" w:space="0" w:color="auto"/>
              <w:left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N/A</w:t>
            </w:r>
          </w:p>
        </w:tc>
        <w:tc>
          <w:tcPr>
            <w:tcW w:w="1368" w:type="dxa"/>
            <w:tcBorders>
              <w:top w:val="dashSmallGap"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$9.76</w:t>
            </w:r>
          </w:p>
        </w:tc>
      </w:tr>
      <w:tr w:rsidR="00AB109F" w:rsidRPr="007D30E0" w:rsidTr="00DA19B6">
        <w:trPr>
          <w:jc w:val="center"/>
        </w:trPr>
        <w:tc>
          <w:tcPr>
            <w:tcW w:w="1368" w:type="dxa"/>
            <w:tcBorders>
              <w:right w:val="single" w:sz="4" w:space="0" w:color="auto"/>
            </w:tcBorders>
            <w:vAlign w:val="center"/>
          </w:tcPr>
          <w:p w:rsidR="00AB109F" w:rsidRPr="007D30E0" w:rsidRDefault="00AB109F" w:rsidP="00217798">
            <w:pPr>
              <w:keepNext/>
              <w:spacing w:after="0" w:line="240" w:lineRule="auto"/>
              <w:ind w:left="208"/>
              <w:rPr>
                <w:rFonts w:asciiTheme="minorHAnsi" w:hAnsiTheme="minorHAnsi"/>
                <w:sz w:val="20"/>
                <w:szCs w:val="20"/>
              </w:rPr>
            </w:pPr>
            <w:r w:rsidRPr="007D30E0">
              <w:rPr>
                <w:rFonts w:asciiTheme="minorHAnsi" w:hAnsiTheme="minorHAnsi"/>
                <w:sz w:val="20"/>
                <w:szCs w:val="20"/>
              </w:rPr>
              <w:t>Kadian</w:t>
            </w:r>
          </w:p>
        </w:tc>
        <w:tc>
          <w:tcPr>
            <w:tcW w:w="1368" w:type="dxa"/>
            <w:tcBorders>
              <w:left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$12.09</w:t>
            </w:r>
          </w:p>
        </w:tc>
        <w:tc>
          <w:tcPr>
            <w:tcW w:w="1368" w:type="dxa"/>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$5.33</w:t>
            </w:r>
          </w:p>
        </w:tc>
      </w:tr>
      <w:tr w:rsidR="00AB109F" w:rsidRPr="007D30E0" w:rsidTr="00DA19B6">
        <w:trPr>
          <w:jc w:val="center"/>
        </w:trPr>
        <w:tc>
          <w:tcPr>
            <w:tcW w:w="1368" w:type="dxa"/>
            <w:tcBorders>
              <w:right w:val="single" w:sz="4" w:space="0" w:color="auto"/>
            </w:tcBorders>
            <w:vAlign w:val="center"/>
          </w:tcPr>
          <w:p w:rsidR="00AB109F" w:rsidRPr="007D30E0" w:rsidRDefault="00AB109F" w:rsidP="00217798">
            <w:pPr>
              <w:keepNext/>
              <w:spacing w:after="0" w:line="240" w:lineRule="auto"/>
              <w:ind w:left="208"/>
              <w:rPr>
                <w:rFonts w:asciiTheme="minorHAnsi" w:hAnsiTheme="minorHAnsi"/>
                <w:sz w:val="20"/>
                <w:szCs w:val="20"/>
              </w:rPr>
            </w:pPr>
            <w:r w:rsidRPr="007D30E0">
              <w:rPr>
                <w:rFonts w:asciiTheme="minorHAnsi" w:hAnsiTheme="minorHAnsi"/>
                <w:sz w:val="20"/>
                <w:szCs w:val="20"/>
              </w:rPr>
              <w:t>MS Contin</w:t>
            </w:r>
          </w:p>
        </w:tc>
        <w:tc>
          <w:tcPr>
            <w:tcW w:w="1368" w:type="dxa"/>
            <w:tcBorders>
              <w:left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$9.09</w:t>
            </w:r>
          </w:p>
        </w:tc>
        <w:tc>
          <w:tcPr>
            <w:tcW w:w="1368" w:type="dxa"/>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$2.27</w:t>
            </w:r>
          </w:p>
        </w:tc>
      </w:tr>
      <w:tr w:rsidR="00AB109F" w:rsidRPr="007D30E0" w:rsidTr="00DA19B6">
        <w:trPr>
          <w:jc w:val="center"/>
        </w:trPr>
        <w:tc>
          <w:tcPr>
            <w:tcW w:w="1368" w:type="dxa"/>
            <w:tcBorders>
              <w:bottom w:val="single" w:sz="4" w:space="0" w:color="auto"/>
              <w:right w:val="single" w:sz="4" w:space="0" w:color="auto"/>
            </w:tcBorders>
            <w:vAlign w:val="center"/>
          </w:tcPr>
          <w:p w:rsidR="00AB109F" w:rsidRPr="007D30E0" w:rsidRDefault="00AB109F" w:rsidP="00217798">
            <w:pPr>
              <w:keepNext/>
              <w:spacing w:after="0" w:line="240" w:lineRule="auto"/>
              <w:ind w:left="208"/>
              <w:rPr>
                <w:rFonts w:asciiTheme="minorHAnsi" w:hAnsiTheme="minorHAnsi"/>
                <w:sz w:val="20"/>
                <w:szCs w:val="20"/>
              </w:rPr>
            </w:pPr>
            <w:r w:rsidRPr="007D30E0">
              <w:rPr>
                <w:rFonts w:asciiTheme="minorHAnsi" w:hAnsiTheme="minorHAnsi"/>
                <w:sz w:val="20"/>
                <w:szCs w:val="20"/>
              </w:rPr>
              <w:t>Zohydro</w:t>
            </w:r>
          </w:p>
        </w:tc>
        <w:tc>
          <w:tcPr>
            <w:tcW w:w="1368" w:type="dxa"/>
            <w:tcBorders>
              <w:left w:val="single" w:sz="4" w:space="0" w:color="auto"/>
              <w:bottom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$5.67</w:t>
            </w:r>
          </w:p>
        </w:tc>
        <w:tc>
          <w:tcPr>
            <w:tcW w:w="1368" w:type="dxa"/>
            <w:tcBorders>
              <w:bottom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N/A</w:t>
            </w:r>
          </w:p>
        </w:tc>
      </w:tr>
      <w:tr w:rsidR="00AB109F" w:rsidRPr="007D30E0" w:rsidTr="00DA19B6">
        <w:trPr>
          <w:jc w:val="center"/>
        </w:trPr>
        <w:tc>
          <w:tcPr>
            <w:tcW w:w="1368" w:type="dxa"/>
            <w:tcBorders>
              <w:top w:val="single" w:sz="4" w:space="0" w:color="auto"/>
              <w:bottom w:val="dashSmallGap" w:sz="4" w:space="0" w:color="auto"/>
              <w:right w:val="single" w:sz="4" w:space="0" w:color="auto"/>
            </w:tcBorders>
            <w:vAlign w:val="center"/>
          </w:tcPr>
          <w:p w:rsidR="00AB109F" w:rsidRPr="007D30E0" w:rsidRDefault="00AB109F" w:rsidP="00217798">
            <w:pPr>
              <w:keepNext/>
              <w:spacing w:after="0" w:line="240" w:lineRule="auto"/>
              <w:rPr>
                <w:rFonts w:asciiTheme="minorHAnsi" w:hAnsiTheme="minorHAnsi"/>
                <w:sz w:val="20"/>
                <w:szCs w:val="20"/>
              </w:rPr>
            </w:pPr>
            <w:r w:rsidRPr="007D30E0">
              <w:rPr>
                <w:rFonts w:asciiTheme="minorHAnsi" w:hAnsiTheme="minorHAnsi"/>
                <w:sz w:val="20"/>
                <w:szCs w:val="20"/>
              </w:rPr>
              <w:t>ADOs</w:t>
            </w:r>
          </w:p>
        </w:tc>
        <w:tc>
          <w:tcPr>
            <w:tcW w:w="1368" w:type="dxa"/>
            <w:tcBorders>
              <w:top w:val="single" w:sz="4" w:space="0" w:color="auto"/>
              <w:left w:val="single" w:sz="4" w:space="0" w:color="auto"/>
              <w:bottom w:val="dashSmallGap"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$11.79</w:t>
            </w:r>
          </w:p>
        </w:tc>
        <w:tc>
          <w:tcPr>
            <w:tcW w:w="1368" w:type="dxa"/>
            <w:tcBorders>
              <w:top w:val="single" w:sz="4" w:space="0" w:color="auto"/>
              <w:bottom w:val="dashSmallGap"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N/A</w:t>
            </w:r>
          </w:p>
        </w:tc>
      </w:tr>
      <w:tr w:rsidR="00AB109F" w:rsidRPr="007D30E0" w:rsidTr="00DA19B6">
        <w:trPr>
          <w:jc w:val="center"/>
        </w:trPr>
        <w:tc>
          <w:tcPr>
            <w:tcW w:w="1368" w:type="dxa"/>
            <w:tcBorders>
              <w:top w:val="dashSmallGap" w:sz="4" w:space="0" w:color="auto"/>
              <w:right w:val="single" w:sz="4" w:space="0" w:color="auto"/>
            </w:tcBorders>
            <w:vAlign w:val="center"/>
          </w:tcPr>
          <w:p w:rsidR="00AB109F" w:rsidRPr="007D30E0" w:rsidRDefault="00AB109F" w:rsidP="00217798">
            <w:pPr>
              <w:keepNext/>
              <w:spacing w:after="0" w:line="240" w:lineRule="auto"/>
              <w:ind w:left="208"/>
              <w:rPr>
                <w:rFonts w:asciiTheme="minorHAnsi" w:hAnsiTheme="minorHAnsi"/>
                <w:sz w:val="20"/>
                <w:szCs w:val="20"/>
              </w:rPr>
            </w:pPr>
            <w:r w:rsidRPr="007D30E0">
              <w:rPr>
                <w:rFonts w:asciiTheme="minorHAnsi" w:hAnsiTheme="minorHAnsi"/>
                <w:sz w:val="20"/>
                <w:szCs w:val="20"/>
              </w:rPr>
              <w:t>Embeda</w:t>
            </w:r>
          </w:p>
        </w:tc>
        <w:tc>
          <w:tcPr>
            <w:tcW w:w="1368" w:type="dxa"/>
            <w:tcBorders>
              <w:top w:val="dashSmallGap" w:sz="4" w:space="0" w:color="auto"/>
              <w:left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$9.42</w:t>
            </w:r>
          </w:p>
        </w:tc>
        <w:tc>
          <w:tcPr>
            <w:tcW w:w="1368" w:type="dxa"/>
            <w:tcBorders>
              <w:top w:val="dashSmallGap"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N/A</w:t>
            </w:r>
          </w:p>
        </w:tc>
      </w:tr>
      <w:tr w:rsidR="00AB109F" w:rsidRPr="007D30E0" w:rsidTr="00DA19B6">
        <w:trPr>
          <w:jc w:val="center"/>
        </w:trPr>
        <w:tc>
          <w:tcPr>
            <w:tcW w:w="1368" w:type="dxa"/>
            <w:tcBorders>
              <w:bottom w:val="single" w:sz="4" w:space="0" w:color="auto"/>
              <w:right w:val="single" w:sz="4" w:space="0" w:color="auto"/>
            </w:tcBorders>
            <w:vAlign w:val="center"/>
          </w:tcPr>
          <w:p w:rsidR="00AB109F" w:rsidRPr="007D30E0" w:rsidRDefault="00AB109F" w:rsidP="00217798">
            <w:pPr>
              <w:keepNext/>
              <w:spacing w:after="0" w:line="240" w:lineRule="auto"/>
              <w:ind w:left="208"/>
              <w:rPr>
                <w:rFonts w:asciiTheme="minorHAnsi" w:hAnsiTheme="minorHAnsi"/>
                <w:sz w:val="20"/>
                <w:szCs w:val="20"/>
              </w:rPr>
            </w:pPr>
            <w:r w:rsidRPr="007D30E0">
              <w:rPr>
                <w:rFonts w:asciiTheme="minorHAnsi" w:hAnsiTheme="minorHAnsi"/>
                <w:sz w:val="20"/>
                <w:szCs w:val="20"/>
              </w:rPr>
              <w:t>Hysingla</w:t>
            </w:r>
          </w:p>
        </w:tc>
        <w:tc>
          <w:tcPr>
            <w:tcW w:w="1368" w:type="dxa"/>
            <w:tcBorders>
              <w:left w:val="single" w:sz="4" w:space="0" w:color="auto"/>
              <w:bottom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$14.16</w:t>
            </w:r>
          </w:p>
        </w:tc>
        <w:tc>
          <w:tcPr>
            <w:tcW w:w="1368" w:type="dxa"/>
            <w:tcBorders>
              <w:bottom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N/A</w:t>
            </w:r>
          </w:p>
        </w:tc>
      </w:tr>
      <w:tr w:rsidR="00AB109F" w:rsidRPr="007D30E0" w:rsidTr="00DA19B6">
        <w:trPr>
          <w:jc w:val="center"/>
        </w:trPr>
        <w:tc>
          <w:tcPr>
            <w:tcW w:w="1368" w:type="dxa"/>
            <w:tcBorders>
              <w:top w:val="single" w:sz="4" w:space="0" w:color="auto"/>
              <w:bottom w:val="single" w:sz="4" w:space="0" w:color="auto"/>
              <w:right w:val="single" w:sz="4" w:space="0" w:color="auto"/>
            </w:tcBorders>
            <w:vAlign w:val="center"/>
          </w:tcPr>
          <w:p w:rsidR="00AB109F" w:rsidRPr="007D30E0" w:rsidRDefault="00AB109F" w:rsidP="00217798">
            <w:pPr>
              <w:keepNext/>
              <w:spacing w:after="0" w:line="240" w:lineRule="auto"/>
              <w:ind w:left="28"/>
              <w:rPr>
                <w:rFonts w:asciiTheme="minorHAnsi" w:hAnsiTheme="minorHAnsi"/>
                <w:sz w:val="20"/>
                <w:szCs w:val="20"/>
              </w:rPr>
            </w:pPr>
            <w:r>
              <w:rPr>
                <w:rFonts w:asciiTheme="minorHAnsi" w:hAnsiTheme="minorHAnsi"/>
                <w:sz w:val="20"/>
                <w:szCs w:val="20"/>
              </w:rPr>
              <w:t>Average</w:t>
            </w:r>
          </w:p>
        </w:tc>
        <w:tc>
          <w:tcPr>
            <w:tcW w:w="1368" w:type="dxa"/>
            <w:tcBorders>
              <w:top w:val="single" w:sz="4" w:space="0" w:color="auto"/>
              <w:left w:val="single" w:sz="4" w:space="0" w:color="auto"/>
              <w:bottom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$10.09</w:t>
            </w:r>
          </w:p>
        </w:tc>
        <w:tc>
          <w:tcPr>
            <w:tcW w:w="1368" w:type="dxa"/>
            <w:tcBorders>
              <w:top w:val="single" w:sz="4" w:space="0" w:color="auto"/>
              <w:bottom w:val="single" w:sz="4" w:space="0" w:color="auto"/>
            </w:tcBorders>
            <w:vAlign w:val="center"/>
          </w:tcPr>
          <w:p w:rsidR="00AB109F" w:rsidRPr="007D30E0" w:rsidRDefault="00AB109F" w:rsidP="00217798">
            <w:pPr>
              <w:keepNext/>
              <w:spacing w:after="0" w:line="240" w:lineRule="auto"/>
              <w:jc w:val="right"/>
              <w:rPr>
                <w:rFonts w:asciiTheme="minorHAnsi" w:hAnsiTheme="minorHAnsi"/>
                <w:sz w:val="20"/>
                <w:szCs w:val="20"/>
              </w:rPr>
            </w:pPr>
            <w:r>
              <w:rPr>
                <w:rFonts w:asciiTheme="minorHAnsi" w:hAnsiTheme="minorHAnsi"/>
                <w:sz w:val="20"/>
                <w:szCs w:val="20"/>
              </w:rPr>
              <w:t>$5.79</w:t>
            </w:r>
          </w:p>
        </w:tc>
      </w:tr>
    </w:tbl>
    <w:p w:rsidR="00AB109F" w:rsidRDefault="00AB109F" w:rsidP="00217798">
      <w:pPr>
        <w:pStyle w:val="NoSpacing"/>
      </w:pPr>
    </w:p>
    <w:p w:rsidR="00AB109F" w:rsidRDefault="00AB109F" w:rsidP="00AB109F">
      <w:r w:rsidRPr="00700318">
        <w:t>Prices for each drug, dosage, and form were then multiplied by the corresponding estimated utilization for the</w:t>
      </w:r>
      <w:r>
        <w:t xml:space="preserve"> baseline year.  Table 5 summarizes the total cost of the formulary drugs in the absence of the </w:t>
      </w:r>
      <w:r w:rsidR="00891C3A">
        <w:t>substitution</w:t>
      </w:r>
      <w:r w:rsidR="00302318">
        <w:t xml:space="preserve"> requirement</w:t>
      </w:r>
      <w:r>
        <w:t xml:space="preserve"> for baseline year 2016.</w:t>
      </w:r>
    </w:p>
    <w:p w:rsidR="00AB109F" w:rsidRPr="00BE59A4" w:rsidRDefault="00AB109F" w:rsidP="00AB109F">
      <w:pPr>
        <w:pStyle w:val="TableTitle"/>
        <w:rPr>
          <w:szCs w:val="20"/>
        </w:rPr>
      </w:pPr>
      <w:r w:rsidRPr="00701459">
        <w:t xml:space="preserve">Table </w:t>
      </w:r>
      <w:r>
        <w:t>5</w:t>
      </w:r>
      <w:r w:rsidRPr="00701459">
        <w:t>:</w:t>
      </w:r>
      <w:r w:rsidRPr="00701459">
        <w:br/>
      </w:r>
      <w:r w:rsidRPr="00381173">
        <w:t xml:space="preserve">2016 Baseline </w:t>
      </w:r>
      <w:r w:rsidR="00E73430">
        <w:t xml:space="preserve">Draft </w:t>
      </w:r>
      <w:r w:rsidRPr="00381173">
        <w:t>Formulary Drug Cost</w:t>
      </w:r>
    </w:p>
    <w:tbl>
      <w:tblPr>
        <w:tblW w:w="5225" w:type="dxa"/>
        <w:jc w:val="center"/>
        <w:tblCellMar>
          <w:top w:w="14" w:type="dxa"/>
          <w:left w:w="58" w:type="dxa"/>
          <w:bottom w:w="14" w:type="dxa"/>
          <w:right w:w="58" w:type="dxa"/>
        </w:tblCellMar>
        <w:tblLook w:val="04A0"/>
      </w:tblPr>
      <w:tblGrid>
        <w:gridCol w:w="1334"/>
        <w:gridCol w:w="1297"/>
        <w:gridCol w:w="1297"/>
        <w:gridCol w:w="1297"/>
      </w:tblGrid>
      <w:tr w:rsidR="00AB109F" w:rsidRPr="007E02B2" w:rsidTr="00F5004D">
        <w:trPr>
          <w:cantSplit/>
          <w:jc w:val="center"/>
        </w:trPr>
        <w:tc>
          <w:tcPr>
            <w:tcW w:w="1334" w:type="dxa"/>
            <w:tcBorders>
              <w:bottom w:val="single" w:sz="4" w:space="0" w:color="auto"/>
            </w:tcBorders>
            <w:vAlign w:val="bottom"/>
          </w:tcPr>
          <w:p w:rsidR="00AB109F" w:rsidRPr="005731AB" w:rsidRDefault="00AB109F" w:rsidP="00F5004D">
            <w:pPr>
              <w:keepNext/>
              <w:spacing w:after="0" w:line="240" w:lineRule="auto"/>
              <w:rPr>
                <w:rFonts w:ascii="Calibri" w:hAnsi="Calibri"/>
                <w:sz w:val="20"/>
              </w:rPr>
            </w:pPr>
          </w:p>
        </w:tc>
        <w:tc>
          <w:tcPr>
            <w:tcW w:w="1297" w:type="dxa"/>
            <w:tcBorders>
              <w:bottom w:val="single" w:sz="4" w:space="0" w:color="auto"/>
            </w:tcBorders>
            <w:vAlign w:val="center"/>
          </w:tcPr>
          <w:p w:rsidR="00AB109F" w:rsidRPr="007E02B2" w:rsidRDefault="00AB109F" w:rsidP="00F5004D">
            <w:pPr>
              <w:keepNext/>
              <w:spacing w:after="0" w:line="240" w:lineRule="auto"/>
              <w:jc w:val="right"/>
              <w:rPr>
                <w:rFonts w:asciiTheme="minorHAnsi" w:hAnsiTheme="minorHAnsi"/>
                <w:sz w:val="20"/>
                <w:szCs w:val="20"/>
              </w:rPr>
            </w:pPr>
            <w:r w:rsidRPr="007E02B2">
              <w:rPr>
                <w:rFonts w:asciiTheme="minorHAnsi" w:hAnsiTheme="minorHAnsi"/>
                <w:sz w:val="20"/>
                <w:szCs w:val="20"/>
              </w:rPr>
              <w:t>Brand</w:t>
            </w:r>
          </w:p>
        </w:tc>
        <w:tc>
          <w:tcPr>
            <w:tcW w:w="1297" w:type="dxa"/>
            <w:tcBorders>
              <w:bottom w:val="single" w:sz="4" w:space="0" w:color="auto"/>
            </w:tcBorders>
            <w:vAlign w:val="center"/>
          </w:tcPr>
          <w:p w:rsidR="00AB109F" w:rsidRPr="007E02B2" w:rsidRDefault="00AB109F" w:rsidP="00F5004D">
            <w:pPr>
              <w:keepNext/>
              <w:spacing w:after="0" w:line="240" w:lineRule="auto"/>
              <w:jc w:val="right"/>
              <w:rPr>
                <w:rFonts w:asciiTheme="minorHAnsi" w:hAnsiTheme="minorHAnsi"/>
                <w:sz w:val="20"/>
                <w:szCs w:val="20"/>
              </w:rPr>
            </w:pPr>
            <w:r w:rsidRPr="007E02B2">
              <w:rPr>
                <w:rFonts w:asciiTheme="minorHAnsi" w:hAnsiTheme="minorHAnsi"/>
                <w:sz w:val="20"/>
                <w:szCs w:val="20"/>
              </w:rPr>
              <w:t>Generic</w:t>
            </w:r>
          </w:p>
        </w:tc>
        <w:tc>
          <w:tcPr>
            <w:tcW w:w="1297" w:type="dxa"/>
            <w:tcBorders>
              <w:bottom w:val="single" w:sz="4" w:space="0" w:color="auto"/>
            </w:tcBorders>
            <w:vAlign w:val="center"/>
          </w:tcPr>
          <w:p w:rsidR="00AB109F" w:rsidRPr="007E02B2" w:rsidRDefault="00AB109F" w:rsidP="00F5004D">
            <w:pPr>
              <w:keepNext/>
              <w:spacing w:after="0" w:line="240" w:lineRule="auto"/>
              <w:jc w:val="right"/>
              <w:rPr>
                <w:rFonts w:asciiTheme="minorHAnsi" w:hAnsiTheme="minorHAnsi"/>
                <w:sz w:val="20"/>
                <w:szCs w:val="20"/>
              </w:rPr>
            </w:pPr>
            <w:r w:rsidRPr="007E02B2">
              <w:rPr>
                <w:rFonts w:asciiTheme="minorHAnsi" w:hAnsiTheme="minorHAnsi"/>
                <w:sz w:val="20"/>
                <w:szCs w:val="20"/>
              </w:rPr>
              <w:t>Total</w:t>
            </w:r>
          </w:p>
        </w:tc>
      </w:tr>
      <w:tr w:rsidR="00AB109F" w:rsidRPr="007E02B2" w:rsidTr="00F5004D">
        <w:trPr>
          <w:cantSplit/>
          <w:jc w:val="center"/>
        </w:trPr>
        <w:tc>
          <w:tcPr>
            <w:tcW w:w="1334" w:type="dxa"/>
            <w:tcBorders>
              <w:top w:val="single" w:sz="4" w:space="0" w:color="auto"/>
              <w:bottom w:val="dashSmallGap" w:sz="4" w:space="0" w:color="auto"/>
            </w:tcBorders>
            <w:vAlign w:val="center"/>
          </w:tcPr>
          <w:p w:rsidR="00AB109F" w:rsidRPr="007E02B2" w:rsidRDefault="00AB109F" w:rsidP="00F5004D">
            <w:pPr>
              <w:keepNext/>
              <w:spacing w:after="0" w:line="240" w:lineRule="auto"/>
              <w:rPr>
                <w:rFonts w:asciiTheme="minorHAnsi" w:hAnsiTheme="minorHAnsi"/>
                <w:sz w:val="20"/>
              </w:rPr>
            </w:pPr>
            <w:r w:rsidRPr="007E02B2">
              <w:rPr>
                <w:rFonts w:asciiTheme="minorHAnsi" w:hAnsiTheme="minorHAnsi"/>
                <w:sz w:val="20"/>
              </w:rPr>
              <w:t>HPHR Opioids</w:t>
            </w:r>
          </w:p>
        </w:tc>
        <w:tc>
          <w:tcPr>
            <w:tcW w:w="1297" w:type="dxa"/>
            <w:tcBorders>
              <w:top w:val="single" w:sz="4" w:space="0" w:color="auto"/>
              <w:bottom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$159,188 </w:t>
            </w:r>
          </w:p>
        </w:tc>
        <w:tc>
          <w:tcPr>
            <w:tcW w:w="1297" w:type="dxa"/>
            <w:tcBorders>
              <w:top w:val="single" w:sz="4" w:space="0" w:color="auto"/>
              <w:bottom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$1,153,235 </w:t>
            </w:r>
          </w:p>
        </w:tc>
        <w:tc>
          <w:tcPr>
            <w:tcW w:w="1297" w:type="dxa"/>
            <w:tcBorders>
              <w:top w:val="single" w:sz="4" w:space="0" w:color="auto"/>
              <w:bottom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$1,312,424 </w:t>
            </w:r>
          </w:p>
        </w:tc>
      </w:tr>
      <w:tr w:rsidR="00AB109F" w:rsidRPr="007E02B2" w:rsidTr="00F5004D">
        <w:trPr>
          <w:cantSplit/>
          <w:jc w:val="center"/>
        </w:trPr>
        <w:tc>
          <w:tcPr>
            <w:tcW w:w="1334" w:type="dxa"/>
            <w:tcBorders>
              <w:top w:val="dashSmallGap" w:sz="4" w:space="0" w:color="auto"/>
            </w:tcBorders>
            <w:vAlign w:val="center"/>
          </w:tcPr>
          <w:p w:rsidR="00AB109F" w:rsidRPr="007E02B2" w:rsidRDefault="00365D96" w:rsidP="00F5004D">
            <w:pPr>
              <w:keepNext/>
              <w:spacing w:after="0" w:line="240" w:lineRule="auto"/>
              <w:ind w:left="208"/>
              <w:rPr>
                <w:rFonts w:asciiTheme="minorHAnsi" w:hAnsiTheme="minorHAnsi"/>
                <w:sz w:val="20"/>
              </w:rPr>
            </w:pPr>
            <w:r>
              <w:rPr>
                <w:rFonts w:asciiTheme="minorHAnsi" w:hAnsiTheme="minorHAnsi"/>
                <w:sz w:val="20"/>
              </w:rPr>
              <w:t>Avinza</w:t>
            </w:r>
          </w:p>
        </w:tc>
        <w:tc>
          <w:tcPr>
            <w:tcW w:w="1297" w:type="dxa"/>
            <w:tcBorders>
              <w:top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$0   </w:t>
            </w:r>
          </w:p>
        </w:tc>
        <w:tc>
          <w:tcPr>
            <w:tcW w:w="1297" w:type="dxa"/>
            <w:tcBorders>
              <w:top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$21,005 </w:t>
            </w:r>
          </w:p>
        </w:tc>
        <w:tc>
          <w:tcPr>
            <w:tcW w:w="1297" w:type="dxa"/>
            <w:tcBorders>
              <w:top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$21,005 </w:t>
            </w:r>
          </w:p>
        </w:tc>
      </w:tr>
      <w:tr w:rsidR="00AB109F" w:rsidRPr="007E02B2" w:rsidTr="00F5004D">
        <w:trPr>
          <w:cantSplit/>
          <w:jc w:val="center"/>
        </w:trPr>
        <w:tc>
          <w:tcPr>
            <w:tcW w:w="1334" w:type="dxa"/>
            <w:vAlign w:val="center"/>
          </w:tcPr>
          <w:p w:rsidR="00AB109F" w:rsidRPr="007E02B2" w:rsidRDefault="00AB109F" w:rsidP="00F5004D">
            <w:pPr>
              <w:keepNext/>
              <w:spacing w:after="0" w:line="240" w:lineRule="auto"/>
              <w:ind w:left="208"/>
              <w:rPr>
                <w:rFonts w:asciiTheme="minorHAnsi" w:hAnsiTheme="minorHAnsi"/>
                <w:sz w:val="20"/>
              </w:rPr>
            </w:pPr>
            <w:r w:rsidRPr="007E02B2">
              <w:rPr>
                <w:rFonts w:asciiTheme="minorHAnsi" w:hAnsiTheme="minorHAnsi"/>
                <w:sz w:val="20"/>
              </w:rPr>
              <w:t>Kadian</w:t>
            </w:r>
          </w:p>
        </w:tc>
        <w:tc>
          <w:tcPr>
            <w:tcW w:w="1297" w:type="dxa"/>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$10,500 </w:t>
            </w:r>
          </w:p>
        </w:tc>
        <w:tc>
          <w:tcPr>
            <w:tcW w:w="1297" w:type="dxa"/>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$314,079 </w:t>
            </w:r>
          </w:p>
        </w:tc>
        <w:tc>
          <w:tcPr>
            <w:tcW w:w="1297" w:type="dxa"/>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$324,579 </w:t>
            </w:r>
          </w:p>
        </w:tc>
      </w:tr>
      <w:tr w:rsidR="00AB109F" w:rsidRPr="007E02B2" w:rsidTr="00F5004D">
        <w:trPr>
          <w:cantSplit/>
          <w:jc w:val="center"/>
        </w:trPr>
        <w:tc>
          <w:tcPr>
            <w:tcW w:w="1334" w:type="dxa"/>
            <w:vAlign w:val="center"/>
          </w:tcPr>
          <w:p w:rsidR="00AB109F" w:rsidRPr="007E02B2" w:rsidRDefault="00AB109F" w:rsidP="00F5004D">
            <w:pPr>
              <w:keepNext/>
              <w:spacing w:after="0" w:line="240" w:lineRule="auto"/>
              <w:ind w:left="208"/>
              <w:rPr>
                <w:rFonts w:asciiTheme="minorHAnsi" w:hAnsiTheme="minorHAnsi"/>
                <w:sz w:val="20"/>
              </w:rPr>
            </w:pPr>
            <w:r w:rsidRPr="007E02B2">
              <w:rPr>
                <w:rFonts w:asciiTheme="minorHAnsi" w:hAnsiTheme="minorHAnsi"/>
                <w:sz w:val="20"/>
              </w:rPr>
              <w:t>MS Contin</w:t>
            </w:r>
          </w:p>
        </w:tc>
        <w:tc>
          <w:tcPr>
            <w:tcW w:w="1297" w:type="dxa"/>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$46,163 </w:t>
            </w:r>
          </w:p>
        </w:tc>
        <w:tc>
          <w:tcPr>
            <w:tcW w:w="1297" w:type="dxa"/>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$818,152 </w:t>
            </w:r>
          </w:p>
        </w:tc>
        <w:tc>
          <w:tcPr>
            <w:tcW w:w="1297" w:type="dxa"/>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$864,315 </w:t>
            </w:r>
          </w:p>
        </w:tc>
      </w:tr>
      <w:tr w:rsidR="00AB109F" w:rsidRPr="007E02B2" w:rsidTr="00F5004D">
        <w:trPr>
          <w:cantSplit/>
          <w:jc w:val="center"/>
        </w:trPr>
        <w:tc>
          <w:tcPr>
            <w:tcW w:w="1334" w:type="dxa"/>
            <w:tcBorders>
              <w:bottom w:val="single" w:sz="4" w:space="0" w:color="auto"/>
            </w:tcBorders>
            <w:vAlign w:val="center"/>
          </w:tcPr>
          <w:p w:rsidR="00AB109F" w:rsidRPr="007E02B2" w:rsidRDefault="00AB109F" w:rsidP="00F5004D">
            <w:pPr>
              <w:keepNext/>
              <w:spacing w:after="0" w:line="240" w:lineRule="auto"/>
              <w:ind w:left="208"/>
              <w:rPr>
                <w:rFonts w:asciiTheme="minorHAnsi" w:hAnsiTheme="minorHAnsi"/>
                <w:sz w:val="20"/>
              </w:rPr>
            </w:pPr>
            <w:r w:rsidRPr="007E02B2">
              <w:rPr>
                <w:rFonts w:asciiTheme="minorHAnsi" w:hAnsiTheme="minorHAnsi"/>
                <w:sz w:val="20"/>
              </w:rPr>
              <w:t>Zohydro</w:t>
            </w:r>
          </w:p>
        </w:tc>
        <w:tc>
          <w:tcPr>
            <w:tcW w:w="1297" w:type="dxa"/>
            <w:tcBorders>
              <w:bottom w:val="single"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$102,525 </w:t>
            </w:r>
          </w:p>
        </w:tc>
        <w:tc>
          <w:tcPr>
            <w:tcW w:w="1297" w:type="dxa"/>
            <w:tcBorders>
              <w:bottom w:val="single"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$0   </w:t>
            </w:r>
          </w:p>
        </w:tc>
        <w:tc>
          <w:tcPr>
            <w:tcW w:w="1297" w:type="dxa"/>
            <w:tcBorders>
              <w:bottom w:val="single"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$102,525 </w:t>
            </w:r>
          </w:p>
        </w:tc>
      </w:tr>
      <w:tr w:rsidR="00AB109F" w:rsidRPr="007E02B2" w:rsidTr="00F5004D">
        <w:trPr>
          <w:cantSplit/>
          <w:jc w:val="center"/>
        </w:trPr>
        <w:tc>
          <w:tcPr>
            <w:tcW w:w="1334" w:type="dxa"/>
            <w:tcBorders>
              <w:top w:val="single" w:sz="4" w:space="0" w:color="auto"/>
              <w:bottom w:val="dashSmallGap" w:sz="4" w:space="0" w:color="auto"/>
            </w:tcBorders>
            <w:vAlign w:val="center"/>
          </w:tcPr>
          <w:p w:rsidR="00AB109F" w:rsidRPr="007E02B2" w:rsidRDefault="00AB109F" w:rsidP="00F5004D">
            <w:pPr>
              <w:keepNext/>
              <w:spacing w:after="0" w:line="240" w:lineRule="auto"/>
              <w:rPr>
                <w:rFonts w:asciiTheme="minorHAnsi" w:hAnsiTheme="minorHAnsi"/>
                <w:sz w:val="20"/>
              </w:rPr>
            </w:pPr>
            <w:r w:rsidRPr="007E02B2">
              <w:rPr>
                <w:rFonts w:asciiTheme="minorHAnsi" w:hAnsiTheme="minorHAnsi"/>
                <w:sz w:val="20"/>
              </w:rPr>
              <w:t>ADOs</w:t>
            </w:r>
          </w:p>
        </w:tc>
        <w:tc>
          <w:tcPr>
            <w:tcW w:w="1297" w:type="dxa"/>
            <w:tcBorders>
              <w:top w:val="single" w:sz="4" w:space="0" w:color="auto"/>
              <w:bottom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$76,107 </w:t>
            </w:r>
          </w:p>
        </w:tc>
        <w:tc>
          <w:tcPr>
            <w:tcW w:w="1297" w:type="dxa"/>
            <w:tcBorders>
              <w:top w:val="single" w:sz="4" w:space="0" w:color="auto"/>
              <w:bottom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$0   </w:t>
            </w:r>
          </w:p>
        </w:tc>
        <w:tc>
          <w:tcPr>
            <w:tcW w:w="1297" w:type="dxa"/>
            <w:tcBorders>
              <w:top w:val="single" w:sz="4" w:space="0" w:color="auto"/>
              <w:bottom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$76,107 </w:t>
            </w:r>
          </w:p>
        </w:tc>
      </w:tr>
      <w:tr w:rsidR="00AB109F" w:rsidRPr="007E02B2" w:rsidTr="00F5004D">
        <w:trPr>
          <w:cantSplit/>
          <w:jc w:val="center"/>
        </w:trPr>
        <w:tc>
          <w:tcPr>
            <w:tcW w:w="1334" w:type="dxa"/>
            <w:tcBorders>
              <w:top w:val="dashSmallGap" w:sz="4" w:space="0" w:color="auto"/>
            </w:tcBorders>
            <w:vAlign w:val="center"/>
          </w:tcPr>
          <w:p w:rsidR="00AB109F" w:rsidRPr="007E02B2" w:rsidRDefault="00AB109F" w:rsidP="00F5004D">
            <w:pPr>
              <w:keepNext/>
              <w:spacing w:after="0" w:line="240" w:lineRule="auto"/>
              <w:ind w:left="208"/>
              <w:rPr>
                <w:rFonts w:asciiTheme="minorHAnsi" w:hAnsiTheme="minorHAnsi"/>
                <w:sz w:val="20"/>
              </w:rPr>
            </w:pPr>
            <w:r w:rsidRPr="007E02B2">
              <w:rPr>
                <w:rFonts w:asciiTheme="minorHAnsi" w:hAnsiTheme="minorHAnsi"/>
                <w:sz w:val="20"/>
              </w:rPr>
              <w:t>Embeda</w:t>
            </w:r>
          </w:p>
        </w:tc>
        <w:tc>
          <w:tcPr>
            <w:tcW w:w="1297" w:type="dxa"/>
            <w:tcBorders>
              <w:top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$42,908 </w:t>
            </w:r>
          </w:p>
        </w:tc>
        <w:tc>
          <w:tcPr>
            <w:tcW w:w="1297" w:type="dxa"/>
            <w:tcBorders>
              <w:top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$0   </w:t>
            </w:r>
          </w:p>
        </w:tc>
        <w:tc>
          <w:tcPr>
            <w:tcW w:w="1297" w:type="dxa"/>
            <w:tcBorders>
              <w:top w:val="dashSmallGap"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$42,908 </w:t>
            </w:r>
          </w:p>
        </w:tc>
      </w:tr>
      <w:tr w:rsidR="00AB109F" w:rsidRPr="007E02B2" w:rsidTr="00F5004D">
        <w:trPr>
          <w:cantSplit/>
          <w:jc w:val="center"/>
        </w:trPr>
        <w:tc>
          <w:tcPr>
            <w:tcW w:w="1334" w:type="dxa"/>
            <w:tcBorders>
              <w:bottom w:val="single" w:sz="4" w:space="0" w:color="auto"/>
            </w:tcBorders>
            <w:vAlign w:val="center"/>
          </w:tcPr>
          <w:p w:rsidR="00AB109F" w:rsidRPr="007E02B2" w:rsidRDefault="00AB109F" w:rsidP="00F5004D">
            <w:pPr>
              <w:keepNext/>
              <w:spacing w:after="0" w:line="240" w:lineRule="auto"/>
              <w:ind w:left="208"/>
              <w:rPr>
                <w:rFonts w:asciiTheme="minorHAnsi" w:hAnsiTheme="minorHAnsi"/>
                <w:sz w:val="20"/>
              </w:rPr>
            </w:pPr>
            <w:r w:rsidRPr="007E02B2">
              <w:rPr>
                <w:rFonts w:asciiTheme="minorHAnsi" w:hAnsiTheme="minorHAnsi"/>
                <w:sz w:val="20"/>
              </w:rPr>
              <w:t>Hysingla</w:t>
            </w:r>
          </w:p>
        </w:tc>
        <w:tc>
          <w:tcPr>
            <w:tcW w:w="1297" w:type="dxa"/>
            <w:tcBorders>
              <w:bottom w:val="single"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$33,199 </w:t>
            </w:r>
          </w:p>
        </w:tc>
        <w:tc>
          <w:tcPr>
            <w:tcW w:w="1297" w:type="dxa"/>
            <w:tcBorders>
              <w:bottom w:val="single"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$0   </w:t>
            </w:r>
          </w:p>
        </w:tc>
        <w:tc>
          <w:tcPr>
            <w:tcW w:w="1297" w:type="dxa"/>
            <w:tcBorders>
              <w:bottom w:val="single"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$33,199 </w:t>
            </w:r>
          </w:p>
        </w:tc>
      </w:tr>
      <w:tr w:rsidR="00AB109F" w:rsidRPr="00D22869" w:rsidTr="00F5004D">
        <w:trPr>
          <w:cantSplit/>
          <w:jc w:val="center"/>
        </w:trPr>
        <w:tc>
          <w:tcPr>
            <w:tcW w:w="1334" w:type="dxa"/>
            <w:tcBorders>
              <w:top w:val="single" w:sz="4" w:space="0" w:color="auto"/>
            </w:tcBorders>
            <w:vAlign w:val="center"/>
          </w:tcPr>
          <w:p w:rsidR="00AB109F" w:rsidRPr="007E02B2" w:rsidRDefault="00AB109F" w:rsidP="00F5004D">
            <w:pPr>
              <w:keepNext/>
              <w:spacing w:after="0" w:line="240" w:lineRule="auto"/>
              <w:ind w:left="28"/>
              <w:rPr>
                <w:rFonts w:asciiTheme="minorHAnsi" w:hAnsiTheme="minorHAnsi"/>
                <w:sz w:val="20"/>
              </w:rPr>
            </w:pPr>
            <w:r w:rsidRPr="007E02B2">
              <w:rPr>
                <w:rFonts w:asciiTheme="minorHAnsi" w:hAnsiTheme="minorHAnsi"/>
                <w:sz w:val="20"/>
              </w:rPr>
              <w:t>Total</w:t>
            </w:r>
          </w:p>
        </w:tc>
        <w:tc>
          <w:tcPr>
            <w:tcW w:w="1297" w:type="dxa"/>
            <w:tcBorders>
              <w:top w:val="single"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$235,295 </w:t>
            </w:r>
          </w:p>
        </w:tc>
        <w:tc>
          <w:tcPr>
            <w:tcW w:w="1297" w:type="dxa"/>
            <w:tcBorders>
              <w:top w:val="single" w:sz="4" w:space="0" w:color="auto"/>
            </w:tcBorders>
            <w:vAlign w:val="center"/>
          </w:tcPr>
          <w:p w:rsidR="00AB109F" w:rsidRPr="007E02B2"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$1,153,235 </w:t>
            </w:r>
          </w:p>
        </w:tc>
        <w:tc>
          <w:tcPr>
            <w:tcW w:w="1297" w:type="dxa"/>
            <w:tcBorders>
              <w:top w:val="single" w:sz="4" w:space="0" w:color="auto"/>
            </w:tcBorders>
            <w:vAlign w:val="center"/>
          </w:tcPr>
          <w:p w:rsidR="00AB109F" w:rsidRPr="008B2E1D" w:rsidRDefault="00AB109F" w:rsidP="00F5004D">
            <w:pPr>
              <w:spacing w:after="0" w:line="240" w:lineRule="auto"/>
              <w:jc w:val="right"/>
              <w:rPr>
                <w:rFonts w:asciiTheme="minorHAnsi" w:hAnsiTheme="minorHAnsi"/>
                <w:sz w:val="20"/>
                <w:szCs w:val="20"/>
              </w:rPr>
            </w:pPr>
            <w:r w:rsidRPr="007E02B2">
              <w:rPr>
                <w:rFonts w:asciiTheme="minorHAnsi" w:hAnsiTheme="minorHAnsi"/>
                <w:sz w:val="20"/>
                <w:szCs w:val="20"/>
              </w:rPr>
              <w:t xml:space="preserve"> $1,388,530</w:t>
            </w:r>
            <w:r w:rsidRPr="008B2E1D">
              <w:rPr>
                <w:rFonts w:asciiTheme="minorHAnsi" w:hAnsiTheme="minorHAnsi"/>
                <w:sz w:val="20"/>
                <w:szCs w:val="20"/>
              </w:rPr>
              <w:t xml:space="preserve"> </w:t>
            </w:r>
          </w:p>
        </w:tc>
      </w:tr>
    </w:tbl>
    <w:p w:rsidR="00AB109F" w:rsidRDefault="00AB109F" w:rsidP="00AB109F">
      <w:pPr>
        <w:pStyle w:val="Heading2"/>
      </w:pPr>
      <w:bookmarkStart w:id="53" w:name="_Toc468888004"/>
      <w:r w:rsidRPr="00196683">
        <w:t>4.</w:t>
      </w:r>
      <w:r>
        <w:t>3</w:t>
      </w:r>
      <w:r w:rsidRPr="00196683">
        <w:t xml:space="preserve">. </w:t>
      </w:r>
      <w:r>
        <w:t>Estimated conversion from HPHR opioids to ADOs</w:t>
      </w:r>
      <w:bookmarkEnd w:id="53"/>
    </w:p>
    <w:p w:rsidR="00AB109F" w:rsidRDefault="00E22619" w:rsidP="00AB109F">
      <w:r>
        <w:t>Chapter 258</w:t>
      </w:r>
      <w:r w:rsidR="00AB109F">
        <w:t xml:space="preserve"> requires that, “[e]</w:t>
      </w:r>
      <w:r w:rsidR="00AB109F" w:rsidRPr="00263BE4">
        <w:t xml:space="preserve">xcept in cases where the practitioner has indicated “no substitution”, the pharmacist shall dispense: an interchangeable </w:t>
      </w:r>
      <w:r w:rsidR="00E43B95">
        <w:t>abuse-deterrent</w:t>
      </w:r>
      <w:r w:rsidR="00AB109F" w:rsidRPr="00263BE4">
        <w:t xml:space="preserve"> product if one exists</w:t>
      </w:r>
      <w:r w:rsidR="00AB109F">
        <w:t>.”</w:t>
      </w:r>
      <w:r w:rsidR="00AB109F">
        <w:rPr>
          <w:rStyle w:val="EndnoteReference"/>
        </w:rPr>
        <w:endnoteReference w:id="47"/>
      </w:r>
      <w:r w:rsidR="00AB109F">
        <w:t xml:space="preserve">  Table 6 outlines the drug conversions to be used under the terms of </w:t>
      </w:r>
      <w:r w:rsidR="000437CC">
        <w:t xml:space="preserve">the </w:t>
      </w:r>
      <w:r w:rsidR="00891C3A">
        <w:t>substitution</w:t>
      </w:r>
      <w:r w:rsidR="000437CC">
        <w:t xml:space="preserve"> requirement</w:t>
      </w:r>
      <w:r w:rsidR="007D7E60">
        <w:t>, as defined by the Commission</w:t>
      </w:r>
      <w:r w:rsidR="00AB109F">
        <w:t>.</w:t>
      </w:r>
    </w:p>
    <w:p w:rsidR="00AB109F" w:rsidRPr="00BE59A4" w:rsidRDefault="00AB109F" w:rsidP="00AB109F">
      <w:pPr>
        <w:pStyle w:val="TableTitle"/>
        <w:rPr>
          <w:szCs w:val="20"/>
        </w:rPr>
      </w:pPr>
      <w:r w:rsidRPr="00701459">
        <w:t xml:space="preserve">Table </w:t>
      </w:r>
      <w:r>
        <w:t>6</w:t>
      </w:r>
      <w:r w:rsidRPr="00701459">
        <w:t>:</w:t>
      </w:r>
      <w:r w:rsidRPr="00701459">
        <w:br/>
      </w:r>
      <w:r>
        <w:t xml:space="preserve">Drug Formulary Commission HPHR to ADO </w:t>
      </w:r>
      <w:r w:rsidR="007A27C7">
        <w:t>Chemical</w:t>
      </w:r>
      <w:r>
        <w:t xml:space="preserve"> Equivalents</w:t>
      </w:r>
    </w:p>
    <w:tbl>
      <w:tblPr>
        <w:tblW w:w="3026" w:type="dxa"/>
        <w:jc w:val="center"/>
        <w:tblCellMar>
          <w:top w:w="14" w:type="dxa"/>
          <w:left w:w="58" w:type="dxa"/>
          <w:bottom w:w="14" w:type="dxa"/>
          <w:right w:w="58" w:type="dxa"/>
        </w:tblCellMar>
        <w:tblLook w:val="04A0"/>
      </w:tblPr>
      <w:tblGrid>
        <w:gridCol w:w="1334"/>
        <w:gridCol w:w="1692"/>
      </w:tblGrid>
      <w:tr w:rsidR="00AB109F" w:rsidRPr="00D22869" w:rsidTr="00F5004D">
        <w:trPr>
          <w:cantSplit/>
          <w:jc w:val="center"/>
        </w:trPr>
        <w:tc>
          <w:tcPr>
            <w:tcW w:w="1334" w:type="dxa"/>
            <w:tcBorders>
              <w:top w:val="single" w:sz="4" w:space="0" w:color="auto"/>
              <w:bottom w:val="dashSmallGap" w:sz="4" w:space="0" w:color="auto"/>
            </w:tcBorders>
            <w:vAlign w:val="center"/>
          </w:tcPr>
          <w:p w:rsidR="00AB109F" w:rsidRPr="00D22869" w:rsidRDefault="00AB109F" w:rsidP="00F5004D">
            <w:pPr>
              <w:keepNext/>
              <w:spacing w:after="0" w:line="240" w:lineRule="auto"/>
              <w:rPr>
                <w:rFonts w:asciiTheme="minorHAnsi" w:hAnsiTheme="minorHAnsi"/>
                <w:sz w:val="20"/>
              </w:rPr>
            </w:pPr>
            <w:r>
              <w:rPr>
                <w:rFonts w:asciiTheme="minorHAnsi" w:hAnsiTheme="minorHAnsi"/>
                <w:sz w:val="20"/>
              </w:rPr>
              <w:t>HPHR Opioids</w:t>
            </w:r>
          </w:p>
        </w:tc>
        <w:tc>
          <w:tcPr>
            <w:tcW w:w="1692" w:type="dxa"/>
            <w:tcBorders>
              <w:top w:val="single" w:sz="4" w:space="0" w:color="auto"/>
              <w:bottom w:val="dashSmallGap" w:sz="4" w:space="0" w:color="auto"/>
            </w:tcBorders>
            <w:vAlign w:val="center"/>
          </w:tcPr>
          <w:p w:rsidR="00AB109F" w:rsidRPr="00D22869" w:rsidRDefault="00AB109F" w:rsidP="00F5004D">
            <w:pPr>
              <w:keepNext/>
              <w:spacing w:after="0" w:line="240" w:lineRule="auto"/>
              <w:rPr>
                <w:rFonts w:asciiTheme="minorHAnsi" w:hAnsiTheme="minorHAnsi"/>
                <w:sz w:val="20"/>
              </w:rPr>
            </w:pPr>
            <w:r>
              <w:rPr>
                <w:rFonts w:asciiTheme="minorHAnsi" w:hAnsiTheme="minorHAnsi"/>
                <w:sz w:val="20"/>
              </w:rPr>
              <w:t>ADO Equivalent</w:t>
            </w:r>
          </w:p>
        </w:tc>
      </w:tr>
      <w:tr w:rsidR="00AB109F" w:rsidRPr="00D22869" w:rsidTr="00F5004D">
        <w:trPr>
          <w:cantSplit/>
          <w:jc w:val="center"/>
        </w:trPr>
        <w:tc>
          <w:tcPr>
            <w:tcW w:w="1334" w:type="dxa"/>
            <w:tcBorders>
              <w:top w:val="dashSmallGap" w:sz="4" w:space="0" w:color="auto"/>
            </w:tcBorders>
            <w:vAlign w:val="center"/>
          </w:tcPr>
          <w:p w:rsidR="00AB109F" w:rsidRPr="00D22869" w:rsidRDefault="00365D96" w:rsidP="00F5004D">
            <w:pPr>
              <w:keepNext/>
              <w:spacing w:after="0" w:line="240" w:lineRule="auto"/>
              <w:ind w:left="208"/>
              <w:rPr>
                <w:rFonts w:asciiTheme="minorHAnsi" w:hAnsiTheme="minorHAnsi"/>
                <w:sz w:val="20"/>
              </w:rPr>
            </w:pPr>
            <w:r>
              <w:rPr>
                <w:rFonts w:asciiTheme="minorHAnsi" w:hAnsiTheme="minorHAnsi"/>
                <w:sz w:val="20"/>
              </w:rPr>
              <w:t>Avinza</w:t>
            </w:r>
          </w:p>
        </w:tc>
        <w:tc>
          <w:tcPr>
            <w:tcW w:w="1692" w:type="dxa"/>
            <w:vMerge w:val="restart"/>
            <w:tcBorders>
              <w:top w:val="dashSmallGap" w:sz="4" w:space="0" w:color="auto"/>
            </w:tcBorders>
            <w:vAlign w:val="center"/>
          </w:tcPr>
          <w:p w:rsidR="00AB109F" w:rsidRPr="00D22869" w:rsidRDefault="00AB109F" w:rsidP="00F5004D">
            <w:pPr>
              <w:keepNext/>
              <w:spacing w:after="0" w:line="240" w:lineRule="auto"/>
              <w:rPr>
                <w:rFonts w:asciiTheme="minorHAnsi" w:hAnsiTheme="minorHAnsi"/>
                <w:sz w:val="20"/>
              </w:rPr>
            </w:pPr>
            <w:r>
              <w:rPr>
                <w:rFonts w:asciiTheme="minorHAnsi" w:hAnsiTheme="minorHAnsi"/>
                <w:sz w:val="20"/>
              </w:rPr>
              <w:t>Embeda</w:t>
            </w:r>
          </w:p>
        </w:tc>
      </w:tr>
      <w:tr w:rsidR="00AB109F" w:rsidRPr="00D22869" w:rsidTr="00F5004D">
        <w:trPr>
          <w:cantSplit/>
          <w:jc w:val="center"/>
        </w:trPr>
        <w:tc>
          <w:tcPr>
            <w:tcW w:w="1334" w:type="dxa"/>
            <w:vAlign w:val="center"/>
          </w:tcPr>
          <w:p w:rsidR="00AB109F" w:rsidRPr="00D22869" w:rsidRDefault="00AB109F" w:rsidP="00F5004D">
            <w:pPr>
              <w:keepNext/>
              <w:spacing w:after="0" w:line="240" w:lineRule="auto"/>
              <w:ind w:left="208"/>
              <w:rPr>
                <w:rFonts w:asciiTheme="minorHAnsi" w:hAnsiTheme="minorHAnsi"/>
                <w:sz w:val="20"/>
              </w:rPr>
            </w:pPr>
            <w:r>
              <w:rPr>
                <w:rFonts w:asciiTheme="minorHAnsi" w:hAnsiTheme="minorHAnsi"/>
                <w:sz w:val="20"/>
              </w:rPr>
              <w:t>Kadian</w:t>
            </w:r>
          </w:p>
        </w:tc>
        <w:tc>
          <w:tcPr>
            <w:tcW w:w="1692" w:type="dxa"/>
            <w:vMerge/>
            <w:vAlign w:val="center"/>
          </w:tcPr>
          <w:p w:rsidR="00AB109F" w:rsidRPr="00D22869" w:rsidRDefault="00AB109F" w:rsidP="00F5004D">
            <w:pPr>
              <w:keepNext/>
              <w:spacing w:after="0" w:line="240" w:lineRule="auto"/>
              <w:rPr>
                <w:rFonts w:asciiTheme="minorHAnsi" w:hAnsiTheme="minorHAnsi"/>
                <w:sz w:val="20"/>
              </w:rPr>
            </w:pPr>
          </w:p>
        </w:tc>
      </w:tr>
      <w:tr w:rsidR="00AB109F" w:rsidRPr="00D22869" w:rsidTr="00F5004D">
        <w:trPr>
          <w:cantSplit/>
          <w:jc w:val="center"/>
        </w:trPr>
        <w:tc>
          <w:tcPr>
            <w:tcW w:w="1334" w:type="dxa"/>
            <w:tcBorders>
              <w:bottom w:val="single" w:sz="4" w:space="0" w:color="auto"/>
            </w:tcBorders>
            <w:vAlign w:val="center"/>
          </w:tcPr>
          <w:p w:rsidR="00AB109F" w:rsidRDefault="00AB109F" w:rsidP="00F5004D">
            <w:pPr>
              <w:keepNext/>
              <w:spacing w:after="0" w:line="240" w:lineRule="auto"/>
              <w:ind w:left="208"/>
              <w:rPr>
                <w:rFonts w:asciiTheme="minorHAnsi" w:hAnsiTheme="minorHAnsi"/>
                <w:sz w:val="20"/>
              </w:rPr>
            </w:pPr>
            <w:r>
              <w:rPr>
                <w:rFonts w:asciiTheme="minorHAnsi" w:hAnsiTheme="minorHAnsi"/>
                <w:sz w:val="20"/>
              </w:rPr>
              <w:t>MS Contin</w:t>
            </w:r>
          </w:p>
        </w:tc>
        <w:tc>
          <w:tcPr>
            <w:tcW w:w="1692" w:type="dxa"/>
            <w:vMerge/>
            <w:tcBorders>
              <w:bottom w:val="single" w:sz="4" w:space="0" w:color="auto"/>
            </w:tcBorders>
            <w:vAlign w:val="center"/>
          </w:tcPr>
          <w:p w:rsidR="00AB109F" w:rsidRPr="00D22869" w:rsidRDefault="00AB109F" w:rsidP="00F5004D">
            <w:pPr>
              <w:keepNext/>
              <w:spacing w:after="0" w:line="240" w:lineRule="auto"/>
              <w:rPr>
                <w:rFonts w:asciiTheme="minorHAnsi" w:hAnsiTheme="minorHAnsi"/>
                <w:sz w:val="20"/>
              </w:rPr>
            </w:pPr>
          </w:p>
        </w:tc>
      </w:tr>
      <w:tr w:rsidR="00AB109F" w:rsidRPr="00D22869" w:rsidTr="00F5004D">
        <w:trPr>
          <w:cantSplit/>
          <w:jc w:val="center"/>
        </w:trPr>
        <w:tc>
          <w:tcPr>
            <w:tcW w:w="1334" w:type="dxa"/>
            <w:tcBorders>
              <w:top w:val="single" w:sz="4" w:space="0" w:color="auto"/>
              <w:bottom w:val="single" w:sz="4" w:space="0" w:color="auto"/>
            </w:tcBorders>
            <w:vAlign w:val="center"/>
          </w:tcPr>
          <w:p w:rsidR="00AB109F" w:rsidRDefault="00AB109F" w:rsidP="00F5004D">
            <w:pPr>
              <w:keepNext/>
              <w:spacing w:after="0" w:line="240" w:lineRule="auto"/>
              <w:ind w:left="208"/>
              <w:rPr>
                <w:rFonts w:asciiTheme="minorHAnsi" w:hAnsiTheme="minorHAnsi"/>
                <w:sz w:val="20"/>
              </w:rPr>
            </w:pPr>
            <w:r>
              <w:rPr>
                <w:rFonts w:asciiTheme="minorHAnsi" w:hAnsiTheme="minorHAnsi"/>
                <w:sz w:val="20"/>
              </w:rPr>
              <w:t>Zohydro</w:t>
            </w:r>
          </w:p>
        </w:tc>
        <w:tc>
          <w:tcPr>
            <w:tcW w:w="1692" w:type="dxa"/>
            <w:tcBorders>
              <w:top w:val="single" w:sz="4" w:space="0" w:color="auto"/>
              <w:bottom w:val="single" w:sz="4" w:space="0" w:color="auto"/>
            </w:tcBorders>
            <w:vAlign w:val="center"/>
          </w:tcPr>
          <w:p w:rsidR="00AB109F" w:rsidRPr="00D22869" w:rsidRDefault="00AB109F" w:rsidP="00F5004D">
            <w:pPr>
              <w:keepNext/>
              <w:spacing w:after="0" w:line="240" w:lineRule="auto"/>
              <w:rPr>
                <w:rFonts w:asciiTheme="minorHAnsi" w:hAnsiTheme="minorHAnsi"/>
                <w:sz w:val="20"/>
              </w:rPr>
            </w:pPr>
            <w:r>
              <w:rPr>
                <w:rFonts w:asciiTheme="minorHAnsi" w:hAnsiTheme="minorHAnsi"/>
                <w:sz w:val="20"/>
              </w:rPr>
              <w:t>Hysingla</w:t>
            </w:r>
          </w:p>
        </w:tc>
      </w:tr>
    </w:tbl>
    <w:p w:rsidR="00AB109F" w:rsidRDefault="00AB109F" w:rsidP="00217798">
      <w:pPr>
        <w:pStyle w:val="NoSpacing"/>
      </w:pPr>
    </w:p>
    <w:p w:rsidR="00AB109F" w:rsidRDefault="00FB4B4C" w:rsidP="00AB109F">
      <w:r>
        <w:lastRenderedPageBreak/>
        <w:t xml:space="preserve">Chemical </w:t>
      </w:r>
      <w:r w:rsidR="00AB109F">
        <w:t xml:space="preserve">equivalence is determined in part by the dosage of opioid in each drug; in other words, the new ADO drug must have </w:t>
      </w:r>
      <w:r w:rsidR="00E22619">
        <w:t>a</w:t>
      </w:r>
      <w:r w:rsidR="00AB109F">
        <w:t xml:space="preserve"> </w:t>
      </w:r>
      <w:r w:rsidR="00F57789">
        <w:t xml:space="preserve">dose </w:t>
      </w:r>
      <w:r w:rsidR="00AB109F">
        <w:t xml:space="preserve">of opioid </w:t>
      </w:r>
      <w:r w:rsidR="00E22619">
        <w:t>identical to that of the replaced HPHR drug</w:t>
      </w:r>
      <w:r w:rsidR="00AB109F">
        <w:t xml:space="preserve">.  </w:t>
      </w:r>
      <w:r w:rsidR="00E22619">
        <w:t>T</w:t>
      </w:r>
      <w:r w:rsidR="00AB109F">
        <w:t xml:space="preserve">hree different scenarios may occur </w:t>
      </w:r>
      <w:r w:rsidR="00E12669">
        <w:t>in</w:t>
      </w:r>
      <w:r w:rsidR="00AB109F">
        <w:t xml:space="preserve"> this dosage conversion.  First, and most straightforward, the equivalent ADO drug is offered in the exact same dosage as the HPHR opioid.  Second, equivalent dosage levels are not available in a single ADO pill, and two ADO pills are used to replace a si</w:t>
      </w:r>
      <w:r w:rsidR="00574D63">
        <w:t xml:space="preserve">ngle pill of the HPHR opioid </w:t>
      </w:r>
      <w:r w:rsidR="00AB109F">
        <w:t xml:space="preserve">to reach </w:t>
      </w:r>
      <w:r w:rsidR="006C03B8">
        <w:t>chemical</w:t>
      </w:r>
      <w:r w:rsidR="00AB109F">
        <w:t xml:space="preserve"> equivalence.</w:t>
      </w:r>
      <w:r w:rsidR="00AB109F">
        <w:rPr>
          <w:rStyle w:val="EndnoteReference"/>
        </w:rPr>
        <w:endnoteReference w:id="48"/>
      </w:r>
      <w:r w:rsidR="00AB109F">
        <w:t xml:space="preserve">  Third, some HPHR opioids are available in dosages below the lowest dosage level of ADO available.  In these cases, an ADO substitution cannot be made for the HPHR opioid, as ADOs may not be cut or split to achieve a lower dosage level, as such alteration </w:t>
      </w:r>
      <w:r w:rsidR="00E12669">
        <w:t>may</w:t>
      </w:r>
      <w:r w:rsidR="00AB109F">
        <w:t xml:space="preserve"> eliminate or diminish the abuse-deterrent properties of the </w:t>
      </w:r>
      <w:r w:rsidR="00E12669">
        <w:t>product</w:t>
      </w:r>
      <w:r w:rsidR="00AB109F">
        <w:t>.</w:t>
      </w:r>
      <w:r w:rsidR="00AB109F">
        <w:rPr>
          <w:rStyle w:val="EndnoteReference"/>
        </w:rPr>
        <w:endnoteReference w:id="49"/>
      </w:r>
    </w:p>
    <w:p w:rsidR="00AB109F" w:rsidRDefault="00AB109F" w:rsidP="00AB109F">
      <w:r>
        <w:t xml:space="preserve">This analysis makes two assumptions about these conversions.  First, where the HPHR dosage is below the lowest available ADO dosage, patients are assumed to remain on the HPHR opioid.  Second, where two ADO pills must be combined to achieve the </w:t>
      </w:r>
      <w:r w:rsidR="006C03B8">
        <w:t>chemically</w:t>
      </w:r>
      <w:r w:rsidR="00D13E4B">
        <w:t>-</w:t>
      </w:r>
      <w:r>
        <w:t>equivalent dose of the HPHR dose, the analysis assumes that the least expensive combined option is provided to the patient.  Table 7 outlines the drug conversions used in the model.</w:t>
      </w:r>
    </w:p>
    <w:p w:rsidR="00AB109F" w:rsidRPr="00EF62F6" w:rsidRDefault="00AB109F" w:rsidP="00EF62F6">
      <w:pPr>
        <w:pStyle w:val="TableTitle"/>
        <w:rPr>
          <w:szCs w:val="20"/>
        </w:rPr>
      </w:pPr>
      <w:r w:rsidRPr="00701459">
        <w:t xml:space="preserve">Table </w:t>
      </w:r>
      <w:r>
        <w:t>7</w:t>
      </w:r>
      <w:r w:rsidRPr="00701459">
        <w:t>:</w:t>
      </w:r>
      <w:r w:rsidRPr="00701459">
        <w:br/>
      </w:r>
      <w:r>
        <w:t xml:space="preserve">HPHR to ADO </w:t>
      </w:r>
      <w:r w:rsidR="006C03B8">
        <w:t>Chemical</w:t>
      </w:r>
      <w:r>
        <w:t xml:space="preserve"> Dosage Equivalents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4A0"/>
      </w:tblPr>
      <w:tblGrid>
        <w:gridCol w:w="2160"/>
        <w:gridCol w:w="1080"/>
        <w:gridCol w:w="1080"/>
        <w:gridCol w:w="720"/>
        <w:gridCol w:w="2160"/>
        <w:gridCol w:w="1080"/>
        <w:gridCol w:w="1080"/>
      </w:tblGrid>
      <w:tr w:rsidR="00AB109F" w:rsidRPr="00432DF0" w:rsidTr="003B07AB">
        <w:trPr>
          <w:cantSplit/>
          <w:jc w:val="center"/>
        </w:trPr>
        <w:tc>
          <w:tcPr>
            <w:tcW w:w="2160" w:type="dxa"/>
            <w:tcBorders>
              <w:top w:val="nil"/>
              <w:left w:val="nil"/>
              <w:bottom w:val="single" w:sz="4" w:space="0" w:color="BFBFBF" w:themeColor="background1" w:themeShade="BF"/>
              <w:right w:val="nil"/>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nil"/>
              <w:left w:val="nil"/>
              <w:bottom w:val="single" w:sz="4" w:space="0" w:color="BFBFBF" w:themeColor="background1" w:themeShade="BF"/>
              <w:right w:val="nil"/>
            </w:tcBorders>
            <w:vAlign w:val="center"/>
          </w:tcPr>
          <w:p w:rsidR="00AB109F" w:rsidRPr="00432DF0" w:rsidRDefault="00AB109F" w:rsidP="006F4C4C">
            <w:pPr>
              <w:keepNext/>
              <w:spacing w:after="0" w:line="240" w:lineRule="auto"/>
              <w:jc w:val="right"/>
              <w:rPr>
                <w:rFonts w:asciiTheme="minorHAnsi" w:hAnsiTheme="minorHAnsi"/>
                <w:sz w:val="20"/>
                <w:szCs w:val="20"/>
                <w:u w:val="single"/>
              </w:rPr>
            </w:pPr>
            <w:r w:rsidRPr="00432DF0">
              <w:rPr>
                <w:rFonts w:asciiTheme="minorHAnsi" w:hAnsiTheme="minorHAnsi"/>
                <w:sz w:val="20"/>
                <w:szCs w:val="20"/>
                <w:u w:val="single"/>
              </w:rPr>
              <w:t xml:space="preserve"> HPHR Mg</w:t>
            </w:r>
          </w:p>
        </w:tc>
        <w:tc>
          <w:tcPr>
            <w:tcW w:w="1080" w:type="dxa"/>
            <w:tcBorders>
              <w:top w:val="nil"/>
              <w:left w:val="nil"/>
              <w:bottom w:val="single" w:sz="4" w:space="0" w:color="BFBFBF" w:themeColor="background1" w:themeShade="BF"/>
              <w:right w:val="nil"/>
            </w:tcBorders>
            <w:vAlign w:val="center"/>
          </w:tcPr>
          <w:p w:rsidR="00AB109F" w:rsidRPr="00432DF0" w:rsidRDefault="00AB109F" w:rsidP="006F4C4C">
            <w:pPr>
              <w:keepNext/>
              <w:spacing w:after="0" w:line="240" w:lineRule="auto"/>
              <w:jc w:val="right"/>
              <w:rPr>
                <w:rFonts w:asciiTheme="minorHAnsi" w:hAnsiTheme="minorHAnsi"/>
                <w:sz w:val="20"/>
                <w:szCs w:val="20"/>
                <w:u w:val="single"/>
              </w:rPr>
            </w:pPr>
            <w:r w:rsidRPr="00432DF0">
              <w:rPr>
                <w:rFonts w:asciiTheme="minorHAnsi" w:hAnsiTheme="minorHAnsi"/>
                <w:sz w:val="20"/>
                <w:szCs w:val="20"/>
                <w:u w:val="single"/>
              </w:rPr>
              <w:t xml:space="preserve"> ADO Mg</w:t>
            </w:r>
          </w:p>
        </w:tc>
        <w:tc>
          <w:tcPr>
            <w:tcW w:w="720" w:type="dxa"/>
            <w:tcBorders>
              <w:top w:val="nil"/>
              <w:left w:val="nil"/>
              <w:bottom w:val="nil"/>
              <w:right w:val="nil"/>
            </w:tcBorders>
          </w:tcPr>
          <w:p w:rsidR="00AB109F" w:rsidRPr="00432DF0" w:rsidRDefault="00AB109F" w:rsidP="006F4C4C">
            <w:pPr>
              <w:keepNext/>
              <w:spacing w:after="0" w:line="240" w:lineRule="auto"/>
              <w:rPr>
                <w:rFonts w:asciiTheme="minorHAnsi" w:hAnsiTheme="minorHAnsi"/>
                <w:sz w:val="20"/>
                <w:szCs w:val="20"/>
                <w:u w:val="single"/>
              </w:rPr>
            </w:pPr>
          </w:p>
        </w:tc>
        <w:tc>
          <w:tcPr>
            <w:tcW w:w="2160" w:type="dxa"/>
            <w:tcBorders>
              <w:top w:val="nil"/>
              <w:left w:val="nil"/>
              <w:bottom w:val="single" w:sz="4" w:space="0" w:color="BFBFBF" w:themeColor="background1" w:themeShade="BF"/>
              <w:right w:val="nil"/>
            </w:tcBorders>
            <w:vAlign w:val="center"/>
          </w:tcPr>
          <w:p w:rsidR="00AB109F" w:rsidRPr="00432DF0" w:rsidRDefault="00AB109F" w:rsidP="006F4C4C">
            <w:pPr>
              <w:keepNext/>
              <w:spacing w:after="0" w:line="240" w:lineRule="auto"/>
              <w:rPr>
                <w:rFonts w:asciiTheme="minorHAnsi" w:hAnsiTheme="minorHAnsi"/>
                <w:sz w:val="20"/>
                <w:szCs w:val="20"/>
                <w:u w:val="single"/>
              </w:rPr>
            </w:pPr>
          </w:p>
        </w:tc>
        <w:tc>
          <w:tcPr>
            <w:tcW w:w="1080" w:type="dxa"/>
            <w:tcBorders>
              <w:top w:val="nil"/>
              <w:left w:val="nil"/>
              <w:bottom w:val="single" w:sz="4" w:space="0" w:color="BFBFBF" w:themeColor="background1" w:themeShade="BF"/>
              <w:right w:val="nil"/>
            </w:tcBorders>
            <w:vAlign w:val="center"/>
          </w:tcPr>
          <w:p w:rsidR="00AB109F" w:rsidRPr="00432DF0" w:rsidRDefault="00AB109F" w:rsidP="006F4C4C">
            <w:pPr>
              <w:keepNext/>
              <w:spacing w:after="0" w:line="240" w:lineRule="auto"/>
              <w:jc w:val="right"/>
              <w:rPr>
                <w:rFonts w:asciiTheme="minorHAnsi" w:hAnsiTheme="minorHAnsi"/>
                <w:sz w:val="20"/>
                <w:szCs w:val="20"/>
                <w:u w:val="single"/>
              </w:rPr>
            </w:pPr>
            <w:r w:rsidRPr="00432DF0">
              <w:rPr>
                <w:rFonts w:asciiTheme="minorHAnsi" w:hAnsiTheme="minorHAnsi"/>
                <w:sz w:val="20"/>
                <w:szCs w:val="20"/>
                <w:u w:val="single"/>
              </w:rPr>
              <w:t>HPHR Mg</w:t>
            </w:r>
          </w:p>
        </w:tc>
        <w:tc>
          <w:tcPr>
            <w:tcW w:w="1080" w:type="dxa"/>
            <w:tcBorders>
              <w:top w:val="nil"/>
              <w:left w:val="nil"/>
              <w:bottom w:val="single" w:sz="4" w:space="0" w:color="BFBFBF" w:themeColor="background1" w:themeShade="BF"/>
              <w:right w:val="nil"/>
            </w:tcBorders>
            <w:vAlign w:val="center"/>
          </w:tcPr>
          <w:p w:rsidR="00AB109F" w:rsidRPr="00432DF0" w:rsidRDefault="00AB109F" w:rsidP="006F4C4C">
            <w:pPr>
              <w:keepNext/>
              <w:spacing w:after="0" w:line="240" w:lineRule="auto"/>
              <w:jc w:val="right"/>
              <w:rPr>
                <w:rFonts w:asciiTheme="minorHAnsi" w:hAnsiTheme="minorHAnsi"/>
                <w:sz w:val="20"/>
                <w:szCs w:val="20"/>
                <w:u w:val="single"/>
              </w:rPr>
            </w:pPr>
            <w:r w:rsidRPr="00432DF0">
              <w:rPr>
                <w:rFonts w:asciiTheme="minorHAnsi" w:hAnsiTheme="minorHAnsi"/>
                <w:sz w:val="20"/>
                <w:szCs w:val="20"/>
                <w:u w:val="single"/>
              </w:rPr>
              <w:t>ADO Mg</w:t>
            </w:r>
          </w:p>
        </w:tc>
      </w:tr>
      <w:tr w:rsidR="00AB109F" w:rsidRPr="00432DF0" w:rsidTr="003B07AB">
        <w:trPr>
          <w:cantSplit/>
          <w:jc w:val="center"/>
        </w:trPr>
        <w:tc>
          <w:tcPr>
            <w:tcW w:w="2160" w:type="dxa"/>
            <w:vMerge w:val="restar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365D96" w:rsidP="006F4C4C">
            <w:pPr>
              <w:keepNext/>
              <w:spacing w:after="0" w:line="240" w:lineRule="auto"/>
              <w:ind w:left="208"/>
              <w:rPr>
                <w:rFonts w:asciiTheme="minorHAnsi" w:hAnsiTheme="minorHAnsi"/>
                <w:sz w:val="20"/>
                <w:szCs w:val="20"/>
              </w:rPr>
            </w:pPr>
            <w:r>
              <w:rPr>
                <w:rFonts w:asciiTheme="minorHAnsi" w:hAnsiTheme="minorHAnsi"/>
                <w:sz w:val="20"/>
                <w:szCs w:val="20"/>
              </w:rPr>
              <w:t>Avinza</w:t>
            </w:r>
            <w:r w:rsidR="00AB109F" w:rsidRPr="00432DF0">
              <w:rPr>
                <w:rFonts w:asciiTheme="minorHAnsi" w:hAnsiTheme="minorHAnsi"/>
                <w:sz w:val="20"/>
                <w:szCs w:val="20"/>
              </w:rPr>
              <w:t xml:space="preserve"> to Embeda</w:t>
            </w:r>
          </w:p>
        </w:tc>
        <w:tc>
          <w:tcPr>
            <w:tcW w:w="108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w:t>
            </w:r>
          </w:p>
        </w:tc>
        <w:tc>
          <w:tcPr>
            <w:tcW w:w="108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ind w:left="116"/>
              <w:rPr>
                <w:rFonts w:asciiTheme="minorHAnsi" w:hAnsiTheme="minorHAnsi"/>
                <w:sz w:val="20"/>
                <w:szCs w:val="20"/>
              </w:rPr>
            </w:pPr>
          </w:p>
        </w:tc>
        <w:tc>
          <w:tcPr>
            <w:tcW w:w="2160" w:type="dxa"/>
            <w:vMerge w:val="restar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116"/>
              <w:rPr>
                <w:rFonts w:asciiTheme="minorHAnsi" w:hAnsiTheme="minorHAnsi"/>
                <w:sz w:val="20"/>
                <w:szCs w:val="20"/>
              </w:rPr>
            </w:pPr>
            <w:r w:rsidRPr="00432DF0">
              <w:rPr>
                <w:rFonts w:asciiTheme="minorHAnsi" w:hAnsiTheme="minorHAnsi"/>
                <w:sz w:val="20"/>
                <w:szCs w:val="20"/>
              </w:rPr>
              <w:t>Kadian to Embeda</w:t>
            </w:r>
          </w:p>
        </w:tc>
        <w:tc>
          <w:tcPr>
            <w:tcW w:w="108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10</w:t>
            </w:r>
          </w:p>
        </w:tc>
        <w:tc>
          <w:tcPr>
            <w:tcW w:w="1080"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N/A</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45</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N/A</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20</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60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60</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75</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N/A</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40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2x20</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90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30+60</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50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50</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120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2x60</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60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60</w:t>
            </w:r>
          </w:p>
        </w:tc>
      </w:tr>
      <w:tr w:rsidR="00AB109F" w:rsidRPr="00432DF0" w:rsidTr="003B07AB">
        <w:trPr>
          <w:cantSplit/>
          <w:jc w:val="center"/>
        </w:trPr>
        <w:tc>
          <w:tcPr>
            <w:tcW w:w="2160" w:type="dxa"/>
            <w:vMerge w:val="restar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r w:rsidRPr="00432DF0">
              <w:rPr>
                <w:rFonts w:asciiTheme="minorHAnsi" w:hAnsiTheme="minorHAnsi"/>
                <w:sz w:val="20"/>
                <w:szCs w:val="20"/>
              </w:rPr>
              <w:t>MS Contin to Embeda</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15</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N/A</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70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20+50</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80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80</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60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60</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100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100</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100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100</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130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30+100</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200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2x100</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150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50+100</w:t>
            </w:r>
          </w:p>
        </w:tc>
      </w:tr>
      <w:tr w:rsidR="00AB109F" w:rsidRPr="00432DF0" w:rsidTr="003B07AB">
        <w:trPr>
          <w:cantSplit/>
          <w:jc w:val="center"/>
        </w:trPr>
        <w:tc>
          <w:tcPr>
            <w:tcW w:w="2160" w:type="dxa"/>
            <w:vMerge w:val="restar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r w:rsidRPr="00432DF0">
              <w:rPr>
                <w:rFonts w:asciiTheme="minorHAnsi" w:hAnsiTheme="minorHAnsi"/>
                <w:sz w:val="20"/>
                <w:szCs w:val="20"/>
              </w:rPr>
              <w:t>Zohydro to Hysingla</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N/A</w:t>
            </w:r>
          </w:p>
        </w:tc>
        <w:tc>
          <w:tcPr>
            <w:tcW w:w="720" w:type="dxa"/>
            <w:tcBorders>
              <w:top w:val="nil"/>
              <w:left w:val="single" w:sz="4" w:space="0" w:color="BFBFBF" w:themeColor="background1" w:themeShade="BF"/>
              <w:bottom w:val="nil"/>
              <w:right w:val="single" w:sz="4" w:space="0" w:color="BFBFBF" w:themeColor="background1" w:themeShade="BF"/>
            </w:tcBorders>
          </w:tcPr>
          <w:p w:rsidR="00AB109F" w:rsidRPr="00432DF0" w:rsidRDefault="00AB109F" w:rsidP="006F4C4C">
            <w:pPr>
              <w:keepNext/>
              <w:spacing w:after="0" w:line="240" w:lineRule="auto"/>
              <w:rPr>
                <w:rFonts w:asciiTheme="minorHAnsi" w:hAnsiTheme="minorHAnsi"/>
                <w:sz w:val="20"/>
                <w:szCs w:val="20"/>
              </w:rPr>
            </w:pPr>
          </w:p>
        </w:tc>
        <w:tc>
          <w:tcPr>
            <w:tcW w:w="2160" w:type="dxa"/>
            <w:vMerge/>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200</w:t>
            </w:r>
          </w:p>
        </w:tc>
        <w:tc>
          <w:tcPr>
            <w:tcW w:w="108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2x100</w:t>
            </w: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15</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N/A</w:t>
            </w:r>
          </w:p>
        </w:tc>
        <w:tc>
          <w:tcPr>
            <w:tcW w:w="720" w:type="dxa"/>
            <w:tcBorders>
              <w:top w:val="nil"/>
              <w:left w:val="single" w:sz="4" w:space="0" w:color="BFBFBF" w:themeColor="background1" w:themeShade="BF"/>
              <w:bottom w:val="nil"/>
              <w:right w:val="nil"/>
            </w:tcBorders>
          </w:tcPr>
          <w:p w:rsidR="00AB109F" w:rsidRPr="00432DF0" w:rsidRDefault="00AB109F" w:rsidP="006F4C4C">
            <w:pPr>
              <w:keepNext/>
              <w:spacing w:after="0" w:line="240" w:lineRule="auto"/>
              <w:rPr>
                <w:rFonts w:asciiTheme="minorHAnsi" w:hAnsiTheme="minorHAnsi"/>
                <w:sz w:val="20"/>
                <w:szCs w:val="20"/>
              </w:rPr>
            </w:pPr>
          </w:p>
        </w:tc>
        <w:tc>
          <w:tcPr>
            <w:tcW w:w="2160" w:type="dxa"/>
            <w:tcBorders>
              <w:top w:val="single" w:sz="4" w:space="0" w:color="BFBFBF" w:themeColor="background1" w:themeShade="BF"/>
              <w:left w:val="nil"/>
              <w:bottom w:val="nil"/>
              <w:right w:val="nil"/>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single" w:sz="4" w:space="0" w:color="BFBFBF" w:themeColor="background1" w:themeShade="BF"/>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c>
          <w:tcPr>
            <w:tcW w:w="1080" w:type="dxa"/>
            <w:tcBorders>
              <w:top w:val="single" w:sz="4" w:space="0" w:color="BFBFBF" w:themeColor="background1" w:themeShade="BF"/>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20</w:t>
            </w:r>
          </w:p>
        </w:tc>
        <w:tc>
          <w:tcPr>
            <w:tcW w:w="720" w:type="dxa"/>
            <w:tcBorders>
              <w:top w:val="nil"/>
              <w:left w:val="single" w:sz="4" w:space="0" w:color="BFBFBF" w:themeColor="background1" w:themeShade="BF"/>
              <w:bottom w:val="nil"/>
              <w:right w:val="nil"/>
            </w:tcBorders>
          </w:tcPr>
          <w:p w:rsidR="00AB109F" w:rsidRPr="00432DF0" w:rsidRDefault="00AB109F" w:rsidP="006F4C4C">
            <w:pPr>
              <w:keepNext/>
              <w:spacing w:after="0" w:line="240" w:lineRule="auto"/>
              <w:rPr>
                <w:rFonts w:asciiTheme="minorHAnsi" w:hAnsiTheme="minorHAnsi"/>
                <w:sz w:val="20"/>
                <w:szCs w:val="20"/>
              </w:rPr>
            </w:pPr>
          </w:p>
        </w:tc>
        <w:tc>
          <w:tcPr>
            <w:tcW w:w="2160" w:type="dxa"/>
            <w:tcBorders>
              <w:top w:val="nil"/>
              <w:left w:val="nil"/>
              <w:bottom w:val="nil"/>
              <w:right w:val="nil"/>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nil"/>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c>
          <w:tcPr>
            <w:tcW w:w="1080" w:type="dxa"/>
            <w:tcBorders>
              <w:top w:val="nil"/>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30</w:t>
            </w:r>
          </w:p>
        </w:tc>
        <w:tc>
          <w:tcPr>
            <w:tcW w:w="720" w:type="dxa"/>
            <w:tcBorders>
              <w:top w:val="nil"/>
              <w:left w:val="single" w:sz="4" w:space="0" w:color="BFBFBF" w:themeColor="background1" w:themeShade="BF"/>
              <w:bottom w:val="nil"/>
              <w:right w:val="nil"/>
            </w:tcBorders>
          </w:tcPr>
          <w:p w:rsidR="00AB109F" w:rsidRPr="00432DF0" w:rsidRDefault="00AB109F" w:rsidP="006F4C4C">
            <w:pPr>
              <w:keepNext/>
              <w:spacing w:after="0" w:line="240" w:lineRule="auto"/>
              <w:rPr>
                <w:rFonts w:asciiTheme="minorHAnsi" w:hAnsiTheme="minorHAnsi"/>
                <w:sz w:val="20"/>
                <w:szCs w:val="20"/>
              </w:rPr>
            </w:pPr>
          </w:p>
        </w:tc>
        <w:tc>
          <w:tcPr>
            <w:tcW w:w="2160" w:type="dxa"/>
            <w:tcBorders>
              <w:top w:val="nil"/>
              <w:left w:val="nil"/>
              <w:bottom w:val="nil"/>
              <w:right w:val="nil"/>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nil"/>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c>
          <w:tcPr>
            <w:tcW w:w="1080" w:type="dxa"/>
            <w:tcBorders>
              <w:top w:val="nil"/>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40</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40</w:t>
            </w:r>
          </w:p>
        </w:tc>
        <w:tc>
          <w:tcPr>
            <w:tcW w:w="720" w:type="dxa"/>
            <w:tcBorders>
              <w:top w:val="nil"/>
              <w:left w:val="single" w:sz="4" w:space="0" w:color="BFBFBF" w:themeColor="background1" w:themeShade="BF"/>
              <w:bottom w:val="nil"/>
              <w:right w:val="nil"/>
            </w:tcBorders>
          </w:tcPr>
          <w:p w:rsidR="00AB109F" w:rsidRPr="00432DF0" w:rsidRDefault="00AB109F" w:rsidP="006F4C4C">
            <w:pPr>
              <w:keepNext/>
              <w:spacing w:after="0" w:line="240" w:lineRule="auto"/>
              <w:rPr>
                <w:rFonts w:asciiTheme="minorHAnsi" w:hAnsiTheme="minorHAnsi"/>
                <w:sz w:val="20"/>
                <w:szCs w:val="20"/>
              </w:rPr>
            </w:pPr>
          </w:p>
        </w:tc>
        <w:tc>
          <w:tcPr>
            <w:tcW w:w="2160" w:type="dxa"/>
            <w:tcBorders>
              <w:top w:val="nil"/>
              <w:left w:val="nil"/>
              <w:bottom w:val="nil"/>
              <w:right w:val="nil"/>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nil"/>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c>
          <w:tcPr>
            <w:tcW w:w="1080" w:type="dxa"/>
            <w:tcBorders>
              <w:top w:val="nil"/>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r>
      <w:tr w:rsidR="00AB109F" w:rsidRPr="00432DF0" w:rsidTr="003B07AB">
        <w:trPr>
          <w:cantSplit/>
          <w:jc w:val="center"/>
        </w:trPr>
        <w:tc>
          <w:tcPr>
            <w:tcW w:w="2160" w:type="dxa"/>
            <w:vMerge/>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ind w:left="208"/>
              <w:rPr>
                <w:rFonts w:asciiTheme="minorHAnsi" w:hAnsiTheme="minorHAnsi"/>
                <w:sz w:val="20"/>
                <w:szCs w:val="20"/>
              </w:rPr>
            </w:pPr>
          </w:p>
        </w:tc>
        <w:tc>
          <w:tcPr>
            <w:tcW w:w="108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50</w:t>
            </w:r>
          </w:p>
        </w:tc>
        <w:tc>
          <w:tcPr>
            <w:tcW w:w="1080"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center"/>
          </w:tcPr>
          <w:p w:rsidR="00AB109F" w:rsidRPr="00432DF0" w:rsidRDefault="00AB109F" w:rsidP="006F4C4C">
            <w:pPr>
              <w:keepNext/>
              <w:spacing w:after="0" w:line="240" w:lineRule="auto"/>
              <w:jc w:val="right"/>
              <w:rPr>
                <w:rFonts w:asciiTheme="minorHAnsi" w:hAnsiTheme="minorHAnsi"/>
                <w:sz w:val="20"/>
                <w:szCs w:val="20"/>
              </w:rPr>
            </w:pPr>
            <w:r w:rsidRPr="00432DF0">
              <w:rPr>
                <w:rFonts w:asciiTheme="minorHAnsi" w:hAnsiTheme="minorHAnsi"/>
                <w:sz w:val="20"/>
                <w:szCs w:val="20"/>
              </w:rPr>
              <w:t>20+30</w:t>
            </w:r>
          </w:p>
        </w:tc>
        <w:tc>
          <w:tcPr>
            <w:tcW w:w="720" w:type="dxa"/>
            <w:tcBorders>
              <w:top w:val="nil"/>
              <w:left w:val="single" w:sz="4" w:space="0" w:color="BFBFBF" w:themeColor="background1" w:themeShade="BF"/>
              <w:bottom w:val="nil"/>
              <w:right w:val="nil"/>
            </w:tcBorders>
          </w:tcPr>
          <w:p w:rsidR="00AB109F" w:rsidRPr="00432DF0" w:rsidRDefault="00AB109F" w:rsidP="006F4C4C">
            <w:pPr>
              <w:keepNext/>
              <w:spacing w:after="0" w:line="240" w:lineRule="auto"/>
              <w:rPr>
                <w:rFonts w:asciiTheme="minorHAnsi" w:hAnsiTheme="minorHAnsi"/>
                <w:sz w:val="20"/>
                <w:szCs w:val="20"/>
              </w:rPr>
            </w:pPr>
          </w:p>
        </w:tc>
        <w:tc>
          <w:tcPr>
            <w:tcW w:w="2160" w:type="dxa"/>
            <w:tcBorders>
              <w:top w:val="nil"/>
              <w:left w:val="nil"/>
              <w:bottom w:val="nil"/>
              <w:right w:val="nil"/>
            </w:tcBorders>
            <w:vAlign w:val="center"/>
          </w:tcPr>
          <w:p w:rsidR="00AB109F" w:rsidRPr="00432DF0" w:rsidRDefault="00AB109F" w:rsidP="006F4C4C">
            <w:pPr>
              <w:keepNext/>
              <w:spacing w:after="0" w:line="240" w:lineRule="auto"/>
              <w:rPr>
                <w:rFonts w:asciiTheme="minorHAnsi" w:hAnsiTheme="minorHAnsi"/>
                <w:sz w:val="20"/>
                <w:szCs w:val="20"/>
              </w:rPr>
            </w:pPr>
          </w:p>
        </w:tc>
        <w:tc>
          <w:tcPr>
            <w:tcW w:w="1080" w:type="dxa"/>
            <w:tcBorders>
              <w:top w:val="nil"/>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c>
          <w:tcPr>
            <w:tcW w:w="1080" w:type="dxa"/>
            <w:tcBorders>
              <w:top w:val="nil"/>
              <w:left w:val="nil"/>
              <w:bottom w:val="nil"/>
              <w:right w:val="nil"/>
            </w:tcBorders>
            <w:vAlign w:val="center"/>
          </w:tcPr>
          <w:p w:rsidR="00AB109F" w:rsidRPr="00432DF0" w:rsidRDefault="00AB109F" w:rsidP="006F4C4C">
            <w:pPr>
              <w:keepNext/>
              <w:spacing w:after="0" w:line="240" w:lineRule="auto"/>
              <w:jc w:val="right"/>
              <w:rPr>
                <w:rFonts w:asciiTheme="minorHAnsi" w:hAnsiTheme="minorHAnsi"/>
                <w:sz w:val="20"/>
                <w:szCs w:val="20"/>
              </w:rPr>
            </w:pPr>
          </w:p>
        </w:tc>
      </w:tr>
    </w:tbl>
    <w:p w:rsidR="00AB109F" w:rsidRDefault="00AB109F" w:rsidP="001237DD">
      <w:pPr>
        <w:pStyle w:val="NoSpacing"/>
      </w:pPr>
    </w:p>
    <w:p w:rsidR="00AB109F" w:rsidRDefault="00AB109F" w:rsidP="00AB109F">
      <w:r>
        <w:t xml:space="preserve">It is unknown what percent of patients will convert from their current dosage of HPHR opioid to an ADO </w:t>
      </w:r>
      <w:r w:rsidR="006C03B8">
        <w:t>chemical</w:t>
      </w:r>
      <w:r>
        <w:t xml:space="preserve"> equivalent as a result of the </w:t>
      </w:r>
      <w:r w:rsidR="001826BD">
        <w:t>substitution</w:t>
      </w:r>
      <w:r w:rsidR="000437CC">
        <w:t xml:space="preserve"> requirement</w:t>
      </w:r>
      <w:r>
        <w:t>, as prescribers have the ability to indicate “</w:t>
      </w:r>
      <w:r w:rsidR="00432DF0">
        <w:t>n</w:t>
      </w:r>
      <w:r>
        <w:t xml:space="preserve">o substitution” on a patient’s prescription.  Therefore, the model developed three scenarios for such conversions, </w:t>
      </w:r>
      <w:r w:rsidR="003B07AB">
        <w:t>which are outlined in Table 8.</w:t>
      </w:r>
    </w:p>
    <w:p w:rsidR="00AB109F" w:rsidRPr="00BE59A4" w:rsidRDefault="00AB109F" w:rsidP="00EF62F6">
      <w:pPr>
        <w:pStyle w:val="TableTitle"/>
        <w:rPr>
          <w:szCs w:val="20"/>
        </w:rPr>
      </w:pPr>
      <w:r w:rsidRPr="00701459">
        <w:lastRenderedPageBreak/>
        <w:t xml:space="preserve">Table </w:t>
      </w:r>
      <w:r>
        <w:t>8</w:t>
      </w:r>
      <w:r w:rsidRPr="00701459">
        <w:t>:</w:t>
      </w:r>
      <w:r w:rsidRPr="00701459">
        <w:br/>
      </w:r>
      <w:r>
        <w:t xml:space="preserve">Patients converting from HPHR opioid to ADO due to </w:t>
      </w:r>
      <w:r w:rsidRPr="00EF62F6">
        <w:t>the</w:t>
      </w:r>
      <w:r>
        <w:t xml:space="preserve"> </w:t>
      </w:r>
      <w:r w:rsidR="001826BD">
        <w:t>substitution</w:t>
      </w:r>
      <w:r w:rsidR="000437CC">
        <w:t xml:space="preserve"> requirement</w:t>
      </w:r>
    </w:p>
    <w:tbl>
      <w:tblPr>
        <w:tblW w:w="3245" w:type="dxa"/>
        <w:jc w:val="center"/>
        <w:tblCellMar>
          <w:top w:w="14" w:type="dxa"/>
          <w:left w:w="58" w:type="dxa"/>
          <w:bottom w:w="14" w:type="dxa"/>
          <w:right w:w="58" w:type="dxa"/>
        </w:tblCellMar>
        <w:tblLook w:val="04A0"/>
      </w:tblPr>
      <w:tblGrid>
        <w:gridCol w:w="1334"/>
        <w:gridCol w:w="1911"/>
      </w:tblGrid>
      <w:tr w:rsidR="00AB109F" w:rsidRPr="00BF5954" w:rsidTr="006A796E">
        <w:trPr>
          <w:cantSplit/>
          <w:jc w:val="center"/>
        </w:trPr>
        <w:tc>
          <w:tcPr>
            <w:tcW w:w="1334" w:type="dxa"/>
            <w:tcBorders>
              <w:bottom w:val="single" w:sz="4" w:space="0" w:color="auto"/>
            </w:tcBorders>
            <w:vAlign w:val="bottom"/>
          </w:tcPr>
          <w:p w:rsidR="00AB109F" w:rsidRPr="005731AB" w:rsidRDefault="00AB109F" w:rsidP="006A796E">
            <w:pPr>
              <w:keepNext/>
              <w:spacing w:after="0" w:line="240" w:lineRule="auto"/>
              <w:rPr>
                <w:rFonts w:ascii="Calibri" w:hAnsi="Calibri"/>
                <w:sz w:val="20"/>
              </w:rPr>
            </w:pPr>
          </w:p>
        </w:tc>
        <w:tc>
          <w:tcPr>
            <w:tcW w:w="1911" w:type="dxa"/>
            <w:tcBorders>
              <w:bottom w:val="single" w:sz="4" w:space="0" w:color="auto"/>
            </w:tcBorders>
            <w:vAlign w:val="center"/>
          </w:tcPr>
          <w:p w:rsidR="00AB109F" w:rsidRDefault="00AB109F" w:rsidP="006A796E">
            <w:pPr>
              <w:keepNext/>
              <w:spacing w:after="0" w:line="240" w:lineRule="auto"/>
              <w:jc w:val="right"/>
              <w:rPr>
                <w:rFonts w:ascii="Calibri" w:hAnsi="Calibri"/>
                <w:sz w:val="20"/>
              </w:rPr>
            </w:pPr>
            <w:r>
              <w:rPr>
                <w:rFonts w:ascii="Calibri" w:hAnsi="Calibri"/>
                <w:sz w:val="20"/>
              </w:rPr>
              <w:t>Conversion rate</w:t>
            </w:r>
          </w:p>
        </w:tc>
      </w:tr>
      <w:tr w:rsidR="00AB109F" w:rsidRPr="00D22869" w:rsidTr="006A796E">
        <w:trPr>
          <w:cantSplit/>
          <w:jc w:val="center"/>
        </w:trPr>
        <w:tc>
          <w:tcPr>
            <w:tcW w:w="1334" w:type="dxa"/>
            <w:tcBorders>
              <w:top w:val="single" w:sz="4" w:space="0" w:color="auto"/>
            </w:tcBorders>
            <w:vAlign w:val="center"/>
          </w:tcPr>
          <w:p w:rsidR="00AB109F" w:rsidRPr="00D22869" w:rsidRDefault="00AB109F" w:rsidP="006A796E">
            <w:pPr>
              <w:keepNext/>
              <w:spacing w:after="0" w:line="240" w:lineRule="auto"/>
              <w:rPr>
                <w:rFonts w:asciiTheme="minorHAnsi" w:hAnsiTheme="minorHAnsi"/>
                <w:sz w:val="20"/>
              </w:rPr>
            </w:pPr>
            <w:r>
              <w:rPr>
                <w:rFonts w:asciiTheme="minorHAnsi" w:hAnsiTheme="minorHAnsi" w:cs="Calibri"/>
                <w:sz w:val="20"/>
              </w:rPr>
              <w:t>Low Scenario</w:t>
            </w:r>
          </w:p>
        </w:tc>
        <w:tc>
          <w:tcPr>
            <w:tcW w:w="1911" w:type="dxa"/>
            <w:tcBorders>
              <w:top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color w:val="000000"/>
                <w:sz w:val="20"/>
              </w:rPr>
              <w:t>50%</w:t>
            </w:r>
          </w:p>
        </w:tc>
      </w:tr>
      <w:tr w:rsidR="00AB109F" w:rsidRPr="00D22869" w:rsidTr="006A796E">
        <w:trPr>
          <w:cantSplit/>
          <w:jc w:val="center"/>
        </w:trPr>
        <w:tc>
          <w:tcPr>
            <w:tcW w:w="1334" w:type="dxa"/>
            <w:vAlign w:val="center"/>
          </w:tcPr>
          <w:p w:rsidR="00AB109F" w:rsidRPr="00D22869" w:rsidRDefault="00AB109F" w:rsidP="006A796E">
            <w:pPr>
              <w:keepNext/>
              <w:spacing w:after="0" w:line="240" w:lineRule="auto"/>
              <w:rPr>
                <w:rFonts w:asciiTheme="minorHAnsi" w:hAnsiTheme="minorHAnsi"/>
                <w:sz w:val="20"/>
              </w:rPr>
            </w:pPr>
            <w:r>
              <w:rPr>
                <w:rFonts w:asciiTheme="minorHAnsi" w:hAnsiTheme="minorHAnsi" w:cs="Calibri"/>
                <w:sz w:val="20"/>
              </w:rPr>
              <w:t>Mid Scenario</w:t>
            </w:r>
          </w:p>
        </w:tc>
        <w:tc>
          <w:tcPr>
            <w:tcW w:w="1911" w:type="dxa"/>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color w:val="000000"/>
                <w:sz w:val="20"/>
              </w:rPr>
              <w:t>70%</w:t>
            </w:r>
          </w:p>
        </w:tc>
      </w:tr>
      <w:tr w:rsidR="00AB109F" w:rsidRPr="00D22869" w:rsidTr="006A796E">
        <w:trPr>
          <w:cantSplit/>
          <w:jc w:val="center"/>
        </w:trPr>
        <w:tc>
          <w:tcPr>
            <w:tcW w:w="1334" w:type="dxa"/>
            <w:vAlign w:val="center"/>
          </w:tcPr>
          <w:p w:rsidR="00AB109F" w:rsidRPr="00D22869" w:rsidRDefault="00AB109F" w:rsidP="006A796E">
            <w:pPr>
              <w:keepNext/>
              <w:spacing w:after="0" w:line="240" w:lineRule="auto"/>
              <w:rPr>
                <w:rFonts w:asciiTheme="minorHAnsi" w:hAnsiTheme="minorHAnsi"/>
                <w:sz w:val="20"/>
              </w:rPr>
            </w:pPr>
            <w:r>
              <w:rPr>
                <w:rFonts w:asciiTheme="minorHAnsi" w:hAnsiTheme="minorHAnsi" w:cs="Calibri"/>
                <w:sz w:val="20"/>
              </w:rPr>
              <w:t>High Scenario</w:t>
            </w:r>
          </w:p>
        </w:tc>
        <w:tc>
          <w:tcPr>
            <w:tcW w:w="1911" w:type="dxa"/>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color w:val="000000"/>
                <w:sz w:val="20"/>
              </w:rPr>
              <w:t>90%</w:t>
            </w:r>
          </w:p>
        </w:tc>
      </w:tr>
    </w:tbl>
    <w:p w:rsidR="00AB109F" w:rsidRDefault="00AB109F" w:rsidP="00CF2D63">
      <w:pPr>
        <w:pStyle w:val="NoSpacing"/>
      </w:pPr>
    </w:p>
    <w:p w:rsidR="00AB109F" w:rsidRDefault="00863577" w:rsidP="00AB109F">
      <w:r>
        <w:t>T</w:t>
      </w:r>
      <w:r w:rsidR="00AB109F">
        <w:t xml:space="preserve">wo items of note </w:t>
      </w:r>
      <w:r>
        <w:t xml:space="preserve">arise </w:t>
      </w:r>
      <w:r w:rsidR="00AB109F">
        <w:t xml:space="preserve">regarding drug conversions.  First, as described previously, some patients will not be able to </w:t>
      </w:r>
      <w:r w:rsidR="00E12669">
        <w:t>convert to the ADO because the</w:t>
      </w:r>
      <w:r w:rsidR="00AB109F">
        <w:t xml:space="preserve"> </w:t>
      </w:r>
      <w:r w:rsidR="004741A5">
        <w:t>chemically-equivalent</w:t>
      </w:r>
      <w:r w:rsidR="00AB109F">
        <w:t xml:space="preserve"> dose is not available at this time; these patients and their costs do not impact the marginal results in the model.  Second, some providers may switch patients to the </w:t>
      </w:r>
      <w:r w:rsidR="004741A5">
        <w:t>chemically-equivalent</w:t>
      </w:r>
      <w:r w:rsidR="00AB109F">
        <w:t xml:space="preserve"> ADO regardless of the </w:t>
      </w:r>
      <w:r w:rsidR="008B61F0">
        <w:t>substitution requirement</w:t>
      </w:r>
      <w:r w:rsidR="00AB109F">
        <w:t xml:space="preserve"> for clinical reasons, which may overestimate the impact of the </w:t>
      </w:r>
      <w:r w:rsidR="008B61F0">
        <w:t>requirement</w:t>
      </w:r>
      <w:r w:rsidR="00CF2D63">
        <w:t xml:space="preserve"> generally.</w:t>
      </w:r>
    </w:p>
    <w:p w:rsidR="00AB109F" w:rsidRDefault="00AB109F" w:rsidP="00AB109F">
      <w:pPr>
        <w:pStyle w:val="Heading2"/>
      </w:pPr>
      <w:bookmarkStart w:id="54" w:name="_Toc468888005"/>
      <w:r w:rsidRPr="00196683">
        <w:t>4.</w:t>
      </w:r>
      <w:r>
        <w:t>4</w:t>
      </w:r>
      <w:r w:rsidRPr="00196683">
        <w:t xml:space="preserve">. </w:t>
      </w:r>
      <w:r w:rsidR="00EF62F6">
        <w:t>Estimated change</w:t>
      </w:r>
      <w:r>
        <w:t xml:space="preserve"> to utilization of HPHR opioids and ADOs</w:t>
      </w:r>
      <w:bookmarkEnd w:id="54"/>
    </w:p>
    <w:p w:rsidR="00AB109F" w:rsidRDefault="00AB109F" w:rsidP="00AB109F">
      <w:r>
        <w:t xml:space="preserve">Using the baseline utilization outlined in Table 2 and the conversion rates listed in Table 8, utilization of each drug by form was calculated, as outlined in Tables 9, 10, and 11.  By far the largest impact on utilization in each scenario is the conversion of generic MS Contin to brand name Embeda.  Each 20 percent increase in conversion to ADOs, which are only available in brand name form, results in approximately 100,000 doses of generic MS Contin converted.  Note that not all HPHR opioids can convert to ADOs due to dosage availability, and that the totals under each scenario are not equal, as some conversions require an increase from one to two pills to achieve </w:t>
      </w:r>
      <w:r w:rsidR="006C03B8">
        <w:t>chemical</w:t>
      </w:r>
      <w:r>
        <w:t xml:space="preserve"> equivalence.  Both of these issues are explained in more detail in previous sections.</w:t>
      </w:r>
    </w:p>
    <w:p w:rsidR="00AB109F" w:rsidRPr="00BE59A4" w:rsidRDefault="00AB109F" w:rsidP="00EF62F6">
      <w:pPr>
        <w:pStyle w:val="TableTitle"/>
        <w:rPr>
          <w:szCs w:val="20"/>
        </w:rPr>
      </w:pPr>
      <w:r w:rsidRPr="00701459">
        <w:t xml:space="preserve">Table </w:t>
      </w:r>
      <w:r>
        <w:t>9</w:t>
      </w:r>
      <w:r w:rsidRPr="00701459">
        <w:t>:</w:t>
      </w:r>
      <w:r w:rsidRPr="00701459">
        <w:br/>
      </w:r>
      <w:r w:rsidR="00E73430">
        <w:t xml:space="preserve">Draft </w:t>
      </w:r>
      <w:r>
        <w:t xml:space="preserve">Formulary </w:t>
      </w:r>
      <w:r w:rsidRPr="00EF62F6">
        <w:t>Drug</w:t>
      </w:r>
      <w:r>
        <w:t xml:space="preserve"> Utilization </w:t>
      </w:r>
      <w:r w:rsidR="00385831">
        <w:t>by</w:t>
      </w:r>
      <w:r>
        <w:t xml:space="preserve"> Quantity Dispensed</w:t>
      </w:r>
      <w:r w:rsidR="00EF62F6">
        <w:br/>
      </w:r>
      <w:r>
        <w:t>for Brand Name Drugs</w:t>
      </w:r>
    </w:p>
    <w:tbl>
      <w:tblPr>
        <w:tblW w:w="6522" w:type="dxa"/>
        <w:jc w:val="center"/>
        <w:tblCellMar>
          <w:top w:w="14" w:type="dxa"/>
          <w:left w:w="58" w:type="dxa"/>
          <w:bottom w:w="14" w:type="dxa"/>
          <w:right w:w="58" w:type="dxa"/>
        </w:tblCellMar>
        <w:tblLook w:val="04A0"/>
      </w:tblPr>
      <w:tblGrid>
        <w:gridCol w:w="1334"/>
        <w:gridCol w:w="1297"/>
        <w:gridCol w:w="1297"/>
        <w:gridCol w:w="1297"/>
        <w:gridCol w:w="1297"/>
      </w:tblGrid>
      <w:tr w:rsidR="00AB109F" w:rsidRPr="00BF5954" w:rsidTr="006A796E">
        <w:trPr>
          <w:cantSplit/>
          <w:jc w:val="center"/>
        </w:trPr>
        <w:tc>
          <w:tcPr>
            <w:tcW w:w="1334" w:type="dxa"/>
            <w:tcBorders>
              <w:bottom w:val="single" w:sz="4" w:space="0" w:color="auto"/>
            </w:tcBorders>
            <w:vAlign w:val="center"/>
          </w:tcPr>
          <w:p w:rsidR="00AB109F" w:rsidRPr="005731AB" w:rsidRDefault="00AB109F" w:rsidP="006A796E">
            <w:pPr>
              <w:keepNext/>
              <w:spacing w:after="0" w:line="240" w:lineRule="auto"/>
              <w:jc w:val="center"/>
              <w:rPr>
                <w:rFonts w:ascii="Calibri" w:hAnsi="Calibri"/>
                <w:sz w:val="20"/>
              </w:rPr>
            </w:pPr>
          </w:p>
        </w:tc>
        <w:tc>
          <w:tcPr>
            <w:tcW w:w="1297" w:type="dxa"/>
            <w:tcBorders>
              <w:bottom w:val="single" w:sz="4" w:space="0" w:color="auto"/>
            </w:tcBorders>
            <w:vAlign w:val="center"/>
          </w:tcPr>
          <w:p w:rsidR="00AB109F" w:rsidRDefault="00AB109F" w:rsidP="006A796E">
            <w:pPr>
              <w:keepNext/>
              <w:spacing w:after="0" w:line="240" w:lineRule="auto"/>
              <w:jc w:val="center"/>
              <w:rPr>
                <w:rFonts w:ascii="Calibri" w:hAnsi="Calibri"/>
                <w:sz w:val="20"/>
              </w:rPr>
            </w:pPr>
          </w:p>
        </w:tc>
        <w:tc>
          <w:tcPr>
            <w:tcW w:w="3891" w:type="dxa"/>
            <w:gridSpan w:val="3"/>
            <w:tcBorders>
              <w:bottom w:val="single" w:sz="4" w:space="0" w:color="auto"/>
            </w:tcBorders>
            <w:vAlign w:val="center"/>
          </w:tcPr>
          <w:p w:rsidR="00AB109F" w:rsidRDefault="00AB109F" w:rsidP="006A796E">
            <w:pPr>
              <w:keepNext/>
              <w:spacing w:after="0" w:line="240" w:lineRule="auto"/>
              <w:jc w:val="center"/>
              <w:rPr>
                <w:rFonts w:ascii="Calibri" w:hAnsi="Calibri"/>
                <w:sz w:val="20"/>
              </w:rPr>
            </w:pPr>
            <w:r>
              <w:rPr>
                <w:rFonts w:ascii="Calibri" w:hAnsi="Calibri"/>
                <w:sz w:val="20"/>
              </w:rPr>
              <w:t>Conversion Rate</w:t>
            </w:r>
          </w:p>
        </w:tc>
      </w:tr>
      <w:tr w:rsidR="00AB109F" w:rsidRPr="00BF5954" w:rsidTr="006A796E">
        <w:trPr>
          <w:cantSplit/>
          <w:jc w:val="center"/>
        </w:trPr>
        <w:tc>
          <w:tcPr>
            <w:tcW w:w="1334" w:type="dxa"/>
            <w:tcBorders>
              <w:bottom w:val="single" w:sz="4" w:space="0" w:color="auto"/>
            </w:tcBorders>
            <w:vAlign w:val="center"/>
          </w:tcPr>
          <w:p w:rsidR="00AB109F" w:rsidRPr="005731AB" w:rsidRDefault="00AB109F" w:rsidP="006A796E">
            <w:pPr>
              <w:keepNext/>
              <w:spacing w:after="0" w:line="240" w:lineRule="auto"/>
              <w:rPr>
                <w:rFonts w:ascii="Calibri" w:hAnsi="Calibri"/>
                <w:sz w:val="20"/>
              </w:rPr>
            </w:pPr>
          </w:p>
        </w:tc>
        <w:tc>
          <w:tcPr>
            <w:tcW w:w="1297" w:type="dxa"/>
            <w:tcBorders>
              <w:bottom w:val="single" w:sz="4" w:space="0" w:color="auto"/>
            </w:tcBorders>
            <w:vAlign w:val="center"/>
          </w:tcPr>
          <w:p w:rsidR="00AB109F" w:rsidRDefault="00AB109F" w:rsidP="000437CC">
            <w:pPr>
              <w:keepNext/>
              <w:spacing w:after="0" w:line="240" w:lineRule="auto"/>
              <w:jc w:val="right"/>
              <w:rPr>
                <w:rFonts w:ascii="Calibri" w:hAnsi="Calibri"/>
                <w:sz w:val="20"/>
              </w:rPr>
            </w:pPr>
            <w:r>
              <w:rPr>
                <w:rFonts w:ascii="Calibri" w:hAnsi="Calibri"/>
                <w:sz w:val="20"/>
              </w:rPr>
              <w:t xml:space="preserve">No </w:t>
            </w:r>
            <w:r w:rsidR="000437CC">
              <w:rPr>
                <w:rFonts w:ascii="Calibri" w:hAnsi="Calibri"/>
                <w:sz w:val="20"/>
              </w:rPr>
              <w:t>Formulary</w:t>
            </w:r>
          </w:p>
        </w:tc>
        <w:tc>
          <w:tcPr>
            <w:tcW w:w="1297" w:type="dxa"/>
            <w:tcBorders>
              <w:bottom w:val="single" w:sz="4" w:space="0" w:color="auto"/>
            </w:tcBorders>
            <w:vAlign w:val="center"/>
          </w:tcPr>
          <w:p w:rsidR="00AB109F" w:rsidRDefault="00AB109F" w:rsidP="006A796E">
            <w:pPr>
              <w:keepNext/>
              <w:spacing w:after="0" w:line="240" w:lineRule="auto"/>
              <w:jc w:val="right"/>
              <w:rPr>
                <w:rFonts w:ascii="Calibri" w:hAnsi="Calibri"/>
                <w:sz w:val="20"/>
              </w:rPr>
            </w:pPr>
            <w:r>
              <w:rPr>
                <w:rFonts w:ascii="Calibri" w:hAnsi="Calibri"/>
                <w:sz w:val="20"/>
              </w:rPr>
              <w:t>50%</w:t>
            </w:r>
          </w:p>
        </w:tc>
        <w:tc>
          <w:tcPr>
            <w:tcW w:w="1297" w:type="dxa"/>
            <w:tcBorders>
              <w:bottom w:val="single" w:sz="4" w:space="0" w:color="auto"/>
            </w:tcBorders>
            <w:vAlign w:val="center"/>
          </w:tcPr>
          <w:p w:rsidR="00AB109F" w:rsidRDefault="00AB109F" w:rsidP="006A796E">
            <w:pPr>
              <w:keepNext/>
              <w:spacing w:after="0" w:line="240" w:lineRule="auto"/>
              <w:jc w:val="right"/>
              <w:rPr>
                <w:rFonts w:ascii="Calibri" w:hAnsi="Calibri"/>
                <w:sz w:val="20"/>
              </w:rPr>
            </w:pPr>
            <w:r>
              <w:rPr>
                <w:rFonts w:ascii="Calibri" w:hAnsi="Calibri"/>
                <w:sz w:val="20"/>
              </w:rPr>
              <w:t>70%</w:t>
            </w:r>
          </w:p>
        </w:tc>
        <w:tc>
          <w:tcPr>
            <w:tcW w:w="1297" w:type="dxa"/>
            <w:tcBorders>
              <w:bottom w:val="single" w:sz="4" w:space="0" w:color="auto"/>
            </w:tcBorders>
            <w:vAlign w:val="center"/>
          </w:tcPr>
          <w:p w:rsidR="00AB109F" w:rsidRDefault="00AB109F" w:rsidP="006A796E">
            <w:pPr>
              <w:keepNext/>
              <w:spacing w:after="0" w:line="240" w:lineRule="auto"/>
              <w:jc w:val="right"/>
              <w:rPr>
                <w:rFonts w:ascii="Calibri" w:hAnsi="Calibri"/>
                <w:sz w:val="20"/>
              </w:rPr>
            </w:pPr>
            <w:r>
              <w:rPr>
                <w:rFonts w:ascii="Calibri" w:hAnsi="Calibri"/>
                <w:sz w:val="20"/>
              </w:rPr>
              <w:t>90%</w:t>
            </w:r>
          </w:p>
        </w:tc>
      </w:tr>
      <w:tr w:rsidR="00AB109F" w:rsidRPr="00D22869" w:rsidTr="006A796E">
        <w:trPr>
          <w:cantSplit/>
          <w:jc w:val="center"/>
        </w:trPr>
        <w:tc>
          <w:tcPr>
            <w:tcW w:w="1334" w:type="dxa"/>
            <w:tcBorders>
              <w:top w:val="single" w:sz="4" w:space="0" w:color="auto"/>
              <w:bottom w:val="dashSmallGap" w:sz="4" w:space="0" w:color="auto"/>
            </w:tcBorders>
            <w:vAlign w:val="center"/>
          </w:tcPr>
          <w:p w:rsidR="00AB109F" w:rsidRPr="00D22869" w:rsidRDefault="00AB109F" w:rsidP="006A796E">
            <w:pPr>
              <w:keepNext/>
              <w:spacing w:after="0" w:line="240" w:lineRule="auto"/>
              <w:rPr>
                <w:rFonts w:asciiTheme="minorHAnsi" w:hAnsiTheme="minorHAnsi"/>
                <w:sz w:val="20"/>
              </w:rPr>
            </w:pPr>
            <w:r>
              <w:rPr>
                <w:rFonts w:asciiTheme="minorHAnsi" w:hAnsiTheme="minorHAnsi"/>
                <w:sz w:val="20"/>
              </w:rPr>
              <w:t>HPHR Opioids</w:t>
            </w:r>
          </w:p>
        </w:tc>
        <w:tc>
          <w:tcPr>
            <w:tcW w:w="1297" w:type="dxa"/>
            <w:tcBorders>
              <w:top w:val="single" w:sz="4" w:space="0" w:color="auto"/>
              <w:bottom w:val="dashSmallGap" w:sz="4" w:space="0" w:color="auto"/>
            </w:tcBorders>
            <w:vAlign w:val="bottom"/>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24,756</w:t>
            </w:r>
          </w:p>
        </w:tc>
        <w:tc>
          <w:tcPr>
            <w:tcW w:w="1297" w:type="dxa"/>
            <w:tcBorders>
              <w:top w:val="single" w:sz="4" w:space="0" w:color="auto"/>
              <w:bottom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17,869</w:t>
            </w:r>
          </w:p>
        </w:tc>
        <w:tc>
          <w:tcPr>
            <w:tcW w:w="1297" w:type="dxa"/>
            <w:tcBorders>
              <w:top w:val="single" w:sz="4" w:space="0" w:color="auto"/>
              <w:bottom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15,115</w:t>
            </w:r>
          </w:p>
        </w:tc>
        <w:tc>
          <w:tcPr>
            <w:tcW w:w="1297" w:type="dxa"/>
            <w:tcBorders>
              <w:top w:val="single" w:sz="4" w:space="0" w:color="auto"/>
              <w:bottom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12,360</w:t>
            </w:r>
          </w:p>
        </w:tc>
      </w:tr>
      <w:tr w:rsidR="00AB109F" w:rsidRPr="00D22869" w:rsidTr="006A796E">
        <w:trPr>
          <w:cantSplit/>
          <w:jc w:val="center"/>
        </w:trPr>
        <w:tc>
          <w:tcPr>
            <w:tcW w:w="1334" w:type="dxa"/>
            <w:tcBorders>
              <w:top w:val="dashSmallGap" w:sz="4" w:space="0" w:color="auto"/>
            </w:tcBorders>
            <w:vAlign w:val="center"/>
          </w:tcPr>
          <w:p w:rsidR="00AB109F" w:rsidRPr="00D22869" w:rsidRDefault="00365D96" w:rsidP="006A796E">
            <w:pPr>
              <w:keepNext/>
              <w:spacing w:after="0" w:line="240" w:lineRule="auto"/>
              <w:ind w:left="208"/>
              <w:rPr>
                <w:rFonts w:asciiTheme="minorHAnsi" w:hAnsiTheme="minorHAnsi"/>
                <w:sz w:val="20"/>
              </w:rPr>
            </w:pPr>
            <w:r>
              <w:rPr>
                <w:rFonts w:asciiTheme="minorHAnsi" w:hAnsiTheme="minorHAnsi"/>
                <w:sz w:val="20"/>
              </w:rPr>
              <w:t>Avinza</w:t>
            </w:r>
          </w:p>
        </w:tc>
        <w:tc>
          <w:tcPr>
            <w:tcW w:w="1297" w:type="dxa"/>
            <w:tcBorders>
              <w:top w:val="dashSmallGap" w:sz="4" w:space="0" w:color="auto"/>
            </w:tcBorders>
            <w:vAlign w:val="bottom"/>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0</w:t>
            </w:r>
          </w:p>
        </w:tc>
        <w:tc>
          <w:tcPr>
            <w:tcW w:w="1297" w:type="dxa"/>
            <w:tcBorders>
              <w:top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0</w:t>
            </w:r>
          </w:p>
        </w:tc>
        <w:tc>
          <w:tcPr>
            <w:tcW w:w="1297" w:type="dxa"/>
            <w:tcBorders>
              <w:top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0</w:t>
            </w:r>
          </w:p>
        </w:tc>
        <w:tc>
          <w:tcPr>
            <w:tcW w:w="1297" w:type="dxa"/>
            <w:tcBorders>
              <w:top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0</w:t>
            </w:r>
          </w:p>
        </w:tc>
      </w:tr>
      <w:tr w:rsidR="00AB109F" w:rsidRPr="00D22869" w:rsidTr="006A796E">
        <w:trPr>
          <w:cantSplit/>
          <w:jc w:val="center"/>
        </w:trPr>
        <w:tc>
          <w:tcPr>
            <w:tcW w:w="1334" w:type="dxa"/>
            <w:vAlign w:val="center"/>
          </w:tcPr>
          <w:p w:rsidR="00AB109F" w:rsidRPr="00D22869" w:rsidRDefault="00AB109F" w:rsidP="006A796E">
            <w:pPr>
              <w:keepNext/>
              <w:spacing w:after="0" w:line="240" w:lineRule="auto"/>
              <w:ind w:left="208"/>
              <w:rPr>
                <w:rFonts w:asciiTheme="minorHAnsi" w:hAnsiTheme="minorHAnsi"/>
                <w:sz w:val="20"/>
              </w:rPr>
            </w:pPr>
            <w:r>
              <w:rPr>
                <w:rFonts w:asciiTheme="minorHAnsi" w:hAnsiTheme="minorHAnsi"/>
                <w:sz w:val="20"/>
              </w:rPr>
              <w:t>Kadian</w:t>
            </w:r>
          </w:p>
        </w:tc>
        <w:tc>
          <w:tcPr>
            <w:tcW w:w="1297" w:type="dxa"/>
            <w:vAlign w:val="bottom"/>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1,361</w:t>
            </w:r>
          </w:p>
        </w:tc>
        <w:tc>
          <w:tcPr>
            <w:tcW w:w="1297" w:type="dxa"/>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719</w:t>
            </w:r>
          </w:p>
        </w:tc>
        <w:tc>
          <w:tcPr>
            <w:tcW w:w="1297" w:type="dxa"/>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463</w:t>
            </w:r>
          </w:p>
        </w:tc>
        <w:tc>
          <w:tcPr>
            <w:tcW w:w="1297" w:type="dxa"/>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206</w:t>
            </w:r>
          </w:p>
        </w:tc>
      </w:tr>
      <w:tr w:rsidR="00AB109F" w:rsidRPr="00D22869" w:rsidTr="006A796E">
        <w:trPr>
          <w:cantSplit/>
          <w:jc w:val="center"/>
        </w:trPr>
        <w:tc>
          <w:tcPr>
            <w:tcW w:w="1334" w:type="dxa"/>
            <w:vAlign w:val="center"/>
          </w:tcPr>
          <w:p w:rsidR="00AB109F" w:rsidRDefault="00AB109F" w:rsidP="006A796E">
            <w:pPr>
              <w:keepNext/>
              <w:spacing w:after="0" w:line="240" w:lineRule="auto"/>
              <w:ind w:left="208"/>
              <w:rPr>
                <w:rFonts w:asciiTheme="minorHAnsi" w:hAnsiTheme="minorHAnsi"/>
                <w:sz w:val="20"/>
              </w:rPr>
            </w:pPr>
            <w:r>
              <w:rPr>
                <w:rFonts w:asciiTheme="minorHAnsi" w:hAnsiTheme="minorHAnsi"/>
                <w:sz w:val="20"/>
              </w:rPr>
              <w:t>MS Contin</w:t>
            </w:r>
          </w:p>
        </w:tc>
        <w:tc>
          <w:tcPr>
            <w:tcW w:w="1297" w:type="dxa"/>
            <w:vAlign w:val="bottom"/>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4,692</w:t>
            </w:r>
          </w:p>
        </w:tc>
        <w:tc>
          <w:tcPr>
            <w:tcW w:w="1297" w:type="dxa"/>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2,558</w:t>
            </w:r>
          </w:p>
        </w:tc>
        <w:tc>
          <w:tcPr>
            <w:tcW w:w="1297" w:type="dxa"/>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1,705</w:t>
            </w:r>
          </w:p>
        </w:tc>
        <w:tc>
          <w:tcPr>
            <w:tcW w:w="1297" w:type="dxa"/>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852</w:t>
            </w:r>
          </w:p>
        </w:tc>
      </w:tr>
      <w:tr w:rsidR="00AB109F" w:rsidRPr="00D22869" w:rsidTr="006A796E">
        <w:trPr>
          <w:cantSplit/>
          <w:jc w:val="center"/>
        </w:trPr>
        <w:tc>
          <w:tcPr>
            <w:tcW w:w="1334" w:type="dxa"/>
            <w:tcBorders>
              <w:bottom w:val="single" w:sz="4" w:space="0" w:color="auto"/>
            </w:tcBorders>
            <w:vAlign w:val="center"/>
          </w:tcPr>
          <w:p w:rsidR="00AB109F" w:rsidRDefault="00AB109F" w:rsidP="006A796E">
            <w:pPr>
              <w:keepNext/>
              <w:spacing w:after="0" w:line="240" w:lineRule="auto"/>
              <w:ind w:left="208"/>
              <w:rPr>
                <w:rFonts w:asciiTheme="minorHAnsi" w:hAnsiTheme="minorHAnsi"/>
                <w:sz w:val="20"/>
              </w:rPr>
            </w:pPr>
            <w:r>
              <w:rPr>
                <w:rFonts w:asciiTheme="minorHAnsi" w:hAnsiTheme="minorHAnsi"/>
                <w:sz w:val="20"/>
              </w:rPr>
              <w:t>Zohydro</w:t>
            </w:r>
          </w:p>
        </w:tc>
        <w:tc>
          <w:tcPr>
            <w:tcW w:w="1297" w:type="dxa"/>
            <w:tcBorders>
              <w:bottom w:val="single" w:sz="4" w:space="0" w:color="auto"/>
            </w:tcBorders>
            <w:vAlign w:val="bottom"/>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18,703</w:t>
            </w:r>
          </w:p>
        </w:tc>
        <w:tc>
          <w:tcPr>
            <w:tcW w:w="1297" w:type="dxa"/>
            <w:tcBorders>
              <w:bottom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14,592</w:t>
            </w:r>
          </w:p>
        </w:tc>
        <w:tc>
          <w:tcPr>
            <w:tcW w:w="1297" w:type="dxa"/>
            <w:tcBorders>
              <w:bottom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12,947</w:t>
            </w:r>
          </w:p>
        </w:tc>
        <w:tc>
          <w:tcPr>
            <w:tcW w:w="1297" w:type="dxa"/>
            <w:tcBorders>
              <w:bottom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11,303</w:t>
            </w:r>
          </w:p>
        </w:tc>
      </w:tr>
      <w:tr w:rsidR="00AB109F" w:rsidRPr="00D22869" w:rsidTr="006A796E">
        <w:trPr>
          <w:cantSplit/>
          <w:jc w:val="center"/>
        </w:trPr>
        <w:tc>
          <w:tcPr>
            <w:tcW w:w="1334" w:type="dxa"/>
            <w:tcBorders>
              <w:top w:val="single" w:sz="4" w:space="0" w:color="auto"/>
              <w:bottom w:val="dashSmallGap" w:sz="4" w:space="0" w:color="auto"/>
            </w:tcBorders>
            <w:vAlign w:val="center"/>
          </w:tcPr>
          <w:p w:rsidR="00AB109F" w:rsidRDefault="00AB109F" w:rsidP="006A796E">
            <w:pPr>
              <w:keepNext/>
              <w:spacing w:after="0" w:line="240" w:lineRule="auto"/>
              <w:rPr>
                <w:rFonts w:asciiTheme="minorHAnsi" w:hAnsiTheme="minorHAnsi"/>
                <w:sz w:val="20"/>
              </w:rPr>
            </w:pPr>
            <w:r>
              <w:rPr>
                <w:rFonts w:asciiTheme="minorHAnsi" w:hAnsiTheme="minorHAnsi"/>
                <w:sz w:val="20"/>
              </w:rPr>
              <w:t>ADOs</w:t>
            </w:r>
          </w:p>
        </w:tc>
        <w:tc>
          <w:tcPr>
            <w:tcW w:w="1297" w:type="dxa"/>
            <w:tcBorders>
              <w:top w:val="single" w:sz="4" w:space="0" w:color="auto"/>
              <w:bottom w:val="dashSmallGap" w:sz="4" w:space="0" w:color="auto"/>
            </w:tcBorders>
            <w:vAlign w:val="bottom"/>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9,294</w:t>
            </w:r>
          </w:p>
        </w:tc>
        <w:tc>
          <w:tcPr>
            <w:tcW w:w="1297" w:type="dxa"/>
            <w:tcBorders>
              <w:top w:val="single" w:sz="4" w:space="0" w:color="auto"/>
              <w:bottom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292,884</w:t>
            </w:r>
          </w:p>
        </w:tc>
        <w:tc>
          <w:tcPr>
            <w:tcW w:w="1297" w:type="dxa"/>
            <w:tcBorders>
              <w:top w:val="single" w:sz="4" w:space="0" w:color="auto"/>
              <w:bottom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406,320</w:t>
            </w:r>
          </w:p>
        </w:tc>
        <w:tc>
          <w:tcPr>
            <w:tcW w:w="1297" w:type="dxa"/>
            <w:tcBorders>
              <w:top w:val="single" w:sz="4" w:space="0" w:color="auto"/>
              <w:bottom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519,756</w:t>
            </w:r>
          </w:p>
        </w:tc>
      </w:tr>
      <w:tr w:rsidR="00AB109F" w:rsidRPr="00D22869" w:rsidTr="006A796E">
        <w:trPr>
          <w:cantSplit/>
          <w:jc w:val="center"/>
        </w:trPr>
        <w:tc>
          <w:tcPr>
            <w:tcW w:w="1334" w:type="dxa"/>
            <w:tcBorders>
              <w:top w:val="dashSmallGap" w:sz="4" w:space="0" w:color="auto"/>
            </w:tcBorders>
            <w:vAlign w:val="center"/>
          </w:tcPr>
          <w:p w:rsidR="00AB109F" w:rsidRDefault="00AB109F" w:rsidP="006A796E">
            <w:pPr>
              <w:keepNext/>
              <w:spacing w:after="0" w:line="240" w:lineRule="auto"/>
              <w:ind w:left="208"/>
              <w:rPr>
                <w:rFonts w:asciiTheme="minorHAnsi" w:hAnsiTheme="minorHAnsi"/>
                <w:sz w:val="20"/>
              </w:rPr>
            </w:pPr>
            <w:r>
              <w:rPr>
                <w:rFonts w:asciiTheme="minorHAnsi" w:hAnsiTheme="minorHAnsi"/>
                <w:sz w:val="20"/>
              </w:rPr>
              <w:t>Embeda</w:t>
            </w:r>
          </w:p>
        </w:tc>
        <w:tc>
          <w:tcPr>
            <w:tcW w:w="1297" w:type="dxa"/>
            <w:tcBorders>
              <w:top w:val="dashSmallGap" w:sz="4" w:space="0" w:color="auto"/>
            </w:tcBorders>
            <w:vAlign w:val="bottom"/>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5,904</w:t>
            </w:r>
          </w:p>
        </w:tc>
        <w:tc>
          <w:tcPr>
            <w:tcW w:w="1297" w:type="dxa"/>
            <w:tcBorders>
              <w:top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285,367</w:t>
            </w:r>
          </w:p>
        </w:tc>
        <w:tc>
          <w:tcPr>
            <w:tcW w:w="1297" w:type="dxa"/>
            <w:tcBorders>
              <w:top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397,153</w:t>
            </w:r>
          </w:p>
        </w:tc>
        <w:tc>
          <w:tcPr>
            <w:tcW w:w="1297" w:type="dxa"/>
            <w:tcBorders>
              <w:top w:val="dashSmallGap"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508,938</w:t>
            </w:r>
          </w:p>
        </w:tc>
      </w:tr>
      <w:tr w:rsidR="00AB109F" w:rsidRPr="00D22869" w:rsidTr="006A796E">
        <w:trPr>
          <w:cantSplit/>
          <w:jc w:val="center"/>
        </w:trPr>
        <w:tc>
          <w:tcPr>
            <w:tcW w:w="1334" w:type="dxa"/>
            <w:tcBorders>
              <w:bottom w:val="single" w:sz="4" w:space="0" w:color="auto"/>
            </w:tcBorders>
            <w:vAlign w:val="center"/>
          </w:tcPr>
          <w:p w:rsidR="00AB109F" w:rsidRDefault="00AB109F" w:rsidP="006A796E">
            <w:pPr>
              <w:keepNext/>
              <w:spacing w:after="0" w:line="240" w:lineRule="auto"/>
              <w:ind w:left="208"/>
              <w:rPr>
                <w:rFonts w:asciiTheme="minorHAnsi" w:hAnsiTheme="minorHAnsi"/>
                <w:sz w:val="20"/>
              </w:rPr>
            </w:pPr>
            <w:r>
              <w:rPr>
                <w:rFonts w:asciiTheme="minorHAnsi" w:hAnsiTheme="minorHAnsi"/>
                <w:sz w:val="20"/>
              </w:rPr>
              <w:t>Hysingla</w:t>
            </w:r>
          </w:p>
        </w:tc>
        <w:tc>
          <w:tcPr>
            <w:tcW w:w="1297" w:type="dxa"/>
            <w:tcBorders>
              <w:bottom w:val="single" w:sz="4" w:space="0" w:color="auto"/>
            </w:tcBorders>
            <w:vAlign w:val="bottom"/>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3,390</w:t>
            </w:r>
          </w:p>
        </w:tc>
        <w:tc>
          <w:tcPr>
            <w:tcW w:w="1297" w:type="dxa"/>
            <w:tcBorders>
              <w:bottom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7,516</w:t>
            </w:r>
          </w:p>
        </w:tc>
        <w:tc>
          <w:tcPr>
            <w:tcW w:w="1297" w:type="dxa"/>
            <w:tcBorders>
              <w:bottom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9,167</w:t>
            </w:r>
          </w:p>
        </w:tc>
        <w:tc>
          <w:tcPr>
            <w:tcW w:w="1297" w:type="dxa"/>
            <w:tcBorders>
              <w:bottom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10,818</w:t>
            </w:r>
          </w:p>
        </w:tc>
      </w:tr>
      <w:tr w:rsidR="00AB109F" w:rsidRPr="00D22869" w:rsidTr="006A796E">
        <w:trPr>
          <w:cantSplit/>
          <w:jc w:val="center"/>
        </w:trPr>
        <w:tc>
          <w:tcPr>
            <w:tcW w:w="1334" w:type="dxa"/>
            <w:tcBorders>
              <w:top w:val="single" w:sz="4" w:space="0" w:color="auto"/>
            </w:tcBorders>
            <w:vAlign w:val="center"/>
          </w:tcPr>
          <w:p w:rsidR="00AB109F" w:rsidRDefault="00AB109F" w:rsidP="006A796E">
            <w:pPr>
              <w:keepNext/>
              <w:spacing w:after="0" w:line="240" w:lineRule="auto"/>
              <w:ind w:left="28"/>
              <w:rPr>
                <w:rFonts w:asciiTheme="minorHAnsi" w:hAnsiTheme="minorHAnsi"/>
                <w:sz w:val="20"/>
              </w:rPr>
            </w:pPr>
            <w:r>
              <w:rPr>
                <w:rFonts w:asciiTheme="minorHAnsi" w:hAnsiTheme="minorHAnsi"/>
                <w:sz w:val="20"/>
              </w:rPr>
              <w:t>Total</w:t>
            </w:r>
          </w:p>
        </w:tc>
        <w:tc>
          <w:tcPr>
            <w:tcW w:w="1297" w:type="dxa"/>
            <w:tcBorders>
              <w:top w:val="single" w:sz="4" w:space="0" w:color="auto"/>
            </w:tcBorders>
            <w:vAlign w:val="bottom"/>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34,050</w:t>
            </w:r>
          </w:p>
        </w:tc>
        <w:tc>
          <w:tcPr>
            <w:tcW w:w="1297" w:type="dxa"/>
            <w:tcBorders>
              <w:top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310,753</w:t>
            </w:r>
          </w:p>
        </w:tc>
        <w:tc>
          <w:tcPr>
            <w:tcW w:w="1297" w:type="dxa"/>
            <w:tcBorders>
              <w:top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421,435</w:t>
            </w:r>
          </w:p>
        </w:tc>
        <w:tc>
          <w:tcPr>
            <w:tcW w:w="1297" w:type="dxa"/>
            <w:tcBorders>
              <w:top w:val="single" w:sz="4" w:space="0" w:color="auto"/>
            </w:tcBorders>
            <w:vAlign w:val="center"/>
          </w:tcPr>
          <w:p w:rsidR="00AB109F" w:rsidRPr="00D22869" w:rsidRDefault="00AB109F" w:rsidP="006A796E">
            <w:pPr>
              <w:keepNext/>
              <w:spacing w:after="0" w:line="240" w:lineRule="auto"/>
              <w:jc w:val="right"/>
              <w:rPr>
                <w:rFonts w:asciiTheme="minorHAnsi" w:hAnsiTheme="minorHAnsi"/>
                <w:sz w:val="20"/>
              </w:rPr>
            </w:pPr>
            <w:r>
              <w:rPr>
                <w:rFonts w:asciiTheme="minorHAnsi" w:hAnsiTheme="minorHAnsi"/>
                <w:sz w:val="20"/>
              </w:rPr>
              <w:t>532,116</w:t>
            </w:r>
          </w:p>
        </w:tc>
      </w:tr>
    </w:tbl>
    <w:p w:rsidR="00AB109F" w:rsidRDefault="00AB109F" w:rsidP="00EF62F6">
      <w:pPr>
        <w:pStyle w:val="NoSpacing"/>
      </w:pPr>
    </w:p>
    <w:p w:rsidR="00AB109F" w:rsidRPr="00EF62F6" w:rsidRDefault="00AB109F" w:rsidP="00EF62F6">
      <w:pPr>
        <w:pStyle w:val="TableTitle"/>
        <w:rPr>
          <w:szCs w:val="20"/>
        </w:rPr>
      </w:pPr>
      <w:r w:rsidRPr="00701459">
        <w:lastRenderedPageBreak/>
        <w:t xml:space="preserve">Table </w:t>
      </w:r>
      <w:r>
        <w:t>10</w:t>
      </w:r>
      <w:r w:rsidRPr="00701459">
        <w:t>:</w:t>
      </w:r>
      <w:r w:rsidRPr="00701459">
        <w:br/>
      </w:r>
      <w:r>
        <w:t xml:space="preserve">Formulary Drug Utilization </w:t>
      </w:r>
      <w:r w:rsidR="00385831">
        <w:t>by</w:t>
      </w:r>
      <w:r>
        <w:t xml:space="preserve"> Quantity Dispensed</w:t>
      </w:r>
      <w:r w:rsidR="00EF62F6">
        <w:br/>
      </w:r>
      <w:r>
        <w:t>for Generic Drugs</w:t>
      </w:r>
    </w:p>
    <w:tbl>
      <w:tblPr>
        <w:tblW w:w="6522" w:type="dxa"/>
        <w:jc w:val="center"/>
        <w:tblCellMar>
          <w:top w:w="14" w:type="dxa"/>
          <w:left w:w="58" w:type="dxa"/>
          <w:bottom w:w="14" w:type="dxa"/>
          <w:right w:w="58" w:type="dxa"/>
        </w:tblCellMar>
        <w:tblLook w:val="04A0"/>
      </w:tblPr>
      <w:tblGrid>
        <w:gridCol w:w="1334"/>
        <w:gridCol w:w="1297"/>
        <w:gridCol w:w="1297"/>
        <w:gridCol w:w="1297"/>
        <w:gridCol w:w="1297"/>
      </w:tblGrid>
      <w:tr w:rsidR="00AB109F" w:rsidRPr="00BF5954" w:rsidTr="00F5376A">
        <w:trPr>
          <w:cantSplit/>
          <w:jc w:val="center"/>
        </w:trPr>
        <w:tc>
          <w:tcPr>
            <w:tcW w:w="1334" w:type="dxa"/>
            <w:tcBorders>
              <w:bottom w:val="single" w:sz="4" w:space="0" w:color="auto"/>
            </w:tcBorders>
            <w:vAlign w:val="center"/>
          </w:tcPr>
          <w:p w:rsidR="00AB109F" w:rsidRPr="005731AB" w:rsidRDefault="00AB109F" w:rsidP="00F5376A">
            <w:pPr>
              <w:keepNext/>
              <w:spacing w:after="0" w:line="240" w:lineRule="auto"/>
              <w:jc w:val="center"/>
              <w:rPr>
                <w:rFonts w:ascii="Calibri" w:hAnsi="Calibri"/>
                <w:sz w:val="20"/>
              </w:rPr>
            </w:pPr>
          </w:p>
        </w:tc>
        <w:tc>
          <w:tcPr>
            <w:tcW w:w="1297" w:type="dxa"/>
            <w:tcBorders>
              <w:bottom w:val="single" w:sz="4" w:space="0" w:color="auto"/>
            </w:tcBorders>
            <w:vAlign w:val="center"/>
          </w:tcPr>
          <w:p w:rsidR="00AB109F" w:rsidRDefault="00AB109F" w:rsidP="00F5376A">
            <w:pPr>
              <w:keepNext/>
              <w:spacing w:after="0" w:line="240" w:lineRule="auto"/>
              <w:jc w:val="center"/>
              <w:rPr>
                <w:rFonts w:ascii="Calibri" w:hAnsi="Calibri"/>
                <w:sz w:val="20"/>
              </w:rPr>
            </w:pPr>
          </w:p>
        </w:tc>
        <w:tc>
          <w:tcPr>
            <w:tcW w:w="3891" w:type="dxa"/>
            <w:gridSpan w:val="3"/>
            <w:tcBorders>
              <w:bottom w:val="single" w:sz="4" w:space="0" w:color="auto"/>
            </w:tcBorders>
            <w:vAlign w:val="center"/>
          </w:tcPr>
          <w:p w:rsidR="00AB109F" w:rsidRDefault="00AB109F" w:rsidP="00F5376A">
            <w:pPr>
              <w:keepNext/>
              <w:spacing w:after="0" w:line="240" w:lineRule="auto"/>
              <w:jc w:val="center"/>
              <w:rPr>
                <w:rFonts w:ascii="Calibri" w:hAnsi="Calibri"/>
                <w:sz w:val="20"/>
              </w:rPr>
            </w:pPr>
            <w:r>
              <w:rPr>
                <w:rFonts w:ascii="Calibri" w:hAnsi="Calibri"/>
                <w:sz w:val="20"/>
              </w:rPr>
              <w:t>Conversion Rate</w:t>
            </w:r>
          </w:p>
        </w:tc>
      </w:tr>
      <w:tr w:rsidR="00AB109F" w:rsidRPr="00BF5954" w:rsidTr="00F5376A">
        <w:trPr>
          <w:cantSplit/>
          <w:jc w:val="center"/>
        </w:trPr>
        <w:tc>
          <w:tcPr>
            <w:tcW w:w="1334" w:type="dxa"/>
            <w:tcBorders>
              <w:bottom w:val="single" w:sz="4" w:space="0" w:color="auto"/>
            </w:tcBorders>
            <w:vAlign w:val="center"/>
          </w:tcPr>
          <w:p w:rsidR="00AB109F" w:rsidRPr="005731AB" w:rsidRDefault="00AB109F" w:rsidP="00F5376A">
            <w:pPr>
              <w:keepNext/>
              <w:spacing w:after="0" w:line="240" w:lineRule="auto"/>
              <w:rPr>
                <w:rFonts w:ascii="Calibri" w:hAnsi="Calibri"/>
                <w:sz w:val="20"/>
              </w:rPr>
            </w:pPr>
          </w:p>
        </w:tc>
        <w:tc>
          <w:tcPr>
            <w:tcW w:w="1297" w:type="dxa"/>
            <w:tcBorders>
              <w:bottom w:val="single" w:sz="4" w:space="0" w:color="auto"/>
            </w:tcBorders>
            <w:vAlign w:val="center"/>
          </w:tcPr>
          <w:p w:rsidR="00AB109F" w:rsidRDefault="00AB109F" w:rsidP="000437CC">
            <w:pPr>
              <w:keepNext/>
              <w:spacing w:after="0" w:line="240" w:lineRule="auto"/>
              <w:jc w:val="right"/>
              <w:rPr>
                <w:rFonts w:ascii="Calibri" w:hAnsi="Calibri"/>
                <w:sz w:val="20"/>
              </w:rPr>
            </w:pPr>
            <w:r>
              <w:rPr>
                <w:rFonts w:ascii="Calibri" w:hAnsi="Calibri"/>
                <w:sz w:val="20"/>
              </w:rPr>
              <w:t xml:space="preserve">No </w:t>
            </w:r>
            <w:r w:rsidR="000437CC">
              <w:rPr>
                <w:rFonts w:ascii="Calibri" w:hAnsi="Calibri"/>
                <w:sz w:val="20"/>
              </w:rPr>
              <w:t>Formulary</w:t>
            </w:r>
          </w:p>
        </w:tc>
        <w:tc>
          <w:tcPr>
            <w:tcW w:w="1297" w:type="dxa"/>
            <w:tcBorders>
              <w:bottom w:val="single" w:sz="4" w:space="0" w:color="auto"/>
            </w:tcBorders>
            <w:vAlign w:val="center"/>
          </w:tcPr>
          <w:p w:rsidR="00AB109F" w:rsidRDefault="00AB109F" w:rsidP="00F5376A">
            <w:pPr>
              <w:keepNext/>
              <w:spacing w:after="0" w:line="240" w:lineRule="auto"/>
              <w:jc w:val="right"/>
              <w:rPr>
                <w:rFonts w:ascii="Calibri" w:hAnsi="Calibri"/>
                <w:sz w:val="20"/>
              </w:rPr>
            </w:pPr>
            <w:r>
              <w:rPr>
                <w:rFonts w:ascii="Calibri" w:hAnsi="Calibri"/>
                <w:sz w:val="20"/>
              </w:rPr>
              <w:t>50%</w:t>
            </w:r>
          </w:p>
        </w:tc>
        <w:tc>
          <w:tcPr>
            <w:tcW w:w="1297" w:type="dxa"/>
            <w:tcBorders>
              <w:bottom w:val="single" w:sz="4" w:space="0" w:color="auto"/>
            </w:tcBorders>
            <w:vAlign w:val="center"/>
          </w:tcPr>
          <w:p w:rsidR="00AB109F" w:rsidRDefault="00AB109F" w:rsidP="00F5376A">
            <w:pPr>
              <w:keepNext/>
              <w:spacing w:after="0" w:line="240" w:lineRule="auto"/>
              <w:jc w:val="right"/>
              <w:rPr>
                <w:rFonts w:ascii="Calibri" w:hAnsi="Calibri"/>
                <w:sz w:val="20"/>
              </w:rPr>
            </w:pPr>
            <w:r>
              <w:rPr>
                <w:rFonts w:ascii="Calibri" w:hAnsi="Calibri"/>
                <w:sz w:val="20"/>
              </w:rPr>
              <w:t>70%</w:t>
            </w:r>
          </w:p>
        </w:tc>
        <w:tc>
          <w:tcPr>
            <w:tcW w:w="1297" w:type="dxa"/>
            <w:tcBorders>
              <w:bottom w:val="single" w:sz="4" w:space="0" w:color="auto"/>
            </w:tcBorders>
            <w:vAlign w:val="center"/>
          </w:tcPr>
          <w:p w:rsidR="00AB109F" w:rsidRDefault="00AB109F" w:rsidP="00F5376A">
            <w:pPr>
              <w:keepNext/>
              <w:spacing w:after="0" w:line="240" w:lineRule="auto"/>
              <w:jc w:val="right"/>
              <w:rPr>
                <w:rFonts w:ascii="Calibri" w:hAnsi="Calibri"/>
                <w:sz w:val="20"/>
              </w:rPr>
            </w:pPr>
            <w:r>
              <w:rPr>
                <w:rFonts w:ascii="Calibri" w:hAnsi="Calibri"/>
                <w:sz w:val="20"/>
              </w:rPr>
              <w:t>90%</w:t>
            </w:r>
          </w:p>
        </w:tc>
      </w:tr>
      <w:tr w:rsidR="00AB109F" w:rsidRPr="00D22869" w:rsidTr="00F5376A">
        <w:trPr>
          <w:cantSplit/>
          <w:jc w:val="center"/>
        </w:trPr>
        <w:tc>
          <w:tcPr>
            <w:tcW w:w="1334" w:type="dxa"/>
            <w:tcBorders>
              <w:top w:val="single" w:sz="4" w:space="0" w:color="auto"/>
              <w:bottom w:val="dashSmallGap" w:sz="4" w:space="0" w:color="auto"/>
            </w:tcBorders>
            <w:vAlign w:val="center"/>
          </w:tcPr>
          <w:p w:rsidR="00AB109F" w:rsidRPr="00D22869" w:rsidRDefault="00AB109F" w:rsidP="00F5376A">
            <w:pPr>
              <w:keepNext/>
              <w:spacing w:after="0" w:line="240" w:lineRule="auto"/>
              <w:rPr>
                <w:rFonts w:asciiTheme="minorHAnsi" w:hAnsiTheme="minorHAnsi"/>
                <w:sz w:val="20"/>
              </w:rPr>
            </w:pPr>
            <w:r>
              <w:rPr>
                <w:rFonts w:asciiTheme="minorHAnsi" w:hAnsiTheme="minorHAnsi"/>
                <w:sz w:val="20"/>
              </w:rPr>
              <w:t>HPHR Opioids</w:t>
            </w:r>
          </w:p>
        </w:tc>
        <w:tc>
          <w:tcPr>
            <w:tcW w:w="1297" w:type="dxa"/>
            <w:tcBorders>
              <w:top w:val="single" w:sz="4" w:space="0" w:color="auto"/>
              <w:bottom w:val="dashSmallGap" w:sz="4" w:space="0" w:color="auto"/>
            </w:tcBorders>
            <w:vAlign w:val="bottom"/>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809,834</w:t>
            </w:r>
          </w:p>
        </w:tc>
        <w:tc>
          <w:tcPr>
            <w:tcW w:w="1297" w:type="dxa"/>
            <w:tcBorders>
              <w:top w:val="single" w:sz="4" w:space="0" w:color="auto"/>
              <w:bottom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541,504</w:t>
            </w:r>
          </w:p>
        </w:tc>
        <w:tc>
          <w:tcPr>
            <w:tcW w:w="1297" w:type="dxa"/>
            <w:tcBorders>
              <w:top w:val="single" w:sz="4" w:space="0" w:color="auto"/>
              <w:bottom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434,169</w:t>
            </w:r>
          </w:p>
        </w:tc>
        <w:tc>
          <w:tcPr>
            <w:tcW w:w="1297" w:type="dxa"/>
            <w:tcBorders>
              <w:top w:val="single" w:sz="4" w:space="0" w:color="auto"/>
              <w:bottom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326,834</w:t>
            </w:r>
          </w:p>
        </w:tc>
      </w:tr>
      <w:tr w:rsidR="00AB109F" w:rsidRPr="00D22869" w:rsidTr="00F5376A">
        <w:trPr>
          <w:cantSplit/>
          <w:jc w:val="center"/>
        </w:trPr>
        <w:tc>
          <w:tcPr>
            <w:tcW w:w="1334" w:type="dxa"/>
            <w:tcBorders>
              <w:top w:val="dashSmallGap" w:sz="4" w:space="0" w:color="auto"/>
            </w:tcBorders>
            <w:vAlign w:val="center"/>
          </w:tcPr>
          <w:p w:rsidR="00AB109F" w:rsidRPr="00D22869" w:rsidRDefault="00365D96" w:rsidP="00F5376A">
            <w:pPr>
              <w:keepNext/>
              <w:spacing w:after="0" w:line="240" w:lineRule="auto"/>
              <w:ind w:left="208"/>
              <w:rPr>
                <w:rFonts w:asciiTheme="minorHAnsi" w:hAnsiTheme="minorHAnsi"/>
                <w:sz w:val="20"/>
              </w:rPr>
            </w:pPr>
            <w:r>
              <w:rPr>
                <w:rFonts w:asciiTheme="minorHAnsi" w:hAnsiTheme="minorHAnsi"/>
                <w:sz w:val="20"/>
              </w:rPr>
              <w:t>Avinza</w:t>
            </w:r>
          </w:p>
        </w:tc>
        <w:tc>
          <w:tcPr>
            <w:tcW w:w="1297" w:type="dxa"/>
            <w:tcBorders>
              <w:top w:val="dashSmallGap" w:sz="4" w:space="0" w:color="auto"/>
            </w:tcBorders>
            <w:vAlign w:val="bottom"/>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2,385</w:t>
            </w:r>
          </w:p>
        </w:tc>
        <w:tc>
          <w:tcPr>
            <w:tcW w:w="1297" w:type="dxa"/>
            <w:tcBorders>
              <w:top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1,399</w:t>
            </w:r>
          </w:p>
        </w:tc>
        <w:tc>
          <w:tcPr>
            <w:tcW w:w="1297" w:type="dxa"/>
            <w:tcBorders>
              <w:top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1,001</w:t>
            </w:r>
          </w:p>
        </w:tc>
        <w:tc>
          <w:tcPr>
            <w:tcW w:w="1297" w:type="dxa"/>
            <w:tcBorders>
              <w:top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604</w:t>
            </w:r>
          </w:p>
        </w:tc>
      </w:tr>
      <w:tr w:rsidR="00AB109F" w:rsidRPr="00D22869" w:rsidTr="00F5376A">
        <w:trPr>
          <w:cantSplit/>
          <w:jc w:val="center"/>
        </w:trPr>
        <w:tc>
          <w:tcPr>
            <w:tcW w:w="1334" w:type="dxa"/>
            <w:vAlign w:val="center"/>
          </w:tcPr>
          <w:p w:rsidR="00AB109F" w:rsidRPr="00D22869" w:rsidRDefault="00AB109F" w:rsidP="00F5376A">
            <w:pPr>
              <w:keepNext/>
              <w:spacing w:after="0" w:line="240" w:lineRule="auto"/>
              <w:ind w:left="208"/>
              <w:rPr>
                <w:rFonts w:asciiTheme="minorHAnsi" w:hAnsiTheme="minorHAnsi"/>
                <w:sz w:val="20"/>
              </w:rPr>
            </w:pPr>
            <w:r>
              <w:rPr>
                <w:rFonts w:asciiTheme="minorHAnsi" w:hAnsiTheme="minorHAnsi"/>
                <w:sz w:val="20"/>
              </w:rPr>
              <w:t>Kadian</w:t>
            </w:r>
          </w:p>
        </w:tc>
        <w:tc>
          <w:tcPr>
            <w:tcW w:w="1297" w:type="dxa"/>
            <w:vAlign w:val="bottom"/>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41,021</w:t>
            </w:r>
          </w:p>
        </w:tc>
        <w:tc>
          <w:tcPr>
            <w:tcW w:w="1297" w:type="dxa"/>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21,752</w:t>
            </w:r>
          </w:p>
        </w:tc>
        <w:tc>
          <w:tcPr>
            <w:tcW w:w="1297" w:type="dxa"/>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14,045</w:t>
            </w:r>
          </w:p>
        </w:tc>
        <w:tc>
          <w:tcPr>
            <w:tcW w:w="1297" w:type="dxa"/>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6,338</w:t>
            </w:r>
          </w:p>
        </w:tc>
      </w:tr>
      <w:tr w:rsidR="00AB109F" w:rsidRPr="00D22869" w:rsidTr="00F5376A">
        <w:trPr>
          <w:cantSplit/>
          <w:jc w:val="center"/>
        </w:trPr>
        <w:tc>
          <w:tcPr>
            <w:tcW w:w="1334" w:type="dxa"/>
            <w:vAlign w:val="center"/>
          </w:tcPr>
          <w:p w:rsidR="00AB109F" w:rsidRDefault="00AB109F" w:rsidP="00F5376A">
            <w:pPr>
              <w:keepNext/>
              <w:spacing w:after="0" w:line="240" w:lineRule="auto"/>
              <w:ind w:left="208"/>
              <w:rPr>
                <w:rFonts w:asciiTheme="minorHAnsi" w:hAnsiTheme="minorHAnsi"/>
                <w:sz w:val="20"/>
              </w:rPr>
            </w:pPr>
            <w:r>
              <w:rPr>
                <w:rFonts w:asciiTheme="minorHAnsi" w:hAnsiTheme="minorHAnsi"/>
                <w:sz w:val="20"/>
              </w:rPr>
              <w:t>MS Contin</w:t>
            </w:r>
          </w:p>
        </w:tc>
        <w:tc>
          <w:tcPr>
            <w:tcW w:w="1297" w:type="dxa"/>
            <w:vAlign w:val="bottom"/>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766,429</w:t>
            </w:r>
          </w:p>
        </w:tc>
        <w:tc>
          <w:tcPr>
            <w:tcW w:w="1297" w:type="dxa"/>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518,353</w:t>
            </w:r>
          </w:p>
        </w:tc>
        <w:tc>
          <w:tcPr>
            <w:tcW w:w="1297" w:type="dxa"/>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419,122</w:t>
            </w:r>
          </w:p>
        </w:tc>
        <w:tc>
          <w:tcPr>
            <w:tcW w:w="1297" w:type="dxa"/>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319,892</w:t>
            </w:r>
          </w:p>
        </w:tc>
      </w:tr>
      <w:tr w:rsidR="00AB109F" w:rsidRPr="00D22869" w:rsidTr="00F5376A">
        <w:trPr>
          <w:cantSplit/>
          <w:jc w:val="center"/>
        </w:trPr>
        <w:tc>
          <w:tcPr>
            <w:tcW w:w="1334" w:type="dxa"/>
            <w:tcBorders>
              <w:bottom w:val="single" w:sz="4" w:space="0" w:color="auto"/>
            </w:tcBorders>
            <w:vAlign w:val="center"/>
          </w:tcPr>
          <w:p w:rsidR="00AB109F" w:rsidRDefault="00AB109F" w:rsidP="00F5376A">
            <w:pPr>
              <w:keepNext/>
              <w:spacing w:after="0" w:line="240" w:lineRule="auto"/>
              <w:ind w:left="208"/>
              <w:rPr>
                <w:rFonts w:asciiTheme="minorHAnsi" w:hAnsiTheme="minorHAnsi"/>
                <w:sz w:val="20"/>
              </w:rPr>
            </w:pPr>
            <w:r>
              <w:rPr>
                <w:rFonts w:asciiTheme="minorHAnsi" w:hAnsiTheme="minorHAnsi"/>
                <w:sz w:val="20"/>
              </w:rPr>
              <w:t>Zohydro</w:t>
            </w:r>
          </w:p>
        </w:tc>
        <w:tc>
          <w:tcPr>
            <w:tcW w:w="1297" w:type="dxa"/>
            <w:tcBorders>
              <w:bottom w:val="single" w:sz="4" w:space="0" w:color="auto"/>
            </w:tcBorders>
            <w:vAlign w:val="bottom"/>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bottom w:val="single"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bottom w:val="single"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bottom w:val="single"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r>
      <w:tr w:rsidR="00AB109F" w:rsidRPr="00D22869" w:rsidTr="00F5376A">
        <w:trPr>
          <w:cantSplit/>
          <w:jc w:val="center"/>
        </w:trPr>
        <w:tc>
          <w:tcPr>
            <w:tcW w:w="1334" w:type="dxa"/>
            <w:tcBorders>
              <w:top w:val="single" w:sz="4" w:space="0" w:color="auto"/>
              <w:bottom w:val="dashSmallGap" w:sz="4" w:space="0" w:color="auto"/>
            </w:tcBorders>
            <w:vAlign w:val="center"/>
          </w:tcPr>
          <w:p w:rsidR="00AB109F" w:rsidRDefault="00AB109F" w:rsidP="00F5376A">
            <w:pPr>
              <w:keepNext/>
              <w:spacing w:after="0" w:line="240" w:lineRule="auto"/>
              <w:rPr>
                <w:rFonts w:asciiTheme="minorHAnsi" w:hAnsiTheme="minorHAnsi"/>
                <w:sz w:val="20"/>
              </w:rPr>
            </w:pPr>
            <w:r>
              <w:rPr>
                <w:rFonts w:asciiTheme="minorHAnsi" w:hAnsiTheme="minorHAnsi"/>
                <w:sz w:val="20"/>
              </w:rPr>
              <w:t>ADOs</w:t>
            </w:r>
          </w:p>
        </w:tc>
        <w:tc>
          <w:tcPr>
            <w:tcW w:w="1297" w:type="dxa"/>
            <w:tcBorders>
              <w:top w:val="single" w:sz="4" w:space="0" w:color="auto"/>
              <w:bottom w:val="dashSmallGap" w:sz="4" w:space="0" w:color="auto"/>
            </w:tcBorders>
            <w:vAlign w:val="bottom"/>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top w:val="single" w:sz="4" w:space="0" w:color="auto"/>
              <w:bottom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top w:val="single" w:sz="4" w:space="0" w:color="auto"/>
              <w:bottom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top w:val="single" w:sz="4" w:space="0" w:color="auto"/>
              <w:bottom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r>
      <w:tr w:rsidR="00AB109F" w:rsidRPr="00D22869" w:rsidTr="00F5376A">
        <w:trPr>
          <w:cantSplit/>
          <w:jc w:val="center"/>
        </w:trPr>
        <w:tc>
          <w:tcPr>
            <w:tcW w:w="1334" w:type="dxa"/>
            <w:tcBorders>
              <w:top w:val="dashSmallGap" w:sz="4" w:space="0" w:color="auto"/>
            </w:tcBorders>
            <w:vAlign w:val="center"/>
          </w:tcPr>
          <w:p w:rsidR="00AB109F" w:rsidRDefault="00AB109F" w:rsidP="00F5376A">
            <w:pPr>
              <w:keepNext/>
              <w:spacing w:after="0" w:line="240" w:lineRule="auto"/>
              <w:ind w:left="208"/>
              <w:rPr>
                <w:rFonts w:asciiTheme="minorHAnsi" w:hAnsiTheme="minorHAnsi"/>
                <w:sz w:val="20"/>
              </w:rPr>
            </w:pPr>
            <w:r>
              <w:rPr>
                <w:rFonts w:asciiTheme="minorHAnsi" w:hAnsiTheme="minorHAnsi"/>
                <w:sz w:val="20"/>
              </w:rPr>
              <w:t>Embeda</w:t>
            </w:r>
          </w:p>
        </w:tc>
        <w:tc>
          <w:tcPr>
            <w:tcW w:w="1297" w:type="dxa"/>
            <w:tcBorders>
              <w:top w:val="dashSmallGap" w:sz="4" w:space="0" w:color="auto"/>
            </w:tcBorders>
            <w:vAlign w:val="bottom"/>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top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top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top w:val="dashSmallGap"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r>
      <w:tr w:rsidR="00AB109F" w:rsidRPr="00D22869" w:rsidTr="00F5376A">
        <w:trPr>
          <w:cantSplit/>
          <w:jc w:val="center"/>
        </w:trPr>
        <w:tc>
          <w:tcPr>
            <w:tcW w:w="1334" w:type="dxa"/>
            <w:tcBorders>
              <w:bottom w:val="single" w:sz="4" w:space="0" w:color="auto"/>
            </w:tcBorders>
            <w:vAlign w:val="center"/>
          </w:tcPr>
          <w:p w:rsidR="00AB109F" w:rsidRDefault="00AB109F" w:rsidP="00F5376A">
            <w:pPr>
              <w:keepNext/>
              <w:spacing w:after="0" w:line="240" w:lineRule="auto"/>
              <w:ind w:left="208"/>
              <w:rPr>
                <w:rFonts w:asciiTheme="minorHAnsi" w:hAnsiTheme="minorHAnsi"/>
                <w:sz w:val="20"/>
              </w:rPr>
            </w:pPr>
            <w:r>
              <w:rPr>
                <w:rFonts w:asciiTheme="minorHAnsi" w:hAnsiTheme="minorHAnsi"/>
                <w:sz w:val="20"/>
              </w:rPr>
              <w:t>Hysingla</w:t>
            </w:r>
          </w:p>
        </w:tc>
        <w:tc>
          <w:tcPr>
            <w:tcW w:w="1297" w:type="dxa"/>
            <w:tcBorders>
              <w:bottom w:val="single" w:sz="4" w:space="0" w:color="auto"/>
            </w:tcBorders>
            <w:vAlign w:val="bottom"/>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bottom w:val="single"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bottom w:val="single"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c>
          <w:tcPr>
            <w:tcW w:w="1297" w:type="dxa"/>
            <w:tcBorders>
              <w:bottom w:val="single"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0</w:t>
            </w:r>
          </w:p>
        </w:tc>
      </w:tr>
      <w:tr w:rsidR="00AB109F" w:rsidRPr="00D22869" w:rsidTr="00F5376A">
        <w:trPr>
          <w:cantSplit/>
          <w:jc w:val="center"/>
        </w:trPr>
        <w:tc>
          <w:tcPr>
            <w:tcW w:w="1334" w:type="dxa"/>
            <w:tcBorders>
              <w:top w:val="single" w:sz="4" w:space="0" w:color="auto"/>
            </w:tcBorders>
            <w:vAlign w:val="center"/>
          </w:tcPr>
          <w:p w:rsidR="00AB109F" w:rsidRDefault="00AB109F" w:rsidP="00F5376A">
            <w:pPr>
              <w:keepNext/>
              <w:spacing w:after="0" w:line="240" w:lineRule="auto"/>
              <w:ind w:left="28"/>
              <w:rPr>
                <w:rFonts w:asciiTheme="minorHAnsi" w:hAnsiTheme="minorHAnsi"/>
                <w:sz w:val="20"/>
              </w:rPr>
            </w:pPr>
            <w:r>
              <w:rPr>
                <w:rFonts w:asciiTheme="minorHAnsi" w:hAnsiTheme="minorHAnsi"/>
                <w:sz w:val="20"/>
              </w:rPr>
              <w:t>Total</w:t>
            </w:r>
          </w:p>
        </w:tc>
        <w:tc>
          <w:tcPr>
            <w:tcW w:w="1297" w:type="dxa"/>
            <w:tcBorders>
              <w:top w:val="single" w:sz="4" w:space="0" w:color="auto"/>
            </w:tcBorders>
            <w:vAlign w:val="bottom"/>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809,834</w:t>
            </w:r>
          </w:p>
        </w:tc>
        <w:tc>
          <w:tcPr>
            <w:tcW w:w="1297" w:type="dxa"/>
            <w:tcBorders>
              <w:top w:val="single"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541,504</w:t>
            </w:r>
          </w:p>
        </w:tc>
        <w:tc>
          <w:tcPr>
            <w:tcW w:w="1297" w:type="dxa"/>
            <w:tcBorders>
              <w:top w:val="single"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434,169</w:t>
            </w:r>
          </w:p>
        </w:tc>
        <w:tc>
          <w:tcPr>
            <w:tcW w:w="1297" w:type="dxa"/>
            <w:tcBorders>
              <w:top w:val="single" w:sz="4" w:space="0" w:color="auto"/>
            </w:tcBorders>
            <w:vAlign w:val="center"/>
          </w:tcPr>
          <w:p w:rsidR="00AB109F" w:rsidRPr="00D22869"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326,834</w:t>
            </w:r>
          </w:p>
        </w:tc>
      </w:tr>
    </w:tbl>
    <w:p w:rsidR="00AB109F" w:rsidRDefault="00AB109F" w:rsidP="00EF62F6">
      <w:pPr>
        <w:pStyle w:val="NoSpacing"/>
      </w:pPr>
    </w:p>
    <w:p w:rsidR="00AB109F" w:rsidRPr="00BE59A4" w:rsidRDefault="00AB109F" w:rsidP="00EF62F6">
      <w:pPr>
        <w:pStyle w:val="TableTitle"/>
        <w:rPr>
          <w:szCs w:val="20"/>
        </w:rPr>
      </w:pPr>
      <w:r w:rsidRPr="00701459">
        <w:t xml:space="preserve">Table </w:t>
      </w:r>
      <w:r>
        <w:t>11</w:t>
      </w:r>
      <w:r w:rsidRPr="00701459">
        <w:t>:</w:t>
      </w:r>
      <w:r w:rsidRPr="00701459">
        <w:br/>
      </w:r>
      <w:r>
        <w:t xml:space="preserve">Utilization </w:t>
      </w:r>
      <w:r w:rsidR="00385831">
        <w:t>by</w:t>
      </w:r>
      <w:r>
        <w:t xml:space="preserve"> Quantity Dispensed</w:t>
      </w:r>
      <w:r w:rsidR="00EF62F6">
        <w:br/>
      </w:r>
      <w:r>
        <w:t xml:space="preserve">for All </w:t>
      </w:r>
      <w:r w:rsidR="00E73430">
        <w:t xml:space="preserve">Draft </w:t>
      </w:r>
      <w:r>
        <w:t>Formulary Drugs</w:t>
      </w:r>
    </w:p>
    <w:tbl>
      <w:tblPr>
        <w:tblW w:w="6522" w:type="dxa"/>
        <w:jc w:val="center"/>
        <w:tblCellMar>
          <w:top w:w="14" w:type="dxa"/>
          <w:left w:w="58" w:type="dxa"/>
          <w:bottom w:w="14" w:type="dxa"/>
          <w:right w:w="58" w:type="dxa"/>
        </w:tblCellMar>
        <w:tblLook w:val="04A0"/>
      </w:tblPr>
      <w:tblGrid>
        <w:gridCol w:w="1334"/>
        <w:gridCol w:w="1297"/>
        <w:gridCol w:w="1297"/>
        <w:gridCol w:w="1297"/>
        <w:gridCol w:w="1297"/>
      </w:tblGrid>
      <w:tr w:rsidR="00AB109F" w:rsidRPr="00BF5954" w:rsidTr="00F5376A">
        <w:trPr>
          <w:cantSplit/>
          <w:jc w:val="center"/>
        </w:trPr>
        <w:tc>
          <w:tcPr>
            <w:tcW w:w="1334" w:type="dxa"/>
            <w:tcBorders>
              <w:bottom w:val="single" w:sz="4" w:space="0" w:color="auto"/>
            </w:tcBorders>
            <w:vAlign w:val="center"/>
          </w:tcPr>
          <w:p w:rsidR="00AB109F" w:rsidRPr="005731AB" w:rsidRDefault="00AB109F" w:rsidP="00F5376A">
            <w:pPr>
              <w:keepNext/>
              <w:spacing w:after="0" w:line="240" w:lineRule="auto"/>
              <w:jc w:val="center"/>
              <w:rPr>
                <w:rFonts w:ascii="Calibri" w:hAnsi="Calibri"/>
                <w:sz w:val="20"/>
              </w:rPr>
            </w:pPr>
          </w:p>
        </w:tc>
        <w:tc>
          <w:tcPr>
            <w:tcW w:w="1297" w:type="dxa"/>
            <w:tcBorders>
              <w:bottom w:val="single" w:sz="4" w:space="0" w:color="auto"/>
            </w:tcBorders>
            <w:vAlign w:val="center"/>
          </w:tcPr>
          <w:p w:rsidR="00AB109F" w:rsidRDefault="00AB109F" w:rsidP="00F5376A">
            <w:pPr>
              <w:keepNext/>
              <w:spacing w:after="0" w:line="240" w:lineRule="auto"/>
              <w:jc w:val="center"/>
              <w:rPr>
                <w:rFonts w:ascii="Calibri" w:hAnsi="Calibri"/>
                <w:sz w:val="20"/>
              </w:rPr>
            </w:pPr>
          </w:p>
        </w:tc>
        <w:tc>
          <w:tcPr>
            <w:tcW w:w="3891" w:type="dxa"/>
            <w:gridSpan w:val="3"/>
            <w:tcBorders>
              <w:bottom w:val="single" w:sz="4" w:space="0" w:color="auto"/>
            </w:tcBorders>
            <w:vAlign w:val="center"/>
          </w:tcPr>
          <w:p w:rsidR="00AB109F" w:rsidRDefault="00AB109F" w:rsidP="00F5376A">
            <w:pPr>
              <w:keepNext/>
              <w:spacing w:after="0" w:line="240" w:lineRule="auto"/>
              <w:jc w:val="center"/>
              <w:rPr>
                <w:rFonts w:ascii="Calibri" w:hAnsi="Calibri"/>
                <w:sz w:val="20"/>
              </w:rPr>
            </w:pPr>
            <w:r>
              <w:rPr>
                <w:rFonts w:ascii="Calibri" w:hAnsi="Calibri"/>
                <w:sz w:val="20"/>
              </w:rPr>
              <w:t>Conversion Rate</w:t>
            </w:r>
          </w:p>
        </w:tc>
      </w:tr>
      <w:tr w:rsidR="00AB109F" w:rsidRPr="00BF5954" w:rsidTr="00F5376A">
        <w:trPr>
          <w:cantSplit/>
          <w:jc w:val="center"/>
        </w:trPr>
        <w:tc>
          <w:tcPr>
            <w:tcW w:w="1334" w:type="dxa"/>
            <w:tcBorders>
              <w:bottom w:val="single" w:sz="4" w:space="0" w:color="auto"/>
            </w:tcBorders>
            <w:vAlign w:val="center"/>
          </w:tcPr>
          <w:p w:rsidR="00AB109F" w:rsidRPr="005731AB" w:rsidRDefault="00AB109F" w:rsidP="00F5376A">
            <w:pPr>
              <w:keepNext/>
              <w:spacing w:after="0" w:line="240" w:lineRule="auto"/>
              <w:rPr>
                <w:rFonts w:ascii="Calibri" w:hAnsi="Calibri"/>
                <w:sz w:val="20"/>
              </w:rPr>
            </w:pPr>
          </w:p>
        </w:tc>
        <w:tc>
          <w:tcPr>
            <w:tcW w:w="1297" w:type="dxa"/>
            <w:tcBorders>
              <w:bottom w:val="single" w:sz="4" w:space="0" w:color="auto"/>
            </w:tcBorders>
            <w:vAlign w:val="center"/>
          </w:tcPr>
          <w:p w:rsidR="00AB109F" w:rsidRDefault="00AB109F" w:rsidP="000437CC">
            <w:pPr>
              <w:keepNext/>
              <w:spacing w:after="0" w:line="240" w:lineRule="auto"/>
              <w:jc w:val="right"/>
              <w:rPr>
                <w:rFonts w:ascii="Calibri" w:hAnsi="Calibri"/>
                <w:sz w:val="20"/>
              </w:rPr>
            </w:pPr>
            <w:r>
              <w:rPr>
                <w:rFonts w:ascii="Calibri" w:hAnsi="Calibri"/>
                <w:sz w:val="20"/>
              </w:rPr>
              <w:t xml:space="preserve">No </w:t>
            </w:r>
            <w:r w:rsidR="000437CC">
              <w:rPr>
                <w:rFonts w:ascii="Calibri" w:hAnsi="Calibri"/>
                <w:sz w:val="20"/>
              </w:rPr>
              <w:t>Formulary</w:t>
            </w:r>
          </w:p>
        </w:tc>
        <w:tc>
          <w:tcPr>
            <w:tcW w:w="1297" w:type="dxa"/>
            <w:tcBorders>
              <w:bottom w:val="single" w:sz="4" w:space="0" w:color="auto"/>
            </w:tcBorders>
            <w:vAlign w:val="center"/>
          </w:tcPr>
          <w:p w:rsidR="00AB109F" w:rsidRDefault="00AB109F" w:rsidP="00F5376A">
            <w:pPr>
              <w:keepNext/>
              <w:spacing w:after="0" w:line="240" w:lineRule="auto"/>
              <w:jc w:val="right"/>
              <w:rPr>
                <w:rFonts w:ascii="Calibri" w:hAnsi="Calibri"/>
                <w:sz w:val="20"/>
              </w:rPr>
            </w:pPr>
            <w:r>
              <w:rPr>
                <w:rFonts w:ascii="Calibri" w:hAnsi="Calibri"/>
                <w:sz w:val="20"/>
              </w:rPr>
              <w:t>50%</w:t>
            </w:r>
          </w:p>
        </w:tc>
        <w:tc>
          <w:tcPr>
            <w:tcW w:w="1297" w:type="dxa"/>
            <w:tcBorders>
              <w:bottom w:val="single" w:sz="4" w:space="0" w:color="auto"/>
            </w:tcBorders>
            <w:vAlign w:val="center"/>
          </w:tcPr>
          <w:p w:rsidR="00AB109F" w:rsidRDefault="00AB109F" w:rsidP="00F5376A">
            <w:pPr>
              <w:keepNext/>
              <w:spacing w:after="0" w:line="240" w:lineRule="auto"/>
              <w:jc w:val="right"/>
              <w:rPr>
                <w:rFonts w:ascii="Calibri" w:hAnsi="Calibri"/>
                <w:sz w:val="20"/>
              </w:rPr>
            </w:pPr>
            <w:r>
              <w:rPr>
                <w:rFonts w:ascii="Calibri" w:hAnsi="Calibri"/>
                <w:sz w:val="20"/>
              </w:rPr>
              <w:t>70%</w:t>
            </w:r>
          </w:p>
        </w:tc>
        <w:tc>
          <w:tcPr>
            <w:tcW w:w="1297" w:type="dxa"/>
            <w:tcBorders>
              <w:bottom w:val="single" w:sz="4" w:space="0" w:color="auto"/>
            </w:tcBorders>
            <w:vAlign w:val="center"/>
          </w:tcPr>
          <w:p w:rsidR="00AB109F" w:rsidRDefault="00AB109F" w:rsidP="00F5376A">
            <w:pPr>
              <w:keepNext/>
              <w:spacing w:after="0" w:line="240" w:lineRule="auto"/>
              <w:jc w:val="right"/>
              <w:rPr>
                <w:rFonts w:ascii="Calibri" w:hAnsi="Calibri"/>
                <w:sz w:val="20"/>
              </w:rPr>
            </w:pPr>
            <w:r>
              <w:rPr>
                <w:rFonts w:ascii="Calibri" w:hAnsi="Calibri"/>
                <w:sz w:val="20"/>
              </w:rPr>
              <w:t>90%</w:t>
            </w:r>
          </w:p>
        </w:tc>
      </w:tr>
      <w:tr w:rsidR="00AB109F" w:rsidRPr="00D22869" w:rsidTr="00F5376A">
        <w:trPr>
          <w:cantSplit/>
          <w:jc w:val="center"/>
        </w:trPr>
        <w:tc>
          <w:tcPr>
            <w:tcW w:w="1334" w:type="dxa"/>
            <w:tcBorders>
              <w:top w:val="single" w:sz="4" w:space="0" w:color="auto"/>
              <w:bottom w:val="dashSmallGap" w:sz="4" w:space="0" w:color="auto"/>
            </w:tcBorders>
            <w:vAlign w:val="center"/>
          </w:tcPr>
          <w:p w:rsidR="00AB109F" w:rsidRPr="00D22869" w:rsidRDefault="00AB109F" w:rsidP="00F5376A">
            <w:pPr>
              <w:keepNext/>
              <w:spacing w:after="0" w:line="240" w:lineRule="auto"/>
              <w:rPr>
                <w:rFonts w:asciiTheme="minorHAnsi" w:hAnsiTheme="minorHAnsi"/>
                <w:sz w:val="20"/>
              </w:rPr>
            </w:pPr>
            <w:r>
              <w:rPr>
                <w:rFonts w:asciiTheme="minorHAnsi" w:hAnsiTheme="minorHAnsi"/>
                <w:sz w:val="20"/>
              </w:rPr>
              <w:t>HPHR Opioids</w:t>
            </w:r>
          </w:p>
        </w:tc>
        <w:tc>
          <w:tcPr>
            <w:tcW w:w="1297" w:type="dxa"/>
            <w:tcBorders>
              <w:top w:val="single" w:sz="4" w:space="0" w:color="auto"/>
              <w:bottom w:val="dashSmallGap" w:sz="4" w:space="0" w:color="auto"/>
            </w:tcBorders>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834,591</w:t>
            </w:r>
          </w:p>
        </w:tc>
        <w:tc>
          <w:tcPr>
            <w:tcW w:w="1297" w:type="dxa"/>
            <w:tcBorders>
              <w:top w:val="single" w:sz="4" w:space="0" w:color="auto"/>
              <w:bottom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559,373</w:t>
            </w:r>
          </w:p>
        </w:tc>
        <w:tc>
          <w:tcPr>
            <w:tcW w:w="1297" w:type="dxa"/>
            <w:tcBorders>
              <w:top w:val="single" w:sz="4" w:space="0" w:color="auto"/>
              <w:bottom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449,284</w:t>
            </w:r>
          </w:p>
        </w:tc>
        <w:tc>
          <w:tcPr>
            <w:tcW w:w="1297" w:type="dxa"/>
            <w:tcBorders>
              <w:top w:val="single" w:sz="4" w:space="0" w:color="auto"/>
              <w:bottom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339,194</w:t>
            </w:r>
          </w:p>
        </w:tc>
      </w:tr>
      <w:tr w:rsidR="00AB109F" w:rsidRPr="00D22869" w:rsidTr="00F5376A">
        <w:trPr>
          <w:cantSplit/>
          <w:jc w:val="center"/>
        </w:trPr>
        <w:tc>
          <w:tcPr>
            <w:tcW w:w="1334" w:type="dxa"/>
            <w:tcBorders>
              <w:top w:val="dashSmallGap" w:sz="4" w:space="0" w:color="auto"/>
            </w:tcBorders>
            <w:vAlign w:val="center"/>
          </w:tcPr>
          <w:p w:rsidR="00AB109F" w:rsidRPr="00D22869" w:rsidRDefault="00365D96" w:rsidP="00F5376A">
            <w:pPr>
              <w:keepNext/>
              <w:spacing w:after="0" w:line="240" w:lineRule="auto"/>
              <w:ind w:left="208"/>
              <w:rPr>
                <w:rFonts w:asciiTheme="minorHAnsi" w:hAnsiTheme="minorHAnsi"/>
                <w:sz w:val="20"/>
              </w:rPr>
            </w:pPr>
            <w:r>
              <w:rPr>
                <w:rFonts w:asciiTheme="minorHAnsi" w:hAnsiTheme="minorHAnsi"/>
                <w:sz w:val="20"/>
              </w:rPr>
              <w:t>Avinza</w:t>
            </w:r>
          </w:p>
        </w:tc>
        <w:tc>
          <w:tcPr>
            <w:tcW w:w="1297" w:type="dxa"/>
            <w:tcBorders>
              <w:top w:val="dashSmallGap" w:sz="4" w:space="0" w:color="auto"/>
            </w:tcBorders>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2,385</w:t>
            </w:r>
          </w:p>
        </w:tc>
        <w:tc>
          <w:tcPr>
            <w:tcW w:w="1297" w:type="dxa"/>
            <w:tcBorders>
              <w:top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1,399</w:t>
            </w:r>
          </w:p>
        </w:tc>
        <w:tc>
          <w:tcPr>
            <w:tcW w:w="1297" w:type="dxa"/>
            <w:tcBorders>
              <w:top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1,001</w:t>
            </w:r>
          </w:p>
        </w:tc>
        <w:tc>
          <w:tcPr>
            <w:tcW w:w="1297" w:type="dxa"/>
            <w:tcBorders>
              <w:top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604</w:t>
            </w:r>
          </w:p>
        </w:tc>
      </w:tr>
      <w:tr w:rsidR="00AB109F" w:rsidRPr="00D22869" w:rsidTr="00F5376A">
        <w:trPr>
          <w:cantSplit/>
          <w:jc w:val="center"/>
        </w:trPr>
        <w:tc>
          <w:tcPr>
            <w:tcW w:w="1334" w:type="dxa"/>
            <w:vAlign w:val="center"/>
          </w:tcPr>
          <w:p w:rsidR="00AB109F" w:rsidRPr="00D22869" w:rsidRDefault="00AB109F" w:rsidP="00F5376A">
            <w:pPr>
              <w:keepNext/>
              <w:spacing w:after="0" w:line="240" w:lineRule="auto"/>
              <w:ind w:left="208"/>
              <w:rPr>
                <w:rFonts w:asciiTheme="minorHAnsi" w:hAnsiTheme="minorHAnsi"/>
                <w:sz w:val="20"/>
              </w:rPr>
            </w:pPr>
            <w:r>
              <w:rPr>
                <w:rFonts w:asciiTheme="minorHAnsi" w:hAnsiTheme="minorHAnsi"/>
                <w:sz w:val="20"/>
              </w:rPr>
              <w:t>Kadian</w:t>
            </w:r>
          </w:p>
        </w:tc>
        <w:tc>
          <w:tcPr>
            <w:tcW w:w="1297" w:type="dxa"/>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42,382</w:t>
            </w:r>
          </w:p>
        </w:tc>
        <w:tc>
          <w:tcPr>
            <w:tcW w:w="1297" w:type="dxa"/>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22,472</w:t>
            </w:r>
          </w:p>
        </w:tc>
        <w:tc>
          <w:tcPr>
            <w:tcW w:w="1297" w:type="dxa"/>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14,508</w:t>
            </w:r>
          </w:p>
        </w:tc>
        <w:tc>
          <w:tcPr>
            <w:tcW w:w="1297" w:type="dxa"/>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6,544</w:t>
            </w:r>
          </w:p>
        </w:tc>
      </w:tr>
      <w:tr w:rsidR="00AB109F" w:rsidRPr="00D22869" w:rsidTr="00F5376A">
        <w:trPr>
          <w:cantSplit/>
          <w:jc w:val="center"/>
        </w:trPr>
        <w:tc>
          <w:tcPr>
            <w:tcW w:w="1334" w:type="dxa"/>
            <w:vAlign w:val="center"/>
          </w:tcPr>
          <w:p w:rsidR="00AB109F" w:rsidRDefault="00AB109F" w:rsidP="00F5376A">
            <w:pPr>
              <w:keepNext/>
              <w:spacing w:after="0" w:line="240" w:lineRule="auto"/>
              <w:ind w:left="208"/>
              <w:rPr>
                <w:rFonts w:asciiTheme="minorHAnsi" w:hAnsiTheme="minorHAnsi"/>
                <w:sz w:val="20"/>
              </w:rPr>
            </w:pPr>
            <w:r>
              <w:rPr>
                <w:rFonts w:asciiTheme="minorHAnsi" w:hAnsiTheme="minorHAnsi"/>
                <w:sz w:val="20"/>
              </w:rPr>
              <w:t>MS Contin</w:t>
            </w:r>
          </w:p>
        </w:tc>
        <w:tc>
          <w:tcPr>
            <w:tcW w:w="1297" w:type="dxa"/>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771,121</w:t>
            </w:r>
          </w:p>
        </w:tc>
        <w:tc>
          <w:tcPr>
            <w:tcW w:w="1297" w:type="dxa"/>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520,911</w:t>
            </w:r>
          </w:p>
        </w:tc>
        <w:tc>
          <w:tcPr>
            <w:tcW w:w="1297" w:type="dxa"/>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420,827</w:t>
            </w:r>
          </w:p>
        </w:tc>
        <w:tc>
          <w:tcPr>
            <w:tcW w:w="1297" w:type="dxa"/>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320,744</w:t>
            </w:r>
          </w:p>
        </w:tc>
      </w:tr>
      <w:tr w:rsidR="00AB109F" w:rsidRPr="00D22869" w:rsidTr="00F5376A">
        <w:trPr>
          <w:cantSplit/>
          <w:jc w:val="center"/>
        </w:trPr>
        <w:tc>
          <w:tcPr>
            <w:tcW w:w="1334" w:type="dxa"/>
            <w:tcBorders>
              <w:bottom w:val="single" w:sz="4" w:space="0" w:color="auto"/>
            </w:tcBorders>
            <w:vAlign w:val="center"/>
          </w:tcPr>
          <w:p w:rsidR="00AB109F" w:rsidRDefault="00AB109F" w:rsidP="00F5376A">
            <w:pPr>
              <w:keepNext/>
              <w:spacing w:after="0" w:line="240" w:lineRule="auto"/>
              <w:ind w:left="208"/>
              <w:rPr>
                <w:rFonts w:asciiTheme="minorHAnsi" w:hAnsiTheme="minorHAnsi"/>
                <w:sz w:val="20"/>
              </w:rPr>
            </w:pPr>
            <w:r>
              <w:rPr>
                <w:rFonts w:asciiTheme="minorHAnsi" w:hAnsiTheme="minorHAnsi"/>
                <w:sz w:val="20"/>
              </w:rPr>
              <w:t>Zohydro</w:t>
            </w:r>
          </w:p>
        </w:tc>
        <w:tc>
          <w:tcPr>
            <w:tcW w:w="1297" w:type="dxa"/>
            <w:tcBorders>
              <w:bottom w:val="single" w:sz="4" w:space="0" w:color="auto"/>
            </w:tcBorders>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18,703</w:t>
            </w:r>
          </w:p>
        </w:tc>
        <w:tc>
          <w:tcPr>
            <w:tcW w:w="1297" w:type="dxa"/>
            <w:tcBorders>
              <w:bottom w:val="single"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14,592</w:t>
            </w:r>
          </w:p>
        </w:tc>
        <w:tc>
          <w:tcPr>
            <w:tcW w:w="1297" w:type="dxa"/>
            <w:tcBorders>
              <w:bottom w:val="single"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12,947</w:t>
            </w:r>
          </w:p>
        </w:tc>
        <w:tc>
          <w:tcPr>
            <w:tcW w:w="1297" w:type="dxa"/>
            <w:tcBorders>
              <w:bottom w:val="single"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11,303</w:t>
            </w:r>
          </w:p>
        </w:tc>
      </w:tr>
      <w:tr w:rsidR="00AB109F" w:rsidRPr="00D22869" w:rsidTr="00F5376A">
        <w:trPr>
          <w:cantSplit/>
          <w:jc w:val="center"/>
        </w:trPr>
        <w:tc>
          <w:tcPr>
            <w:tcW w:w="1334" w:type="dxa"/>
            <w:tcBorders>
              <w:top w:val="single" w:sz="4" w:space="0" w:color="auto"/>
              <w:bottom w:val="dashSmallGap" w:sz="4" w:space="0" w:color="auto"/>
            </w:tcBorders>
            <w:vAlign w:val="center"/>
          </w:tcPr>
          <w:p w:rsidR="00AB109F" w:rsidRDefault="00AB109F" w:rsidP="00F5376A">
            <w:pPr>
              <w:keepNext/>
              <w:spacing w:after="0" w:line="240" w:lineRule="auto"/>
              <w:rPr>
                <w:rFonts w:asciiTheme="minorHAnsi" w:hAnsiTheme="minorHAnsi"/>
                <w:sz w:val="20"/>
              </w:rPr>
            </w:pPr>
            <w:r>
              <w:rPr>
                <w:rFonts w:asciiTheme="minorHAnsi" w:hAnsiTheme="minorHAnsi"/>
                <w:sz w:val="20"/>
              </w:rPr>
              <w:t>ADOs</w:t>
            </w:r>
          </w:p>
        </w:tc>
        <w:tc>
          <w:tcPr>
            <w:tcW w:w="1297" w:type="dxa"/>
            <w:tcBorders>
              <w:top w:val="single" w:sz="4" w:space="0" w:color="auto"/>
              <w:bottom w:val="dashSmallGap" w:sz="4" w:space="0" w:color="auto"/>
            </w:tcBorders>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9,294</w:t>
            </w:r>
          </w:p>
        </w:tc>
        <w:tc>
          <w:tcPr>
            <w:tcW w:w="1297" w:type="dxa"/>
            <w:tcBorders>
              <w:top w:val="single" w:sz="4" w:space="0" w:color="auto"/>
              <w:bottom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292,884</w:t>
            </w:r>
          </w:p>
        </w:tc>
        <w:tc>
          <w:tcPr>
            <w:tcW w:w="1297" w:type="dxa"/>
            <w:tcBorders>
              <w:top w:val="single" w:sz="4" w:space="0" w:color="auto"/>
              <w:bottom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406,320</w:t>
            </w:r>
          </w:p>
        </w:tc>
        <w:tc>
          <w:tcPr>
            <w:tcW w:w="1297" w:type="dxa"/>
            <w:tcBorders>
              <w:top w:val="single" w:sz="4" w:space="0" w:color="auto"/>
              <w:bottom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519,756</w:t>
            </w:r>
          </w:p>
        </w:tc>
      </w:tr>
      <w:tr w:rsidR="00AB109F" w:rsidRPr="00D22869" w:rsidTr="00F5376A">
        <w:trPr>
          <w:cantSplit/>
          <w:jc w:val="center"/>
        </w:trPr>
        <w:tc>
          <w:tcPr>
            <w:tcW w:w="1334" w:type="dxa"/>
            <w:tcBorders>
              <w:top w:val="dashSmallGap" w:sz="4" w:space="0" w:color="auto"/>
            </w:tcBorders>
            <w:vAlign w:val="center"/>
          </w:tcPr>
          <w:p w:rsidR="00AB109F" w:rsidRDefault="00AB109F" w:rsidP="00F5376A">
            <w:pPr>
              <w:keepNext/>
              <w:spacing w:after="0" w:line="240" w:lineRule="auto"/>
              <w:ind w:left="208"/>
              <w:rPr>
                <w:rFonts w:asciiTheme="minorHAnsi" w:hAnsiTheme="minorHAnsi"/>
                <w:sz w:val="20"/>
              </w:rPr>
            </w:pPr>
            <w:r>
              <w:rPr>
                <w:rFonts w:asciiTheme="minorHAnsi" w:hAnsiTheme="minorHAnsi"/>
                <w:sz w:val="20"/>
              </w:rPr>
              <w:t>Embeda</w:t>
            </w:r>
          </w:p>
        </w:tc>
        <w:tc>
          <w:tcPr>
            <w:tcW w:w="1297" w:type="dxa"/>
            <w:tcBorders>
              <w:top w:val="dashSmallGap" w:sz="4" w:space="0" w:color="auto"/>
            </w:tcBorders>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5,904</w:t>
            </w:r>
          </w:p>
        </w:tc>
        <w:tc>
          <w:tcPr>
            <w:tcW w:w="1297" w:type="dxa"/>
            <w:tcBorders>
              <w:top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285,367</w:t>
            </w:r>
          </w:p>
        </w:tc>
        <w:tc>
          <w:tcPr>
            <w:tcW w:w="1297" w:type="dxa"/>
            <w:tcBorders>
              <w:top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397,153</w:t>
            </w:r>
          </w:p>
        </w:tc>
        <w:tc>
          <w:tcPr>
            <w:tcW w:w="1297" w:type="dxa"/>
            <w:tcBorders>
              <w:top w:val="dashSmallGap"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508,938</w:t>
            </w:r>
          </w:p>
        </w:tc>
      </w:tr>
      <w:tr w:rsidR="00AB109F" w:rsidRPr="00D22869" w:rsidTr="00F5376A">
        <w:trPr>
          <w:cantSplit/>
          <w:jc w:val="center"/>
        </w:trPr>
        <w:tc>
          <w:tcPr>
            <w:tcW w:w="1334" w:type="dxa"/>
            <w:tcBorders>
              <w:bottom w:val="single" w:sz="4" w:space="0" w:color="auto"/>
            </w:tcBorders>
            <w:vAlign w:val="center"/>
          </w:tcPr>
          <w:p w:rsidR="00AB109F" w:rsidRDefault="00AB109F" w:rsidP="00F5376A">
            <w:pPr>
              <w:keepNext/>
              <w:spacing w:after="0" w:line="240" w:lineRule="auto"/>
              <w:ind w:left="208"/>
              <w:rPr>
                <w:rFonts w:asciiTheme="minorHAnsi" w:hAnsiTheme="minorHAnsi"/>
                <w:sz w:val="20"/>
              </w:rPr>
            </w:pPr>
            <w:r>
              <w:rPr>
                <w:rFonts w:asciiTheme="minorHAnsi" w:hAnsiTheme="minorHAnsi"/>
                <w:sz w:val="20"/>
              </w:rPr>
              <w:t>Hysingla</w:t>
            </w:r>
          </w:p>
        </w:tc>
        <w:tc>
          <w:tcPr>
            <w:tcW w:w="1297" w:type="dxa"/>
            <w:tcBorders>
              <w:bottom w:val="single" w:sz="4" w:space="0" w:color="auto"/>
            </w:tcBorders>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3,390</w:t>
            </w:r>
          </w:p>
        </w:tc>
        <w:tc>
          <w:tcPr>
            <w:tcW w:w="1297" w:type="dxa"/>
            <w:tcBorders>
              <w:bottom w:val="single"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7,516</w:t>
            </w:r>
          </w:p>
        </w:tc>
        <w:tc>
          <w:tcPr>
            <w:tcW w:w="1297" w:type="dxa"/>
            <w:tcBorders>
              <w:bottom w:val="single"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9,167</w:t>
            </w:r>
          </w:p>
        </w:tc>
        <w:tc>
          <w:tcPr>
            <w:tcW w:w="1297" w:type="dxa"/>
            <w:tcBorders>
              <w:bottom w:val="single"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10,818</w:t>
            </w:r>
          </w:p>
        </w:tc>
      </w:tr>
      <w:tr w:rsidR="00AB109F" w:rsidRPr="00D22869" w:rsidTr="00F5376A">
        <w:trPr>
          <w:cantSplit/>
          <w:jc w:val="center"/>
        </w:trPr>
        <w:tc>
          <w:tcPr>
            <w:tcW w:w="1334" w:type="dxa"/>
            <w:tcBorders>
              <w:top w:val="single" w:sz="4" w:space="0" w:color="auto"/>
            </w:tcBorders>
            <w:vAlign w:val="center"/>
          </w:tcPr>
          <w:p w:rsidR="00AB109F" w:rsidRDefault="00AB109F" w:rsidP="00F5376A">
            <w:pPr>
              <w:keepNext/>
              <w:spacing w:after="0" w:line="240" w:lineRule="auto"/>
              <w:ind w:left="28"/>
              <w:rPr>
                <w:rFonts w:asciiTheme="minorHAnsi" w:hAnsiTheme="minorHAnsi"/>
                <w:sz w:val="20"/>
              </w:rPr>
            </w:pPr>
            <w:r>
              <w:rPr>
                <w:rFonts w:asciiTheme="minorHAnsi" w:hAnsiTheme="minorHAnsi"/>
                <w:sz w:val="20"/>
              </w:rPr>
              <w:t>Total</w:t>
            </w:r>
          </w:p>
        </w:tc>
        <w:tc>
          <w:tcPr>
            <w:tcW w:w="1297" w:type="dxa"/>
            <w:tcBorders>
              <w:top w:val="single" w:sz="4" w:space="0" w:color="auto"/>
            </w:tcBorders>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843,884</w:t>
            </w:r>
          </w:p>
        </w:tc>
        <w:tc>
          <w:tcPr>
            <w:tcW w:w="1297" w:type="dxa"/>
            <w:tcBorders>
              <w:top w:val="single"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852,257</w:t>
            </w:r>
          </w:p>
        </w:tc>
        <w:tc>
          <w:tcPr>
            <w:tcW w:w="1297" w:type="dxa"/>
            <w:tcBorders>
              <w:top w:val="single"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855,603</w:t>
            </w:r>
          </w:p>
        </w:tc>
        <w:tc>
          <w:tcPr>
            <w:tcW w:w="1297" w:type="dxa"/>
            <w:tcBorders>
              <w:top w:val="single" w:sz="4" w:space="0" w:color="auto"/>
            </w:tcBorders>
            <w:vAlign w:val="center"/>
          </w:tcPr>
          <w:p w:rsidR="00AB109F" w:rsidRDefault="00AB109F" w:rsidP="00F5376A">
            <w:pPr>
              <w:keepNext/>
              <w:spacing w:after="0" w:line="240" w:lineRule="auto"/>
              <w:jc w:val="right"/>
              <w:rPr>
                <w:rFonts w:asciiTheme="minorHAnsi" w:hAnsiTheme="minorHAnsi" w:cs="Calibri"/>
                <w:sz w:val="20"/>
              </w:rPr>
            </w:pPr>
            <w:r>
              <w:rPr>
                <w:rFonts w:asciiTheme="minorHAnsi" w:hAnsiTheme="minorHAnsi" w:cs="Calibri"/>
                <w:sz w:val="20"/>
              </w:rPr>
              <w:t>858,950</w:t>
            </w:r>
          </w:p>
        </w:tc>
      </w:tr>
    </w:tbl>
    <w:p w:rsidR="00EF62F6" w:rsidRDefault="00EF62F6" w:rsidP="00EF62F6">
      <w:pPr>
        <w:pStyle w:val="NoSpacing"/>
      </w:pPr>
    </w:p>
    <w:p w:rsidR="00AB109F" w:rsidRDefault="00AB109F" w:rsidP="00AB109F">
      <w:pPr>
        <w:pStyle w:val="Heading2"/>
      </w:pPr>
      <w:bookmarkStart w:id="55" w:name="_Toc468888006"/>
      <w:r w:rsidRPr="00196683">
        <w:t>4.</w:t>
      </w:r>
      <w:r>
        <w:t>5</w:t>
      </w:r>
      <w:r w:rsidRPr="00196683">
        <w:t xml:space="preserve">. </w:t>
      </w:r>
      <w:r>
        <w:t xml:space="preserve">Estimated </w:t>
      </w:r>
      <w:r w:rsidR="00EF62F6">
        <w:t xml:space="preserve">change to </w:t>
      </w:r>
      <w:r>
        <w:t>total cost of HPHR opioids and ADOs</w:t>
      </w:r>
      <w:bookmarkEnd w:id="55"/>
    </w:p>
    <w:p w:rsidR="00AB109F" w:rsidRPr="00374B17" w:rsidRDefault="00AB109F" w:rsidP="00AB109F">
      <w:r>
        <w:t>Opioid drug prices were multiplied by estimated utilization for each drug, form, and dosage in the model to calculate formulary drug costs by quantity dispensed under each scenario.  These costs are summarized by drug form in Tables 12 through 14.</w:t>
      </w:r>
    </w:p>
    <w:p w:rsidR="00AB109F" w:rsidRPr="00BE59A4" w:rsidRDefault="00AB109F" w:rsidP="00EF62F6">
      <w:pPr>
        <w:pStyle w:val="TableTitle"/>
        <w:rPr>
          <w:szCs w:val="20"/>
        </w:rPr>
      </w:pPr>
      <w:r w:rsidRPr="00701459">
        <w:lastRenderedPageBreak/>
        <w:t xml:space="preserve">Table </w:t>
      </w:r>
      <w:r>
        <w:t>12</w:t>
      </w:r>
      <w:r w:rsidRPr="00701459">
        <w:t>:</w:t>
      </w:r>
      <w:r w:rsidRPr="00701459">
        <w:br/>
      </w:r>
      <w:r>
        <w:t xml:space="preserve">Total </w:t>
      </w:r>
      <w:r w:rsidR="00E73430">
        <w:t xml:space="preserve">Draft </w:t>
      </w:r>
      <w:r>
        <w:t xml:space="preserve">Formulary Drug Costs </w:t>
      </w:r>
      <w:r w:rsidR="00385831">
        <w:t>by</w:t>
      </w:r>
      <w:r>
        <w:t xml:space="preserve"> Quantity Dispensed</w:t>
      </w:r>
      <w:r w:rsidR="00EF62F6">
        <w:br/>
      </w:r>
      <w:r>
        <w:t>for Brand Name Drugs</w:t>
      </w:r>
    </w:p>
    <w:tbl>
      <w:tblPr>
        <w:tblW w:w="6522" w:type="dxa"/>
        <w:jc w:val="center"/>
        <w:tblCellMar>
          <w:top w:w="14" w:type="dxa"/>
          <w:left w:w="58" w:type="dxa"/>
          <w:bottom w:w="14" w:type="dxa"/>
          <w:right w:w="58" w:type="dxa"/>
        </w:tblCellMar>
        <w:tblLook w:val="04A0"/>
      </w:tblPr>
      <w:tblGrid>
        <w:gridCol w:w="1334"/>
        <w:gridCol w:w="1297"/>
        <w:gridCol w:w="1297"/>
        <w:gridCol w:w="1297"/>
        <w:gridCol w:w="1297"/>
      </w:tblGrid>
      <w:tr w:rsidR="00AB109F" w:rsidRPr="00A13D89" w:rsidTr="001638E5">
        <w:trPr>
          <w:cantSplit/>
          <w:jc w:val="center"/>
        </w:trPr>
        <w:tc>
          <w:tcPr>
            <w:tcW w:w="1334" w:type="dxa"/>
            <w:tcBorders>
              <w:bottom w:val="single" w:sz="4" w:space="0" w:color="auto"/>
            </w:tcBorders>
            <w:vAlign w:val="center"/>
          </w:tcPr>
          <w:p w:rsidR="00AB109F" w:rsidRPr="005731AB" w:rsidRDefault="00AB109F" w:rsidP="001638E5">
            <w:pPr>
              <w:keepNext/>
              <w:spacing w:after="0" w:line="240" w:lineRule="auto"/>
              <w:jc w:val="center"/>
              <w:rPr>
                <w:rFonts w:ascii="Calibri" w:hAnsi="Calibri"/>
                <w:sz w:val="20"/>
              </w:rPr>
            </w:pPr>
          </w:p>
        </w:tc>
        <w:tc>
          <w:tcPr>
            <w:tcW w:w="1297" w:type="dxa"/>
            <w:tcBorders>
              <w:bottom w:val="single" w:sz="4" w:space="0" w:color="auto"/>
            </w:tcBorders>
            <w:vAlign w:val="center"/>
          </w:tcPr>
          <w:p w:rsidR="00AB109F" w:rsidRDefault="00AB109F" w:rsidP="001638E5">
            <w:pPr>
              <w:keepNext/>
              <w:spacing w:after="0" w:line="240" w:lineRule="auto"/>
              <w:jc w:val="center"/>
              <w:rPr>
                <w:rFonts w:ascii="Calibri" w:hAnsi="Calibri"/>
                <w:sz w:val="20"/>
              </w:rPr>
            </w:pPr>
          </w:p>
        </w:tc>
        <w:tc>
          <w:tcPr>
            <w:tcW w:w="3891" w:type="dxa"/>
            <w:gridSpan w:val="3"/>
            <w:tcBorders>
              <w:bottom w:val="single" w:sz="4" w:space="0" w:color="auto"/>
            </w:tcBorders>
            <w:vAlign w:val="center"/>
          </w:tcPr>
          <w:p w:rsidR="00AB109F" w:rsidRPr="00A13D89" w:rsidRDefault="00AB109F" w:rsidP="001638E5">
            <w:pPr>
              <w:keepNext/>
              <w:spacing w:after="0" w:line="240" w:lineRule="auto"/>
              <w:jc w:val="center"/>
              <w:rPr>
                <w:rFonts w:ascii="Calibri" w:hAnsi="Calibri"/>
                <w:sz w:val="20"/>
              </w:rPr>
            </w:pPr>
            <w:r w:rsidRPr="00A13D89">
              <w:rPr>
                <w:rFonts w:ascii="Calibri" w:hAnsi="Calibri"/>
                <w:sz w:val="20"/>
              </w:rPr>
              <w:t>Conversion Rate</w:t>
            </w:r>
          </w:p>
        </w:tc>
      </w:tr>
      <w:tr w:rsidR="00AB109F" w:rsidRPr="00A13D89" w:rsidTr="001638E5">
        <w:trPr>
          <w:cantSplit/>
          <w:jc w:val="center"/>
        </w:trPr>
        <w:tc>
          <w:tcPr>
            <w:tcW w:w="1334" w:type="dxa"/>
            <w:tcBorders>
              <w:bottom w:val="single" w:sz="4" w:space="0" w:color="auto"/>
            </w:tcBorders>
            <w:vAlign w:val="center"/>
          </w:tcPr>
          <w:p w:rsidR="00AB109F" w:rsidRPr="00A13D89" w:rsidRDefault="00AB109F" w:rsidP="001638E5">
            <w:pPr>
              <w:keepNext/>
              <w:spacing w:after="0" w:line="240" w:lineRule="auto"/>
              <w:rPr>
                <w:rFonts w:ascii="Calibri" w:hAnsi="Calibri"/>
                <w:sz w:val="20"/>
              </w:rPr>
            </w:pPr>
          </w:p>
        </w:tc>
        <w:tc>
          <w:tcPr>
            <w:tcW w:w="1297" w:type="dxa"/>
            <w:tcBorders>
              <w:bottom w:val="single" w:sz="4" w:space="0" w:color="auto"/>
            </w:tcBorders>
            <w:vAlign w:val="center"/>
          </w:tcPr>
          <w:p w:rsidR="00AB109F" w:rsidRPr="00A13D89" w:rsidRDefault="00AB109F" w:rsidP="000437CC">
            <w:pPr>
              <w:keepNext/>
              <w:spacing w:after="0" w:line="240" w:lineRule="auto"/>
              <w:jc w:val="right"/>
              <w:rPr>
                <w:rFonts w:ascii="Calibri" w:hAnsi="Calibri"/>
                <w:sz w:val="20"/>
              </w:rPr>
            </w:pPr>
            <w:r w:rsidRPr="00A13D89">
              <w:rPr>
                <w:rFonts w:ascii="Calibri" w:hAnsi="Calibri"/>
                <w:sz w:val="20"/>
              </w:rPr>
              <w:t xml:space="preserve">No </w:t>
            </w:r>
            <w:r w:rsidR="000437CC">
              <w:rPr>
                <w:rFonts w:ascii="Calibri" w:hAnsi="Calibri"/>
                <w:sz w:val="20"/>
              </w:rPr>
              <w:t>Formulary</w:t>
            </w:r>
          </w:p>
        </w:tc>
        <w:tc>
          <w:tcPr>
            <w:tcW w:w="1297" w:type="dxa"/>
            <w:tcBorders>
              <w:bottom w:val="single" w:sz="4" w:space="0" w:color="auto"/>
            </w:tcBorders>
            <w:vAlign w:val="center"/>
          </w:tcPr>
          <w:p w:rsidR="00AB109F" w:rsidRPr="00A13D89" w:rsidRDefault="00AB109F" w:rsidP="001638E5">
            <w:pPr>
              <w:keepNext/>
              <w:spacing w:after="0" w:line="240" w:lineRule="auto"/>
              <w:jc w:val="right"/>
              <w:rPr>
                <w:rFonts w:ascii="Calibri" w:hAnsi="Calibri"/>
                <w:sz w:val="20"/>
              </w:rPr>
            </w:pPr>
            <w:r w:rsidRPr="00A13D89">
              <w:rPr>
                <w:rFonts w:ascii="Calibri" w:hAnsi="Calibri"/>
                <w:sz w:val="20"/>
              </w:rPr>
              <w:t>50%</w:t>
            </w:r>
          </w:p>
        </w:tc>
        <w:tc>
          <w:tcPr>
            <w:tcW w:w="1297" w:type="dxa"/>
            <w:tcBorders>
              <w:bottom w:val="single" w:sz="4" w:space="0" w:color="auto"/>
            </w:tcBorders>
            <w:vAlign w:val="center"/>
          </w:tcPr>
          <w:p w:rsidR="00AB109F" w:rsidRPr="00A13D89" w:rsidRDefault="00AB109F" w:rsidP="001638E5">
            <w:pPr>
              <w:keepNext/>
              <w:spacing w:after="0" w:line="240" w:lineRule="auto"/>
              <w:jc w:val="right"/>
              <w:rPr>
                <w:rFonts w:ascii="Calibri" w:hAnsi="Calibri"/>
                <w:sz w:val="20"/>
              </w:rPr>
            </w:pPr>
            <w:r w:rsidRPr="00A13D89">
              <w:rPr>
                <w:rFonts w:ascii="Calibri" w:hAnsi="Calibri"/>
                <w:sz w:val="20"/>
              </w:rPr>
              <w:t>70%</w:t>
            </w:r>
          </w:p>
        </w:tc>
        <w:tc>
          <w:tcPr>
            <w:tcW w:w="1297" w:type="dxa"/>
            <w:tcBorders>
              <w:bottom w:val="single" w:sz="4" w:space="0" w:color="auto"/>
            </w:tcBorders>
            <w:vAlign w:val="center"/>
          </w:tcPr>
          <w:p w:rsidR="00AB109F" w:rsidRPr="00A13D89" w:rsidRDefault="00AB109F" w:rsidP="001638E5">
            <w:pPr>
              <w:keepNext/>
              <w:spacing w:after="0" w:line="240" w:lineRule="auto"/>
              <w:jc w:val="right"/>
              <w:rPr>
                <w:rFonts w:ascii="Calibri" w:hAnsi="Calibri"/>
                <w:sz w:val="20"/>
              </w:rPr>
            </w:pPr>
            <w:r w:rsidRPr="00A13D89">
              <w:rPr>
                <w:rFonts w:ascii="Calibri" w:hAnsi="Calibri"/>
                <w:sz w:val="20"/>
              </w:rPr>
              <w:t>90%</w:t>
            </w:r>
          </w:p>
        </w:tc>
      </w:tr>
      <w:tr w:rsidR="00AB109F" w:rsidRPr="00A13D89" w:rsidTr="001638E5">
        <w:trPr>
          <w:cantSplit/>
          <w:jc w:val="center"/>
        </w:trPr>
        <w:tc>
          <w:tcPr>
            <w:tcW w:w="1334" w:type="dxa"/>
            <w:tcBorders>
              <w:top w:val="single" w:sz="4" w:space="0" w:color="auto"/>
              <w:bottom w:val="dashSmallGap" w:sz="4" w:space="0" w:color="auto"/>
            </w:tcBorders>
            <w:vAlign w:val="center"/>
          </w:tcPr>
          <w:p w:rsidR="00AB109F" w:rsidRPr="00A13D89" w:rsidRDefault="00AB109F" w:rsidP="001638E5">
            <w:pPr>
              <w:keepNext/>
              <w:spacing w:after="0" w:line="240" w:lineRule="auto"/>
              <w:rPr>
                <w:rFonts w:asciiTheme="minorHAnsi" w:hAnsiTheme="minorHAnsi"/>
                <w:sz w:val="20"/>
              </w:rPr>
            </w:pPr>
            <w:r w:rsidRPr="00A13D89">
              <w:rPr>
                <w:rFonts w:asciiTheme="minorHAnsi" w:hAnsiTheme="minorHAnsi"/>
                <w:sz w:val="20"/>
              </w:rPr>
              <w:t>HPHR Opioids</w:t>
            </w:r>
          </w:p>
        </w:tc>
        <w:tc>
          <w:tcPr>
            <w:tcW w:w="1297" w:type="dxa"/>
            <w:tcBorders>
              <w:top w:val="single" w:sz="4" w:space="0" w:color="auto"/>
              <w:bottom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$159,188 </w:t>
            </w:r>
          </w:p>
        </w:tc>
        <w:tc>
          <w:tcPr>
            <w:tcW w:w="1297" w:type="dxa"/>
            <w:tcBorders>
              <w:top w:val="single" w:sz="4" w:space="0" w:color="auto"/>
              <w:bottom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$106,949 </w:t>
            </w:r>
          </w:p>
        </w:tc>
        <w:tc>
          <w:tcPr>
            <w:tcW w:w="1297" w:type="dxa"/>
            <w:tcBorders>
              <w:top w:val="single" w:sz="4" w:space="0" w:color="auto"/>
              <w:bottom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$86,053 </w:t>
            </w:r>
          </w:p>
        </w:tc>
        <w:tc>
          <w:tcPr>
            <w:tcW w:w="1297" w:type="dxa"/>
            <w:tcBorders>
              <w:top w:val="single" w:sz="4" w:space="0" w:color="auto"/>
              <w:bottom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$65,158 </w:t>
            </w:r>
          </w:p>
        </w:tc>
      </w:tr>
      <w:tr w:rsidR="00AB109F" w:rsidRPr="00A13D89" w:rsidTr="001638E5">
        <w:trPr>
          <w:cantSplit/>
          <w:jc w:val="center"/>
        </w:trPr>
        <w:tc>
          <w:tcPr>
            <w:tcW w:w="1334" w:type="dxa"/>
            <w:tcBorders>
              <w:top w:val="dashSmallGap" w:sz="4" w:space="0" w:color="auto"/>
            </w:tcBorders>
            <w:vAlign w:val="center"/>
          </w:tcPr>
          <w:p w:rsidR="00AB109F" w:rsidRPr="00A13D89" w:rsidRDefault="00365D96" w:rsidP="001638E5">
            <w:pPr>
              <w:keepNext/>
              <w:spacing w:after="0" w:line="240" w:lineRule="auto"/>
              <w:ind w:left="208"/>
              <w:rPr>
                <w:rFonts w:asciiTheme="minorHAnsi" w:hAnsiTheme="minorHAnsi"/>
                <w:sz w:val="20"/>
              </w:rPr>
            </w:pPr>
            <w:r>
              <w:rPr>
                <w:rFonts w:asciiTheme="minorHAnsi" w:hAnsiTheme="minorHAnsi"/>
                <w:sz w:val="20"/>
              </w:rPr>
              <w:t>Avinza</w:t>
            </w:r>
          </w:p>
        </w:tc>
        <w:tc>
          <w:tcPr>
            <w:tcW w:w="1297" w:type="dxa"/>
            <w:tcBorders>
              <w:top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$0   </w:t>
            </w:r>
          </w:p>
        </w:tc>
        <w:tc>
          <w:tcPr>
            <w:tcW w:w="1297" w:type="dxa"/>
            <w:tcBorders>
              <w:top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$0   </w:t>
            </w:r>
          </w:p>
        </w:tc>
        <w:tc>
          <w:tcPr>
            <w:tcW w:w="1297" w:type="dxa"/>
            <w:tcBorders>
              <w:top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$0   </w:t>
            </w:r>
          </w:p>
        </w:tc>
        <w:tc>
          <w:tcPr>
            <w:tcW w:w="1297" w:type="dxa"/>
            <w:tcBorders>
              <w:top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$0   </w:t>
            </w:r>
          </w:p>
        </w:tc>
      </w:tr>
      <w:tr w:rsidR="00AB109F" w:rsidRPr="00A13D89" w:rsidTr="001638E5">
        <w:trPr>
          <w:cantSplit/>
          <w:jc w:val="center"/>
        </w:trPr>
        <w:tc>
          <w:tcPr>
            <w:tcW w:w="1334" w:type="dxa"/>
            <w:vAlign w:val="center"/>
          </w:tcPr>
          <w:p w:rsidR="00AB109F" w:rsidRPr="00A13D89" w:rsidRDefault="00AB109F" w:rsidP="001638E5">
            <w:pPr>
              <w:keepNext/>
              <w:spacing w:after="0" w:line="240" w:lineRule="auto"/>
              <w:ind w:left="208"/>
              <w:rPr>
                <w:rFonts w:asciiTheme="minorHAnsi" w:hAnsiTheme="minorHAnsi"/>
                <w:sz w:val="20"/>
              </w:rPr>
            </w:pPr>
            <w:r w:rsidRPr="00A13D89">
              <w:rPr>
                <w:rFonts w:asciiTheme="minorHAnsi" w:hAnsiTheme="minorHAnsi"/>
                <w:sz w:val="20"/>
              </w:rPr>
              <w:t>Kadian</w:t>
            </w:r>
          </w:p>
        </w:tc>
        <w:tc>
          <w:tcPr>
            <w:tcW w:w="1297" w:type="dxa"/>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$10,500 </w:t>
            </w:r>
          </w:p>
        </w:tc>
        <w:tc>
          <w:tcPr>
            <w:tcW w:w="1297" w:type="dxa"/>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$5,458 </w:t>
            </w:r>
          </w:p>
        </w:tc>
        <w:tc>
          <w:tcPr>
            <w:tcW w:w="1297" w:type="dxa"/>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$3,441 </w:t>
            </w:r>
          </w:p>
        </w:tc>
        <w:tc>
          <w:tcPr>
            <w:tcW w:w="1297" w:type="dxa"/>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$1,424 </w:t>
            </w:r>
          </w:p>
        </w:tc>
      </w:tr>
      <w:tr w:rsidR="00AB109F" w:rsidRPr="00A13D89" w:rsidTr="001638E5">
        <w:trPr>
          <w:cantSplit/>
          <w:jc w:val="center"/>
        </w:trPr>
        <w:tc>
          <w:tcPr>
            <w:tcW w:w="1334" w:type="dxa"/>
            <w:vAlign w:val="center"/>
          </w:tcPr>
          <w:p w:rsidR="00AB109F" w:rsidRPr="00A13D89" w:rsidRDefault="00AB109F" w:rsidP="001638E5">
            <w:pPr>
              <w:keepNext/>
              <w:spacing w:after="0" w:line="240" w:lineRule="auto"/>
              <w:ind w:left="208"/>
              <w:rPr>
                <w:rFonts w:asciiTheme="minorHAnsi" w:hAnsiTheme="minorHAnsi"/>
                <w:sz w:val="20"/>
              </w:rPr>
            </w:pPr>
            <w:r w:rsidRPr="00A13D89">
              <w:rPr>
                <w:rFonts w:asciiTheme="minorHAnsi" w:hAnsiTheme="minorHAnsi"/>
                <w:sz w:val="20"/>
              </w:rPr>
              <w:t>MS Contin</w:t>
            </w:r>
          </w:p>
        </w:tc>
        <w:tc>
          <w:tcPr>
            <w:tcW w:w="1297" w:type="dxa"/>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$46,163 </w:t>
            </w:r>
          </w:p>
        </w:tc>
        <w:tc>
          <w:tcPr>
            <w:tcW w:w="1297" w:type="dxa"/>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$23,379 </w:t>
            </w:r>
          </w:p>
        </w:tc>
        <w:tc>
          <w:tcPr>
            <w:tcW w:w="1297" w:type="dxa"/>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$14,265 </w:t>
            </w:r>
          </w:p>
        </w:tc>
        <w:tc>
          <w:tcPr>
            <w:tcW w:w="1297" w:type="dxa"/>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$5,151 </w:t>
            </w:r>
          </w:p>
        </w:tc>
      </w:tr>
      <w:tr w:rsidR="00AB109F" w:rsidRPr="00A13D89" w:rsidTr="001638E5">
        <w:trPr>
          <w:cantSplit/>
          <w:jc w:val="center"/>
        </w:trPr>
        <w:tc>
          <w:tcPr>
            <w:tcW w:w="1334" w:type="dxa"/>
            <w:tcBorders>
              <w:bottom w:val="single" w:sz="4" w:space="0" w:color="auto"/>
            </w:tcBorders>
            <w:vAlign w:val="center"/>
          </w:tcPr>
          <w:p w:rsidR="00AB109F" w:rsidRPr="00A13D89" w:rsidRDefault="00AB109F" w:rsidP="001638E5">
            <w:pPr>
              <w:keepNext/>
              <w:spacing w:after="0" w:line="240" w:lineRule="auto"/>
              <w:ind w:left="208"/>
              <w:rPr>
                <w:rFonts w:asciiTheme="minorHAnsi" w:hAnsiTheme="minorHAnsi"/>
                <w:sz w:val="20"/>
              </w:rPr>
            </w:pPr>
            <w:r w:rsidRPr="00A13D89">
              <w:rPr>
                <w:rFonts w:asciiTheme="minorHAnsi" w:hAnsiTheme="minorHAnsi"/>
                <w:sz w:val="20"/>
              </w:rPr>
              <w:t>Zohydro</w:t>
            </w:r>
          </w:p>
        </w:tc>
        <w:tc>
          <w:tcPr>
            <w:tcW w:w="1297" w:type="dxa"/>
            <w:tcBorders>
              <w:bottom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$102,525 </w:t>
            </w:r>
          </w:p>
        </w:tc>
        <w:tc>
          <w:tcPr>
            <w:tcW w:w="1297" w:type="dxa"/>
            <w:tcBorders>
              <w:bottom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$78,113 </w:t>
            </w:r>
          </w:p>
        </w:tc>
        <w:tc>
          <w:tcPr>
            <w:tcW w:w="1297" w:type="dxa"/>
            <w:tcBorders>
              <w:bottom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$68,348 </w:t>
            </w:r>
          </w:p>
        </w:tc>
        <w:tc>
          <w:tcPr>
            <w:tcW w:w="1297" w:type="dxa"/>
            <w:tcBorders>
              <w:bottom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$58,583 </w:t>
            </w:r>
          </w:p>
        </w:tc>
      </w:tr>
      <w:tr w:rsidR="00AB109F" w:rsidRPr="00A13D89" w:rsidTr="001638E5">
        <w:trPr>
          <w:cantSplit/>
          <w:jc w:val="center"/>
        </w:trPr>
        <w:tc>
          <w:tcPr>
            <w:tcW w:w="1334" w:type="dxa"/>
            <w:tcBorders>
              <w:top w:val="single" w:sz="4" w:space="0" w:color="auto"/>
              <w:bottom w:val="dashSmallGap" w:sz="4" w:space="0" w:color="auto"/>
            </w:tcBorders>
            <w:vAlign w:val="center"/>
          </w:tcPr>
          <w:p w:rsidR="00AB109F" w:rsidRPr="00A13D89" w:rsidRDefault="00AB109F" w:rsidP="001638E5">
            <w:pPr>
              <w:keepNext/>
              <w:spacing w:after="0" w:line="240" w:lineRule="auto"/>
              <w:rPr>
                <w:rFonts w:asciiTheme="minorHAnsi" w:hAnsiTheme="minorHAnsi"/>
                <w:sz w:val="20"/>
              </w:rPr>
            </w:pPr>
            <w:r w:rsidRPr="00A13D89">
              <w:rPr>
                <w:rFonts w:asciiTheme="minorHAnsi" w:hAnsiTheme="minorHAnsi"/>
                <w:sz w:val="20"/>
              </w:rPr>
              <w:t>ADOs</w:t>
            </w:r>
          </w:p>
        </w:tc>
        <w:tc>
          <w:tcPr>
            <w:tcW w:w="1297" w:type="dxa"/>
            <w:tcBorders>
              <w:top w:val="single" w:sz="4" w:space="0" w:color="auto"/>
              <w:bottom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$76,107 </w:t>
            </w:r>
          </w:p>
        </w:tc>
        <w:tc>
          <w:tcPr>
            <w:tcW w:w="1297" w:type="dxa"/>
            <w:tcBorders>
              <w:top w:val="single" w:sz="4" w:space="0" w:color="auto"/>
              <w:bottom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$2,489,476 </w:t>
            </w:r>
          </w:p>
        </w:tc>
        <w:tc>
          <w:tcPr>
            <w:tcW w:w="1297" w:type="dxa"/>
            <w:tcBorders>
              <w:top w:val="single" w:sz="4" w:space="0" w:color="auto"/>
              <w:bottom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$3,454,824 </w:t>
            </w:r>
          </w:p>
        </w:tc>
        <w:tc>
          <w:tcPr>
            <w:tcW w:w="1297" w:type="dxa"/>
            <w:tcBorders>
              <w:top w:val="single" w:sz="4" w:space="0" w:color="auto"/>
              <w:bottom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$4,420,171 </w:t>
            </w:r>
          </w:p>
        </w:tc>
      </w:tr>
      <w:tr w:rsidR="00AB109F" w:rsidRPr="00A13D89" w:rsidTr="001638E5">
        <w:trPr>
          <w:cantSplit/>
          <w:jc w:val="center"/>
        </w:trPr>
        <w:tc>
          <w:tcPr>
            <w:tcW w:w="1334" w:type="dxa"/>
            <w:tcBorders>
              <w:top w:val="dashSmallGap" w:sz="4" w:space="0" w:color="auto"/>
            </w:tcBorders>
            <w:vAlign w:val="center"/>
          </w:tcPr>
          <w:p w:rsidR="00AB109F" w:rsidRPr="00A13D89" w:rsidRDefault="00AB109F" w:rsidP="001638E5">
            <w:pPr>
              <w:keepNext/>
              <w:spacing w:after="0" w:line="240" w:lineRule="auto"/>
              <w:ind w:left="208"/>
              <w:rPr>
                <w:rFonts w:asciiTheme="minorHAnsi" w:hAnsiTheme="minorHAnsi"/>
                <w:sz w:val="20"/>
              </w:rPr>
            </w:pPr>
            <w:r w:rsidRPr="00A13D89">
              <w:rPr>
                <w:rFonts w:asciiTheme="minorHAnsi" w:hAnsiTheme="minorHAnsi"/>
                <w:sz w:val="20"/>
              </w:rPr>
              <w:t>Embeda</w:t>
            </w:r>
          </w:p>
        </w:tc>
        <w:tc>
          <w:tcPr>
            <w:tcW w:w="1297" w:type="dxa"/>
            <w:tcBorders>
              <w:top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$42,908 </w:t>
            </w:r>
          </w:p>
        </w:tc>
        <w:tc>
          <w:tcPr>
            <w:tcW w:w="1297" w:type="dxa"/>
            <w:tcBorders>
              <w:top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$2,426,301 </w:t>
            </w:r>
          </w:p>
        </w:tc>
        <w:tc>
          <w:tcPr>
            <w:tcW w:w="1297" w:type="dxa"/>
            <w:tcBorders>
              <w:top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$3,379,658 </w:t>
            </w:r>
          </w:p>
        </w:tc>
        <w:tc>
          <w:tcPr>
            <w:tcW w:w="1297" w:type="dxa"/>
            <w:tcBorders>
              <w:top w:val="dashSmallGap"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$4,333,015 </w:t>
            </w:r>
          </w:p>
        </w:tc>
      </w:tr>
      <w:tr w:rsidR="00AB109F" w:rsidRPr="00A13D89" w:rsidTr="001638E5">
        <w:trPr>
          <w:cantSplit/>
          <w:jc w:val="center"/>
        </w:trPr>
        <w:tc>
          <w:tcPr>
            <w:tcW w:w="1334" w:type="dxa"/>
            <w:tcBorders>
              <w:bottom w:val="single" w:sz="4" w:space="0" w:color="auto"/>
            </w:tcBorders>
            <w:vAlign w:val="center"/>
          </w:tcPr>
          <w:p w:rsidR="00AB109F" w:rsidRPr="00A13D89" w:rsidRDefault="00AB109F" w:rsidP="001638E5">
            <w:pPr>
              <w:keepNext/>
              <w:spacing w:after="0" w:line="240" w:lineRule="auto"/>
              <w:ind w:left="208"/>
              <w:rPr>
                <w:rFonts w:asciiTheme="minorHAnsi" w:hAnsiTheme="minorHAnsi"/>
                <w:sz w:val="20"/>
              </w:rPr>
            </w:pPr>
            <w:r w:rsidRPr="00A13D89">
              <w:rPr>
                <w:rFonts w:asciiTheme="minorHAnsi" w:hAnsiTheme="minorHAnsi"/>
                <w:sz w:val="20"/>
              </w:rPr>
              <w:t>Hysingla</w:t>
            </w:r>
          </w:p>
        </w:tc>
        <w:tc>
          <w:tcPr>
            <w:tcW w:w="1297" w:type="dxa"/>
            <w:tcBorders>
              <w:bottom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$33,199 </w:t>
            </w:r>
          </w:p>
        </w:tc>
        <w:tc>
          <w:tcPr>
            <w:tcW w:w="1297" w:type="dxa"/>
            <w:tcBorders>
              <w:bottom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$63,175 </w:t>
            </w:r>
          </w:p>
        </w:tc>
        <w:tc>
          <w:tcPr>
            <w:tcW w:w="1297" w:type="dxa"/>
            <w:tcBorders>
              <w:bottom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$75,165 </w:t>
            </w:r>
          </w:p>
        </w:tc>
        <w:tc>
          <w:tcPr>
            <w:tcW w:w="1297" w:type="dxa"/>
            <w:tcBorders>
              <w:bottom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$87,156 </w:t>
            </w:r>
          </w:p>
        </w:tc>
      </w:tr>
      <w:tr w:rsidR="00AB109F" w:rsidRPr="00D22869" w:rsidTr="001638E5">
        <w:trPr>
          <w:cantSplit/>
          <w:jc w:val="center"/>
        </w:trPr>
        <w:tc>
          <w:tcPr>
            <w:tcW w:w="1334" w:type="dxa"/>
            <w:tcBorders>
              <w:top w:val="single" w:sz="4" w:space="0" w:color="auto"/>
            </w:tcBorders>
            <w:vAlign w:val="center"/>
          </w:tcPr>
          <w:p w:rsidR="00AB109F" w:rsidRPr="00A13D89" w:rsidRDefault="00AB109F" w:rsidP="001638E5">
            <w:pPr>
              <w:keepNext/>
              <w:spacing w:after="0" w:line="240" w:lineRule="auto"/>
              <w:ind w:left="28"/>
              <w:rPr>
                <w:rFonts w:asciiTheme="minorHAnsi" w:hAnsiTheme="minorHAnsi"/>
                <w:sz w:val="20"/>
              </w:rPr>
            </w:pPr>
            <w:r w:rsidRPr="00A13D89">
              <w:rPr>
                <w:rFonts w:asciiTheme="minorHAnsi" w:hAnsiTheme="minorHAnsi"/>
                <w:sz w:val="20"/>
              </w:rPr>
              <w:t>Total</w:t>
            </w:r>
          </w:p>
        </w:tc>
        <w:tc>
          <w:tcPr>
            <w:tcW w:w="1297" w:type="dxa"/>
            <w:tcBorders>
              <w:top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$235,295 </w:t>
            </w:r>
          </w:p>
        </w:tc>
        <w:tc>
          <w:tcPr>
            <w:tcW w:w="1297" w:type="dxa"/>
            <w:tcBorders>
              <w:top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$2,596,425 </w:t>
            </w:r>
          </w:p>
        </w:tc>
        <w:tc>
          <w:tcPr>
            <w:tcW w:w="1297" w:type="dxa"/>
            <w:tcBorders>
              <w:top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$3,540,877 </w:t>
            </w:r>
          </w:p>
        </w:tc>
        <w:tc>
          <w:tcPr>
            <w:tcW w:w="1297" w:type="dxa"/>
            <w:tcBorders>
              <w:top w:val="single" w:sz="4" w:space="0" w:color="auto"/>
            </w:tcBorders>
            <w:vAlign w:val="center"/>
          </w:tcPr>
          <w:p w:rsidR="00AB109F" w:rsidRPr="00A13D89" w:rsidRDefault="00AB109F" w:rsidP="001638E5">
            <w:pPr>
              <w:spacing w:after="0" w:line="240" w:lineRule="auto"/>
              <w:jc w:val="right"/>
              <w:rPr>
                <w:rFonts w:asciiTheme="minorHAnsi" w:hAnsiTheme="minorHAnsi"/>
                <w:sz w:val="20"/>
              </w:rPr>
            </w:pPr>
            <w:r w:rsidRPr="00A13D89">
              <w:rPr>
                <w:rFonts w:asciiTheme="minorHAnsi" w:hAnsiTheme="minorHAnsi"/>
                <w:sz w:val="20"/>
              </w:rPr>
              <w:t xml:space="preserve"> $4,485,329 </w:t>
            </w:r>
          </w:p>
        </w:tc>
      </w:tr>
    </w:tbl>
    <w:p w:rsidR="00AB109F" w:rsidRDefault="00AB109F" w:rsidP="00EF62F6">
      <w:pPr>
        <w:pStyle w:val="NoSpacing"/>
      </w:pPr>
    </w:p>
    <w:p w:rsidR="00AB109F" w:rsidRPr="00BE59A4" w:rsidRDefault="00AB109F" w:rsidP="00EF62F6">
      <w:pPr>
        <w:pStyle w:val="TableTitle"/>
        <w:rPr>
          <w:szCs w:val="20"/>
        </w:rPr>
      </w:pPr>
      <w:r w:rsidRPr="00701459">
        <w:t xml:space="preserve">Table </w:t>
      </w:r>
      <w:r>
        <w:t>13</w:t>
      </w:r>
      <w:r w:rsidRPr="00701459">
        <w:t>:</w:t>
      </w:r>
      <w:r w:rsidRPr="00701459">
        <w:br/>
      </w:r>
      <w:r>
        <w:t xml:space="preserve">Total </w:t>
      </w:r>
      <w:r w:rsidR="00E73430">
        <w:t xml:space="preserve">Draft </w:t>
      </w:r>
      <w:r>
        <w:t xml:space="preserve">Formulary Drug Costs </w:t>
      </w:r>
      <w:r w:rsidR="00385831">
        <w:t>by</w:t>
      </w:r>
      <w:r>
        <w:t xml:space="preserve"> Quantity Dispensed</w:t>
      </w:r>
      <w:r w:rsidR="00EF62F6">
        <w:br/>
      </w:r>
      <w:r>
        <w:t>for Generic Drugs</w:t>
      </w:r>
    </w:p>
    <w:tbl>
      <w:tblPr>
        <w:tblW w:w="6522" w:type="dxa"/>
        <w:jc w:val="center"/>
        <w:tblCellMar>
          <w:top w:w="14" w:type="dxa"/>
          <w:left w:w="58" w:type="dxa"/>
          <w:bottom w:w="14" w:type="dxa"/>
          <w:right w:w="58" w:type="dxa"/>
        </w:tblCellMar>
        <w:tblLook w:val="04A0"/>
      </w:tblPr>
      <w:tblGrid>
        <w:gridCol w:w="1334"/>
        <w:gridCol w:w="1297"/>
        <w:gridCol w:w="1297"/>
        <w:gridCol w:w="1297"/>
        <w:gridCol w:w="1297"/>
      </w:tblGrid>
      <w:tr w:rsidR="00AB109F" w:rsidRPr="00E97DD6" w:rsidTr="00A523E7">
        <w:trPr>
          <w:cantSplit/>
          <w:jc w:val="center"/>
        </w:trPr>
        <w:tc>
          <w:tcPr>
            <w:tcW w:w="1334" w:type="dxa"/>
            <w:tcBorders>
              <w:bottom w:val="single" w:sz="4" w:space="0" w:color="auto"/>
            </w:tcBorders>
            <w:vAlign w:val="center"/>
          </w:tcPr>
          <w:p w:rsidR="00AB109F" w:rsidRPr="005731AB" w:rsidRDefault="00AB109F" w:rsidP="00A523E7">
            <w:pPr>
              <w:keepNext/>
              <w:spacing w:after="0" w:line="240" w:lineRule="auto"/>
              <w:jc w:val="center"/>
              <w:rPr>
                <w:rFonts w:ascii="Calibri" w:hAnsi="Calibri"/>
                <w:sz w:val="20"/>
              </w:rPr>
            </w:pPr>
          </w:p>
        </w:tc>
        <w:tc>
          <w:tcPr>
            <w:tcW w:w="1297" w:type="dxa"/>
            <w:tcBorders>
              <w:bottom w:val="single" w:sz="4" w:space="0" w:color="auto"/>
            </w:tcBorders>
            <w:vAlign w:val="center"/>
          </w:tcPr>
          <w:p w:rsidR="00AB109F" w:rsidRDefault="00AB109F" w:rsidP="00A523E7">
            <w:pPr>
              <w:keepNext/>
              <w:spacing w:after="0" w:line="240" w:lineRule="auto"/>
              <w:jc w:val="center"/>
              <w:rPr>
                <w:rFonts w:ascii="Calibri" w:hAnsi="Calibri"/>
                <w:sz w:val="20"/>
              </w:rPr>
            </w:pPr>
          </w:p>
        </w:tc>
        <w:tc>
          <w:tcPr>
            <w:tcW w:w="3891" w:type="dxa"/>
            <w:gridSpan w:val="3"/>
            <w:tcBorders>
              <w:bottom w:val="single" w:sz="4" w:space="0" w:color="auto"/>
            </w:tcBorders>
            <w:vAlign w:val="center"/>
          </w:tcPr>
          <w:p w:rsidR="00AB109F" w:rsidRPr="00E97DD6" w:rsidRDefault="00AB109F" w:rsidP="00A523E7">
            <w:pPr>
              <w:keepNext/>
              <w:spacing w:after="0" w:line="240" w:lineRule="auto"/>
              <w:jc w:val="center"/>
              <w:rPr>
                <w:rFonts w:ascii="Calibri" w:hAnsi="Calibri"/>
                <w:sz w:val="20"/>
              </w:rPr>
            </w:pPr>
            <w:r w:rsidRPr="00E97DD6">
              <w:rPr>
                <w:rFonts w:ascii="Calibri" w:hAnsi="Calibri"/>
                <w:sz w:val="20"/>
              </w:rPr>
              <w:t>Conversion Rate</w:t>
            </w:r>
          </w:p>
        </w:tc>
      </w:tr>
      <w:tr w:rsidR="00AB109F" w:rsidRPr="00E97DD6" w:rsidTr="00A523E7">
        <w:trPr>
          <w:cantSplit/>
          <w:jc w:val="center"/>
        </w:trPr>
        <w:tc>
          <w:tcPr>
            <w:tcW w:w="1334" w:type="dxa"/>
            <w:tcBorders>
              <w:bottom w:val="single" w:sz="4" w:space="0" w:color="auto"/>
            </w:tcBorders>
            <w:vAlign w:val="center"/>
          </w:tcPr>
          <w:p w:rsidR="00AB109F" w:rsidRPr="00E97DD6" w:rsidRDefault="00AB109F" w:rsidP="00A523E7">
            <w:pPr>
              <w:keepNext/>
              <w:spacing w:after="0" w:line="240" w:lineRule="auto"/>
              <w:rPr>
                <w:rFonts w:ascii="Calibri" w:hAnsi="Calibri"/>
                <w:sz w:val="20"/>
              </w:rPr>
            </w:pPr>
          </w:p>
        </w:tc>
        <w:tc>
          <w:tcPr>
            <w:tcW w:w="1297" w:type="dxa"/>
            <w:tcBorders>
              <w:bottom w:val="single" w:sz="4" w:space="0" w:color="auto"/>
            </w:tcBorders>
            <w:vAlign w:val="center"/>
          </w:tcPr>
          <w:p w:rsidR="00AB109F" w:rsidRPr="00E97DD6" w:rsidRDefault="00AB109F" w:rsidP="000437CC">
            <w:pPr>
              <w:keepNext/>
              <w:spacing w:after="0" w:line="240" w:lineRule="auto"/>
              <w:jc w:val="right"/>
              <w:rPr>
                <w:rFonts w:ascii="Calibri" w:hAnsi="Calibri"/>
                <w:sz w:val="20"/>
              </w:rPr>
            </w:pPr>
            <w:r w:rsidRPr="00E97DD6">
              <w:rPr>
                <w:rFonts w:ascii="Calibri" w:hAnsi="Calibri"/>
                <w:sz w:val="20"/>
              </w:rPr>
              <w:t xml:space="preserve">No </w:t>
            </w:r>
            <w:r w:rsidR="000437CC">
              <w:rPr>
                <w:rFonts w:ascii="Calibri" w:hAnsi="Calibri"/>
                <w:sz w:val="20"/>
              </w:rPr>
              <w:t>Formulary</w:t>
            </w:r>
          </w:p>
        </w:tc>
        <w:tc>
          <w:tcPr>
            <w:tcW w:w="1297" w:type="dxa"/>
            <w:tcBorders>
              <w:bottom w:val="single" w:sz="4" w:space="0" w:color="auto"/>
            </w:tcBorders>
            <w:vAlign w:val="center"/>
          </w:tcPr>
          <w:p w:rsidR="00AB109F" w:rsidRPr="00E97DD6" w:rsidRDefault="00AB109F" w:rsidP="00A523E7">
            <w:pPr>
              <w:keepNext/>
              <w:spacing w:after="0" w:line="240" w:lineRule="auto"/>
              <w:jc w:val="right"/>
              <w:rPr>
                <w:rFonts w:ascii="Calibri" w:hAnsi="Calibri"/>
                <w:sz w:val="20"/>
              </w:rPr>
            </w:pPr>
            <w:r w:rsidRPr="00E97DD6">
              <w:rPr>
                <w:rFonts w:ascii="Calibri" w:hAnsi="Calibri"/>
                <w:sz w:val="20"/>
              </w:rPr>
              <w:t>50%</w:t>
            </w:r>
          </w:p>
        </w:tc>
        <w:tc>
          <w:tcPr>
            <w:tcW w:w="1297" w:type="dxa"/>
            <w:tcBorders>
              <w:bottom w:val="single" w:sz="4" w:space="0" w:color="auto"/>
            </w:tcBorders>
            <w:vAlign w:val="center"/>
          </w:tcPr>
          <w:p w:rsidR="00AB109F" w:rsidRPr="00E97DD6" w:rsidRDefault="00AB109F" w:rsidP="00A523E7">
            <w:pPr>
              <w:keepNext/>
              <w:spacing w:after="0" w:line="240" w:lineRule="auto"/>
              <w:jc w:val="right"/>
              <w:rPr>
                <w:rFonts w:ascii="Calibri" w:hAnsi="Calibri"/>
                <w:sz w:val="20"/>
              </w:rPr>
            </w:pPr>
            <w:r w:rsidRPr="00E97DD6">
              <w:rPr>
                <w:rFonts w:ascii="Calibri" w:hAnsi="Calibri"/>
                <w:sz w:val="20"/>
              </w:rPr>
              <w:t>70%</w:t>
            </w:r>
          </w:p>
        </w:tc>
        <w:tc>
          <w:tcPr>
            <w:tcW w:w="1297" w:type="dxa"/>
            <w:tcBorders>
              <w:bottom w:val="single" w:sz="4" w:space="0" w:color="auto"/>
            </w:tcBorders>
            <w:vAlign w:val="center"/>
          </w:tcPr>
          <w:p w:rsidR="00AB109F" w:rsidRPr="00E97DD6" w:rsidRDefault="00AB109F" w:rsidP="00A523E7">
            <w:pPr>
              <w:keepNext/>
              <w:spacing w:after="0" w:line="240" w:lineRule="auto"/>
              <w:jc w:val="right"/>
              <w:rPr>
                <w:rFonts w:ascii="Calibri" w:hAnsi="Calibri"/>
                <w:sz w:val="20"/>
              </w:rPr>
            </w:pPr>
            <w:r w:rsidRPr="00E97DD6">
              <w:rPr>
                <w:rFonts w:ascii="Calibri" w:hAnsi="Calibri"/>
                <w:sz w:val="20"/>
              </w:rPr>
              <w:t>90%</w:t>
            </w:r>
          </w:p>
        </w:tc>
      </w:tr>
      <w:tr w:rsidR="00AB109F" w:rsidRPr="00E97DD6" w:rsidTr="00A523E7">
        <w:trPr>
          <w:cantSplit/>
          <w:jc w:val="center"/>
        </w:trPr>
        <w:tc>
          <w:tcPr>
            <w:tcW w:w="1334" w:type="dxa"/>
            <w:tcBorders>
              <w:top w:val="single" w:sz="4" w:space="0" w:color="auto"/>
              <w:bottom w:val="dashSmallGap" w:sz="4" w:space="0" w:color="auto"/>
            </w:tcBorders>
            <w:vAlign w:val="center"/>
          </w:tcPr>
          <w:p w:rsidR="00AB109F" w:rsidRPr="00E97DD6" w:rsidRDefault="00AB109F" w:rsidP="00A523E7">
            <w:pPr>
              <w:keepNext/>
              <w:spacing w:after="0" w:line="240" w:lineRule="auto"/>
              <w:rPr>
                <w:rFonts w:asciiTheme="minorHAnsi" w:hAnsiTheme="minorHAnsi"/>
                <w:sz w:val="20"/>
              </w:rPr>
            </w:pPr>
            <w:r w:rsidRPr="00E97DD6">
              <w:rPr>
                <w:rFonts w:asciiTheme="minorHAnsi" w:hAnsiTheme="minorHAnsi"/>
                <w:sz w:val="20"/>
              </w:rPr>
              <w:t>HPHR Opioids</w:t>
            </w:r>
          </w:p>
        </w:tc>
        <w:tc>
          <w:tcPr>
            <w:tcW w:w="1297" w:type="dxa"/>
            <w:tcBorders>
              <w:top w:val="single" w:sz="4" w:space="0" w:color="auto"/>
              <w:bottom w:val="dashSmallGap"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$1,153,235 </w:t>
            </w:r>
          </w:p>
        </w:tc>
        <w:tc>
          <w:tcPr>
            <w:tcW w:w="1297" w:type="dxa"/>
            <w:tcBorders>
              <w:top w:val="single" w:sz="4" w:space="0" w:color="auto"/>
              <w:bottom w:val="dashSmallGap"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$635,252 </w:t>
            </w:r>
          </w:p>
        </w:tc>
        <w:tc>
          <w:tcPr>
            <w:tcW w:w="1297" w:type="dxa"/>
            <w:tcBorders>
              <w:top w:val="single" w:sz="4" w:space="0" w:color="auto"/>
              <w:bottom w:val="dashSmallGap"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$428,058 </w:t>
            </w:r>
          </w:p>
        </w:tc>
        <w:tc>
          <w:tcPr>
            <w:tcW w:w="1297" w:type="dxa"/>
            <w:tcBorders>
              <w:top w:val="single" w:sz="4" w:space="0" w:color="auto"/>
              <w:bottom w:val="dashSmallGap"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$220,865 </w:t>
            </w:r>
          </w:p>
        </w:tc>
      </w:tr>
      <w:tr w:rsidR="00AB109F" w:rsidRPr="00E97DD6" w:rsidTr="00A523E7">
        <w:trPr>
          <w:cantSplit/>
          <w:jc w:val="center"/>
        </w:trPr>
        <w:tc>
          <w:tcPr>
            <w:tcW w:w="1334" w:type="dxa"/>
            <w:tcBorders>
              <w:top w:val="dashSmallGap" w:sz="4" w:space="0" w:color="auto"/>
            </w:tcBorders>
            <w:vAlign w:val="center"/>
          </w:tcPr>
          <w:p w:rsidR="00AB109F" w:rsidRPr="00E97DD6" w:rsidRDefault="00365D96" w:rsidP="00A523E7">
            <w:pPr>
              <w:keepNext/>
              <w:spacing w:after="0" w:line="240" w:lineRule="auto"/>
              <w:ind w:left="208"/>
              <w:rPr>
                <w:rFonts w:asciiTheme="minorHAnsi" w:hAnsiTheme="minorHAnsi"/>
                <w:sz w:val="20"/>
              </w:rPr>
            </w:pPr>
            <w:r>
              <w:rPr>
                <w:rFonts w:asciiTheme="minorHAnsi" w:hAnsiTheme="minorHAnsi"/>
                <w:sz w:val="20"/>
              </w:rPr>
              <w:t>Avinza</w:t>
            </w:r>
          </w:p>
        </w:tc>
        <w:tc>
          <w:tcPr>
            <w:tcW w:w="1297" w:type="dxa"/>
            <w:tcBorders>
              <w:top w:val="dashSmallGap"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$21,005 </w:t>
            </w:r>
          </w:p>
        </w:tc>
        <w:tc>
          <w:tcPr>
            <w:tcW w:w="1297" w:type="dxa"/>
            <w:tcBorders>
              <w:top w:val="dashSmallGap"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$11,583 </w:t>
            </w:r>
          </w:p>
        </w:tc>
        <w:tc>
          <w:tcPr>
            <w:tcW w:w="1297" w:type="dxa"/>
            <w:tcBorders>
              <w:top w:val="dashSmallGap"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$7,814 </w:t>
            </w:r>
          </w:p>
        </w:tc>
        <w:tc>
          <w:tcPr>
            <w:tcW w:w="1297" w:type="dxa"/>
            <w:tcBorders>
              <w:top w:val="dashSmallGap"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$4,045 </w:t>
            </w:r>
          </w:p>
        </w:tc>
      </w:tr>
      <w:tr w:rsidR="00AB109F" w:rsidRPr="00E97DD6" w:rsidTr="00A523E7">
        <w:trPr>
          <w:cantSplit/>
          <w:jc w:val="center"/>
        </w:trPr>
        <w:tc>
          <w:tcPr>
            <w:tcW w:w="1334" w:type="dxa"/>
            <w:vAlign w:val="center"/>
          </w:tcPr>
          <w:p w:rsidR="00AB109F" w:rsidRPr="00E97DD6" w:rsidRDefault="00AB109F" w:rsidP="00A523E7">
            <w:pPr>
              <w:keepNext/>
              <w:spacing w:after="0" w:line="240" w:lineRule="auto"/>
              <w:ind w:left="208"/>
              <w:rPr>
                <w:rFonts w:asciiTheme="minorHAnsi" w:hAnsiTheme="minorHAnsi"/>
                <w:sz w:val="20"/>
              </w:rPr>
            </w:pPr>
            <w:r w:rsidRPr="00E97DD6">
              <w:rPr>
                <w:rFonts w:asciiTheme="minorHAnsi" w:hAnsiTheme="minorHAnsi"/>
                <w:sz w:val="20"/>
              </w:rPr>
              <w:t>Kadian</w:t>
            </w:r>
          </w:p>
        </w:tc>
        <w:tc>
          <w:tcPr>
            <w:tcW w:w="1297" w:type="dxa"/>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$314,079 </w:t>
            </w:r>
          </w:p>
        </w:tc>
        <w:tc>
          <w:tcPr>
            <w:tcW w:w="1297" w:type="dxa"/>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$161,717 </w:t>
            </w:r>
          </w:p>
        </w:tc>
        <w:tc>
          <w:tcPr>
            <w:tcW w:w="1297" w:type="dxa"/>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$100,772 </w:t>
            </w:r>
          </w:p>
        </w:tc>
        <w:tc>
          <w:tcPr>
            <w:tcW w:w="1297" w:type="dxa"/>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$39,828 </w:t>
            </w:r>
          </w:p>
        </w:tc>
      </w:tr>
      <w:tr w:rsidR="00AB109F" w:rsidRPr="00E97DD6" w:rsidTr="00A523E7">
        <w:trPr>
          <w:cantSplit/>
          <w:jc w:val="center"/>
        </w:trPr>
        <w:tc>
          <w:tcPr>
            <w:tcW w:w="1334" w:type="dxa"/>
            <w:vAlign w:val="center"/>
          </w:tcPr>
          <w:p w:rsidR="00AB109F" w:rsidRPr="00E97DD6" w:rsidRDefault="00AB109F" w:rsidP="00A523E7">
            <w:pPr>
              <w:keepNext/>
              <w:spacing w:after="0" w:line="240" w:lineRule="auto"/>
              <w:ind w:left="208"/>
              <w:rPr>
                <w:rFonts w:asciiTheme="minorHAnsi" w:hAnsiTheme="minorHAnsi"/>
                <w:sz w:val="20"/>
              </w:rPr>
            </w:pPr>
            <w:r w:rsidRPr="00E97DD6">
              <w:rPr>
                <w:rFonts w:asciiTheme="minorHAnsi" w:hAnsiTheme="minorHAnsi"/>
                <w:sz w:val="20"/>
              </w:rPr>
              <w:t>MS Contin</w:t>
            </w:r>
          </w:p>
        </w:tc>
        <w:tc>
          <w:tcPr>
            <w:tcW w:w="1297" w:type="dxa"/>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$818,152 </w:t>
            </w:r>
          </w:p>
        </w:tc>
        <w:tc>
          <w:tcPr>
            <w:tcW w:w="1297" w:type="dxa"/>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$461,952 </w:t>
            </w:r>
          </w:p>
        </w:tc>
        <w:tc>
          <w:tcPr>
            <w:tcW w:w="1297" w:type="dxa"/>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$319,472 </w:t>
            </w:r>
          </w:p>
        </w:tc>
        <w:tc>
          <w:tcPr>
            <w:tcW w:w="1297" w:type="dxa"/>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$176,993 </w:t>
            </w:r>
          </w:p>
        </w:tc>
      </w:tr>
      <w:tr w:rsidR="00AB109F" w:rsidRPr="00E97DD6" w:rsidTr="00A523E7">
        <w:trPr>
          <w:cantSplit/>
          <w:jc w:val="center"/>
        </w:trPr>
        <w:tc>
          <w:tcPr>
            <w:tcW w:w="1334" w:type="dxa"/>
            <w:tcBorders>
              <w:bottom w:val="single" w:sz="4" w:space="0" w:color="auto"/>
            </w:tcBorders>
            <w:vAlign w:val="center"/>
          </w:tcPr>
          <w:p w:rsidR="00AB109F" w:rsidRPr="00E97DD6" w:rsidRDefault="00AB109F" w:rsidP="00A523E7">
            <w:pPr>
              <w:keepNext/>
              <w:spacing w:after="0" w:line="240" w:lineRule="auto"/>
              <w:ind w:left="208"/>
              <w:rPr>
                <w:rFonts w:asciiTheme="minorHAnsi" w:hAnsiTheme="minorHAnsi"/>
                <w:sz w:val="20"/>
              </w:rPr>
            </w:pPr>
            <w:r w:rsidRPr="00E97DD6">
              <w:rPr>
                <w:rFonts w:asciiTheme="minorHAnsi" w:hAnsiTheme="minorHAnsi"/>
                <w:sz w:val="20"/>
              </w:rPr>
              <w:t>Zohydro</w:t>
            </w:r>
          </w:p>
        </w:tc>
        <w:tc>
          <w:tcPr>
            <w:tcW w:w="1297" w:type="dxa"/>
            <w:tcBorders>
              <w:bottom w:val="single" w:sz="4" w:space="0" w:color="auto"/>
            </w:tcBorders>
            <w:vAlign w:val="bottom"/>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bottom w:val="single" w:sz="4" w:space="0" w:color="auto"/>
            </w:tcBorders>
            <w:vAlign w:val="center"/>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bottom w:val="single" w:sz="4" w:space="0" w:color="auto"/>
            </w:tcBorders>
            <w:vAlign w:val="bottom"/>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bottom w:val="single" w:sz="4" w:space="0" w:color="auto"/>
            </w:tcBorders>
            <w:vAlign w:val="center"/>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r>
      <w:tr w:rsidR="00AB109F" w:rsidRPr="00E97DD6" w:rsidTr="00A523E7">
        <w:trPr>
          <w:cantSplit/>
          <w:jc w:val="center"/>
        </w:trPr>
        <w:tc>
          <w:tcPr>
            <w:tcW w:w="1334" w:type="dxa"/>
            <w:tcBorders>
              <w:top w:val="single" w:sz="4" w:space="0" w:color="auto"/>
              <w:bottom w:val="dashSmallGap" w:sz="4" w:space="0" w:color="auto"/>
            </w:tcBorders>
            <w:vAlign w:val="center"/>
          </w:tcPr>
          <w:p w:rsidR="00AB109F" w:rsidRPr="00E97DD6" w:rsidRDefault="00AB109F" w:rsidP="00A523E7">
            <w:pPr>
              <w:keepNext/>
              <w:spacing w:after="0" w:line="240" w:lineRule="auto"/>
              <w:rPr>
                <w:rFonts w:asciiTheme="minorHAnsi" w:hAnsiTheme="minorHAnsi"/>
                <w:sz w:val="20"/>
              </w:rPr>
            </w:pPr>
            <w:r w:rsidRPr="00E97DD6">
              <w:rPr>
                <w:rFonts w:asciiTheme="minorHAnsi" w:hAnsiTheme="minorHAnsi"/>
                <w:sz w:val="20"/>
              </w:rPr>
              <w:t>ADOs</w:t>
            </w:r>
          </w:p>
        </w:tc>
        <w:tc>
          <w:tcPr>
            <w:tcW w:w="1297" w:type="dxa"/>
            <w:tcBorders>
              <w:top w:val="single" w:sz="4" w:space="0" w:color="auto"/>
              <w:bottom w:val="dashSmallGap" w:sz="4" w:space="0" w:color="auto"/>
            </w:tcBorders>
            <w:vAlign w:val="bottom"/>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top w:val="single" w:sz="4" w:space="0" w:color="auto"/>
              <w:bottom w:val="dashSmallGap" w:sz="4" w:space="0" w:color="auto"/>
            </w:tcBorders>
            <w:vAlign w:val="center"/>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top w:val="single" w:sz="4" w:space="0" w:color="auto"/>
              <w:bottom w:val="dashSmallGap" w:sz="4" w:space="0" w:color="auto"/>
            </w:tcBorders>
            <w:vAlign w:val="bottom"/>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top w:val="single" w:sz="4" w:space="0" w:color="auto"/>
              <w:bottom w:val="dashSmallGap" w:sz="4" w:space="0" w:color="auto"/>
            </w:tcBorders>
            <w:vAlign w:val="center"/>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r>
      <w:tr w:rsidR="00AB109F" w:rsidRPr="00E97DD6" w:rsidTr="00A523E7">
        <w:trPr>
          <w:cantSplit/>
          <w:jc w:val="center"/>
        </w:trPr>
        <w:tc>
          <w:tcPr>
            <w:tcW w:w="1334" w:type="dxa"/>
            <w:tcBorders>
              <w:top w:val="dashSmallGap" w:sz="4" w:space="0" w:color="auto"/>
            </w:tcBorders>
            <w:vAlign w:val="center"/>
          </w:tcPr>
          <w:p w:rsidR="00AB109F" w:rsidRPr="00E97DD6" w:rsidRDefault="00AB109F" w:rsidP="00A523E7">
            <w:pPr>
              <w:keepNext/>
              <w:spacing w:after="0" w:line="240" w:lineRule="auto"/>
              <w:ind w:left="208"/>
              <w:rPr>
                <w:rFonts w:asciiTheme="minorHAnsi" w:hAnsiTheme="minorHAnsi"/>
                <w:sz w:val="20"/>
              </w:rPr>
            </w:pPr>
            <w:r w:rsidRPr="00E97DD6">
              <w:rPr>
                <w:rFonts w:asciiTheme="minorHAnsi" w:hAnsiTheme="minorHAnsi"/>
                <w:sz w:val="20"/>
              </w:rPr>
              <w:t>Embeda</w:t>
            </w:r>
          </w:p>
        </w:tc>
        <w:tc>
          <w:tcPr>
            <w:tcW w:w="1297" w:type="dxa"/>
            <w:tcBorders>
              <w:top w:val="dashSmallGap" w:sz="4" w:space="0" w:color="auto"/>
            </w:tcBorders>
            <w:vAlign w:val="bottom"/>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top w:val="dashSmallGap" w:sz="4" w:space="0" w:color="auto"/>
            </w:tcBorders>
            <w:vAlign w:val="center"/>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top w:val="dashSmallGap" w:sz="4" w:space="0" w:color="auto"/>
            </w:tcBorders>
            <w:vAlign w:val="bottom"/>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top w:val="dashSmallGap" w:sz="4" w:space="0" w:color="auto"/>
            </w:tcBorders>
            <w:vAlign w:val="center"/>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r>
      <w:tr w:rsidR="00AB109F" w:rsidRPr="00E97DD6" w:rsidTr="00A523E7">
        <w:trPr>
          <w:cantSplit/>
          <w:jc w:val="center"/>
        </w:trPr>
        <w:tc>
          <w:tcPr>
            <w:tcW w:w="1334" w:type="dxa"/>
            <w:tcBorders>
              <w:bottom w:val="single" w:sz="4" w:space="0" w:color="auto"/>
            </w:tcBorders>
            <w:vAlign w:val="center"/>
          </w:tcPr>
          <w:p w:rsidR="00AB109F" w:rsidRPr="00E97DD6" w:rsidRDefault="00AB109F" w:rsidP="00A523E7">
            <w:pPr>
              <w:keepNext/>
              <w:spacing w:after="0" w:line="240" w:lineRule="auto"/>
              <w:ind w:left="208"/>
              <w:rPr>
                <w:rFonts w:asciiTheme="minorHAnsi" w:hAnsiTheme="minorHAnsi"/>
                <w:sz w:val="20"/>
              </w:rPr>
            </w:pPr>
            <w:r w:rsidRPr="00E97DD6">
              <w:rPr>
                <w:rFonts w:asciiTheme="minorHAnsi" w:hAnsiTheme="minorHAnsi"/>
                <w:sz w:val="20"/>
              </w:rPr>
              <w:t>Hysingla</w:t>
            </w:r>
          </w:p>
        </w:tc>
        <w:tc>
          <w:tcPr>
            <w:tcW w:w="1297" w:type="dxa"/>
            <w:tcBorders>
              <w:bottom w:val="single" w:sz="4" w:space="0" w:color="auto"/>
            </w:tcBorders>
            <w:vAlign w:val="bottom"/>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bottom w:val="single" w:sz="4" w:space="0" w:color="auto"/>
            </w:tcBorders>
            <w:vAlign w:val="center"/>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bottom w:val="single" w:sz="4" w:space="0" w:color="auto"/>
            </w:tcBorders>
            <w:vAlign w:val="bottom"/>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c>
          <w:tcPr>
            <w:tcW w:w="1297" w:type="dxa"/>
            <w:tcBorders>
              <w:bottom w:val="single" w:sz="4" w:space="0" w:color="auto"/>
            </w:tcBorders>
            <w:vAlign w:val="center"/>
          </w:tcPr>
          <w:p w:rsidR="00AB109F" w:rsidRPr="00E97DD6" w:rsidRDefault="00AB109F" w:rsidP="00A523E7">
            <w:pPr>
              <w:keepNext/>
              <w:spacing w:after="0" w:line="240" w:lineRule="auto"/>
              <w:jc w:val="right"/>
              <w:rPr>
                <w:rFonts w:asciiTheme="minorHAnsi" w:hAnsiTheme="minorHAnsi" w:cs="Calibri"/>
                <w:sz w:val="20"/>
              </w:rPr>
            </w:pPr>
            <w:r w:rsidRPr="00E97DD6">
              <w:rPr>
                <w:rFonts w:asciiTheme="minorHAnsi" w:hAnsiTheme="minorHAnsi" w:cs="Calibri"/>
                <w:sz w:val="20"/>
              </w:rPr>
              <w:t>$0</w:t>
            </w:r>
          </w:p>
        </w:tc>
      </w:tr>
      <w:tr w:rsidR="00AB109F" w:rsidRPr="00D22869" w:rsidTr="00A523E7">
        <w:trPr>
          <w:cantSplit/>
          <w:jc w:val="center"/>
        </w:trPr>
        <w:tc>
          <w:tcPr>
            <w:tcW w:w="1334" w:type="dxa"/>
            <w:tcBorders>
              <w:top w:val="single" w:sz="4" w:space="0" w:color="auto"/>
            </w:tcBorders>
            <w:vAlign w:val="center"/>
          </w:tcPr>
          <w:p w:rsidR="00AB109F" w:rsidRPr="00E97DD6" w:rsidRDefault="00AB109F" w:rsidP="00A523E7">
            <w:pPr>
              <w:keepNext/>
              <w:spacing w:after="0" w:line="240" w:lineRule="auto"/>
              <w:ind w:left="28"/>
              <w:rPr>
                <w:rFonts w:asciiTheme="minorHAnsi" w:hAnsiTheme="minorHAnsi"/>
                <w:sz w:val="20"/>
              </w:rPr>
            </w:pPr>
            <w:r w:rsidRPr="00E97DD6">
              <w:rPr>
                <w:rFonts w:asciiTheme="minorHAnsi" w:hAnsiTheme="minorHAnsi"/>
                <w:sz w:val="20"/>
              </w:rPr>
              <w:t>Total</w:t>
            </w:r>
          </w:p>
        </w:tc>
        <w:tc>
          <w:tcPr>
            <w:tcW w:w="1297" w:type="dxa"/>
            <w:tcBorders>
              <w:top w:val="single"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$1,153,235 </w:t>
            </w:r>
          </w:p>
        </w:tc>
        <w:tc>
          <w:tcPr>
            <w:tcW w:w="1297" w:type="dxa"/>
            <w:tcBorders>
              <w:top w:val="single"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$635,252 </w:t>
            </w:r>
          </w:p>
        </w:tc>
        <w:tc>
          <w:tcPr>
            <w:tcW w:w="1297" w:type="dxa"/>
            <w:tcBorders>
              <w:top w:val="single"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$428,058 </w:t>
            </w:r>
          </w:p>
        </w:tc>
        <w:tc>
          <w:tcPr>
            <w:tcW w:w="1297" w:type="dxa"/>
            <w:tcBorders>
              <w:top w:val="single" w:sz="4" w:space="0" w:color="auto"/>
            </w:tcBorders>
            <w:vAlign w:val="center"/>
          </w:tcPr>
          <w:p w:rsidR="00AB109F" w:rsidRPr="00E97DD6" w:rsidRDefault="00AB109F" w:rsidP="00A523E7">
            <w:pPr>
              <w:spacing w:after="0" w:line="240" w:lineRule="auto"/>
              <w:jc w:val="right"/>
              <w:rPr>
                <w:rFonts w:asciiTheme="minorHAnsi" w:hAnsiTheme="minorHAnsi"/>
                <w:sz w:val="20"/>
                <w:szCs w:val="20"/>
              </w:rPr>
            </w:pPr>
            <w:r w:rsidRPr="00E97DD6">
              <w:rPr>
                <w:rFonts w:asciiTheme="minorHAnsi" w:hAnsiTheme="minorHAnsi"/>
                <w:sz w:val="20"/>
                <w:szCs w:val="20"/>
              </w:rPr>
              <w:t xml:space="preserve"> $220,865 </w:t>
            </w:r>
          </w:p>
        </w:tc>
      </w:tr>
    </w:tbl>
    <w:p w:rsidR="00AB109F" w:rsidRDefault="00AB109F" w:rsidP="00EF62F6">
      <w:pPr>
        <w:pStyle w:val="NoSpacing"/>
      </w:pPr>
    </w:p>
    <w:p w:rsidR="00AB109F" w:rsidRPr="00BE59A4" w:rsidRDefault="00AB109F" w:rsidP="00EF62F6">
      <w:pPr>
        <w:pStyle w:val="TableTitle"/>
        <w:rPr>
          <w:szCs w:val="20"/>
        </w:rPr>
      </w:pPr>
      <w:r w:rsidRPr="00701459">
        <w:t xml:space="preserve">Table </w:t>
      </w:r>
      <w:r>
        <w:t>14</w:t>
      </w:r>
      <w:r w:rsidRPr="00701459">
        <w:t>:</w:t>
      </w:r>
      <w:r w:rsidRPr="00701459">
        <w:br/>
      </w:r>
      <w:r>
        <w:t xml:space="preserve">Total </w:t>
      </w:r>
      <w:r w:rsidR="00E73430">
        <w:t xml:space="preserve">Draft </w:t>
      </w:r>
      <w:r>
        <w:t xml:space="preserve">Formulary Drug Costs </w:t>
      </w:r>
      <w:r w:rsidR="00385831">
        <w:t>by</w:t>
      </w:r>
      <w:r>
        <w:t xml:space="preserve"> Quantity Dispensed</w:t>
      </w:r>
      <w:r w:rsidR="00EF62F6">
        <w:br/>
      </w:r>
      <w:r>
        <w:t>for All Formulary Drugs</w:t>
      </w:r>
    </w:p>
    <w:tbl>
      <w:tblPr>
        <w:tblW w:w="6522" w:type="dxa"/>
        <w:jc w:val="center"/>
        <w:tblCellMar>
          <w:top w:w="14" w:type="dxa"/>
          <w:left w:w="58" w:type="dxa"/>
          <w:bottom w:w="14" w:type="dxa"/>
          <w:right w:w="58" w:type="dxa"/>
        </w:tblCellMar>
        <w:tblLook w:val="04A0"/>
      </w:tblPr>
      <w:tblGrid>
        <w:gridCol w:w="1334"/>
        <w:gridCol w:w="1297"/>
        <w:gridCol w:w="1297"/>
        <w:gridCol w:w="1297"/>
        <w:gridCol w:w="1297"/>
      </w:tblGrid>
      <w:tr w:rsidR="00AB109F" w:rsidRPr="00AF7484" w:rsidTr="00665E4A">
        <w:trPr>
          <w:cantSplit/>
          <w:jc w:val="center"/>
        </w:trPr>
        <w:tc>
          <w:tcPr>
            <w:tcW w:w="1334" w:type="dxa"/>
            <w:tcBorders>
              <w:bottom w:val="single" w:sz="4" w:space="0" w:color="auto"/>
            </w:tcBorders>
            <w:vAlign w:val="center"/>
          </w:tcPr>
          <w:p w:rsidR="00AB109F" w:rsidRPr="005731AB" w:rsidRDefault="00AB109F" w:rsidP="00665E4A">
            <w:pPr>
              <w:keepNext/>
              <w:spacing w:after="0" w:line="240" w:lineRule="auto"/>
              <w:jc w:val="center"/>
              <w:rPr>
                <w:rFonts w:ascii="Calibri" w:hAnsi="Calibri"/>
                <w:sz w:val="20"/>
              </w:rPr>
            </w:pPr>
          </w:p>
        </w:tc>
        <w:tc>
          <w:tcPr>
            <w:tcW w:w="1297" w:type="dxa"/>
            <w:tcBorders>
              <w:bottom w:val="single" w:sz="4" w:space="0" w:color="auto"/>
            </w:tcBorders>
            <w:vAlign w:val="center"/>
          </w:tcPr>
          <w:p w:rsidR="00AB109F" w:rsidRDefault="00AB109F" w:rsidP="00665E4A">
            <w:pPr>
              <w:keepNext/>
              <w:spacing w:after="0" w:line="240" w:lineRule="auto"/>
              <w:jc w:val="center"/>
              <w:rPr>
                <w:rFonts w:ascii="Calibri" w:hAnsi="Calibri"/>
                <w:sz w:val="20"/>
              </w:rPr>
            </w:pPr>
          </w:p>
        </w:tc>
        <w:tc>
          <w:tcPr>
            <w:tcW w:w="3891" w:type="dxa"/>
            <w:gridSpan w:val="3"/>
            <w:tcBorders>
              <w:bottom w:val="single" w:sz="4" w:space="0" w:color="auto"/>
            </w:tcBorders>
            <w:vAlign w:val="center"/>
          </w:tcPr>
          <w:p w:rsidR="00AB109F" w:rsidRPr="00AF7484" w:rsidRDefault="00AB109F" w:rsidP="00665E4A">
            <w:pPr>
              <w:keepNext/>
              <w:spacing w:after="0" w:line="240" w:lineRule="auto"/>
              <w:jc w:val="center"/>
              <w:rPr>
                <w:rFonts w:ascii="Calibri" w:hAnsi="Calibri"/>
                <w:sz w:val="20"/>
              </w:rPr>
            </w:pPr>
            <w:r w:rsidRPr="00AF7484">
              <w:rPr>
                <w:rFonts w:ascii="Calibri" w:hAnsi="Calibri"/>
                <w:sz w:val="20"/>
              </w:rPr>
              <w:t>Conversion Rate</w:t>
            </w:r>
          </w:p>
        </w:tc>
      </w:tr>
      <w:tr w:rsidR="00AB109F" w:rsidRPr="00AF7484" w:rsidTr="00665E4A">
        <w:trPr>
          <w:cantSplit/>
          <w:jc w:val="center"/>
        </w:trPr>
        <w:tc>
          <w:tcPr>
            <w:tcW w:w="1334" w:type="dxa"/>
            <w:tcBorders>
              <w:bottom w:val="single" w:sz="4" w:space="0" w:color="auto"/>
            </w:tcBorders>
            <w:vAlign w:val="center"/>
          </w:tcPr>
          <w:p w:rsidR="00AB109F" w:rsidRPr="00AF7484" w:rsidRDefault="00AB109F" w:rsidP="00665E4A">
            <w:pPr>
              <w:keepNext/>
              <w:spacing w:after="0" w:line="240" w:lineRule="auto"/>
              <w:rPr>
                <w:rFonts w:ascii="Calibri" w:hAnsi="Calibri"/>
                <w:sz w:val="20"/>
              </w:rPr>
            </w:pPr>
          </w:p>
        </w:tc>
        <w:tc>
          <w:tcPr>
            <w:tcW w:w="1297" w:type="dxa"/>
            <w:tcBorders>
              <w:bottom w:val="single" w:sz="4" w:space="0" w:color="auto"/>
            </w:tcBorders>
            <w:vAlign w:val="center"/>
          </w:tcPr>
          <w:p w:rsidR="00AB109F" w:rsidRPr="00AF7484" w:rsidRDefault="00AB109F" w:rsidP="000437CC">
            <w:pPr>
              <w:keepNext/>
              <w:spacing w:after="0" w:line="240" w:lineRule="auto"/>
              <w:jc w:val="right"/>
              <w:rPr>
                <w:rFonts w:ascii="Calibri" w:hAnsi="Calibri"/>
                <w:sz w:val="20"/>
              </w:rPr>
            </w:pPr>
            <w:r w:rsidRPr="00AF7484">
              <w:rPr>
                <w:rFonts w:ascii="Calibri" w:hAnsi="Calibri"/>
                <w:sz w:val="20"/>
              </w:rPr>
              <w:t xml:space="preserve">No </w:t>
            </w:r>
            <w:r w:rsidR="000437CC">
              <w:rPr>
                <w:rFonts w:ascii="Calibri" w:hAnsi="Calibri"/>
                <w:sz w:val="20"/>
              </w:rPr>
              <w:t>Formulary</w:t>
            </w:r>
          </w:p>
        </w:tc>
        <w:tc>
          <w:tcPr>
            <w:tcW w:w="1297" w:type="dxa"/>
            <w:tcBorders>
              <w:bottom w:val="single" w:sz="4" w:space="0" w:color="auto"/>
            </w:tcBorders>
            <w:vAlign w:val="center"/>
          </w:tcPr>
          <w:p w:rsidR="00AB109F" w:rsidRPr="00AF7484" w:rsidRDefault="00AB109F" w:rsidP="00665E4A">
            <w:pPr>
              <w:keepNext/>
              <w:spacing w:after="0" w:line="240" w:lineRule="auto"/>
              <w:jc w:val="right"/>
              <w:rPr>
                <w:rFonts w:ascii="Calibri" w:hAnsi="Calibri"/>
                <w:sz w:val="20"/>
              </w:rPr>
            </w:pPr>
            <w:r w:rsidRPr="00AF7484">
              <w:rPr>
                <w:rFonts w:ascii="Calibri" w:hAnsi="Calibri"/>
                <w:sz w:val="20"/>
              </w:rPr>
              <w:t>50%</w:t>
            </w:r>
          </w:p>
        </w:tc>
        <w:tc>
          <w:tcPr>
            <w:tcW w:w="1297" w:type="dxa"/>
            <w:tcBorders>
              <w:bottom w:val="single" w:sz="4" w:space="0" w:color="auto"/>
            </w:tcBorders>
            <w:vAlign w:val="center"/>
          </w:tcPr>
          <w:p w:rsidR="00AB109F" w:rsidRPr="00AF7484" w:rsidRDefault="00AB109F" w:rsidP="00665E4A">
            <w:pPr>
              <w:keepNext/>
              <w:spacing w:after="0" w:line="240" w:lineRule="auto"/>
              <w:jc w:val="right"/>
              <w:rPr>
                <w:rFonts w:ascii="Calibri" w:hAnsi="Calibri"/>
                <w:sz w:val="20"/>
              </w:rPr>
            </w:pPr>
            <w:r w:rsidRPr="00AF7484">
              <w:rPr>
                <w:rFonts w:ascii="Calibri" w:hAnsi="Calibri"/>
                <w:sz w:val="20"/>
              </w:rPr>
              <w:t>70%</w:t>
            </w:r>
          </w:p>
        </w:tc>
        <w:tc>
          <w:tcPr>
            <w:tcW w:w="1297" w:type="dxa"/>
            <w:tcBorders>
              <w:bottom w:val="single" w:sz="4" w:space="0" w:color="auto"/>
            </w:tcBorders>
            <w:vAlign w:val="center"/>
          </w:tcPr>
          <w:p w:rsidR="00AB109F" w:rsidRPr="00AF7484" w:rsidRDefault="00AB109F" w:rsidP="00665E4A">
            <w:pPr>
              <w:keepNext/>
              <w:spacing w:after="0" w:line="240" w:lineRule="auto"/>
              <w:jc w:val="right"/>
              <w:rPr>
                <w:rFonts w:ascii="Calibri" w:hAnsi="Calibri"/>
                <w:sz w:val="20"/>
              </w:rPr>
            </w:pPr>
            <w:r w:rsidRPr="00AF7484">
              <w:rPr>
                <w:rFonts w:ascii="Calibri" w:hAnsi="Calibri"/>
                <w:sz w:val="20"/>
              </w:rPr>
              <w:t>90%</w:t>
            </w:r>
          </w:p>
        </w:tc>
      </w:tr>
      <w:tr w:rsidR="00AB109F" w:rsidRPr="00AF7484" w:rsidTr="00665E4A">
        <w:trPr>
          <w:cantSplit/>
          <w:jc w:val="center"/>
        </w:trPr>
        <w:tc>
          <w:tcPr>
            <w:tcW w:w="1334" w:type="dxa"/>
            <w:tcBorders>
              <w:top w:val="single" w:sz="4" w:space="0" w:color="auto"/>
              <w:bottom w:val="dashSmallGap" w:sz="4" w:space="0" w:color="auto"/>
            </w:tcBorders>
            <w:vAlign w:val="center"/>
          </w:tcPr>
          <w:p w:rsidR="00AB109F" w:rsidRPr="00AF7484" w:rsidRDefault="00AB109F" w:rsidP="00665E4A">
            <w:pPr>
              <w:keepNext/>
              <w:spacing w:after="0" w:line="240" w:lineRule="auto"/>
              <w:rPr>
                <w:rFonts w:asciiTheme="minorHAnsi" w:hAnsiTheme="minorHAnsi"/>
                <w:sz w:val="20"/>
              </w:rPr>
            </w:pPr>
            <w:r w:rsidRPr="00AF7484">
              <w:rPr>
                <w:rFonts w:asciiTheme="minorHAnsi" w:hAnsiTheme="minorHAnsi"/>
                <w:sz w:val="20"/>
              </w:rPr>
              <w:t>HPHR Opioids</w:t>
            </w:r>
          </w:p>
        </w:tc>
        <w:tc>
          <w:tcPr>
            <w:tcW w:w="1297" w:type="dxa"/>
            <w:tcBorders>
              <w:top w:val="single" w:sz="4" w:space="0" w:color="auto"/>
              <w:bottom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$1,312,424 </w:t>
            </w:r>
          </w:p>
        </w:tc>
        <w:tc>
          <w:tcPr>
            <w:tcW w:w="1297" w:type="dxa"/>
            <w:tcBorders>
              <w:top w:val="single" w:sz="4" w:space="0" w:color="auto"/>
              <w:bottom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$742,201 </w:t>
            </w:r>
          </w:p>
        </w:tc>
        <w:tc>
          <w:tcPr>
            <w:tcW w:w="1297" w:type="dxa"/>
            <w:tcBorders>
              <w:top w:val="single" w:sz="4" w:space="0" w:color="auto"/>
              <w:bottom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$514,112 </w:t>
            </w:r>
          </w:p>
        </w:tc>
        <w:tc>
          <w:tcPr>
            <w:tcW w:w="1297" w:type="dxa"/>
            <w:tcBorders>
              <w:top w:val="single" w:sz="4" w:space="0" w:color="auto"/>
              <w:bottom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$286,022 </w:t>
            </w:r>
          </w:p>
        </w:tc>
      </w:tr>
      <w:tr w:rsidR="00AB109F" w:rsidRPr="00AF7484" w:rsidTr="00665E4A">
        <w:trPr>
          <w:cantSplit/>
          <w:jc w:val="center"/>
        </w:trPr>
        <w:tc>
          <w:tcPr>
            <w:tcW w:w="1334" w:type="dxa"/>
            <w:tcBorders>
              <w:top w:val="dashSmallGap" w:sz="4" w:space="0" w:color="auto"/>
            </w:tcBorders>
            <w:vAlign w:val="center"/>
          </w:tcPr>
          <w:p w:rsidR="00AB109F" w:rsidRPr="00AF7484" w:rsidRDefault="00365D96" w:rsidP="00665E4A">
            <w:pPr>
              <w:keepNext/>
              <w:spacing w:after="0" w:line="240" w:lineRule="auto"/>
              <w:ind w:left="208"/>
              <w:rPr>
                <w:rFonts w:asciiTheme="minorHAnsi" w:hAnsiTheme="minorHAnsi"/>
                <w:sz w:val="20"/>
              </w:rPr>
            </w:pPr>
            <w:r>
              <w:rPr>
                <w:rFonts w:asciiTheme="minorHAnsi" w:hAnsiTheme="minorHAnsi"/>
                <w:sz w:val="20"/>
              </w:rPr>
              <w:t>Avinza</w:t>
            </w:r>
          </w:p>
        </w:tc>
        <w:tc>
          <w:tcPr>
            <w:tcW w:w="1297" w:type="dxa"/>
            <w:tcBorders>
              <w:top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$21,005 </w:t>
            </w:r>
          </w:p>
        </w:tc>
        <w:tc>
          <w:tcPr>
            <w:tcW w:w="1297" w:type="dxa"/>
            <w:tcBorders>
              <w:top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$11,583 </w:t>
            </w:r>
          </w:p>
        </w:tc>
        <w:tc>
          <w:tcPr>
            <w:tcW w:w="1297" w:type="dxa"/>
            <w:tcBorders>
              <w:top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$7,814 </w:t>
            </w:r>
          </w:p>
        </w:tc>
        <w:tc>
          <w:tcPr>
            <w:tcW w:w="1297" w:type="dxa"/>
            <w:tcBorders>
              <w:top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$4,045 </w:t>
            </w:r>
          </w:p>
        </w:tc>
      </w:tr>
      <w:tr w:rsidR="00AB109F" w:rsidRPr="00AF7484" w:rsidTr="00665E4A">
        <w:trPr>
          <w:cantSplit/>
          <w:jc w:val="center"/>
        </w:trPr>
        <w:tc>
          <w:tcPr>
            <w:tcW w:w="1334" w:type="dxa"/>
            <w:vAlign w:val="center"/>
          </w:tcPr>
          <w:p w:rsidR="00AB109F" w:rsidRPr="00AF7484" w:rsidRDefault="00AB109F" w:rsidP="00665E4A">
            <w:pPr>
              <w:keepNext/>
              <w:spacing w:after="0" w:line="240" w:lineRule="auto"/>
              <w:ind w:left="208"/>
              <w:rPr>
                <w:rFonts w:asciiTheme="minorHAnsi" w:hAnsiTheme="minorHAnsi"/>
                <w:sz w:val="20"/>
              </w:rPr>
            </w:pPr>
            <w:r w:rsidRPr="00AF7484">
              <w:rPr>
                <w:rFonts w:asciiTheme="minorHAnsi" w:hAnsiTheme="minorHAnsi"/>
                <w:sz w:val="20"/>
              </w:rPr>
              <w:t>Kadian</w:t>
            </w:r>
          </w:p>
        </w:tc>
        <w:tc>
          <w:tcPr>
            <w:tcW w:w="1297" w:type="dxa"/>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$324,579 </w:t>
            </w:r>
          </w:p>
        </w:tc>
        <w:tc>
          <w:tcPr>
            <w:tcW w:w="1297" w:type="dxa"/>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$167,175 </w:t>
            </w:r>
          </w:p>
        </w:tc>
        <w:tc>
          <w:tcPr>
            <w:tcW w:w="1297" w:type="dxa"/>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$104,213 </w:t>
            </w:r>
          </w:p>
        </w:tc>
        <w:tc>
          <w:tcPr>
            <w:tcW w:w="1297" w:type="dxa"/>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$41,252 </w:t>
            </w:r>
          </w:p>
        </w:tc>
      </w:tr>
      <w:tr w:rsidR="00AB109F" w:rsidRPr="00AF7484" w:rsidTr="00665E4A">
        <w:trPr>
          <w:cantSplit/>
          <w:jc w:val="center"/>
        </w:trPr>
        <w:tc>
          <w:tcPr>
            <w:tcW w:w="1334" w:type="dxa"/>
            <w:vAlign w:val="center"/>
          </w:tcPr>
          <w:p w:rsidR="00AB109F" w:rsidRPr="00AF7484" w:rsidRDefault="00AB109F" w:rsidP="00665E4A">
            <w:pPr>
              <w:keepNext/>
              <w:spacing w:after="0" w:line="240" w:lineRule="auto"/>
              <w:ind w:left="208"/>
              <w:rPr>
                <w:rFonts w:asciiTheme="minorHAnsi" w:hAnsiTheme="minorHAnsi"/>
                <w:sz w:val="20"/>
              </w:rPr>
            </w:pPr>
            <w:r w:rsidRPr="00AF7484">
              <w:rPr>
                <w:rFonts w:asciiTheme="minorHAnsi" w:hAnsiTheme="minorHAnsi"/>
                <w:sz w:val="20"/>
              </w:rPr>
              <w:t>MS Contin</w:t>
            </w:r>
          </w:p>
        </w:tc>
        <w:tc>
          <w:tcPr>
            <w:tcW w:w="1297" w:type="dxa"/>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$864,315 </w:t>
            </w:r>
          </w:p>
        </w:tc>
        <w:tc>
          <w:tcPr>
            <w:tcW w:w="1297" w:type="dxa"/>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$485,331 </w:t>
            </w:r>
          </w:p>
        </w:tc>
        <w:tc>
          <w:tcPr>
            <w:tcW w:w="1297" w:type="dxa"/>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$333,737 </w:t>
            </w:r>
          </w:p>
        </w:tc>
        <w:tc>
          <w:tcPr>
            <w:tcW w:w="1297" w:type="dxa"/>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$182,143 </w:t>
            </w:r>
          </w:p>
        </w:tc>
      </w:tr>
      <w:tr w:rsidR="00AB109F" w:rsidRPr="00AF7484" w:rsidTr="00665E4A">
        <w:trPr>
          <w:cantSplit/>
          <w:jc w:val="center"/>
        </w:trPr>
        <w:tc>
          <w:tcPr>
            <w:tcW w:w="1334" w:type="dxa"/>
            <w:tcBorders>
              <w:bottom w:val="single" w:sz="4" w:space="0" w:color="auto"/>
            </w:tcBorders>
            <w:vAlign w:val="center"/>
          </w:tcPr>
          <w:p w:rsidR="00AB109F" w:rsidRPr="00AF7484" w:rsidRDefault="00AB109F" w:rsidP="00665E4A">
            <w:pPr>
              <w:keepNext/>
              <w:spacing w:after="0" w:line="240" w:lineRule="auto"/>
              <w:ind w:left="208"/>
              <w:rPr>
                <w:rFonts w:asciiTheme="minorHAnsi" w:hAnsiTheme="minorHAnsi"/>
                <w:sz w:val="20"/>
              </w:rPr>
            </w:pPr>
            <w:r w:rsidRPr="00AF7484">
              <w:rPr>
                <w:rFonts w:asciiTheme="minorHAnsi" w:hAnsiTheme="minorHAnsi"/>
                <w:sz w:val="20"/>
              </w:rPr>
              <w:t>Zohydro</w:t>
            </w:r>
          </w:p>
        </w:tc>
        <w:tc>
          <w:tcPr>
            <w:tcW w:w="1297" w:type="dxa"/>
            <w:tcBorders>
              <w:bottom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$102,525 </w:t>
            </w:r>
          </w:p>
        </w:tc>
        <w:tc>
          <w:tcPr>
            <w:tcW w:w="1297" w:type="dxa"/>
            <w:tcBorders>
              <w:bottom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$78,113 </w:t>
            </w:r>
          </w:p>
        </w:tc>
        <w:tc>
          <w:tcPr>
            <w:tcW w:w="1297" w:type="dxa"/>
            <w:tcBorders>
              <w:bottom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$68,348 </w:t>
            </w:r>
          </w:p>
        </w:tc>
        <w:tc>
          <w:tcPr>
            <w:tcW w:w="1297" w:type="dxa"/>
            <w:tcBorders>
              <w:bottom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$58,583 </w:t>
            </w:r>
          </w:p>
        </w:tc>
      </w:tr>
      <w:tr w:rsidR="00AB109F" w:rsidRPr="00AF7484" w:rsidTr="00665E4A">
        <w:trPr>
          <w:cantSplit/>
          <w:jc w:val="center"/>
        </w:trPr>
        <w:tc>
          <w:tcPr>
            <w:tcW w:w="1334" w:type="dxa"/>
            <w:tcBorders>
              <w:top w:val="single" w:sz="4" w:space="0" w:color="auto"/>
              <w:bottom w:val="dashSmallGap" w:sz="4" w:space="0" w:color="auto"/>
            </w:tcBorders>
            <w:vAlign w:val="center"/>
          </w:tcPr>
          <w:p w:rsidR="00AB109F" w:rsidRPr="00AF7484" w:rsidRDefault="00AB109F" w:rsidP="00665E4A">
            <w:pPr>
              <w:keepNext/>
              <w:spacing w:after="0" w:line="240" w:lineRule="auto"/>
              <w:rPr>
                <w:rFonts w:asciiTheme="minorHAnsi" w:hAnsiTheme="minorHAnsi"/>
                <w:sz w:val="20"/>
              </w:rPr>
            </w:pPr>
            <w:r w:rsidRPr="00AF7484">
              <w:rPr>
                <w:rFonts w:asciiTheme="minorHAnsi" w:hAnsiTheme="minorHAnsi"/>
                <w:sz w:val="20"/>
              </w:rPr>
              <w:t>ADOs</w:t>
            </w:r>
          </w:p>
        </w:tc>
        <w:tc>
          <w:tcPr>
            <w:tcW w:w="1297" w:type="dxa"/>
            <w:tcBorders>
              <w:top w:val="single" w:sz="4" w:space="0" w:color="auto"/>
              <w:bottom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$76,107 </w:t>
            </w:r>
          </w:p>
        </w:tc>
        <w:tc>
          <w:tcPr>
            <w:tcW w:w="1297" w:type="dxa"/>
            <w:tcBorders>
              <w:top w:val="single" w:sz="4" w:space="0" w:color="auto"/>
              <w:bottom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$2,489,476 </w:t>
            </w:r>
          </w:p>
        </w:tc>
        <w:tc>
          <w:tcPr>
            <w:tcW w:w="1297" w:type="dxa"/>
            <w:tcBorders>
              <w:top w:val="single" w:sz="4" w:space="0" w:color="auto"/>
              <w:bottom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$3,454,824 </w:t>
            </w:r>
          </w:p>
        </w:tc>
        <w:tc>
          <w:tcPr>
            <w:tcW w:w="1297" w:type="dxa"/>
            <w:tcBorders>
              <w:top w:val="single" w:sz="4" w:space="0" w:color="auto"/>
              <w:bottom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$4,420,171 </w:t>
            </w:r>
          </w:p>
        </w:tc>
      </w:tr>
      <w:tr w:rsidR="00AB109F" w:rsidRPr="00AF7484" w:rsidTr="00665E4A">
        <w:trPr>
          <w:cantSplit/>
          <w:jc w:val="center"/>
        </w:trPr>
        <w:tc>
          <w:tcPr>
            <w:tcW w:w="1334" w:type="dxa"/>
            <w:tcBorders>
              <w:top w:val="dashSmallGap" w:sz="4" w:space="0" w:color="auto"/>
            </w:tcBorders>
            <w:vAlign w:val="center"/>
          </w:tcPr>
          <w:p w:rsidR="00AB109F" w:rsidRPr="00AF7484" w:rsidRDefault="00AB109F" w:rsidP="00665E4A">
            <w:pPr>
              <w:keepNext/>
              <w:spacing w:after="0" w:line="240" w:lineRule="auto"/>
              <w:ind w:left="208"/>
              <w:rPr>
                <w:rFonts w:asciiTheme="minorHAnsi" w:hAnsiTheme="minorHAnsi"/>
                <w:sz w:val="20"/>
              </w:rPr>
            </w:pPr>
            <w:r w:rsidRPr="00AF7484">
              <w:rPr>
                <w:rFonts w:asciiTheme="minorHAnsi" w:hAnsiTheme="minorHAnsi"/>
                <w:sz w:val="20"/>
              </w:rPr>
              <w:t>Embeda</w:t>
            </w:r>
          </w:p>
        </w:tc>
        <w:tc>
          <w:tcPr>
            <w:tcW w:w="1297" w:type="dxa"/>
            <w:tcBorders>
              <w:top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$42,908 </w:t>
            </w:r>
          </w:p>
        </w:tc>
        <w:tc>
          <w:tcPr>
            <w:tcW w:w="1297" w:type="dxa"/>
            <w:tcBorders>
              <w:top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$2,426,301 </w:t>
            </w:r>
          </w:p>
        </w:tc>
        <w:tc>
          <w:tcPr>
            <w:tcW w:w="1297" w:type="dxa"/>
            <w:tcBorders>
              <w:top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$3,379,658 </w:t>
            </w:r>
          </w:p>
        </w:tc>
        <w:tc>
          <w:tcPr>
            <w:tcW w:w="1297" w:type="dxa"/>
            <w:tcBorders>
              <w:top w:val="dashSmallGap"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$4,333,015 </w:t>
            </w:r>
          </w:p>
        </w:tc>
      </w:tr>
      <w:tr w:rsidR="00AB109F" w:rsidRPr="00AF7484" w:rsidTr="00665E4A">
        <w:trPr>
          <w:cantSplit/>
          <w:jc w:val="center"/>
        </w:trPr>
        <w:tc>
          <w:tcPr>
            <w:tcW w:w="1334" w:type="dxa"/>
            <w:tcBorders>
              <w:bottom w:val="single" w:sz="4" w:space="0" w:color="auto"/>
            </w:tcBorders>
            <w:vAlign w:val="center"/>
          </w:tcPr>
          <w:p w:rsidR="00AB109F" w:rsidRPr="00AF7484" w:rsidRDefault="00AB109F" w:rsidP="00665E4A">
            <w:pPr>
              <w:keepNext/>
              <w:spacing w:after="0" w:line="240" w:lineRule="auto"/>
              <w:ind w:left="208"/>
              <w:rPr>
                <w:rFonts w:asciiTheme="minorHAnsi" w:hAnsiTheme="minorHAnsi"/>
                <w:sz w:val="20"/>
              </w:rPr>
            </w:pPr>
            <w:r w:rsidRPr="00AF7484">
              <w:rPr>
                <w:rFonts w:asciiTheme="minorHAnsi" w:hAnsiTheme="minorHAnsi"/>
                <w:sz w:val="20"/>
              </w:rPr>
              <w:t>Hysingla</w:t>
            </w:r>
          </w:p>
        </w:tc>
        <w:tc>
          <w:tcPr>
            <w:tcW w:w="1297" w:type="dxa"/>
            <w:tcBorders>
              <w:bottom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$33,199 </w:t>
            </w:r>
          </w:p>
        </w:tc>
        <w:tc>
          <w:tcPr>
            <w:tcW w:w="1297" w:type="dxa"/>
            <w:tcBorders>
              <w:bottom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$63,175 </w:t>
            </w:r>
          </w:p>
        </w:tc>
        <w:tc>
          <w:tcPr>
            <w:tcW w:w="1297" w:type="dxa"/>
            <w:tcBorders>
              <w:bottom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$75,165 </w:t>
            </w:r>
          </w:p>
        </w:tc>
        <w:tc>
          <w:tcPr>
            <w:tcW w:w="1297" w:type="dxa"/>
            <w:tcBorders>
              <w:bottom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$87,156 </w:t>
            </w:r>
          </w:p>
        </w:tc>
      </w:tr>
      <w:tr w:rsidR="00AB109F" w:rsidRPr="00D22869" w:rsidTr="00665E4A">
        <w:trPr>
          <w:cantSplit/>
          <w:jc w:val="center"/>
        </w:trPr>
        <w:tc>
          <w:tcPr>
            <w:tcW w:w="1334" w:type="dxa"/>
            <w:tcBorders>
              <w:top w:val="single" w:sz="4" w:space="0" w:color="auto"/>
            </w:tcBorders>
            <w:vAlign w:val="center"/>
          </w:tcPr>
          <w:p w:rsidR="00AB109F" w:rsidRPr="00AF7484" w:rsidRDefault="00AB109F" w:rsidP="00665E4A">
            <w:pPr>
              <w:keepNext/>
              <w:spacing w:after="0" w:line="240" w:lineRule="auto"/>
              <w:ind w:left="28"/>
              <w:rPr>
                <w:rFonts w:asciiTheme="minorHAnsi" w:hAnsiTheme="minorHAnsi"/>
                <w:sz w:val="20"/>
              </w:rPr>
            </w:pPr>
            <w:r w:rsidRPr="00AF7484">
              <w:rPr>
                <w:rFonts w:asciiTheme="minorHAnsi" w:hAnsiTheme="minorHAnsi"/>
                <w:sz w:val="20"/>
              </w:rPr>
              <w:t>Total</w:t>
            </w:r>
          </w:p>
        </w:tc>
        <w:tc>
          <w:tcPr>
            <w:tcW w:w="1297" w:type="dxa"/>
            <w:tcBorders>
              <w:top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$1,388,530 </w:t>
            </w:r>
          </w:p>
        </w:tc>
        <w:tc>
          <w:tcPr>
            <w:tcW w:w="1297" w:type="dxa"/>
            <w:tcBorders>
              <w:top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$3,231,677 </w:t>
            </w:r>
          </w:p>
        </w:tc>
        <w:tc>
          <w:tcPr>
            <w:tcW w:w="1297" w:type="dxa"/>
            <w:tcBorders>
              <w:top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$3,968,935 </w:t>
            </w:r>
          </w:p>
        </w:tc>
        <w:tc>
          <w:tcPr>
            <w:tcW w:w="1297" w:type="dxa"/>
            <w:tcBorders>
              <w:top w:val="single" w:sz="4" w:space="0" w:color="auto"/>
            </w:tcBorders>
            <w:vAlign w:val="center"/>
          </w:tcPr>
          <w:p w:rsidR="00AB109F" w:rsidRPr="00AF7484" w:rsidRDefault="00AB109F" w:rsidP="00665E4A">
            <w:pPr>
              <w:spacing w:after="0" w:line="240" w:lineRule="auto"/>
              <w:jc w:val="right"/>
              <w:rPr>
                <w:rFonts w:asciiTheme="minorHAnsi" w:hAnsiTheme="minorHAnsi"/>
                <w:sz w:val="20"/>
              </w:rPr>
            </w:pPr>
            <w:r w:rsidRPr="00AF7484">
              <w:rPr>
                <w:rFonts w:asciiTheme="minorHAnsi" w:hAnsiTheme="minorHAnsi"/>
                <w:sz w:val="20"/>
              </w:rPr>
              <w:t xml:space="preserve"> $4,706,193 </w:t>
            </w:r>
          </w:p>
        </w:tc>
      </w:tr>
    </w:tbl>
    <w:p w:rsidR="00EF62F6" w:rsidRDefault="00EF62F6" w:rsidP="00EF62F6">
      <w:pPr>
        <w:pStyle w:val="NoSpacing"/>
      </w:pPr>
    </w:p>
    <w:p w:rsidR="00AB109F" w:rsidRDefault="00AB109F" w:rsidP="00AB109F">
      <w:pPr>
        <w:pStyle w:val="Heading2"/>
      </w:pPr>
      <w:bookmarkStart w:id="56" w:name="_Toc468888007"/>
      <w:r w:rsidRPr="00196683">
        <w:lastRenderedPageBreak/>
        <w:t>4.</w:t>
      </w:r>
      <w:r>
        <w:t>6</w:t>
      </w:r>
      <w:r w:rsidRPr="00196683">
        <w:t xml:space="preserve">. </w:t>
      </w:r>
      <w:r>
        <w:t>Estimated marginal cost and PMPM of HPHR opioids and ADOs</w:t>
      </w:r>
      <w:bookmarkEnd w:id="56"/>
    </w:p>
    <w:p w:rsidR="00AB109F" w:rsidRDefault="00AB109F" w:rsidP="00AB109F">
      <w:r>
        <w:t xml:space="preserve">The marginal cost of the </w:t>
      </w:r>
      <w:r w:rsidR="008B1AB2">
        <w:t>substitution requirement</w:t>
      </w:r>
      <w:r>
        <w:t xml:space="preserve"> is calculated by subtracting the total formulary drug costs in the absence of the </w:t>
      </w:r>
      <w:r w:rsidR="008B1AB2">
        <w:t>requirement</w:t>
      </w:r>
      <w:r>
        <w:t xml:space="preserve"> from the total costs under each scenario.  </w:t>
      </w:r>
      <w:r w:rsidR="002B0E4F">
        <w:t>Table 15 displays the results</w:t>
      </w:r>
      <w:r>
        <w:t>.</w:t>
      </w:r>
    </w:p>
    <w:p w:rsidR="00AB109F" w:rsidRPr="00BE59A4" w:rsidRDefault="00AB109F" w:rsidP="00EF62F6">
      <w:pPr>
        <w:pStyle w:val="TableTitle"/>
        <w:rPr>
          <w:szCs w:val="20"/>
        </w:rPr>
      </w:pPr>
      <w:r w:rsidRPr="00701459">
        <w:t xml:space="preserve">Table </w:t>
      </w:r>
      <w:r>
        <w:t>15</w:t>
      </w:r>
      <w:r w:rsidRPr="00701459">
        <w:t>:</w:t>
      </w:r>
      <w:r w:rsidRPr="00701459">
        <w:br/>
      </w:r>
      <w:r>
        <w:t xml:space="preserve">Marginal Costs </w:t>
      </w:r>
      <w:r w:rsidR="00385831">
        <w:t>by</w:t>
      </w:r>
      <w:r>
        <w:t xml:space="preserve"> Quantity Dispensed</w:t>
      </w:r>
      <w:r w:rsidR="00EF62F6">
        <w:br/>
      </w:r>
      <w:r>
        <w:t xml:space="preserve">for All </w:t>
      </w:r>
      <w:r w:rsidR="00E73430">
        <w:t xml:space="preserve">Draft </w:t>
      </w:r>
      <w:r>
        <w:t>Formulary Drugs</w:t>
      </w:r>
    </w:p>
    <w:tbl>
      <w:tblPr>
        <w:tblW w:w="5225" w:type="dxa"/>
        <w:jc w:val="center"/>
        <w:tblCellMar>
          <w:top w:w="14" w:type="dxa"/>
          <w:left w:w="58" w:type="dxa"/>
          <w:bottom w:w="14" w:type="dxa"/>
          <w:right w:w="58" w:type="dxa"/>
        </w:tblCellMar>
        <w:tblLook w:val="04A0"/>
      </w:tblPr>
      <w:tblGrid>
        <w:gridCol w:w="1334"/>
        <w:gridCol w:w="1297"/>
        <w:gridCol w:w="1297"/>
        <w:gridCol w:w="1297"/>
      </w:tblGrid>
      <w:tr w:rsidR="00AB109F" w:rsidRPr="00897581" w:rsidTr="00E71B96">
        <w:trPr>
          <w:cantSplit/>
          <w:jc w:val="center"/>
        </w:trPr>
        <w:tc>
          <w:tcPr>
            <w:tcW w:w="1334" w:type="dxa"/>
            <w:tcBorders>
              <w:bottom w:val="single" w:sz="4" w:space="0" w:color="auto"/>
            </w:tcBorders>
            <w:vAlign w:val="center"/>
          </w:tcPr>
          <w:p w:rsidR="00AB109F" w:rsidRPr="005731AB" w:rsidRDefault="00AB109F" w:rsidP="00E71B96">
            <w:pPr>
              <w:keepNext/>
              <w:spacing w:after="0" w:line="240" w:lineRule="auto"/>
              <w:jc w:val="center"/>
              <w:rPr>
                <w:rFonts w:ascii="Calibri" w:hAnsi="Calibri"/>
                <w:sz w:val="20"/>
              </w:rPr>
            </w:pPr>
          </w:p>
        </w:tc>
        <w:tc>
          <w:tcPr>
            <w:tcW w:w="3891" w:type="dxa"/>
            <w:gridSpan w:val="3"/>
            <w:tcBorders>
              <w:bottom w:val="single" w:sz="4" w:space="0" w:color="auto"/>
            </w:tcBorders>
            <w:vAlign w:val="center"/>
          </w:tcPr>
          <w:p w:rsidR="00AB109F" w:rsidRPr="00897581" w:rsidRDefault="00AB109F" w:rsidP="00E71B96">
            <w:pPr>
              <w:keepNext/>
              <w:spacing w:after="0" w:line="240" w:lineRule="auto"/>
              <w:jc w:val="center"/>
              <w:rPr>
                <w:rFonts w:ascii="Calibri" w:hAnsi="Calibri"/>
                <w:sz w:val="20"/>
              </w:rPr>
            </w:pPr>
            <w:r w:rsidRPr="00897581">
              <w:rPr>
                <w:rFonts w:ascii="Calibri" w:hAnsi="Calibri"/>
                <w:sz w:val="20"/>
              </w:rPr>
              <w:t>Conversion Rate</w:t>
            </w:r>
          </w:p>
        </w:tc>
      </w:tr>
      <w:tr w:rsidR="00AB109F" w:rsidRPr="00897581" w:rsidTr="00E71B96">
        <w:trPr>
          <w:cantSplit/>
          <w:jc w:val="center"/>
        </w:trPr>
        <w:tc>
          <w:tcPr>
            <w:tcW w:w="1334" w:type="dxa"/>
            <w:tcBorders>
              <w:bottom w:val="single" w:sz="4" w:space="0" w:color="auto"/>
            </w:tcBorders>
            <w:vAlign w:val="center"/>
          </w:tcPr>
          <w:p w:rsidR="00AB109F" w:rsidRPr="00897581" w:rsidRDefault="00AB109F" w:rsidP="00E71B96">
            <w:pPr>
              <w:keepNext/>
              <w:spacing w:after="0" w:line="240" w:lineRule="auto"/>
              <w:jc w:val="right"/>
              <w:rPr>
                <w:rFonts w:ascii="Calibri" w:hAnsi="Calibri"/>
                <w:sz w:val="20"/>
              </w:rPr>
            </w:pPr>
          </w:p>
        </w:tc>
        <w:tc>
          <w:tcPr>
            <w:tcW w:w="1297" w:type="dxa"/>
            <w:tcBorders>
              <w:bottom w:val="single" w:sz="4" w:space="0" w:color="auto"/>
            </w:tcBorders>
            <w:vAlign w:val="center"/>
          </w:tcPr>
          <w:p w:rsidR="00AB109F" w:rsidRPr="00897581" w:rsidRDefault="00AB109F" w:rsidP="00E71B96">
            <w:pPr>
              <w:keepNext/>
              <w:spacing w:after="0" w:line="240" w:lineRule="auto"/>
              <w:jc w:val="right"/>
              <w:rPr>
                <w:rFonts w:ascii="Calibri" w:hAnsi="Calibri"/>
                <w:sz w:val="20"/>
              </w:rPr>
            </w:pPr>
            <w:r w:rsidRPr="00897581">
              <w:rPr>
                <w:rFonts w:ascii="Calibri" w:hAnsi="Calibri"/>
                <w:sz w:val="20"/>
              </w:rPr>
              <w:t>50%</w:t>
            </w:r>
          </w:p>
        </w:tc>
        <w:tc>
          <w:tcPr>
            <w:tcW w:w="1297" w:type="dxa"/>
            <w:tcBorders>
              <w:bottom w:val="single" w:sz="4" w:space="0" w:color="auto"/>
            </w:tcBorders>
            <w:vAlign w:val="center"/>
          </w:tcPr>
          <w:p w:rsidR="00AB109F" w:rsidRPr="00897581" w:rsidRDefault="00AB109F" w:rsidP="00E71B96">
            <w:pPr>
              <w:keepNext/>
              <w:spacing w:after="0" w:line="240" w:lineRule="auto"/>
              <w:jc w:val="right"/>
              <w:rPr>
                <w:rFonts w:ascii="Calibri" w:hAnsi="Calibri"/>
                <w:sz w:val="20"/>
              </w:rPr>
            </w:pPr>
            <w:r w:rsidRPr="00897581">
              <w:rPr>
                <w:rFonts w:ascii="Calibri" w:hAnsi="Calibri"/>
                <w:sz w:val="20"/>
              </w:rPr>
              <w:t>70%</w:t>
            </w:r>
          </w:p>
        </w:tc>
        <w:tc>
          <w:tcPr>
            <w:tcW w:w="1297" w:type="dxa"/>
            <w:tcBorders>
              <w:bottom w:val="single" w:sz="4" w:space="0" w:color="auto"/>
            </w:tcBorders>
            <w:vAlign w:val="center"/>
          </w:tcPr>
          <w:p w:rsidR="00AB109F" w:rsidRPr="00897581" w:rsidRDefault="00AB109F" w:rsidP="00E71B96">
            <w:pPr>
              <w:keepNext/>
              <w:spacing w:after="0" w:line="240" w:lineRule="auto"/>
              <w:jc w:val="right"/>
              <w:rPr>
                <w:rFonts w:ascii="Calibri" w:hAnsi="Calibri"/>
                <w:sz w:val="20"/>
              </w:rPr>
            </w:pPr>
            <w:r w:rsidRPr="00897581">
              <w:rPr>
                <w:rFonts w:ascii="Calibri" w:hAnsi="Calibri"/>
                <w:sz w:val="20"/>
              </w:rPr>
              <w:t>90%</w:t>
            </w:r>
          </w:p>
        </w:tc>
      </w:tr>
      <w:tr w:rsidR="00AB109F" w:rsidRPr="00897581" w:rsidTr="00E71B96">
        <w:trPr>
          <w:cantSplit/>
          <w:jc w:val="center"/>
        </w:trPr>
        <w:tc>
          <w:tcPr>
            <w:tcW w:w="1334" w:type="dxa"/>
            <w:tcBorders>
              <w:top w:val="single" w:sz="4" w:space="0" w:color="auto"/>
              <w:bottom w:val="dashSmallGap" w:sz="4" w:space="0" w:color="auto"/>
            </w:tcBorders>
            <w:vAlign w:val="center"/>
          </w:tcPr>
          <w:p w:rsidR="00AB109F" w:rsidRPr="00897581" w:rsidRDefault="00AB109F" w:rsidP="00E71B96">
            <w:pPr>
              <w:keepNext/>
              <w:spacing w:after="0" w:line="240" w:lineRule="auto"/>
              <w:rPr>
                <w:rFonts w:asciiTheme="minorHAnsi" w:hAnsiTheme="minorHAnsi"/>
                <w:sz w:val="20"/>
              </w:rPr>
            </w:pPr>
            <w:r w:rsidRPr="00897581">
              <w:rPr>
                <w:rFonts w:asciiTheme="minorHAnsi" w:hAnsiTheme="minorHAnsi"/>
                <w:sz w:val="20"/>
              </w:rPr>
              <w:t>HPHR Opioids</w:t>
            </w:r>
          </w:p>
        </w:tc>
        <w:tc>
          <w:tcPr>
            <w:tcW w:w="1297" w:type="dxa"/>
            <w:tcBorders>
              <w:top w:val="single" w:sz="4" w:space="0" w:color="auto"/>
              <w:bottom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$(570,223)</w:t>
            </w:r>
          </w:p>
        </w:tc>
        <w:tc>
          <w:tcPr>
            <w:tcW w:w="1297" w:type="dxa"/>
            <w:tcBorders>
              <w:top w:val="single" w:sz="4" w:space="0" w:color="auto"/>
              <w:bottom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$(798,312)</w:t>
            </w:r>
          </w:p>
        </w:tc>
        <w:tc>
          <w:tcPr>
            <w:tcW w:w="1297" w:type="dxa"/>
            <w:tcBorders>
              <w:top w:val="single" w:sz="4" w:space="0" w:color="auto"/>
              <w:bottom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$(1,026,402)</w:t>
            </w:r>
          </w:p>
        </w:tc>
      </w:tr>
      <w:tr w:rsidR="00AB109F" w:rsidRPr="00897581" w:rsidTr="00E71B96">
        <w:trPr>
          <w:cantSplit/>
          <w:jc w:val="center"/>
        </w:trPr>
        <w:tc>
          <w:tcPr>
            <w:tcW w:w="1334" w:type="dxa"/>
            <w:tcBorders>
              <w:top w:val="dashSmallGap" w:sz="4" w:space="0" w:color="auto"/>
            </w:tcBorders>
            <w:vAlign w:val="center"/>
          </w:tcPr>
          <w:p w:rsidR="00AB109F" w:rsidRPr="00897581" w:rsidRDefault="00365D96" w:rsidP="00E71B96">
            <w:pPr>
              <w:keepNext/>
              <w:spacing w:after="0" w:line="240" w:lineRule="auto"/>
              <w:ind w:left="208"/>
              <w:rPr>
                <w:rFonts w:asciiTheme="minorHAnsi" w:hAnsiTheme="minorHAnsi"/>
                <w:sz w:val="20"/>
              </w:rPr>
            </w:pPr>
            <w:r>
              <w:rPr>
                <w:rFonts w:asciiTheme="minorHAnsi" w:hAnsiTheme="minorHAnsi"/>
                <w:sz w:val="20"/>
              </w:rPr>
              <w:t>Avinza</w:t>
            </w:r>
          </w:p>
        </w:tc>
        <w:tc>
          <w:tcPr>
            <w:tcW w:w="1297" w:type="dxa"/>
            <w:tcBorders>
              <w:top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$(9,423)</w:t>
            </w:r>
          </w:p>
        </w:tc>
        <w:tc>
          <w:tcPr>
            <w:tcW w:w="1297" w:type="dxa"/>
            <w:tcBorders>
              <w:top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$(13,192)</w:t>
            </w:r>
          </w:p>
        </w:tc>
        <w:tc>
          <w:tcPr>
            <w:tcW w:w="1297" w:type="dxa"/>
            <w:tcBorders>
              <w:top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$(16,961)</w:t>
            </w:r>
          </w:p>
        </w:tc>
      </w:tr>
      <w:tr w:rsidR="00AB109F" w:rsidRPr="00897581" w:rsidTr="00E71B96">
        <w:trPr>
          <w:cantSplit/>
          <w:jc w:val="center"/>
        </w:trPr>
        <w:tc>
          <w:tcPr>
            <w:tcW w:w="1334" w:type="dxa"/>
            <w:vAlign w:val="center"/>
          </w:tcPr>
          <w:p w:rsidR="00AB109F" w:rsidRPr="00897581" w:rsidRDefault="00AB109F" w:rsidP="00E71B96">
            <w:pPr>
              <w:keepNext/>
              <w:spacing w:after="0" w:line="240" w:lineRule="auto"/>
              <w:ind w:left="208"/>
              <w:rPr>
                <w:rFonts w:asciiTheme="minorHAnsi" w:hAnsiTheme="minorHAnsi"/>
                <w:sz w:val="20"/>
              </w:rPr>
            </w:pPr>
            <w:r w:rsidRPr="00897581">
              <w:rPr>
                <w:rFonts w:asciiTheme="minorHAnsi" w:hAnsiTheme="minorHAnsi"/>
                <w:sz w:val="20"/>
              </w:rPr>
              <w:t>Kadian</w:t>
            </w:r>
          </w:p>
        </w:tc>
        <w:tc>
          <w:tcPr>
            <w:tcW w:w="1297" w:type="dxa"/>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$(157,404)</w:t>
            </w:r>
          </w:p>
        </w:tc>
        <w:tc>
          <w:tcPr>
            <w:tcW w:w="1297" w:type="dxa"/>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$(220,366)</w:t>
            </w:r>
          </w:p>
        </w:tc>
        <w:tc>
          <w:tcPr>
            <w:tcW w:w="1297" w:type="dxa"/>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$(283,327)</w:t>
            </w:r>
          </w:p>
        </w:tc>
      </w:tr>
      <w:tr w:rsidR="00AB109F" w:rsidRPr="00897581" w:rsidTr="00E71B96">
        <w:trPr>
          <w:cantSplit/>
          <w:jc w:val="center"/>
        </w:trPr>
        <w:tc>
          <w:tcPr>
            <w:tcW w:w="1334" w:type="dxa"/>
            <w:vAlign w:val="center"/>
          </w:tcPr>
          <w:p w:rsidR="00AB109F" w:rsidRPr="00897581" w:rsidRDefault="00AB109F" w:rsidP="00E71B96">
            <w:pPr>
              <w:keepNext/>
              <w:spacing w:after="0" w:line="240" w:lineRule="auto"/>
              <w:ind w:left="208"/>
              <w:rPr>
                <w:rFonts w:asciiTheme="minorHAnsi" w:hAnsiTheme="minorHAnsi"/>
                <w:sz w:val="20"/>
              </w:rPr>
            </w:pPr>
            <w:r w:rsidRPr="00897581">
              <w:rPr>
                <w:rFonts w:asciiTheme="minorHAnsi" w:hAnsiTheme="minorHAnsi"/>
                <w:sz w:val="20"/>
              </w:rPr>
              <w:t>MS Contin</w:t>
            </w:r>
          </w:p>
        </w:tc>
        <w:tc>
          <w:tcPr>
            <w:tcW w:w="1297" w:type="dxa"/>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$(378,984)</w:t>
            </w:r>
          </w:p>
        </w:tc>
        <w:tc>
          <w:tcPr>
            <w:tcW w:w="1297" w:type="dxa"/>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$(530,578)</w:t>
            </w:r>
          </w:p>
        </w:tc>
        <w:tc>
          <w:tcPr>
            <w:tcW w:w="1297" w:type="dxa"/>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$(682,172)</w:t>
            </w:r>
          </w:p>
        </w:tc>
      </w:tr>
      <w:tr w:rsidR="00AB109F" w:rsidRPr="00897581" w:rsidTr="00E71B96">
        <w:trPr>
          <w:cantSplit/>
          <w:jc w:val="center"/>
        </w:trPr>
        <w:tc>
          <w:tcPr>
            <w:tcW w:w="1334" w:type="dxa"/>
            <w:tcBorders>
              <w:bottom w:val="single" w:sz="4" w:space="0" w:color="auto"/>
            </w:tcBorders>
            <w:vAlign w:val="center"/>
          </w:tcPr>
          <w:p w:rsidR="00AB109F" w:rsidRPr="00897581" w:rsidRDefault="00AB109F" w:rsidP="00E71B96">
            <w:pPr>
              <w:keepNext/>
              <w:spacing w:after="0" w:line="240" w:lineRule="auto"/>
              <w:ind w:left="208"/>
              <w:rPr>
                <w:rFonts w:asciiTheme="minorHAnsi" w:hAnsiTheme="minorHAnsi"/>
                <w:sz w:val="20"/>
              </w:rPr>
            </w:pPr>
            <w:r w:rsidRPr="00897581">
              <w:rPr>
                <w:rFonts w:asciiTheme="minorHAnsi" w:hAnsiTheme="minorHAnsi"/>
                <w:sz w:val="20"/>
              </w:rPr>
              <w:t>Zohydro</w:t>
            </w:r>
          </w:p>
        </w:tc>
        <w:tc>
          <w:tcPr>
            <w:tcW w:w="1297" w:type="dxa"/>
            <w:tcBorders>
              <w:bottom w:val="single"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$(24,412)</w:t>
            </w:r>
          </w:p>
        </w:tc>
        <w:tc>
          <w:tcPr>
            <w:tcW w:w="1297" w:type="dxa"/>
            <w:tcBorders>
              <w:bottom w:val="single"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$(34,177)</w:t>
            </w:r>
          </w:p>
        </w:tc>
        <w:tc>
          <w:tcPr>
            <w:tcW w:w="1297" w:type="dxa"/>
            <w:tcBorders>
              <w:bottom w:val="single"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$(43,942)</w:t>
            </w:r>
          </w:p>
        </w:tc>
      </w:tr>
      <w:tr w:rsidR="00AB109F" w:rsidRPr="00897581" w:rsidTr="00E71B96">
        <w:trPr>
          <w:cantSplit/>
          <w:jc w:val="center"/>
        </w:trPr>
        <w:tc>
          <w:tcPr>
            <w:tcW w:w="1334" w:type="dxa"/>
            <w:tcBorders>
              <w:top w:val="single" w:sz="4" w:space="0" w:color="auto"/>
              <w:bottom w:val="dashSmallGap" w:sz="4" w:space="0" w:color="auto"/>
            </w:tcBorders>
            <w:vAlign w:val="center"/>
          </w:tcPr>
          <w:p w:rsidR="00AB109F" w:rsidRPr="00897581" w:rsidRDefault="00AB109F" w:rsidP="00E71B96">
            <w:pPr>
              <w:keepNext/>
              <w:spacing w:after="0" w:line="240" w:lineRule="auto"/>
              <w:rPr>
                <w:rFonts w:asciiTheme="minorHAnsi" w:hAnsiTheme="minorHAnsi"/>
                <w:sz w:val="20"/>
              </w:rPr>
            </w:pPr>
            <w:r w:rsidRPr="00897581">
              <w:rPr>
                <w:rFonts w:asciiTheme="minorHAnsi" w:hAnsiTheme="minorHAnsi"/>
                <w:sz w:val="20"/>
              </w:rPr>
              <w:t>ADOs</w:t>
            </w:r>
          </w:p>
        </w:tc>
        <w:tc>
          <w:tcPr>
            <w:tcW w:w="1297" w:type="dxa"/>
            <w:tcBorders>
              <w:top w:val="single" w:sz="4" w:space="0" w:color="auto"/>
              <w:bottom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$2,413,369 </w:t>
            </w:r>
          </w:p>
        </w:tc>
        <w:tc>
          <w:tcPr>
            <w:tcW w:w="1297" w:type="dxa"/>
            <w:tcBorders>
              <w:top w:val="single" w:sz="4" w:space="0" w:color="auto"/>
              <w:bottom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$3,378,717 </w:t>
            </w:r>
          </w:p>
        </w:tc>
        <w:tc>
          <w:tcPr>
            <w:tcW w:w="1297" w:type="dxa"/>
            <w:tcBorders>
              <w:top w:val="single" w:sz="4" w:space="0" w:color="auto"/>
              <w:bottom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$4,344,065 </w:t>
            </w:r>
          </w:p>
        </w:tc>
      </w:tr>
      <w:tr w:rsidR="00AB109F" w:rsidRPr="00897581" w:rsidTr="00E71B96">
        <w:trPr>
          <w:cantSplit/>
          <w:jc w:val="center"/>
        </w:trPr>
        <w:tc>
          <w:tcPr>
            <w:tcW w:w="1334" w:type="dxa"/>
            <w:tcBorders>
              <w:top w:val="dashSmallGap" w:sz="4" w:space="0" w:color="auto"/>
            </w:tcBorders>
            <w:vAlign w:val="center"/>
          </w:tcPr>
          <w:p w:rsidR="00AB109F" w:rsidRPr="00897581" w:rsidRDefault="00AB109F" w:rsidP="00E71B96">
            <w:pPr>
              <w:keepNext/>
              <w:spacing w:after="0" w:line="240" w:lineRule="auto"/>
              <w:ind w:left="208"/>
              <w:rPr>
                <w:rFonts w:asciiTheme="minorHAnsi" w:hAnsiTheme="minorHAnsi"/>
                <w:sz w:val="20"/>
              </w:rPr>
            </w:pPr>
            <w:r w:rsidRPr="00897581">
              <w:rPr>
                <w:rFonts w:asciiTheme="minorHAnsi" w:hAnsiTheme="minorHAnsi"/>
                <w:sz w:val="20"/>
              </w:rPr>
              <w:t>Embeda</w:t>
            </w:r>
          </w:p>
        </w:tc>
        <w:tc>
          <w:tcPr>
            <w:tcW w:w="1297" w:type="dxa"/>
            <w:tcBorders>
              <w:top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$2,383,393 </w:t>
            </w:r>
          </w:p>
        </w:tc>
        <w:tc>
          <w:tcPr>
            <w:tcW w:w="1297" w:type="dxa"/>
            <w:tcBorders>
              <w:top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$3,336,751 </w:t>
            </w:r>
          </w:p>
        </w:tc>
        <w:tc>
          <w:tcPr>
            <w:tcW w:w="1297" w:type="dxa"/>
            <w:tcBorders>
              <w:top w:val="dashSmallGap"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$4,290,108 </w:t>
            </w:r>
          </w:p>
        </w:tc>
      </w:tr>
      <w:tr w:rsidR="00AB109F" w:rsidRPr="00897581" w:rsidTr="00E71B96">
        <w:trPr>
          <w:cantSplit/>
          <w:jc w:val="center"/>
        </w:trPr>
        <w:tc>
          <w:tcPr>
            <w:tcW w:w="1334" w:type="dxa"/>
            <w:tcBorders>
              <w:bottom w:val="single" w:sz="4" w:space="0" w:color="auto"/>
            </w:tcBorders>
            <w:vAlign w:val="center"/>
          </w:tcPr>
          <w:p w:rsidR="00AB109F" w:rsidRPr="00897581" w:rsidRDefault="00AB109F" w:rsidP="00E71B96">
            <w:pPr>
              <w:keepNext/>
              <w:spacing w:after="0" w:line="240" w:lineRule="auto"/>
              <w:ind w:left="208"/>
              <w:rPr>
                <w:rFonts w:asciiTheme="minorHAnsi" w:hAnsiTheme="minorHAnsi"/>
                <w:sz w:val="20"/>
              </w:rPr>
            </w:pPr>
            <w:r w:rsidRPr="00897581">
              <w:rPr>
                <w:rFonts w:asciiTheme="minorHAnsi" w:hAnsiTheme="minorHAnsi"/>
                <w:sz w:val="20"/>
              </w:rPr>
              <w:t>Hysingla</w:t>
            </w:r>
          </w:p>
        </w:tc>
        <w:tc>
          <w:tcPr>
            <w:tcW w:w="1297" w:type="dxa"/>
            <w:tcBorders>
              <w:bottom w:val="single"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$29,976 </w:t>
            </w:r>
          </w:p>
        </w:tc>
        <w:tc>
          <w:tcPr>
            <w:tcW w:w="1297" w:type="dxa"/>
            <w:tcBorders>
              <w:bottom w:val="single"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$41,966 </w:t>
            </w:r>
          </w:p>
        </w:tc>
        <w:tc>
          <w:tcPr>
            <w:tcW w:w="1297" w:type="dxa"/>
            <w:tcBorders>
              <w:bottom w:val="single"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$53,957 </w:t>
            </w:r>
          </w:p>
        </w:tc>
      </w:tr>
      <w:tr w:rsidR="00AB109F" w:rsidRPr="00D22869" w:rsidTr="00E71B96">
        <w:trPr>
          <w:cantSplit/>
          <w:jc w:val="center"/>
        </w:trPr>
        <w:tc>
          <w:tcPr>
            <w:tcW w:w="1334" w:type="dxa"/>
            <w:tcBorders>
              <w:top w:val="single" w:sz="4" w:space="0" w:color="auto"/>
            </w:tcBorders>
            <w:vAlign w:val="center"/>
          </w:tcPr>
          <w:p w:rsidR="00AB109F" w:rsidRPr="00897581" w:rsidRDefault="00AB109F" w:rsidP="00E71B96">
            <w:pPr>
              <w:keepNext/>
              <w:spacing w:after="0" w:line="240" w:lineRule="auto"/>
              <w:ind w:left="28"/>
              <w:rPr>
                <w:rFonts w:asciiTheme="minorHAnsi" w:hAnsiTheme="minorHAnsi"/>
                <w:sz w:val="20"/>
              </w:rPr>
            </w:pPr>
            <w:r w:rsidRPr="00897581">
              <w:rPr>
                <w:rFonts w:asciiTheme="minorHAnsi" w:hAnsiTheme="minorHAnsi"/>
                <w:sz w:val="20"/>
              </w:rPr>
              <w:t>Total</w:t>
            </w:r>
          </w:p>
        </w:tc>
        <w:tc>
          <w:tcPr>
            <w:tcW w:w="1297" w:type="dxa"/>
            <w:tcBorders>
              <w:top w:val="single"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$1,843,146 </w:t>
            </w:r>
          </w:p>
        </w:tc>
        <w:tc>
          <w:tcPr>
            <w:tcW w:w="1297" w:type="dxa"/>
            <w:tcBorders>
              <w:top w:val="single"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$2,580,405 </w:t>
            </w:r>
          </w:p>
        </w:tc>
        <w:tc>
          <w:tcPr>
            <w:tcW w:w="1297" w:type="dxa"/>
            <w:tcBorders>
              <w:top w:val="single" w:sz="4" w:space="0" w:color="auto"/>
            </w:tcBorders>
            <w:vAlign w:val="center"/>
          </w:tcPr>
          <w:p w:rsidR="00AB109F" w:rsidRPr="00897581" w:rsidRDefault="00AB109F" w:rsidP="00E71B96">
            <w:pPr>
              <w:spacing w:after="0" w:line="240" w:lineRule="auto"/>
              <w:jc w:val="right"/>
              <w:rPr>
                <w:rFonts w:asciiTheme="minorHAnsi" w:hAnsiTheme="minorHAnsi"/>
                <w:sz w:val="20"/>
              </w:rPr>
            </w:pPr>
            <w:r w:rsidRPr="00897581">
              <w:rPr>
                <w:rFonts w:asciiTheme="minorHAnsi" w:hAnsiTheme="minorHAnsi"/>
                <w:sz w:val="20"/>
              </w:rPr>
              <w:t xml:space="preserve"> $3,317,663 </w:t>
            </w:r>
          </w:p>
        </w:tc>
      </w:tr>
    </w:tbl>
    <w:p w:rsidR="00AB109F" w:rsidRDefault="00AB109F" w:rsidP="00AB109F"/>
    <w:p w:rsidR="00AB109F" w:rsidRDefault="00AB109F" w:rsidP="00AB109F">
      <w:r>
        <w:t>Marginal cost by scenario is then divided by the 2016 corresponding fu</w:t>
      </w:r>
      <w:r w:rsidR="00E56462">
        <w:t>lly-insured pharmacy membership</w:t>
      </w:r>
      <w:r>
        <w:t xml:space="preserve"> from the</w:t>
      </w:r>
      <w:r w:rsidR="00A445D1">
        <w:t xml:space="preserve"> MA-APCD</w:t>
      </w:r>
      <w:r>
        <w:t>, and by 12 months to calculate the estimated baseline PMPM incremental cost attributable to</w:t>
      </w:r>
      <w:r w:rsidR="00EF62F6">
        <w:t xml:space="preserve"> the </w:t>
      </w:r>
      <w:r w:rsidR="008B1AB2">
        <w:t>requirement</w:t>
      </w:r>
      <w:r w:rsidR="00EF62F6">
        <w:t>.</w:t>
      </w:r>
    </w:p>
    <w:p w:rsidR="00AB109F" w:rsidRPr="00EF62F6" w:rsidRDefault="00AB109F" w:rsidP="00EF62F6">
      <w:pPr>
        <w:pStyle w:val="TableTitle"/>
        <w:rPr>
          <w:szCs w:val="20"/>
        </w:rPr>
      </w:pPr>
      <w:r w:rsidRPr="00701459">
        <w:t xml:space="preserve">Table </w:t>
      </w:r>
      <w:r>
        <w:t>16</w:t>
      </w:r>
      <w:r w:rsidRPr="00701459">
        <w:t>:</w:t>
      </w:r>
      <w:r w:rsidRPr="00701459">
        <w:br/>
      </w:r>
      <w:r>
        <w:t xml:space="preserve">Total </w:t>
      </w:r>
      <w:r w:rsidR="008B1AB2">
        <w:t>and PMPM Baseline Marginal Cost</w:t>
      </w:r>
      <w:r w:rsidR="008B1AB2">
        <w:br/>
      </w:r>
      <w:r>
        <w:t xml:space="preserve">of </w:t>
      </w:r>
      <w:r w:rsidR="008B1AB2">
        <w:t>Substitution Requirement</w:t>
      </w:r>
    </w:p>
    <w:tbl>
      <w:tblPr>
        <w:tblW w:w="4845" w:type="dxa"/>
        <w:jc w:val="center"/>
        <w:tblCellMar>
          <w:top w:w="14" w:type="dxa"/>
          <w:left w:w="58" w:type="dxa"/>
          <w:bottom w:w="14" w:type="dxa"/>
          <w:right w:w="58" w:type="dxa"/>
        </w:tblCellMar>
        <w:tblLook w:val="04A0"/>
      </w:tblPr>
      <w:tblGrid>
        <w:gridCol w:w="1334"/>
        <w:gridCol w:w="1911"/>
        <w:gridCol w:w="1600"/>
      </w:tblGrid>
      <w:tr w:rsidR="00AB109F" w:rsidRPr="005B3320" w:rsidTr="0049170E">
        <w:trPr>
          <w:cantSplit/>
          <w:jc w:val="center"/>
        </w:trPr>
        <w:tc>
          <w:tcPr>
            <w:tcW w:w="1334" w:type="dxa"/>
            <w:tcBorders>
              <w:bottom w:val="single" w:sz="4" w:space="0" w:color="auto"/>
            </w:tcBorders>
            <w:vAlign w:val="bottom"/>
          </w:tcPr>
          <w:p w:rsidR="00AB109F" w:rsidRPr="005B3320" w:rsidRDefault="00AB109F" w:rsidP="00E56462">
            <w:pPr>
              <w:keepNext/>
              <w:spacing w:after="0" w:line="240" w:lineRule="auto"/>
              <w:rPr>
                <w:rFonts w:asciiTheme="minorHAnsi" w:hAnsiTheme="minorHAnsi"/>
                <w:sz w:val="20"/>
                <w:szCs w:val="20"/>
              </w:rPr>
            </w:pPr>
          </w:p>
        </w:tc>
        <w:tc>
          <w:tcPr>
            <w:tcW w:w="1911" w:type="dxa"/>
            <w:tcBorders>
              <w:bottom w:val="single" w:sz="4" w:space="0" w:color="auto"/>
            </w:tcBorders>
            <w:vAlign w:val="bottom"/>
          </w:tcPr>
          <w:p w:rsidR="00AB109F" w:rsidRPr="005B3320" w:rsidRDefault="00AB109F" w:rsidP="00E56462">
            <w:pPr>
              <w:keepNext/>
              <w:spacing w:after="0" w:line="240" w:lineRule="auto"/>
              <w:jc w:val="right"/>
              <w:rPr>
                <w:rFonts w:asciiTheme="minorHAnsi" w:hAnsiTheme="minorHAnsi"/>
                <w:sz w:val="20"/>
                <w:szCs w:val="20"/>
              </w:rPr>
            </w:pPr>
            <w:r w:rsidRPr="005B3320">
              <w:rPr>
                <w:rFonts w:asciiTheme="minorHAnsi" w:hAnsiTheme="minorHAnsi"/>
                <w:sz w:val="20"/>
                <w:szCs w:val="20"/>
              </w:rPr>
              <w:t>Total Annual Cost</w:t>
            </w:r>
          </w:p>
        </w:tc>
        <w:tc>
          <w:tcPr>
            <w:tcW w:w="1600" w:type="dxa"/>
            <w:tcBorders>
              <w:bottom w:val="single" w:sz="4" w:space="0" w:color="auto"/>
            </w:tcBorders>
            <w:vAlign w:val="center"/>
          </w:tcPr>
          <w:p w:rsidR="00AB109F" w:rsidRPr="005B3320" w:rsidRDefault="00EF62F6" w:rsidP="00E56462">
            <w:pPr>
              <w:keepNext/>
              <w:spacing w:after="0" w:line="240" w:lineRule="auto"/>
              <w:jc w:val="right"/>
              <w:rPr>
                <w:rFonts w:asciiTheme="minorHAnsi" w:hAnsiTheme="minorHAnsi"/>
                <w:sz w:val="20"/>
                <w:szCs w:val="20"/>
              </w:rPr>
            </w:pPr>
            <w:r>
              <w:rPr>
                <w:rFonts w:asciiTheme="minorHAnsi" w:hAnsiTheme="minorHAnsi"/>
                <w:sz w:val="20"/>
                <w:szCs w:val="20"/>
              </w:rPr>
              <w:t>Baseline</w:t>
            </w:r>
            <w:r>
              <w:rPr>
                <w:rFonts w:asciiTheme="minorHAnsi" w:hAnsiTheme="minorHAnsi"/>
                <w:sz w:val="20"/>
                <w:szCs w:val="20"/>
              </w:rPr>
              <w:br/>
            </w:r>
            <w:r w:rsidR="00AB109F" w:rsidRPr="005B3320">
              <w:rPr>
                <w:rFonts w:asciiTheme="minorHAnsi" w:hAnsiTheme="minorHAnsi"/>
                <w:sz w:val="20"/>
                <w:szCs w:val="20"/>
              </w:rPr>
              <w:t>PMPM cost</w:t>
            </w:r>
          </w:p>
        </w:tc>
      </w:tr>
      <w:tr w:rsidR="00AB109F" w:rsidRPr="005B3320" w:rsidTr="0049170E">
        <w:trPr>
          <w:cantSplit/>
          <w:jc w:val="center"/>
        </w:trPr>
        <w:tc>
          <w:tcPr>
            <w:tcW w:w="1334" w:type="dxa"/>
            <w:tcBorders>
              <w:top w:val="single" w:sz="4" w:space="0" w:color="auto"/>
            </w:tcBorders>
            <w:vAlign w:val="center"/>
          </w:tcPr>
          <w:p w:rsidR="00AB109F" w:rsidRPr="005B3320" w:rsidRDefault="00AB109F" w:rsidP="00E56462">
            <w:pPr>
              <w:keepNext/>
              <w:spacing w:after="0" w:line="240" w:lineRule="auto"/>
              <w:rPr>
                <w:rFonts w:asciiTheme="minorHAnsi" w:hAnsiTheme="minorHAnsi"/>
                <w:sz w:val="20"/>
                <w:szCs w:val="20"/>
              </w:rPr>
            </w:pPr>
            <w:r w:rsidRPr="005B3320">
              <w:rPr>
                <w:rFonts w:asciiTheme="minorHAnsi" w:hAnsiTheme="minorHAnsi" w:cs="Calibri"/>
                <w:sz w:val="20"/>
                <w:szCs w:val="20"/>
              </w:rPr>
              <w:t>Low Scenario</w:t>
            </w:r>
          </w:p>
        </w:tc>
        <w:tc>
          <w:tcPr>
            <w:tcW w:w="1911" w:type="dxa"/>
            <w:tcBorders>
              <w:top w:val="single" w:sz="4" w:space="0" w:color="auto"/>
            </w:tcBorders>
            <w:vAlign w:val="center"/>
          </w:tcPr>
          <w:p w:rsidR="00AB109F" w:rsidRPr="005B3320" w:rsidRDefault="00AB109F" w:rsidP="00E56462">
            <w:pPr>
              <w:spacing w:after="0" w:line="240" w:lineRule="auto"/>
              <w:jc w:val="right"/>
              <w:rPr>
                <w:rFonts w:asciiTheme="minorHAnsi" w:hAnsiTheme="minorHAnsi"/>
                <w:color w:val="000000"/>
                <w:sz w:val="20"/>
                <w:szCs w:val="20"/>
              </w:rPr>
            </w:pPr>
            <w:r w:rsidRPr="005B3320">
              <w:rPr>
                <w:rFonts w:asciiTheme="minorHAnsi" w:hAnsiTheme="minorHAnsi"/>
                <w:color w:val="000000"/>
                <w:sz w:val="20"/>
                <w:szCs w:val="20"/>
              </w:rPr>
              <w:t xml:space="preserve"> $        1,843,146 </w:t>
            </w:r>
          </w:p>
        </w:tc>
        <w:tc>
          <w:tcPr>
            <w:tcW w:w="1600" w:type="dxa"/>
            <w:tcBorders>
              <w:top w:val="single" w:sz="4" w:space="0" w:color="auto"/>
            </w:tcBorders>
            <w:vAlign w:val="center"/>
          </w:tcPr>
          <w:p w:rsidR="00AB109F" w:rsidRPr="005B3320" w:rsidRDefault="00AB109F" w:rsidP="00E56462">
            <w:pPr>
              <w:spacing w:after="0" w:line="240" w:lineRule="auto"/>
              <w:jc w:val="right"/>
              <w:rPr>
                <w:rFonts w:asciiTheme="minorHAnsi" w:hAnsiTheme="minorHAnsi"/>
                <w:color w:val="000000"/>
                <w:sz w:val="20"/>
                <w:szCs w:val="20"/>
              </w:rPr>
            </w:pPr>
            <w:r w:rsidRPr="005B3320">
              <w:rPr>
                <w:rFonts w:asciiTheme="minorHAnsi" w:hAnsiTheme="minorHAnsi"/>
                <w:color w:val="000000"/>
                <w:sz w:val="20"/>
                <w:szCs w:val="20"/>
              </w:rPr>
              <w:t xml:space="preserve"> $                   0.11 </w:t>
            </w:r>
          </w:p>
        </w:tc>
      </w:tr>
      <w:tr w:rsidR="00AB109F" w:rsidRPr="005B3320" w:rsidTr="0049170E">
        <w:trPr>
          <w:cantSplit/>
          <w:jc w:val="center"/>
        </w:trPr>
        <w:tc>
          <w:tcPr>
            <w:tcW w:w="1334" w:type="dxa"/>
            <w:vAlign w:val="center"/>
          </w:tcPr>
          <w:p w:rsidR="00AB109F" w:rsidRPr="005B3320" w:rsidRDefault="00AB109F" w:rsidP="00E56462">
            <w:pPr>
              <w:keepNext/>
              <w:spacing w:after="0" w:line="240" w:lineRule="auto"/>
              <w:rPr>
                <w:rFonts w:asciiTheme="minorHAnsi" w:hAnsiTheme="minorHAnsi"/>
                <w:sz w:val="20"/>
                <w:szCs w:val="20"/>
              </w:rPr>
            </w:pPr>
            <w:r w:rsidRPr="005B3320">
              <w:rPr>
                <w:rFonts w:asciiTheme="minorHAnsi" w:hAnsiTheme="minorHAnsi" w:cs="Calibri"/>
                <w:sz w:val="20"/>
                <w:szCs w:val="20"/>
              </w:rPr>
              <w:t>Mid Scenario</w:t>
            </w:r>
          </w:p>
        </w:tc>
        <w:tc>
          <w:tcPr>
            <w:tcW w:w="1911" w:type="dxa"/>
            <w:vAlign w:val="center"/>
          </w:tcPr>
          <w:p w:rsidR="00AB109F" w:rsidRPr="005B3320" w:rsidRDefault="00AB109F" w:rsidP="00E56462">
            <w:pPr>
              <w:spacing w:after="0" w:line="240" w:lineRule="auto"/>
              <w:jc w:val="right"/>
              <w:rPr>
                <w:rFonts w:asciiTheme="minorHAnsi" w:hAnsiTheme="minorHAnsi"/>
                <w:color w:val="000000"/>
                <w:sz w:val="20"/>
                <w:szCs w:val="20"/>
              </w:rPr>
            </w:pPr>
            <w:r w:rsidRPr="005B3320">
              <w:rPr>
                <w:rFonts w:asciiTheme="minorHAnsi" w:hAnsiTheme="minorHAnsi"/>
                <w:color w:val="000000"/>
                <w:sz w:val="20"/>
                <w:szCs w:val="20"/>
              </w:rPr>
              <w:t xml:space="preserve"> $        2,580,405 </w:t>
            </w:r>
          </w:p>
        </w:tc>
        <w:tc>
          <w:tcPr>
            <w:tcW w:w="1600" w:type="dxa"/>
            <w:vAlign w:val="center"/>
          </w:tcPr>
          <w:p w:rsidR="00AB109F" w:rsidRPr="005B3320" w:rsidRDefault="00AB109F" w:rsidP="00E56462">
            <w:pPr>
              <w:spacing w:after="0" w:line="240" w:lineRule="auto"/>
              <w:jc w:val="right"/>
              <w:rPr>
                <w:rFonts w:asciiTheme="minorHAnsi" w:hAnsiTheme="minorHAnsi"/>
                <w:color w:val="000000"/>
                <w:sz w:val="20"/>
                <w:szCs w:val="20"/>
              </w:rPr>
            </w:pPr>
            <w:r w:rsidRPr="005B3320">
              <w:rPr>
                <w:rFonts w:asciiTheme="minorHAnsi" w:hAnsiTheme="minorHAnsi"/>
                <w:color w:val="000000"/>
                <w:sz w:val="20"/>
                <w:szCs w:val="20"/>
              </w:rPr>
              <w:t xml:space="preserve"> $                   0.15 </w:t>
            </w:r>
          </w:p>
        </w:tc>
      </w:tr>
      <w:tr w:rsidR="00AB109F" w:rsidRPr="005B3320" w:rsidTr="0049170E">
        <w:trPr>
          <w:cantSplit/>
          <w:jc w:val="center"/>
        </w:trPr>
        <w:tc>
          <w:tcPr>
            <w:tcW w:w="1334" w:type="dxa"/>
            <w:vAlign w:val="center"/>
          </w:tcPr>
          <w:p w:rsidR="00AB109F" w:rsidRPr="005B3320" w:rsidRDefault="00AB109F" w:rsidP="00E56462">
            <w:pPr>
              <w:keepNext/>
              <w:spacing w:after="0" w:line="240" w:lineRule="auto"/>
              <w:rPr>
                <w:rFonts w:asciiTheme="minorHAnsi" w:hAnsiTheme="minorHAnsi"/>
                <w:sz w:val="20"/>
                <w:szCs w:val="20"/>
              </w:rPr>
            </w:pPr>
            <w:r w:rsidRPr="005B3320">
              <w:rPr>
                <w:rFonts w:asciiTheme="minorHAnsi" w:hAnsiTheme="minorHAnsi" w:cs="Calibri"/>
                <w:sz w:val="20"/>
                <w:szCs w:val="20"/>
              </w:rPr>
              <w:t>High Scenario</w:t>
            </w:r>
          </w:p>
        </w:tc>
        <w:tc>
          <w:tcPr>
            <w:tcW w:w="1911" w:type="dxa"/>
            <w:vAlign w:val="center"/>
          </w:tcPr>
          <w:p w:rsidR="00AB109F" w:rsidRPr="005B3320" w:rsidRDefault="00AB109F" w:rsidP="00E56462">
            <w:pPr>
              <w:spacing w:after="0" w:line="240" w:lineRule="auto"/>
              <w:jc w:val="right"/>
              <w:rPr>
                <w:rFonts w:asciiTheme="minorHAnsi" w:hAnsiTheme="minorHAnsi"/>
                <w:color w:val="000000"/>
                <w:sz w:val="20"/>
                <w:szCs w:val="20"/>
              </w:rPr>
            </w:pPr>
            <w:r w:rsidRPr="005B3320">
              <w:rPr>
                <w:rFonts w:asciiTheme="minorHAnsi" w:hAnsiTheme="minorHAnsi"/>
                <w:color w:val="000000"/>
                <w:sz w:val="20"/>
                <w:szCs w:val="20"/>
              </w:rPr>
              <w:t xml:space="preserve"> $        3,317,663 </w:t>
            </w:r>
          </w:p>
        </w:tc>
        <w:tc>
          <w:tcPr>
            <w:tcW w:w="1600" w:type="dxa"/>
            <w:vAlign w:val="center"/>
          </w:tcPr>
          <w:p w:rsidR="00AB109F" w:rsidRPr="005B3320" w:rsidRDefault="00AB109F" w:rsidP="00E56462">
            <w:pPr>
              <w:spacing w:after="0" w:line="240" w:lineRule="auto"/>
              <w:jc w:val="right"/>
              <w:rPr>
                <w:rFonts w:asciiTheme="minorHAnsi" w:hAnsiTheme="minorHAnsi"/>
                <w:color w:val="000000"/>
                <w:sz w:val="20"/>
                <w:szCs w:val="20"/>
              </w:rPr>
            </w:pPr>
            <w:r w:rsidRPr="005B3320">
              <w:rPr>
                <w:rFonts w:asciiTheme="minorHAnsi" w:hAnsiTheme="minorHAnsi"/>
                <w:color w:val="000000"/>
                <w:sz w:val="20"/>
                <w:szCs w:val="20"/>
              </w:rPr>
              <w:t xml:space="preserve"> $                   0.19 </w:t>
            </w:r>
          </w:p>
        </w:tc>
      </w:tr>
    </w:tbl>
    <w:p w:rsidR="00AB109F" w:rsidRDefault="00AB109F" w:rsidP="00EF62F6">
      <w:pPr>
        <w:pStyle w:val="NoSpacing"/>
      </w:pPr>
    </w:p>
    <w:p w:rsidR="00AB109F" w:rsidRDefault="00AB109F" w:rsidP="00AB109F">
      <w:pPr>
        <w:pStyle w:val="Heading2"/>
      </w:pPr>
      <w:bookmarkStart w:id="57" w:name="_Toc468888008"/>
      <w:r w:rsidRPr="00196683">
        <w:t>4.</w:t>
      </w:r>
      <w:r>
        <w:t>7</w:t>
      </w:r>
      <w:r w:rsidRPr="00196683">
        <w:t xml:space="preserve">. </w:t>
      </w:r>
      <w:r>
        <w:t xml:space="preserve">Projected PMPM cost of </w:t>
      </w:r>
      <w:r w:rsidR="008B1AB2">
        <w:t>substitution requirement</w:t>
      </w:r>
      <w:bookmarkEnd w:id="57"/>
    </w:p>
    <w:p w:rsidR="003866B6" w:rsidRDefault="003866B6" w:rsidP="003866B6">
      <w:r>
        <w:t>Chapter 258 prohibi</w:t>
      </w:r>
      <w:r w:rsidR="0090103E">
        <w:t xml:space="preserve">ts substitution of an ADO for an HPHR opioid </w:t>
      </w:r>
      <w:r>
        <w:t xml:space="preserve">from imposing additional cost-sharing requirements on patients, meaning that deductibles, copayments, and coinsurance amounts may not increase based on the substituted drug.  This analysis estimates that 96 percent of patients used a generic form of one of the formulary drugs in the baseline period.  Unless the physician indicates that no substitution is allowed, the law requires that these patients be switched to </w:t>
      </w:r>
      <w:r w:rsidR="00A51D5A">
        <w:t xml:space="preserve">an </w:t>
      </w:r>
      <w:r>
        <w:t>ADO</w:t>
      </w:r>
      <w:r w:rsidR="00A51D5A">
        <w:t xml:space="preserve">, </w:t>
      </w:r>
      <w:r w:rsidR="00B15F9B">
        <w:t xml:space="preserve">each of which is a </w:t>
      </w:r>
      <w:r w:rsidR="00A51D5A">
        <w:t>brand-name</w:t>
      </w:r>
      <w:r>
        <w:t xml:space="preserve"> drug.  </w:t>
      </w:r>
      <w:r w:rsidR="004A788D">
        <w:t xml:space="preserve">Where patient cost </w:t>
      </w:r>
      <w:r>
        <w:t xml:space="preserve">sharing is lower for generic drugs than for </w:t>
      </w:r>
      <w:r w:rsidR="004A788D">
        <w:t xml:space="preserve">brand-name drugs, this cost </w:t>
      </w:r>
      <w:r>
        <w:t xml:space="preserve">sharing may not change due to the </w:t>
      </w:r>
      <w:r w:rsidR="000F1C8E">
        <w:t>substitution</w:t>
      </w:r>
      <w:r>
        <w:t xml:space="preserve">.  No data was available to assess the degree to which cost-sharing levels were higher for brand name ADOs </w:t>
      </w:r>
      <w:r>
        <w:lastRenderedPageBreak/>
        <w:t xml:space="preserve">relative to generic </w:t>
      </w:r>
      <w:r w:rsidR="00354BF7">
        <w:t>HPHR opioids</w:t>
      </w:r>
      <w:r>
        <w:t xml:space="preserve">, but it is likely that cost sharing is </w:t>
      </w:r>
      <w:r w:rsidR="000F1C8E">
        <w:t>greater</w:t>
      </w:r>
      <w:r>
        <w:t xml:space="preserve"> for the brand name products.  This may result in increased</w:t>
      </w:r>
      <w:r w:rsidR="000F1C8E">
        <w:t xml:space="preserve"> carrier</w:t>
      </w:r>
      <w:r>
        <w:t xml:space="preserve"> costs and premiums, as carriers will need to cover the increased cost of the brand-name drugs without the typical offsetting higher patient cost sharing those drugs usually require.</w:t>
      </w:r>
    </w:p>
    <w:p w:rsidR="00AB109F" w:rsidRPr="00884995" w:rsidRDefault="003866B6" w:rsidP="00AB109F">
      <w:r>
        <w:t>The baseline PMPM cost from Table 16 was varied under several scenarios to estimate the increase in costs due to the constraints on changes to cost-sharing, based on the paid and allowed costs for the relevant drugs.  Specifically, it was assumed that cost sharing would not increase in the low scenario, but would increase 5</w:t>
      </w:r>
      <w:r w:rsidR="00354BF7">
        <w:t xml:space="preserve"> percent</w:t>
      </w:r>
      <w:r>
        <w:t xml:space="preserve"> in the mid scenario and 10</w:t>
      </w:r>
      <w:r w:rsidR="00354BF7">
        <w:t xml:space="preserve"> percent</w:t>
      </w:r>
      <w:r>
        <w:t xml:space="preserve"> in the high.  The resulting PMPM costs then projected from 2016 through the end of the study period, increasing the cost per unit by an average of 4.6 percent annually, based on a three-year average of CPI for prescription drugs.</w:t>
      </w:r>
      <w:r w:rsidRPr="00CC39A1">
        <w:rPr>
          <w:rStyle w:val="EndnoteReference"/>
        </w:rPr>
        <w:endnoteReference w:id="50"/>
      </w:r>
      <w:r>
        <w:t xml:space="preserve">  </w:t>
      </w:r>
      <w:r w:rsidR="001826BD">
        <w:t>Table 17 shows these results</w:t>
      </w:r>
      <w:r w:rsidR="00AB109F">
        <w:t>.</w:t>
      </w:r>
    </w:p>
    <w:p w:rsidR="00AB109F" w:rsidRPr="00BE59A4" w:rsidRDefault="00AB109F" w:rsidP="00EF62F6">
      <w:pPr>
        <w:pStyle w:val="TableTitle"/>
        <w:rPr>
          <w:szCs w:val="20"/>
        </w:rPr>
      </w:pPr>
      <w:r w:rsidRPr="00701459">
        <w:t xml:space="preserve">Table </w:t>
      </w:r>
      <w:r>
        <w:t>17</w:t>
      </w:r>
      <w:r w:rsidRPr="00701459">
        <w:t>:</w:t>
      </w:r>
      <w:r w:rsidRPr="00701459">
        <w:br/>
        <w:t xml:space="preserve">Estimated </w:t>
      </w:r>
      <w:r>
        <w:t xml:space="preserve">Marginal PMPM Cost of </w:t>
      </w:r>
      <w:r w:rsidR="002B0E4F">
        <w:t>Substitution Requirement</w:t>
      </w:r>
      <w:r w:rsidR="008B1AB2">
        <w:br/>
      </w:r>
      <w:r>
        <w:t>Projected for Study Period</w:t>
      </w:r>
    </w:p>
    <w:tbl>
      <w:tblPr>
        <w:tblW w:w="5472" w:type="dxa"/>
        <w:jc w:val="center"/>
        <w:tblCellMar>
          <w:top w:w="14" w:type="dxa"/>
          <w:left w:w="58" w:type="dxa"/>
          <w:bottom w:w="14" w:type="dxa"/>
          <w:right w:w="58" w:type="dxa"/>
        </w:tblCellMar>
        <w:tblLook w:val="04A0"/>
      </w:tblPr>
      <w:tblGrid>
        <w:gridCol w:w="1584"/>
        <w:gridCol w:w="1296"/>
        <w:gridCol w:w="864"/>
        <w:gridCol w:w="864"/>
        <w:gridCol w:w="864"/>
      </w:tblGrid>
      <w:tr w:rsidR="00731371" w:rsidRPr="00BF5954" w:rsidTr="00D13E4B">
        <w:trPr>
          <w:cantSplit/>
          <w:jc w:val="center"/>
        </w:trPr>
        <w:tc>
          <w:tcPr>
            <w:tcW w:w="1584" w:type="dxa"/>
            <w:vAlign w:val="bottom"/>
          </w:tcPr>
          <w:p w:rsidR="00731371" w:rsidRPr="005731AB" w:rsidRDefault="00731371" w:rsidP="00D13E4B">
            <w:pPr>
              <w:keepNext/>
              <w:spacing w:after="0" w:line="240" w:lineRule="auto"/>
              <w:jc w:val="right"/>
              <w:rPr>
                <w:rFonts w:ascii="Calibri" w:hAnsi="Calibri"/>
                <w:sz w:val="20"/>
              </w:rPr>
            </w:pPr>
          </w:p>
        </w:tc>
        <w:tc>
          <w:tcPr>
            <w:tcW w:w="1296" w:type="dxa"/>
            <w:tcBorders>
              <w:bottom w:val="single" w:sz="4" w:space="0" w:color="auto"/>
            </w:tcBorders>
            <w:vAlign w:val="bottom"/>
          </w:tcPr>
          <w:p w:rsidR="00731371" w:rsidRDefault="00BC183C" w:rsidP="00D13E4B">
            <w:pPr>
              <w:keepNext/>
              <w:spacing w:after="0" w:line="240" w:lineRule="auto"/>
              <w:jc w:val="right"/>
              <w:rPr>
                <w:rFonts w:ascii="Calibri" w:hAnsi="Calibri"/>
                <w:sz w:val="20"/>
              </w:rPr>
            </w:pPr>
            <w:r>
              <w:rPr>
                <w:rFonts w:ascii="Calibri" w:hAnsi="Calibri"/>
                <w:sz w:val="20"/>
              </w:rPr>
              <w:t>Cost Increase</w:t>
            </w:r>
          </w:p>
        </w:tc>
        <w:tc>
          <w:tcPr>
            <w:tcW w:w="864" w:type="dxa"/>
            <w:tcBorders>
              <w:bottom w:val="single" w:sz="4" w:space="0" w:color="auto"/>
            </w:tcBorders>
            <w:vAlign w:val="bottom"/>
          </w:tcPr>
          <w:p w:rsidR="00731371" w:rsidRPr="008E2C32" w:rsidRDefault="00731371" w:rsidP="00D13E4B">
            <w:pPr>
              <w:keepNext/>
              <w:spacing w:after="0" w:line="240" w:lineRule="auto"/>
              <w:jc w:val="right"/>
              <w:rPr>
                <w:rFonts w:ascii="Calibri" w:hAnsi="Calibri"/>
                <w:sz w:val="20"/>
              </w:rPr>
            </w:pPr>
            <w:r>
              <w:rPr>
                <w:rFonts w:ascii="Calibri" w:hAnsi="Calibri"/>
                <w:sz w:val="20"/>
              </w:rPr>
              <w:t xml:space="preserve">2016 </w:t>
            </w:r>
          </w:p>
        </w:tc>
        <w:tc>
          <w:tcPr>
            <w:tcW w:w="864" w:type="dxa"/>
            <w:tcBorders>
              <w:bottom w:val="single" w:sz="4" w:space="0" w:color="auto"/>
            </w:tcBorders>
            <w:vAlign w:val="bottom"/>
          </w:tcPr>
          <w:p w:rsidR="00731371" w:rsidRPr="008E2C32" w:rsidRDefault="00731371" w:rsidP="00D13E4B">
            <w:pPr>
              <w:keepNext/>
              <w:spacing w:after="0" w:line="240" w:lineRule="auto"/>
              <w:jc w:val="right"/>
              <w:rPr>
                <w:rFonts w:ascii="Calibri" w:hAnsi="Calibri"/>
                <w:sz w:val="20"/>
              </w:rPr>
            </w:pPr>
            <w:r>
              <w:rPr>
                <w:rFonts w:ascii="Calibri" w:hAnsi="Calibri"/>
                <w:sz w:val="20"/>
              </w:rPr>
              <w:t>2017</w:t>
            </w:r>
          </w:p>
        </w:tc>
        <w:tc>
          <w:tcPr>
            <w:tcW w:w="864" w:type="dxa"/>
            <w:tcBorders>
              <w:bottom w:val="single" w:sz="4" w:space="0" w:color="auto"/>
            </w:tcBorders>
            <w:vAlign w:val="bottom"/>
          </w:tcPr>
          <w:p w:rsidR="00731371" w:rsidRPr="008E2C32" w:rsidRDefault="00731371" w:rsidP="00D13E4B">
            <w:pPr>
              <w:keepNext/>
              <w:spacing w:after="0" w:line="240" w:lineRule="auto"/>
              <w:jc w:val="right"/>
              <w:rPr>
                <w:rFonts w:ascii="Calibri" w:hAnsi="Calibri"/>
                <w:sz w:val="20"/>
              </w:rPr>
            </w:pPr>
            <w:r>
              <w:rPr>
                <w:rFonts w:ascii="Calibri" w:hAnsi="Calibri"/>
                <w:sz w:val="20"/>
              </w:rPr>
              <w:t>2018</w:t>
            </w:r>
          </w:p>
        </w:tc>
      </w:tr>
      <w:tr w:rsidR="0049170E" w:rsidTr="00D13E4B">
        <w:trPr>
          <w:cantSplit/>
          <w:jc w:val="center"/>
        </w:trPr>
        <w:tc>
          <w:tcPr>
            <w:tcW w:w="1584" w:type="dxa"/>
            <w:vAlign w:val="center"/>
          </w:tcPr>
          <w:p w:rsidR="0049170E" w:rsidRPr="005731AB" w:rsidRDefault="0049170E" w:rsidP="00D13E4B">
            <w:pPr>
              <w:keepNext/>
              <w:spacing w:after="0" w:line="240" w:lineRule="auto"/>
              <w:rPr>
                <w:rFonts w:ascii="Calibri" w:hAnsi="Calibri"/>
                <w:sz w:val="20"/>
              </w:rPr>
            </w:pPr>
            <w:r w:rsidRPr="005731AB">
              <w:rPr>
                <w:rFonts w:ascii="Calibri" w:hAnsi="Calibri"/>
                <w:sz w:val="20"/>
              </w:rPr>
              <w:t>Low Scenario</w:t>
            </w:r>
          </w:p>
        </w:tc>
        <w:tc>
          <w:tcPr>
            <w:tcW w:w="1296" w:type="dxa"/>
            <w:tcBorders>
              <w:top w:val="single" w:sz="4" w:space="0" w:color="auto"/>
            </w:tcBorders>
            <w:vAlign w:val="center"/>
          </w:tcPr>
          <w:p w:rsidR="0049170E" w:rsidRPr="00A040AD" w:rsidRDefault="0049170E" w:rsidP="00D13E4B">
            <w:pPr>
              <w:spacing w:after="0" w:line="240" w:lineRule="auto"/>
              <w:jc w:val="right"/>
              <w:rPr>
                <w:rFonts w:asciiTheme="minorHAnsi" w:hAnsiTheme="minorHAnsi"/>
                <w:sz w:val="20"/>
              </w:rPr>
            </w:pPr>
            <w:r>
              <w:rPr>
                <w:rFonts w:asciiTheme="minorHAnsi" w:hAnsiTheme="minorHAnsi"/>
                <w:sz w:val="20"/>
              </w:rPr>
              <w:t>0%</w:t>
            </w:r>
          </w:p>
        </w:tc>
        <w:tc>
          <w:tcPr>
            <w:tcW w:w="864" w:type="dxa"/>
            <w:tcBorders>
              <w:top w:val="single" w:sz="4" w:space="0" w:color="auto"/>
            </w:tcBorders>
            <w:vAlign w:val="center"/>
          </w:tcPr>
          <w:p w:rsidR="0049170E" w:rsidRPr="0049170E" w:rsidRDefault="0049170E" w:rsidP="00D13E4B">
            <w:pPr>
              <w:spacing w:after="0" w:line="240" w:lineRule="auto"/>
              <w:jc w:val="right"/>
              <w:rPr>
                <w:rFonts w:asciiTheme="minorHAnsi" w:hAnsiTheme="minorHAnsi"/>
                <w:sz w:val="20"/>
              </w:rPr>
            </w:pPr>
            <w:r w:rsidRPr="0049170E">
              <w:rPr>
                <w:rFonts w:asciiTheme="minorHAnsi" w:hAnsiTheme="minorHAnsi"/>
                <w:sz w:val="20"/>
              </w:rPr>
              <w:t xml:space="preserve"> $0.11 </w:t>
            </w:r>
          </w:p>
        </w:tc>
        <w:tc>
          <w:tcPr>
            <w:tcW w:w="864" w:type="dxa"/>
            <w:tcBorders>
              <w:top w:val="single" w:sz="4" w:space="0" w:color="auto"/>
            </w:tcBorders>
            <w:vAlign w:val="center"/>
          </w:tcPr>
          <w:p w:rsidR="0049170E" w:rsidRPr="0049170E" w:rsidRDefault="0049170E" w:rsidP="00D13E4B">
            <w:pPr>
              <w:spacing w:after="0" w:line="240" w:lineRule="auto"/>
              <w:jc w:val="right"/>
              <w:rPr>
                <w:rFonts w:asciiTheme="minorHAnsi" w:hAnsiTheme="minorHAnsi"/>
                <w:sz w:val="20"/>
              </w:rPr>
            </w:pPr>
            <w:r w:rsidRPr="0049170E">
              <w:rPr>
                <w:rFonts w:asciiTheme="minorHAnsi" w:hAnsiTheme="minorHAnsi"/>
                <w:sz w:val="20"/>
              </w:rPr>
              <w:t xml:space="preserve"> $0.11 </w:t>
            </w:r>
          </w:p>
        </w:tc>
        <w:tc>
          <w:tcPr>
            <w:tcW w:w="864" w:type="dxa"/>
            <w:tcBorders>
              <w:top w:val="single" w:sz="4" w:space="0" w:color="auto"/>
            </w:tcBorders>
            <w:vAlign w:val="center"/>
          </w:tcPr>
          <w:p w:rsidR="0049170E" w:rsidRPr="0049170E" w:rsidRDefault="0049170E" w:rsidP="00D13E4B">
            <w:pPr>
              <w:spacing w:after="0" w:line="240" w:lineRule="auto"/>
              <w:jc w:val="right"/>
              <w:rPr>
                <w:rFonts w:asciiTheme="minorHAnsi" w:hAnsiTheme="minorHAnsi"/>
                <w:sz w:val="20"/>
              </w:rPr>
            </w:pPr>
            <w:r w:rsidRPr="0049170E">
              <w:rPr>
                <w:rFonts w:asciiTheme="minorHAnsi" w:hAnsiTheme="minorHAnsi"/>
                <w:sz w:val="20"/>
              </w:rPr>
              <w:t xml:space="preserve"> $0.12 </w:t>
            </w:r>
          </w:p>
        </w:tc>
      </w:tr>
      <w:tr w:rsidR="0049170E" w:rsidTr="00D13E4B">
        <w:trPr>
          <w:cantSplit/>
          <w:jc w:val="center"/>
        </w:trPr>
        <w:tc>
          <w:tcPr>
            <w:tcW w:w="1584" w:type="dxa"/>
            <w:vAlign w:val="center"/>
          </w:tcPr>
          <w:p w:rsidR="0049170E" w:rsidRPr="005731AB" w:rsidRDefault="0049170E" w:rsidP="00D13E4B">
            <w:pPr>
              <w:keepNext/>
              <w:spacing w:after="0" w:line="240" w:lineRule="auto"/>
              <w:rPr>
                <w:rFonts w:ascii="Calibri" w:hAnsi="Calibri"/>
                <w:sz w:val="20"/>
              </w:rPr>
            </w:pPr>
            <w:r w:rsidRPr="005731AB">
              <w:rPr>
                <w:rFonts w:ascii="Calibri" w:hAnsi="Calibri"/>
                <w:sz w:val="20"/>
              </w:rPr>
              <w:t>Mid Scenario</w:t>
            </w:r>
          </w:p>
        </w:tc>
        <w:tc>
          <w:tcPr>
            <w:tcW w:w="1296" w:type="dxa"/>
            <w:vAlign w:val="center"/>
          </w:tcPr>
          <w:p w:rsidR="0049170E" w:rsidRPr="00A040AD" w:rsidRDefault="0049170E" w:rsidP="00D13E4B">
            <w:pPr>
              <w:spacing w:after="0" w:line="240" w:lineRule="auto"/>
              <w:jc w:val="right"/>
              <w:rPr>
                <w:rFonts w:asciiTheme="minorHAnsi" w:hAnsiTheme="minorHAnsi"/>
                <w:sz w:val="20"/>
              </w:rPr>
            </w:pPr>
            <w:r>
              <w:rPr>
                <w:rFonts w:asciiTheme="minorHAnsi" w:hAnsiTheme="minorHAnsi"/>
                <w:sz w:val="20"/>
              </w:rPr>
              <w:t>5%</w:t>
            </w:r>
          </w:p>
        </w:tc>
        <w:tc>
          <w:tcPr>
            <w:tcW w:w="864" w:type="dxa"/>
            <w:vAlign w:val="center"/>
          </w:tcPr>
          <w:p w:rsidR="0049170E" w:rsidRPr="0049170E" w:rsidRDefault="0049170E" w:rsidP="00D13E4B">
            <w:pPr>
              <w:spacing w:after="0" w:line="240" w:lineRule="auto"/>
              <w:jc w:val="right"/>
              <w:rPr>
                <w:rFonts w:asciiTheme="minorHAnsi" w:hAnsiTheme="minorHAnsi"/>
                <w:sz w:val="20"/>
              </w:rPr>
            </w:pPr>
            <w:r w:rsidRPr="0049170E">
              <w:rPr>
                <w:rFonts w:asciiTheme="minorHAnsi" w:hAnsiTheme="minorHAnsi"/>
                <w:sz w:val="20"/>
              </w:rPr>
              <w:t xml:space="preserve"> $0.15 </w:t>
            </w:r>
          </w:p>
        </w:tc>
        <w:tc>
          <w:tcPr>
            <w:tcW w:w="864" w:type="dxa"/>
            <w:vAlign w:val="center"/>
          </w:tcPr>
          <w:p w:rsidR="0049170E" w:rsidRPr="0049170E" w:rsidRDefault="0049170E" w:rsidP="00D13E4B">
            <w:pPr>
              <w:spacing w:after="0" w:line="240" w:lineRule="auto"/>
              <w:jc w:val="right"/>
              <w:rPr>
                <w:rFonts w:asciiTheme="minorHAnsi" w:hAnsiTheme="minorHAnsi"/>
                <w:sz w:val="20"/>
              </w:rPr>
            </w:pPr>
            <w:r w:rsidRPr="0049170E">
              <w:rPr>
                <w:rFonts w:asciiTheme="minorHAnsi" w:hAnsiTheme="minorHAnsi"/>
                <w:sz w:val="20"/>
              </w:rPr>
              <w:t xml:space="preserve"> $0.16 </w:t>
            </w:r>
          </w:p>
        </w:tc>
        <w:tc>
          <w:tcPr>
            <w:tcW w:w="864" w:type="dxa"/>
            <w:vAlign w:val="center"/>
          </w:tcPr>
          <w:p w:rsidR="0049170E" w:rsidRPr="0049170E" w:rsidRDefault="0049170E" w:rsidP="00D13E4B">
            <w:pPr>
              <w:spacing w:after="0" w:line="240" w:lineRule="auto"/>
              <w:jc w:val="right"/>
              <w:rPr>
                <w:rFonts w:asciiTheme="minorHAnsi" w:hAnsiTheme="minorHAnsi"/>
                <w:sz w:val="20"/>
              </w:rPr>
            </w:pPr>
            <w:r w:rsidRPr="0049170E">
              <w:rPr>
                <w:rFonts w:asciiTheme="minorHAnsi" w:hAnsiTheme="minorHAnsi"/>
                <w:sz w:val="20"/>
              </w:rPr>
              <w:t xml:space="preserve"> $0.17 </w:t>
            </w:r>
          </w:p>
        </w:tc>
      </w:tr>
      <w:tr w:rsidR="0049170E" w:rsidTr="00D13E4B">
        <w:trPr>
          <w:cantSplit/>
          <w:jc w:val="center"/>
        </w:trPr>
        <w:tc>
          <w:tcPr>
            <w:tcW w:w="1584" w:type="dxa"/>
            <w:vAlign w:val="center"/>
          </w:tcPr>
          <w:p w:rsidR="0049170E" w:rsidRPr="005731AB" w:rsidRDefault="0049170E" w:rsidP="00D13E4B">
            <w:pPr>
              <w:keepNext/>
              <w:spacing w:after="0" w:line="240" w:lineRule="auto"/>
              <w:rPr>
                <w:rFonts w:ascii="Calibri" w:hAnsi="Calibri"/>
                <w:sz w:val="20"/>
              </w:rPr>
            </w:pPr>
            <w:r w:rsidRPr="005731AB">
              <w:rPr>
                <w:rFonts w:ascii="Calibri" w:hAnsi="Calibri"/>
                <w:sz w:val="20"/>
              </w:rPr>
              <w:t>High Scenario</w:t>
            </w:r>
          </w:p>
        </w:tc>
        <w:tc>
          <w:tcPr>
            <w:tcW w:w="1296" w:type="dxa"/>
            <w:vAlign w:val="center"/>
          </w:tcPr>
          <w:p w:rsidR="0049170E" w:rsidRPr="00A040AD" w:rsidRDefault="0049170E" w:rsidP="00D13E4B">
            <w:pPr>
              <w:spacing w:after="0" w:line="240" w:lineRule="auto"/>
              <w:jc w:val="right"/>
              <w:rPr>
                <w:rFonts w:asciiTheme="minorHAnsi" w:hAnsiTheme="minorHAnsi"/>
                <w:sz w:val="20"/>
              </w:rPr>
            </w:pPr>
            <w:r>
              <w:rPr>
                <w:rFonts w:asciiTheme="minorHAnsi" w:hAnsiTheme="minorHAnsi"/>
                <w:sz w:val="20"/>
              </w:rPr>
              <w:t>10%</w:t>
            </w:r>
          </w:p>
        </w:tc>
        <w:tc>
          <w:tcPr>
            <w:tcW w:w="864" w:type="dxa"/>
            <w:vAlign w:val="center"/>
          </w:tcPr>
          <w:p w:rsidR="0049170E" w:rsidRPr="0049170E" w:rsidRDefault="0049170E" w:rsidP="00D13E4B">
            <w:pPr>
              <w:spacing w:after="0" w:line="240" w:lineRule="auto"/>
              <w:jc w:val="right"/>
              <w:rPr>
                <w:rFonts w:asciiTheme="minorHAnsi" w:hAnsiTheme="minorHAnsi"/>
                <w:sz w:val="20"/>
              </w:rPr>
            </w:pPr>
            <w:r w:rsidRPr="0049170E">
              <w:rPr>
                <w:rFonts w:asciiTheme="minorHAnsi" w:hAnsiTheme="minorHAnsi"/>
                <w:sz w:val="20"/>
              </w:rPr>
              <w:t xml:space="preserve"> $0.21 </w:t>
            </w:r>
          </w:p>
        </w:tc>
        <w:tc>
          <w:tcPr>
            <w:tcW w:w="864" w:type="dxa"/>
            <w:vAlign w:val="center"/>
          </w:tcPr>
          <w:p w:rsidR="0049170E" w:rsidRPr="0049170E" w:rsidRDefault="0049170E" w:rsidP="00D13E4B">
            <w:pPr>
              <w:spacing w:after="0" w:line="240" w:lineRule="auto"/>
              <w:jc w:val="right"/>
              <w:rPr>
                <w:rFonts w:asciiTheme="minorHAnsi" w:hAnsiTheme="minorHAnsi"/>
                <w:sz w:val="20"/>
              </w:rPr>
            </w:pPr>
            <w:r w:rsidRPr="0049170E">
              <w:rPr>
                <w:rFonts w:asciiTheme="minorHAnsi" w:hAnsiTheme="minorHAnsi"/>
                <w:sz w:val="20"/>
              </w:rPr>
              <w:t xml:space="preserve"> $0.22 </w:t>
            </w:r>
          </w:p>
        </w:tc>
        <w:tc>
          <w:tcPr>
            <w:tcW w:w="864" w:type="dxa"/>
            <w:vAlign w:val="center"/>
          </w:tcPr>
          <w:p w:rsidR="0049170E" w:rsidRPr="0049170E" w:rsidRDefault="0049170E" w:rsidP="00D13E4B">
            <w:pPr>
              <w:spacing w:after="0" w:line="240" w:lineRule="auto"/>
              <w:jc w:val="right"/>
              <w:rPr>
                <w:rFonts w:asciiTheme="minorHAnsi" w:hAnsiTheme="minorHAnsi"/>
                <w:sz w:val="20"/>
              </w:rPr>
            </w:pPr>
            <w:r w:rsidRPr="0049170E">
              <w:rPr>
                <w:rFonts w:asciiTheme="minorHAnsi" w:hAnsiTheme="minorHAnsi"/>
                <w:sz w:val="20"/>
              </w:rPr>
              <w:t xml:space="preserve"> $0.23 </w:t>
            </w:r>
          </w:p>
        </w:tc>
      </w:tr>
    </w:tbl>
    <w:p w:rsidR="00AB109F" w:rsidRPr="00EF62F6" w:rsidRDefault="00AB109F" w:rsidP="00EF62F6">
      <w:pPr>
        <w:pStyle w:val="NoSpacing"/>
      </w:pPr>
    </w:p>
    <w:p w:rsidR="00AB109F" w:rsidRPr="002472EF" w:rsidRDefault="00AB109F" w:rsidP="00AB109F">
      <w:pPr>
        <w:pStyle w:val="Heading2"/>
      </w:pPr>
      <w:bookmarkStart w:id="58" w:name="_Toc468888009"/>
      <w:r>
        <w:t>4</w:t>
      </w:r>
      <w:r w:rsidRPr="003012CE">
        <w:t>.</w:t>
      </w:r>
      <w:r>
        <w:t>8</w:t>
      </w:r>
      <w:r w:rsidRPr="003012CE">
        <w:t xml:space="preserve">. </w:t>
      </w:r>
      <w:r>
        <w:t xml:space="preserve">Carrier retention and </w:t>
      </w:r>
      <w:r w:rsidRPr="003012CE">
        <w:t>increase in premium</w:t>
      </w:r>
      <w:bookmarkEnd w:id="58"/>
    </w:p>
    <w:p w:rsidR="00AB109F" w:rsidRDefault="00AB109F" w:rsidP="00AB109F">
      <w:r w:rsidRPr="003012CE">
        <w:t xml:space="preserve">Assuming an average </w:t>
      </w:r>
      <w:r>
        <w:t xml:space="preserve">annual </w:t>
      </w:r>
      <w:r w:rsidRPr="003012CE">
        <w:t xml:space="preserve">retention rate of </w:t>
      </w:r>
      <w:r>
        <w:t>11.0</w:t>
      </w:r>
      <w:r w:rsidRPr="003012CE">
        <w:t xml:space="preserve"> percent based on CHIA’s analysis of administrative costs and profit in Massachusetts</w:t>
      </w:r>
      <w:r>
        <w:t>,</w:t>
      </w:r>
      <w:r>
        <w:rPr>
          <w:rStyle w:val="EndnoteReference"/>
        </w:rPr>
        <w:endnoteReference w:id="51"/>
      </w:r>
      <w:r>
        <w:t xml:space="preserve"> </w:t>
      </w:r>
      <w:r w:rsidRPr="003012CE">
        <w:t xml:space="preserve">the increase in medical expense was adjusted upward to approximate the total impact on premiums.  </w:t>
      </w:r>
      <w:r>
        <w:t>Table 18 shows the result.</w:t>
      </w:r>
    </w:p>
    <w:p w:rsidR="00AB109F" w:rsidRPr="002C774E" w:rsidRDefault="00AB109F" w:rsidP="00AB109F">
      <w:pPr>
        <w:pStyle w:val="TableTitle"/>
        <w:rPr>
          <w:szCs w:val="20"/>
        </w:rPr>
      </w:pPr>
      <w:r w:rsidRPr="00701459">
        <w:t xml:space="preserve">Table </w:t>
      </w:r>
      <w:r>
        <w:t>18</w:t>
      </w:r>
      <w:r w:rsidRPr="00701459">
        <w:t>:</w:t>
      </w:r>
      <w:r w:rsidRPr="00701459">
        <w:br/>
        <w:t xml:space="preserve">Estimated </w:t>
      </w:r>
      <w:r w:rsidR="00F11E34">
        <w:t>Increase in</w:t>
      </w:r>
      <w:r>
        <w:t xml:space="preserve"> PMPM </w:t>
      </w:r>
      <w:r w:rsidR="00F11E34">
        <w:t>Premium Due to</w:t>
      </w:r>
      <w:r>
        <w:t xml:space="preserve"> </w:t>
      </w:r>
      <w:r w:rsidR="00D85A18">
        <w:t>Substitution Requirement</w:t>
      </w:r>
      <w:r w:rsidR="00D85A18">
        <w:br/>
      </w:r>
      <w:r>
        <w:t>Projected for Study Period</w:t>
      </w:r>
    </w:p>
    <w:tbl>
      <w:tblPr>
        <w:tblW w:w="4255" w:type="dxa"/>
        <w:jc w:val="center"/>
        <w:tblCellMar>
          <w:top w:w="14" w:type="dxa"/>
          <w:left w:w="58" w:type="dxa"/>
          <w:bottom w:w="14" w:type="dxa"/>
          <w:right w:w="58" w:type="dxa"/>
        </w:tblCellMar>
        <w:tblLook w:val="04A0"/>
      </w:tblPr>
      <w:tblGrid>
        <w:gridCol w:w="1639"/>
        <w:gridCol w:w="1266"/>
        <w:gridCol w:w="1350"/>
      </w:tblGrid>
      <w:tr w:rsidR="00AB109F" w:rsidRPr="00BF5954" w:rsidTr="00AB1B5B">
        <w:trPr>
          <w:cantSplit/>
          <w:jc w:val="center"/>
        </w:trPr>
        <w:tc>
          <w:tcPr>
            <w:tcW w:w="1639" w:type="dxa"/>
          </w:tcPr>
          <w:p w:rsidR="00AB109F" w:rsidRPr="005731AB" w:rsidRDefault="00AB109F" w:rsidP="00081318">
            <w:pPr>
              <w:keepNext/>
              <w:spacing w:after="0" w:line="240" w:lineRule="auto"/>
              <w:jc w:val="right"/>
              <w:rPr>
                <w:rFonts w:ascii="Calibri" w:hAnsi="Calibri"/>
                <w:sz w:val="20"/>
              </w:rPr>
            </w:pPr>
          </w:p>
        </w:tc>
        <w:tc>
          <w:tcPr>
            <w:tcW w:w="1266" w:type="dxa"/>
            <w:tcBorders>
              <w:bottom w:val="single" w:sz="4" w:space="0" w:color="auto"/>
            </w:tcBorders>
            <w:vAlign w:val="center"/>
          </w:tcPr>
          <w:p w:rsidR="00AB109F" w:rsidRPr="008E2C32" w:rsidRDefault="00AB109F" w:rsidP="00081318">
            <w:pPr>
              <w:keepNext/>
              <w:spacing w:after="0" w:line="240" w:lineRule="auto"/>
              <w:jc w:val="right"/>
              <w:rPr>
                <w:rFonts w:ascii="Calibri" w:hAnsi="Calibri"/>
                <w:sz w:val="20"/>
              </w:rPr>
            </w:pPr>
            <w:r>
              <w:rPr>
                <w:rFonts w:ascii="Calibri" w:hAnsi="Calibri"/>
                <w:sz w:val="20"/>
              </w:rPr>
              <w:t>2017</w:t>
            </w:r>
          </w:p>
        </w:tc>
        <w:tc>
          <w:tcPr>
            <w:tcW w:w="1350" w:type="dxa"/>
            <w:tcBorders>
              <w:bottom w:val="single" w:sz="4" w:space="0" w:color="auto"/>
            </w:tcBorders>
            <w:vAlign w:val="center"/>
          </w:tcPr>
          <w:p w:rsidR="00AB109F" w:rsidRPr="008E2C32" w:rsidRDefault="00AB109F" w:rsidP="00081318">
            <w:pPr>
              <w:keepNext/>
              <w:spacing w:after="0" w:line="240" w:lineRule="auto"/>
              <w:jc w:val="right"/>
              <w:rPr>
                <w:rFonts w:ascii="Calibri" w:hAnsi="Calibri"/>
                <w:sz w:val="20"/>
              </w:rPr>
            </w:pPr>
            <w:r>
              <w:rPr>
                <w:rFonts w:ascii="Calibri" w:hAnsi="Calibri"/>
                <w:sz w:val="20"/>
              </w:rPr>
              <w:t>2018</w:t>
            </w:r>
          </w:p>
        </w:tc>
      </w:tr>
      <w:tr w:rsidR="00AB109F" w:rsidRPr="00794A77" w:rsidTr="00AB1B5B">
        <w:trPr>
          <w:cantSplit/>
          <w:jc w:val="center"/>
        </w:trPr>
        <w:tc>
          <w:tcPr>
            <w:tcW w:w="1639" w:type="dxa"/>
            <w:vAlign w:val="center"/>
          </w:tcPr>
          <w:p w:rsidR="00AB109F" w:rsidRPr="005731AB" w:rsidRDefault="00AB109F" w:rsidP="00081318">
            <w:pPr>
              <w:keepNext/>
              <w:spacing w:after="0" w:line="240" w:lineRule="auto"/>
              <w:rPr>
                <w:rFonts w:ascii="Calibri" w:hAnsi="Calibri"/>
                <w:sz w:val="20"/>
              </w:rPr>
            </w:pPr>
            <w:r w:rsidRPr="005731AB">
              <w:rPr>
                <w:rFonts w:ascii="Calibri" w:hAnsi="Calibri"/>
                <w:sz w:val="20"/>
              </w:rPr>
              <w:t>Low Scenario</w:t>
            </w:r>
          </w:p>
        </w:tc>
        <w:tc>
          <w:tcPr>
            <w:tcW w:w="1266" w:type="dxa"/>
            <w:tcBorders>
              <w:top w:val="single" w:sz="4" w:space="0" w:color="auto"/>
            </w:tcBorders>
            <w:vAlign w:val="center"/>
          </w:tcPr>
          <w:p w:rsidR="00AB109F" w:rsidRPr="00794A77" w:rsidRDefault="00AB109F" w:rsidP="00081318">
            <w:pPr>
              <w:spacing w:after="0" w:line="240" w:lineRule="auto"/>
              <w:jc w:val="right"/>
              <w:rPr>
                <w:rFonts w:asciiTheme="minorHAnsi" w:hAnsiTheme="minorHAnsi"/>
                <w:sz w:val="20"/>
                <w:szCs w:val="20"/>
              </w:rPr>
            </w:pPr>
            <w:r w:rsidRPr="00794A77">
              <w:rPr>
                <w:rFonts w:asciiTheme="minorHAnsi" w:hAnsiTheme="minorHAnsi"/>
                <w:sz w:val="20"/>
                <w:szCs w:val="20"/>
              </w:rPr>
              <w:t xml:space="preserve"> $0.12 </w:t>
            </w:r>
          </w:p>
        </w:tc>
        <w:tc>
          <w:tcPr>
            <w:tcW w:w="1350" w:type="dxa"/>
            <w:tcBorders>
              <w:top w:val="single" w:sz="4" w:space="0" w:color="auto"/>
            </w:tcBorders>
            <w:vAlign w:val="center"/>
          </w:tcPr>
          <w:p w:rsidR="00AB109F" w:rsidRPr="00794A77" w:rsidRDefault="00AB109F" w:rsidP="00081318">
            <w:pPr>
              <w:spacing w:after="0" w:line="240" w:lineRule="auto"/>
              <w:jc w:val="right"/>
              <w:rPr>
                <w:rFonts w:asciiTheme="minorHAnsi" w:hAnsiTheme="minorHAnsi"/>
                <w:sz w:val="20"/>
                <w:szCs w:val="20"/>
              </w:rPr>
            </w:pPr>
            <w:r w:rsidRPr="00794A77">
              <w:rPr>
                <w:rFonts w:asciiTheme="minorHAnsi" w:hAnsiTheme="minorHAnsi"/>
                <w:sz w:val="20"/>
                <w:szCs w:val="20"/>
              </w:rPr>
              <w:t xml:space="preserve"> $0.13 </w:t>
            </w:r>
          </w:p>
        </w:tc>
      </w:tr>
      <w:tr w:rsidR="00AB109F" w:rsidRPr="00794A77" w:rsidTr="00AB1B5B">
        <w:trPr>
          <w:cantSplit/>
          <w:jc w:val="center"/>
        </w:trPr>
        <w:tc>
          <w:tcPr>
            <w:tcW w:w="1639" w:type="dxa"/>
            <w:vAlign w:val="center"/>
          </w:tcPr>
          <w:p w:rsidR="00AB109F" w:rsidRPr="005731AB" w:rsidRDefault="00AB109F" w:rsidP="00081318">
            <w:pPr>
              <w:keepNext/>
              <w:spacing w:after="0" w:line="240" w:lineRule="auto"/>
              <w:rPr>
                <w:rFonts w:ascii="Calibri" w:hAnsi="Calibri"/>
                <w:sz w:val="20"/>
              </w:rPr>
            </w:pPr>
            <w:r w:rsidRPr="005731AB">
              <w:rPr>
                <w:rFonts w:ascii="Calibri" w:hAnsi="Calibri"/>
                <w:sz w:val="20"/>
              </w:rPr>
              <w:t>Mid Scenario</w:t>
            </w:r>
          </w:p>
        </w:tc>
        <w:tc>
          <w:tcPr>
            <w:tcW w:w="1266" w:type="dxa"/>
            <w:vAlign w:val="center"/>
          </w:tcPr>
          <w:p w:rsidR="00AB109F" w:rsidRPr="00794A77" w:rsidRDefault="00AB109F" w:rsidP="006F3192">
            <w:pPr>
              <w:spacing w:after="0" w:line="240" w:lineRule="auto"/>
              <w:jc w:val="right"/>
              <w:rPr>
                <w:rFonts w:asciiTheme="minorHAnsi" w:hAnsiTheme="minorHAnsi"/>
                <w:sz w:val="20"/>
                <w:szCs w:val="20"/>
              </w:rPr>
            </w:pPr>
            <w:r w:rsidRPr="00794A77">
              <w:rPr>
                <w:rFonts w:asciiTheme="minorHAnsi" w:hAnsiTheme="minorHAnsi"/>
                <w:sz w:val="20"/>
                <w:szCs w:val="20"/>
              </w:rPr>
              <w:t xml:space="preserve"> $0.1</w:t>
            </w:r>
            <w:r w:rsidR="006F3192">
              <w:rPr>
                <w:rFonts w:asciiTheme="minorHAnsi" w:hAnsiTheme="minorHAnsi"/>
                <w:sz w:val="20"/>
                <w:szCs w:val="20"/>
              </w:rPr>
              <w:t>8</w:t>
            </w:r>
            <w:r w:rsidRPr="00794A77">
              <w:rPr>
                <w:rFonts w:asciiTheme="minorHAnsi" w:hAnsiTheme="minorHAnsi"/>
                <w:sz w:val="20"/>
                <w:szCs w:val="20"/>
              </w:rPr>
              <w:t xml:space="preserve"> </w:t>
            </w:r>
          </w:p>
        </w:tc>
        <w:tc>
          <w:tcPr>
            <w:tcW w:w="1350" w:type="dxa"/>
            <w:vAlign w:val="center"/>
          </w:tcPr>
          <w:p w:rsidR="00AB109F" w:rsidRPr="00794A77" w:rsidRDefault="00AB109F" w:rsidP="006F3192">
            <w:pPr>
              <w:spacing w:after="0" w:line="240" w:lineRule="auto"/>
              <w:jc w:val="right"/>
              <w:rPr>
                <w:rFonts w:asciiTheme="minorHAnsi" w:hAnsiTheme="minorHAnsi"/>
                <w:sz w:val="20"/>
                <w:szCs w:val="20"/>
              </w:rPr>
            </w:pPr>
            <w:r w:rsidRPr="00794A77">
              <w:rPr>
                <w:rFonts w:asciiTheme="minorHAnsi" w:hAnsiTheme="minorHAnsi"/>
                <w:sz w:val="20"/>
                <w:szCs w:val="20"/>
              </w:rPr>
              <w:t xml:space="preserve"> $0.1</w:t>
            </w:r>
            <w:r w:rsidR="006F3192">
              <w:rPr>
                <w:rFonts w:asciiTheme="minorHAnsi" w:hAnsiTheme="minorHAnsi"/>
                <w:sz w:val="20"/>
                <w:szCs w:val="20"/>
              </w:rPr>
              <w:t>9</w:t>
            </w:r>
            <w:r w:rsidRPr="00794A77">
              <w:rPr>
                <w:rFonts w:asciiTheme="minorHAnsi" w:hAnsiTheme="minorHAnsi"/>
                <w:sz w:val="20"/>
                <w:szCs w:val="20"/>
              </w:rPr>
              <w:t xml:space="preserve"> </w:t>
            </w:r>
          </w:p>
        </w:tc>
      </w:tr>
      <w:tr w:rsidR="00AB109F" w:rsidRPr="00794A77" w:rsidTr="00AB1B5B">
        <w:trPr>
          <w:cantSplit/>
          <w:jc w:val="center"/>
        </w:trPr>
        <w:tc>
          <w:tcPr>
            <w:tcW w:w="1639" w:type="dxa"/>
            <w:vAlign w:val="center"/>
          </w:tcPr>
          <w:p w:rsidR="00AB109F" w:rsidRPr="005731AB" w:rsidRDefault="00AB109F" w:rsidP="00081318">
            <w:pPr>
              <w:keepNext/>
              <w:spacing w:after="0" w:line="240" w:lineRule="auto"/>
              <w:rPr>
                <w:rFonts w:ascii="Calibri" w:hAnsi="Calibri"/>
                <w:sz w:val="20"/>
              </w:rPr>
            </w:pPr>
            <w:r w:rsidRPr="005731AB">
              <w:rPr>
                <w:rFonts w:ascii="Calibri" w:hAnsi="Calibri"/>
                <w:sz w:val="20"/>
              </w:rPr>
              <w:t>High Scenario</w:t>
            </w:r>
          </w:p>
        </w:tc>
        <w:tc>
          <w:tcPr>
            <w:tcW w:w="1266" w:type="dxa"/>
            <w:vAlign w:val="center"/>
          </w:tcPr>
          <w:p w:rsidR="00AB109F" w:rsidRPr="00794A77" w:rsidRDefault="00AB109F" w:rsidP="006F3192">
            <w:pPr>
              <w:spacing w:after="0" w:line="240" w:lineRule="auto"/>
              <w:jc w:val="right"/>
              <w:rPr>
                <w:rFonts w:asciiTheme="minorHAnsi" w:hAnsiTheme="minorHAnsi"/>
                <w:sz w:val="20"/>
                <w:szCs w:val="20"/>
              </w:rPr>
            </w:pPr>
            <w:r w:rsidRPr="00794A77">
              <w:rPr>
                <w:rFonts w:asciiTheme="minorHAnsi" w:hAnsiTheme="minorHAnsi"/>
                <w:sz w:val="20"/>
                <w:szCs w:val="20"/>
              </w:rPr>
              <w:t xml:space="preserve"> $0.2</w:t>
            </w:r>
            <w:r w:rsidR="006F3192">
              <w:rPr>
                <w:rFonts w:asciiTheme="minorHAnsi" w:hAnsiTheme="minorHAnsi"/>
                <w:sz w:val="20"/>
                <w:szCs w:val="20"/>
              </w:rPr>
              <w:t>4</w:t>
            </w:r>
            <w:r w:rsidRPr="00794A77">
              <w:rPr>
                <w:rFonts w:asciiTheme="minorHAnsi" w:hAnsiTheme="minorHAnsi"/>
                <w:sz w:val="20"/>
                <w:szCs w:val="20"/>
              </w:rPr>
              <w:t xml:space="preserve"> </w:t>
            </w:r>
          </w:p>
        </w:tc>
        <w:tc>
          <w:tcPr>
            <w:tcW w:w="1350" w:type="dxa"/>
            <w:vAlign w:val="center"/>
          </w:tcPr>
          <w:p w:rsidR="00AB109F" w:rsidRPr="00794A77" w:rsidRDefault="00AB109F" w:rsidP="006F3192">
            <w:pPr>
              <w:spacing w:after="0" w:line="240" w:lineRule="auto"/>
              <w:jc w:val="right"/>
              <w:rPr>
                <w:rFonts w:asciiTheme="minorHAnsi" w:hAnsiTheme="minorHAnsi"/>
                <w:sz w:val="20"/>
                <w:szCs w:val="20"/>
              </w:rPr>
            </w:pPr>
            <w:r w:rsidRPr="00794A77">
              <w:rPr>
                <w:rFonts w:asciiTheme="minorHAnsi" w:hAnsiTheme="minorHAnsi"/>
                <w:sz w:val="20"/>
                <w:szCs w:val="20"/>
              </w:rPr>
              <w:t xml:space="preserve"> $0.2</w:t>
            </w:r>
            <w:r w:rsidR="006F3192">
              <w:rPr>
                <w:rFonts w:asciiTheme="minorHAnsi" w:hAnsiTheme="minorHAnsi"/>
                <w:sz w:val="20"/>
                <w:szCs w:val="20"/>
              </w:rPr>
              <w:t>6</w:t>
            </w:r>
            <w:r w:rsidRPr="00794A77">
              <w:rPr>
                <w:rFonts w:asciiTheme="minorHAnsi" w:hAnsiTheme="minorHAnsi"/>
                <w:sz w:val="20"/>
                <w:szCs w:val="20"/>
              </w:rPr>
              <w:t xml:space="preserve"> </w:t>
            </w:r>
          </w:p>
        </w:tc>
      </w:tr>
    </w:tbl>
    <w:p w:rsidR="00AB109F" w:rsidRDefault="00AB109F" w:rsidP="00AB109F">
      <w:pPr>
        <w:pStyle w:val="NoSpacing"/>
      </w:pPr>
    </w:p>
    <w:p w:rsidR="00AB109F" w:rsidRDefault="00AB109F" w:rsidP="00EF62F6">
      <w:r>
        <w:t xml:space="preserve">While 11 percent is the standard carrier retention in the Massachusetts fully-insured commercial marketplace, this figure may underestimate the cost of administration to carriers for this specific </w:t>
      </w:r>
      <w:r w:rsidR="001826BD">
        <w:t>substitution</w:t>
      </w:r>
      <w:r w:rsidR="000437CC">
        <w:t xml:space="preserve"> requirement</w:t>
      </w:r>
      <w:r w:rsidR="00052ED6">
        <w:t xml:space="preserve">.  As carriers will need to modify their administrative systems and work with PBMs and pharmacies to ensure that the brand-name ADO drugs are included in the generic drug tier for purposes of collecting cost-sharing from patients, </w:t>
      </w:r>
      <w:r>
        <w:t xml:space="preserve">additional </w:t>
      </w:r>
      <w:r w:rsidR="00052ED6">
        <w:t xml:space="preserve">costs to the carriers, and corresponding </w:t>
      </w:r>
      <w:r>
        <w:t>increases in plan premiums</w:t>
      </w:r>
      <w:r w:rsidR="00052ED6">
        <w:t>, may result</w:t>
      </w:r>
      <w:r>
        <w:t xml:space="preserve">.  </w:t>
      </w:r>
    </w:p>
    <w:p w:rsidR="00AB109F" w:rsidRPr="003012CE" w:rsidRDefault="00AB109F" w:rsidP="00AB109F">
      <w:pPr>
        <w:pStyle w:val="Heading2"/>
      </w:pPr>
      <w:bookmarkStart w:id="59" w:name="_Toc468888010"/>
      <w:r>
        <w:lastRenderedPageBreak/>
        <w:t>4</w:t>
      </w:r>
      <w:r w:rsidRPr="003012CE">
        <w:t>.</w:t>
      </w:r>
      <w:r>
        <w:t>9</w:t>
      </w:r>
      <w:r w:rsidRPr="003012CE">
        <w:t xml:space="preserve">. Projected fully-insured population in </w:t>
      </w:r>
      <w:r w:rsidRPr="002472EF">
        <w:t>Massachusetts</w:t>
      </w:r>
      <w:bookmarkEnd w:id="59"/>
    </w:p>
    <w:p w:rsidR="00AB109F" w:rsidRDefault="00AB109F" w:rsidP="00AB109F">
      <w:r w:rsidRPr="003012CE">
        <w:t xml:space="preserve">Table </w:t>
      </w:r>
      <w:r>
        <w:t>19</w:t>
      </w:r>
      <w:r w:rsidRPr="003012CE">
        <w:t xml:space="preserve"> shows the fully-insured </w:t>
      </w:r>
      <w:r>
        <w:t>population in Massachusetts age</w:t>
      </w:r>
      <w:r w:rsidRPr="003012CE">
        <w:t xml:space="preserve"> 0 to 64 projected for the next </w:t>
      </w:r>
      <w:r>
        <w:t>two y</w:t>
      </w:r>
      <w:r w:rsidRPr="003012CE">
        <w:t xml:space="preserve">ears.  </w:t>
      </w:r>
      <w:r w:rsidR="00601CDF">
        <w:t xml:space="preserve">Appendix </w:t>
      </w:r>
      <w:r w:rsidR="00365D96">
        <w:t>B</w:t>
      </w:r>
      <w:r w:rsidR="008334BE">
        <w:t xml:space="preserve"> </w:t>
      </w:r>
      <w:r w:rsidRPr="00773FBC">
        <w:t>describes the sources of these values.</w:t>
      </w:r>
    </w:p>
    <w:p w:rsidR="00AB109F" w:rsidRPr="00BE59A4" w:rsidRDefault="00AB109F" w:rsidP="00AB109F">
      <w:pPr>
        <w:pStyle w:val="TableTitle"/>
      </w:pPr>
      <w:r>
        <w:t>Table 19</w:t>
      </w:r>
      <w:r w:rsidRPr="0072451E">
        <w:t>:</w:t>
      </w:r>
      <w:r>
        <w:br/>
      </w:r>
      <w:r w:rsidRPr="0072451E">
        <w:t xml:space="preserve">Projected Fully-Insured Population in Massachusetts, Ages </w:t>
      </w:r>
      <w:r>
        <w:t>0</w:t>
      </w:r>
      <w:r w:rsidRPr="0072451E">
        <w:t>-64</w:t>
      </w:r>
    </w:p>
    <w:tbl>
      <w:tblPr>
        <w:tblW w:w="2430" w:type="dxa"/>
        <w:jc w:val="center"/>
        <w:tblCellMar>
          <w:top w:w="14" w:type="dxa"/>
          <w:left w:w="58" w:type="dxa"/>
          <w:bottom w:w="14" w:type="dxa"/>
          <w:right w:w="58" w:type="dxa"/>
        </w:tblCellMar>
        <w:tblLook w:val="04A0"/>
      </w:tblPr>
      <w:tblGrid>
        <w:gridCol w:w="1170"/>
        <w:gridCol w:w="1260"/>
      </w:tblGrid>
      <w:tr w:rsidR="00AB109F" w:rsidRPr="00081318" w:rsidTr="00081318">
        <w:trPr>
          <w:jc w:val="center"/>
        </w:trPr>
        <w:tc>
          <w:tcPr>
            <w:tcW w:w="1170" w:type="dxa"/>
            <w:vAlign w:val="center"/>
          </w:tcPr>
          <w:p w:rsidR="00AB109F" w:rsidRPr="00081318" w:rsidRDefault="00AB109F" w:rsidP="00081318">
            <w:pPr>
              <w:keepNext/>
              <w:spacing w:after="0" w:line="240" w:lineRule="auto"/>
              <w:rPr>
                <w:rFonts w:ascii="Calibri" w:hAnsi="Calibri"/>
                <w:sz w:val="20"/>
                <w:szCs w:val="20"/>
                <w:u w:val="single"/>
              </w:rPr>
            </w:pPr>
            <w:r w:rsidRPr="00081318">
              <w:rPr>
                <w:rFonts w:ascii="Calibri" w:hAnsi="Calibri"/>
                <w:sz w:val="20"/>
                <w:szCs w:val="20"/>
                <w:u w:val="single"/>
              </w:rPr>
              <w:t>Year</w:t>
            </w:r>
          </w:p>
        </w:tc>
        <w:tc>
          <w:tcPr>
            <w:tcW w:w="1260" w:type="dxa"/>
            <w:vAlign w:val="center"/>
          </w:tcPr>
          <w:p w:rsidR="00AB109F" w:rsidRPr="00081318" w:rsidRDefault="00AB109F" w:rsidP="00081318">
            <w:pPr>
              <w:keepNext/>
              <w:spacing w:after="0" w:line="240" w:lineRule="auto"/>
              <w:jc w:val="right"/>
              <w:rPr>
                <w:rFonts w:ascii="Calibri" w:hAnsi="Calibri"/>
                <w:sz w:val="20"/>
                <w:szCs w:val="20"/>
                <w:u w:val="single"/>
              </w:rPr>
            </w:pPr>
            <w:r w:rsidRPr="00081318">
              <w:rPr>
                <w:rFonts w:ascii="Calibri" w:hAnsi="Calibri"/>
                <w:sz w:val="20"/>
                <w:szCs w:val="20"/>
                <w:u w:val="single"/>
              </w:rPr>
              <w:t>Total (0-64)</w:t>
            </w:r>
          </w:p>
        </w:tc>
      </w:tr>
      <w:tr w:rsidR="00AB109F" w:rsidRPr="00081318" w:rsidTr="00081318">
        <w:trPr>
          <w:jc w:val="center"/>
        </w:trPr>
        <w:tc>
          <w:tcPr>
            <w:tcW w:w="1170" w:type="dxa"/>
            <w:vAlign w:val="center"/>
          </w:tcPr>
          <w:p w:rsidR="00AB109F" w:rsidRPr="00081318" w:rsidRDefault="00AB109F" w:rsidP="00081318">
            <w:pPr>
              <w:keepNext/>
              <w:spacing w:after="0" w:line="240" w:lineRule="auto"/>
              <w:rPr>
                <w:rFonts w:ascii="Calibri" w:hAnsi="Calibri"/>
                <w:sz w:val="20"/>
                <w:szCs w:val="20"/>
              </w:rPr>
            </w:pPr>
            <w:r w:rsidRPr="00081318">
              <w:rPr>
                <w:rFonts w:ascii="Calibri" w:hAnsi="Calibri"/>
                <w:sz w:val="20"/>
                <w:szCs w:val="20"/>
              </w:rPr>
              <w:t>2017</w:t>
            </w:r>
          </w:p>
        </w:tc>
        <w:tc>
          <w:tcPr>
            <w:tcW w:w="1260" w:type="dxa"/>
            <w:vAlign w:val="bottom"/>
          </w:tcPr>
          <w:p w:rsidR="00AB109F" w:rsidRPr="00081318" w:rsidRDefault="00AB109F" w:rsidP="00081318">
            <w:pPr>
              <w:keepNext/>
              <w:spacing w:after="0" w:line="240" w:lineRule="auto"/>
              <w:jc w:val="right"/>
              <w:rPr>
                <w:rFonts w:ascii="Calibri" w:hAnsi="Calibri"/>
                <w:sz w:val="20"/>
                <w:szCs w:val="20"/>
              </w:rPr>
            </w:pPr>
            <w:r w:rsidRPr="00081318">
              <w:rPr>
                <w:rFonts w:ascii="Calibri" w:hAnsi="Calibri"/>
                <w:color w:val="000000"/>
                <w:sz w:val="20"/>
                <w:szCs w:val="20"/>
              </w:rPr>
              <w:t>2,159,380</w:t>
            </w:r>
          </w:p>
        </w:tc>
      </w:tr>
      <w:tr w:rsidR="00AB109F" w:rsidRPr="00081318" w:rsidTr="00081318">
        <w:trPr>
          <w:jc w:val="center"/>
        </w:trPr>
        <w:tc>
          <w:tcPr>
            <w:tcW w:w="1170" w:type="dxa"/>
            <w:vAlign w:val="center"/>
          </w:tcPr>
          <w:p w:rsidR="00AB109F" w:rsidRPr="00081318" w:rsidRDefault="00AB109F" w:rsidP="00081318">
            <w:pPr>
              <w:keepNext/>
              <w:spacing w:after="0" w:line="240" w:lineRule="auto"/>
              <w:rPr>
                <w:rFonts w:ascii="Calibri" w:hAnsi="Calibri"/>
                <w:sz w:val="20"/>
                <w:szCs w:val="20"/>
              </w:rPr>
            </w:pPr>
            <w:r w:rsidRPr="00081318">
              <w:rPr>
                <w:rFonts w:ascii="Calibri" w:hAnsi="Calibri"/>
                <w:sz w:val="20"/>
                <w:szCs w:val="20"/>
              </w:rPr>
              <w:t>2018</w:t>
            </w:r>
          </w:p>
        </w:tc>
        <w:tc>
          <w:tcPr>
            <w:tcW w:w="1260" w:type="dxa"/>
            <w:vAlign w:val="bottom"/>
          </w:tcPr>
          <w:p w:rsidR="00AB109F" w:rsidRPr="00081318" w:rsidRDefault="00AB109F" w:rsidP="00081318">
            <w:pPr>
              <w:keepNext/>
              <w:spacing w:after="0" w:line="240" w:lineRule="auto"/>
              <w:jc w:val="right"/>
              <w:rPr>
                <w:rFonts w:ascii="Calibri" w:hAnsi="Calibri"/>
                <w:sz w:val="20"/>
                <w:szCs w:val="20"/>
              </w:rPr>
            </w:pPr>
            <w:r w:rsidRPr="00081318">
              <w:rPr>
                <w:rFonts w:ascii="Calibri" w:hAnsi="Calibri"/>
                <w:color w:val="000000"/>
                <w:sz w:val="20"/>
                <w:szCs w:val="20"/>
              </w:rPr>
              <w:t>2,157,070</w:t>
            </w:r>
          </w:p>
        </w:tc>
      </w:tr>
    </w:tbl>
    <w:p w:rsidR="00AB109F" w:rsidRDefault="00AB109F" w:rsidP="00AB109F">
      <w:pPr>
        <w:pStyle w:val="NoSpacing"/>
      </w:pPr>
    </w:p>
    <w:p w:rsidR="00AB109F" w:rsidRDefault="00AB109F" w:rsidP="00AB109F">
      <w:pPr>
        <w:pStyle w:val="Heading2"/>
      </w:pPr>
      <w:bookmarkStart w:id="60" w:name="_Toc468888011"/>
      <w:r>
        <w:t>4</w:t>
      </w:r>
      <w:r w:rsidRPr="000248F2">
        <w:t>.</w:t>
      </w:r>
      <w:r>
        <w:t>10</w:t>
      </w:r>
      <w:r w:rsidRPr="000248F2">
        <w:t xml:space="preserve">. </w:t>
      </w:r>
      <w:r>
        <w:t xml:space="preserve">Total </w:t>
      </w:r>
      <w:r w:rsidR="008B08CF">
        <w:t>incremental</w:t>
      </w:r>
      <w:r>
        <w:t xml:space="preserve"> medical expense</w:t>
      </w:r>
      <w:r w:rsidR="008B08CF" w:rsidRPr="008B08CF">
        <w:t xml:space="preserve"> </w:t>
      </w:r>
      <w:r w:rsidR="008B08CF">
        <w:t xml:space="preserve">and </w:t>
      </w:r>
      <w:r w:rsidR="008B08CF" w:rsidRPr="003012CE">
        <w:t>increase in premium</w:t>
      </w:r>
      <w:bookmarkEnd w:id="60"/>
    </w:p>
    <w:p w:rsidR="00AB109F" w:rsidRDefault="00AB109F" w:rsidP="00AB109F">
      <w:r>
        <w:t xml:space="preserve">Multiplying the total estimated PMPM cost </w:t>
      </w:r>
      <w:r w:rsidR="00F11E34">
        <w:t xml:space="preserve">from Table 17 </w:t>
      </w:r>
      <w:r>
        <w:t xml:space="preserve">by the projected fully-insured membership over the analysis period </w:t>
      </w:r>
      <w:r w:rsidR="00965A42">
        <w:t>yields</w:t>
      </w:r>
      <w:r w:rsidR="001826BD">
        <w:t xml:space="preserve"> the total medical expense</w:t>
      </w:r>
      <w:r>
        <w:t xml:space="preserve"> associated with the </w:t>
      </w:r>
      <w:r w:rsidR="001826BD">
        <w:t>substitution</w:t>
      </w:r>
      <w:r w:rsidR="000437CC">
        <w:t xml:space="preserve"> requirement</w:t>
      </w:r>
      <w:r>
        <w:t xml:space="preserve">, shown in Table 20.  This analysis assumes the </w:t>
      </w:r>
      <w:r w:rsidR="008B08CF">
        <w:t>formulary</w:t>
      </w:r>
      <w:r>
        <w:t xml:space="preserve"> would be effective January 1, 2017.</w:t>
      </w:r>
      <w:r w:rsidR="007A5D52">
        <w:rPr>
          <w:rStyle w:val="EndnoteReference"/>
        </w:rPr>
        <w:endnoteReference w:id="52"/>
      </w:r>
    </w:p>
    <w:p w:rsidR="00AB109F" w:rsidRPr="00EF62F6" w:rsidRDefault="00AB109F" w:rsidP="00EF62F6">
      <w:pPr>
        <w:pStyle w:val="TableTitle"/>
        <w:rPr>
          <w:szCs w:val="20"/>
        </w:rPr>
      </w:pPr>
      <w:r w:rsidRPr="00701459">
        <w:t xml:space="preserve">Table </w:t>
      </w:r>
      <w:r>
        <w:t>20</w:t>
      </w:r>
      <w:r w:rsidRPr="00701459">
        <w:t>:</w:t>
      </w:r>
      <w:r w:rsidRPr="00701459">
        <w:br/>
        <w:t xml:space="preserve">Estimated </w:t>
      </w:r>
      <w:r>
        <w:t xml:space="preserve">Marginal Cost of </w:t>
      </w:r>
      <w:r w:rsidR="00E73430">
        <w:t xml:space="preserve">Draft </w:t>
      </w:r>
      <w:r>
        <w:t xml:space="preserve">Drug Formulary </w:t>
      </w:r>
      <w:r w:rsidR="000437CC">
        <w:t>Substitution Requirement</w:t>
      </w:r>
    </w:p>
    <w:tbl>
      <w:tblPr>
        <w:tblW w:w="0" w:type="auto"/>
        <w:jc w:val="center"/>
        <w:tblCellMar>
          <w:top w:w="14" w:type="dxa"/>
          <w:left w:w="58" w:type="dxa"/>
          <w:bottom w:w="14" w:type="dxa"/>
          <w:right w:w="58" w:type="dxa"/>
        </w:tblCellMar>
        <w:tblLook w:val="04A0"/>
      </w:tblPr>
      <w:tblGrid>
        <w:gridCol w:w="1334"/>
        <w:gridCol w:w="1382"/>
        <w:gridCol w:w="1383"/>
      </w:tblGrid>
      <w:tr w:rsidR="00AB109F" w:rsidRPr="00561286" w:rsidTr="005077BF">
        <w:trPr>
          <w:cantSplit/>
          <w:jc w:val="center"/>
        </w:trPr>
        <w:tc>
          <w:tcPr>
            <w:tcW w:w="1334" w:type="dxa"/>
          </w:tcPr>
          <w:p w:rsidR="00AB109F" w:rsidRPr="00561286" w:rsidRDefault="00AB109F" w:rsidP="005077BF">
            <w:pPr>
              <w:keepNext/>
              <w:spacing w:after="0" w:line="240" w:lineRule="auto"/>
              <w:jc w:val="right"/>
              <w:rPr>
                <w:rFonts w:ascii="Calibri" w:hAnsi="Calibri"/>
                <w:sz w:val="20"/>
                <w:szCs w:val="20"/>
              </w:rPr>
            </w:pPr>
          </w:p>
        </w:tc>
        <w:tc>
          <w:tcPr>
            <w:tcW w:w="1382" w:type="dxa"/>
            <w:tcBorders>
              <w:bottom w:val="single" w:sz="4" w:space="0" w:color="auto"/>
            </w:tcBorders>
            <w:vAlign w:val="center"/>
          </w:tcPr>
          <w:p w:rsidR="00AB109F" w:rsidRPr="00561286" w:rsidRDefault="00AB109F" w:rsidP="005077BF">
            <w:pPr>
              <w:keepNext/>
              <w:spacing w:after="0" w:line="240" w:lineRule="auto"/>
              <w:jc w:val="right"/>
              <w:rPr>
                <w:rFonts w:ascii="Calibri" w:hAnsi="Calibri"/>
                <w:sz w:val="20"/>
                <w:szCs w:val="20"/>
              </w:rPr>
            </w:pPr>
            <w:r w:rsidRPr="00561286">
              <w:rPr>
                <w:rFonts w:ascii="Calibri" w:hAnsi="Calibri"/>
                <w:sz w:val="20"/>
                <w:szCs w:val="20"/>
              </w:rPr>
              <w:t>2017</w:t>
            </w:r>
          </w:p>
        </w:tc>
        <w:tc>
          <w:tcPr>
            <w:tcW w:w="1383" w:type="dxa"/>
            <w:tcBorders>
              <w:bottom w:val="single" w:sz="4" w:space="0" w:color="auto"/>
            </w:tcBorders>
            <w:vAlign w:val="center"/>
          </w:tcPr>
          <w:p w:rsidR="00AB109F" w:rsidRPr="00561286" w:rsidRDefault="00AB109F" w:rsidP="005077BF">
            <w:pPr>
              <w:keepNext/>
              <w:spacing w:after="0" w:line="240" w:lineRule="auto"/>
              <w:jc w:val="right"/>
              <w:rPr>
                <w:rFonts w:ascii="Calibri" w:hAnsi="Calibri"/>
                <w:sz w:val="20"/>
                <w:szCs w:val="20"/>
              </w:rPr>
            </w:pPr>
            <w:r w:rsidRPr="00561286">
              <w:rPr>
                <w:rFonts w:ascii="Calibri" w:hAnsi="Calibri"/>
                <w:sz w:val="20"/>
                <w:szCs w:val="20"/>
              </w:rPr>
              <w:t>2018</w:t>
            </w:r>
          </w:p>
        </w:tc>
      </w:tr>
      <w:tr w:rsidR="00F90DE0" w:rsidRPr="00F90DE0" w:rsidTr="00F90DE0">
        <w:trPr>
          <w:cantSplit/>
          <w:jc w:val="center"/>
        </w:trPr>
        <w:tc>
          <w:tcPr>
            <w:tcW w:w="1334" w:type="dxa"/>
            <w:vAlign w:val="center"/>
          </w:tcPr>
          <w:p w:rsidR="00F90DE0" w:rsidRPr="00561286" w:rsidRDefault="00F90DE0" w:rsidP="005077BF">
            <w:pPr>
              <w:keepNext/>
              <w:spacing w:after="0" w:line="240" w:lineRule="auto"/>
              <w:rPr>
                <w:rFonts w:ascii="Calibri" w:hAnsi="Calibri"/>
                <w:sz w:val="20"/>
                <w:szCs w:val="20"/>
              </w:rPr>
            </w:pPr>
            <w:r w:rsidRPr="00561286">
              <w:rPr>
                <w:rFonts w:ascii="Calibri" w:hAnsi="Calibri"/>
                <w:sz w:val="20"/>
                <w:szCs w:val="20"/>
              </w:rPr>
              <w:t>Low Scenario</w:t>
            </w:r>
          </w:p>
        </w:tc>
        <w:tc>
          <w:tcPr>
            <w:tcW w:w="1382" w:type="dxa"/>
            <w:tcBorders>
              <w:top w:val="single" w:sz="4" w:space="0" w:color="auto"/>
            </w:tcBorders>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$2,032,376 </w:t>
            </w:r>
          </w:p>
        </w:tc>
        <w:tc>
          <w:tcPr>
            <w:tcW w:w="1383" w:type="dxa"/>
            <w:tcBorders>
              <w:top w:val="single" w:sz="4" w:space="0" w:color="auto"/>
            </w:tcBorders>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$2,981,826 </w:t>
            </w:r>
          </w:p>
        </w:tc>
      </w:tr>
      <w:tr w:rsidR="00F90DE0" w:rsidRPr="00F90DE0" w:rsidTr="00F90DE0">
        <w:trPr>
          <w:cantSplit/>
          <w:jc w:val="center"/>
        </w:trPr>
        <w:tc>
          <w:tcPr>
            <w:tcW w:w="1334" w:type="dxa"/>
            <w:vAlign w:val="center"/>
          </w:tcPr>
          <w:p w:rsidR="00F90DE0" w:rsidRPr="00561286" w:rsidRDefault="00F90DE0" w:rsidP="005077BF">
            <w:pPr>
              <w:keepNext/>
              <w:spacing w:after="0" w:line="240" w:lineRule="auto"/>
              <w:rPr>
                <w:rFonts w:ascii="Calibri" w:hAnsi="Calibri"/>
                <w:sz w:val="20"/>
                <w:szCs w:val="20"/>
              </w:rPr>
            </w:pPr>
            <w:r w:rsidRPr="00561286">
              <w:rPr>
                <w:rFonts w:ascii="Calibri" w:hAnsi="Calibri"/>
                <w:sz w:val="20"/>
                <w:szCs w:val="20"/>
              </w:rPr>
              <w:t>Mid Scenario</w:t>
            </w:r>
          </w:p>
        </w:tc>
        <w:tc>
          <w:tcPr>
            <w:tcW w:w="1382" w:type="dxa"/>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$2,987,592 </w:t>
            </w:r>
          </w:p>
        </w:tc>
        <w:tc>
          <w:tcPr>
            <w:tcW w:w="1383" w:type="dxa"/>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$4,383,284 </w:t>
            </w:r>
          </w:p>
        </w:tc>
      </w:tr>
      <w:tr w:rsidR="00F90DE0" w:rsidRPr="00F90DE0" w:rsidTr="00F90DE0">
        <w:trPr>
          <w:cantSplit/>
          <w:jc w:val="center"/>
        </w:trPr>
        <w:tc>
          <w:tcPr>
            <w:tcW w:w="1334" w:type="dxa"/>
            <w:vAlign w:val="center"/>
          </w:tcPr>
          <w:p w:rsidR="00F90DE0" w:rsidRPr="00561286" w:rsidRDefault="00F90DE0" w:rsidP="005077BF">
            <w:pPr>
              <w:keepNext/>
              <w:spacing w:after="0" w:line="240" w:lineRule="auto"/>
              <w:rPr>
                <w:rFonts w:ascii="Calibri" w:hAnsi="Calibri"/>
                <w:sz w:val="20"/>
                <w:szCs w:val="20"/>
              </w:rPr>
            </w:pPr>
            <w:r w:rsidRPr="00561286">
              <w:rPr>
                <w:rFonts w:ascii="Calibri" w:hAnsi="Calibri"/>
                <w:sz w:val="20"/>
                <w:szCs w:val="20"/>
              </w:rPr>
              <w:t>High Scenario</w:t>
            </w:r>
          </w:p>
        </w:tc>
        <w:tc>
          <w:tcPr>
            <w:tcW w:w="1382" w:type="dxa"/>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$4,024,104 </w:t>
            </w:r>
          </w:p>
        </w:tc>
        <w:tc>
          <w:tcPr>
            <w:tcW w:w="1383" w:type="dxa"/>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$5,904,015 </w:t>
            </w:r>
          </w:p>
        </w:tc>
      </w:tr>
    </w:tbl>
    <w:p w:rsidR="00AB109F" w:rsidRPr="00D5586C" w:rsidRDefault="00AB109F" w:rsidP="00AB109F">
      <w:pPr>
        <w:pStyle w:val="NoSpacing"/>
      </w:pPr>
    </w:p>
    <w:p w:rsidR="00AB109F" w:rsidRDefault="00AB109F" w:rsidP="00AB109F">
      <w:r>
        <w:t xml:space="preserve">Multiplying the estimated </w:t>
      </w:r>
      <w:r w:rsidR="00F11E34">
        <w:t xml:space="preserve">increase in </w:t>
      </w:r>
      <w:r>
        <w:t xml:space="preserve">PMPM </w:t>
      </w:r>
      <w:r w:rsidR="00F11E34">
        <w:t xml:space="preserve">premiums from Table 18 </w:t>
      </w:r>
      <w:r>
        <w:t xml:space="preserve">by the projected fully-insured membership over the analysis period yields the total </w:t>
      </w:r>
      <w:r w:rsidR="00302318">
        <w:t>impact on premium</w:t>
      </w:r>
      <w:r w:rsidR="00F11E34">
        <w:t>s</w:t>
      </w:r>
      <w:r>
        <w:t>, including carrier retention, associated with t</w:t>
      </w:r>
      <w:r w:rsidR="008B08CF">
        <w:t xml:space="preserve">he </w:t>
      </w:r>
      <w:r w:rsidR="001826BD">
        <w:t>substitution</w:t>
      </w:r>
      <w:r w:rsidR="00302318">
        <w:t xml:space="preserve"> requirement</w:t>
      </w:r>
      <w:r w:rsidR="008B08CF">
        <w:t>, shown in Table 21.</w:t>
      </w:r>
    </w:p>
    <w:p w:rsidR="00AB109F" w:rsidRPr="00BE59A4" w:rsidRDefault="00AB109F" w:rsidP="00AB109F">
      <w:pPr>
        <w:pStyle w:val="TableTitle"/>
      </w:pPr>
      <w:r w:rsidRPr="005731AB">
        <w:t xml:space="preserve">Table </w:t>
      </w:r>
      <w:r>
        <w:t>21</w:t>
      </w:r>
      <w:r w:rsidRPr="005731AB">
        <w:t>:</w:t>
      </w:r>
      <w:r>
        <w:br/>
      </w:r>
      <w:r w:rsidRPr="005C17B9">
        <w:t xml:space="preserve">Estimate of Increase in </w:t>
      </w:r>
      <w:r w:rsidR="00F11E34">
        <w:t>Premiums</w:t>
      </w:r>
    </w:p>
    <w:tbl>
      <w:tblPr>
        <w:tblW w:w="0" w:type="auto"/>
        <w:jc w:val="center"/>
        <w:tblCellMar>
          <w:top w:w="14" w:type="dxa"/>
          <w:left w:w="58" w:type="dxa"/>
          <w:bottom w:w="14" w:type="dxa"/>
          <w:right w:w="58" w:type="dxa"/>
        </w:tblCellMar>
        <w:tblLook w:val="04A0"/>
      </w:tblPr>
      <w:tblGrid>
        <w:gridCol w:w="1334"/>
        <w:gridCol w:w="1382"/>
        <w:gridCol w:w="1383"/>
      </w:tblGrid>
      <w:tr w:rsidR="00AB109F" w:rsidRPr="00561286" w:rsidTr="005077BF">
        <w:trPr>
          <w:cantSplit/>
          <w:jc w:val="center"/>
        </w:trPr>
        <w:tc>
          <w:tcPr>
            <w:tcW w:w="1334" w:type="dxa"/>
          </w:tcPr>
          <w:p w:rsidR="00AB109F" w:rsidRPr="00561286" w:rsidRDefault="00AB109F" w:rsidP="005077BF">
            <w:pPr>
              <w:keepNext/>
              <w:spacing w:after="0" w:line="240" w:lineRule="auto"/>
              <w:jc w:val="right"/>
              <w:rPr>
                <w:rFonts w:ascii="Calibri" w:hAnsi="Calibri"/>
                <w:sz w:val="20"/>
                <w:szCs w:val="20"/>
              </w:rPr>
            </w:pPr>
          </w:p>
        </w:tc>
        <w:tc>
          <w:tcPr>
            <w:tcW w:w="1382" w:type="dxa"/>
            <w:tcBorders>
              <w:bottom w:val="single" w:sz="4" w:space="0" w:color="auto"/>
            </w:tcBorders>
            <w:vAlign w:val="center"/>
          </w:tcPr>
          <w:p w:rsidR="00AB109F" w:rsidRPr="00561286" w:rsidRDefault="00AB109F" w:rsidP="005077BF">
            <w:pPr>
              <w:keepNext/>
              <w:spacing w:after="0" w:line="240" w:lineRule="auto"/>
              <w:jc w:val="right"/>
              <w:rPr>
                <w:rFonts w:ascii="Calibri" w:hAnsi="Calibri"/>
                <w:sz w:val="20"/>
                <w:szCs w:val="20"/>
              </w:rPr>
            </w:pPr>
            <w:r w:rsidRPr="00561286">
              <w:rPr>
                <w:rFonts w:ascii="Calibri" w:hAnsi="Calibri"/>
                <w:sz w:val="20"/>
                <w:szCs w:val="20"/>
              </w:rPr>
              <w:t>2017</w:t>
            </w:r>
          </w:p>
        </w:tc>
        <w:tc>
          <w:tcPr>
            <w:tcW w:w="1383" w:type="dxa"/>
            <w:tcBorders>
              <w:bottom w:val="single" w:sz="4" w:space="0" w:color="auto"/>
            </w:tcBorders>
            <w:vAlign w:val="center"/>
          </w:tcPr>
          <w:p w:rsidR="00AB109F" w:rsidRPr="00561286" w:rsidRDefault="00AB109F" w:rsidP="005077BF">
            <w:pPr>
              <w:keepNext/>
              <w:spacing w:after="0" w:line="240" w:lineRule="auto"/>
              <w:jc w:val="right"/>
              <w:rPr>
                <w:rFonts w:ascii="Calibri" w:hAnsi="Calibri"/>
                <w:sz w:val="20"/>
                <w:szCs w:val="20"/>
              </w:rPr>
            </w:pPr>
            <w:r w:rsidRPr="00561286">
              <w:rPr>
                <w:rFonts w:ascii="Calibri" w:hAnsi="Calibri"/>
                <w:sz w:val="20"/>
                <w:szCs w:val="20"/>
              </w:rPr>
              <w:t>2018</w:t>
            </w:r>
          </w:p>
        </w:tc>
      </w:tr>
      <w:tr w:rsidR="00F90DE0" w:rsidRPr="00561286" w:rsidTr="00F90DE0">
        <w:trPr>
          <w:cantSplit/>
          <w:jc w:val="center"/>
        </w:trPr>
        <w:tc>
          <w:tcPr>
            <w:tcW w:w="1334" w:type="dxa"/>
            <w:vAlign w:val="center"/>
          </w:tcPr>
          <w:p w:rsidR="00F90DE0" w:rsidRPr="00561286" w:rsidRDefault="00F90DE0" w:rsidP="005077BF">
            <w:pPr>
              <w:keepNext/>
              <w:spacing w:after="0" w:line="240" w:lineRule="auto"/>
              <w:rPr>
                <w:rFonts w:ascii="Calibri" w:hAnsi="Calibri"/>
                <w:sz w:val="20"/>
                <w:szCs w:val="20"/>
              </w:rPr>
            </w:pPr>
            <w:r w:rsidRPr="00561286">
              <w:rPr>
                <w:rFonts w:ascii="Calibri" w:hAnsi="Calibri"/>
                <w:sz w:val="20"/>
                <w:szCs w:val="20"/>
              </w:rPr>
              <w:t>Low Scenario</w:t>
            </w:r>
          </w:p>
        </w:tc>
        <w:tc>
          <w:tcPr>
            <w:tcW w:w="1382" w:type="dxa"/>
            <w:tcBorders>
              <w:top w:val="single" w:sz="4" w:space="0" w:color="auto"/>
            </w:tcBorders>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$2,283,568 </w:t>
            </w:r>
          </w:p>
        </w:tc>
        <w:tc>
          <w:tcPr>
            <w:tcW w:w="1383" w:type="dxa"/>
            <w:tcBorders>
              <w:top w:val="single" w:sz="4" w:space="0" w:color="auto"/>
            </w:tcBorders>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$3,350,366 </w:t>
            </w:r>
          </w:p>
        </w:tc>
      </w:tr>
      <w:tr w:rsidR="00F90DE0" w:rsidRPr="00561286" w:rsidTr="00F90DE0">
        <w:trPr>
          <w:cantSplit/>
          <w:jc w:val="center"/>
        </w:trPr>
        <w:tc>
          <w:tcPr>
            <w:tcW w:w="1334" w:type="dxa"/>
            <w:vAlign w:val="center"/>
          </w:tcPr>
          <w:p w:rsidR="00F90DE0" w:rsidRPr="00561286" w:rsidRDefault="00F90DE0" w:rsidP="005077BF">
            <w:pPr>
              <w:keepNext/>
              <w:spacing w:after="0" w:line="240" w:lineRule="auto"/>
              <w:rPr>
                <w:rFonts w:ascii="Calibri" w:hAnsi="Calibri"/>
                <w:sz w:val="20"/>
                <w:szCs w:val="20"/>
              </w:rPr>
            </w:pPr>
            <w:r w:rsidRPr="00561286">
              <w:rPr>
                <w:rFonts w:ascii="Calibri" w:hAnsi="Calibri"/>
                <w:sz w:val="20"/>
                <w:szCs w:val="20"/>
              </w:rPr>
              <w:t>Mid Scenario</w:t>
            </w:r>
          </w:p>
        </w:tc>
        <w:tc>
          <w:tcPr>
            <w:tcW w:w="1382" w:type="dxa"/>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$3,356,845 </w:t>
            </w:r>
          </w:p>
        </w:tc>
        <w:tc>
          <w:tcPr>
            <w:tcW w:w="1383" w:type="dxa"/>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$4,925,038 </w:t>
            </w:r>
          </w:p>
        </w:tc>
      </w:tr>
      <w:tr w:rsidR="00F90DE0" w:rsidRPr="00561286" w:rsidTr="00F90DE0">
        <w:trPr>
          <w:cantSplit/>
          <w:jc w:val="center"/>
        </w:trPr>
        <w:tc>
          <w:tcPr>
            <w:tcW w:w="1334" w:type="dxa"/>
            <w:vAlign w:val="center"/>
          </w:tcPr>
          <w:p w:rsidR="00F90DE0" w:rsidRPr="00561286" w:rsidRDefault="00F90DE0" w:rsidP="005077BF">
            <w:pPr>
              <w:keepNext/>
              <w:spacing w:after="0" w:line="240" w:lineRule="auto"/>
              <w:rPr>
                <w:rFonts w:ascii="Calibri" w:hAnsi="Calibri"/>
                <w:sz w:val="20"/>
                <w:szCs w:val="20"/>
              </w:rPr>
            </w:pPr>
            <w:r w:rsidRPr="00561286">
              <w:rPr>
                <w:rFonts w:ascii="Calibri" w:hAnsi="Calibri"/>
                <w:sz w:val="20"/>
                <w:szCs w:val="20"/>
              </w:rPr>
              <w:t>High Scenario</w:t>
            </w:r>
          </w:p>
        </w:tc>
        <w:tc>
          <w:tcPr>
            <w:tcW w:w="1382" w:type="dxa"/>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$4,521,465 </w:t>
            </w:r>
          </w:p>
        </w:tc>
        <w:tc>
          <w:tcPr>
            <w:tcW w:w="1383" w:type="dxa"/>
            <w:vAlign w:val="center"/>
          </w:tcPr>
          <w:p w:rsidR="00F90DE0" w:rsidRPr="00F90DE0" w:rsidRDefault="00F90DE0" w:rsidP="00F90DE0">
            <w:pPr>
              <w:spacing w:after="0" w:line="240" w:lineRule="auto"/>
              <w:jc w:val="right"/>
              <w:rPr>
                <w:rFonts w:asciiTheme="minorHAnsi" w:hAnsiTheme="minorHAnsi"/>
                <w:sz w:val="20"/>
              </w:rPr>
            </w:pPr>
            <w:r w:rsidRPr="00F90DE0">
              <w:rPr>
                <w:rFonts w:asciiTheme="minorHAnsi" w:hAnsiTheme="minorHAnsi"/>
                <w:sz w:val="20"/>
              </w:rPr>
              <w:t xml:space="preserve"> $6,633,725 </w:t>
            </w:r>
          </w:p>
        </w:tc>
      </w:tr>
    </w:tbl>
    <w:p w:rsidR="00AB109F" w:rsidRDefault="00AB109F" w:rsidP="00EF62F6">
      <w:pPr>
        <w:pStyle w:val="NoSpacing"/>
      </w:pPr>
    </w:p>
    <w:p w:rsidR="00AB109F" w:rsidRDefault="00AB109F" w:rsidP="00AB109F">
      <w:pPr>
        <w:pStyle w:val="Heading2"/>
      </w:pPr>
      <w:bookmarkStart w:id="61" w:name="_Toc468888012"/>
      <w:r w:rsidRPr="009563E9">
        <w:t>4.</w:t>
      </w:r>
      <w:r w:rsidR="008B08CF">
        <w:t>11</w:t>
      </w:r>
      <w:r w:rsidRPr="009563E9">
        <w:t xml:space="preserve">. Projected utilization changes for </w:t>
      </w:r>
      <w:r w:rsidR="00E73430">
        <w:t xml:space="preserve">draft </w:t>
      </w:r>
      <w:r w:rsidRPr="009563E9">
        <w:t xml:space="preserve">formulary opioids </w:t>
      </w:r>
      <w:r w:rsidR="00965A42">
        <w:t xml:space="preserve">without </w:t>
      </w:r>
      <w:r w:rsidRPr="009563E9">
        <w:t xml:space="preserve">the </w:t>
      </w:r>
      <w:r w:rsidR="008B08CF">
        <w:t>substitution requirement</w:t>
      </w:r>
      <w:bookmarkEnd w:id="61"/>
    </w:p>
    <w:p w:rsidR="00AB109F" w:rsidRDefault="00AB109F" w:rsidP="00AB109F">
      <w:r>
        <w:t>Projecting utilization of various opioids into the future is exceptionally complex given the number of variables impacting the use of these drugs.  On one hand, many public health, governmental, and other efforts are currently directed at decreasing the use and misuse of these drugs, including increased use of the Massachusetts Prescription Monitoring Program by more prescribers,</w:t>
      </w:r>
      <w:r>
        <w:rPr>
          <w:rStyle w:val="EndnoteReference"/>
        </w:rPr>
        <w:endnoteReference w:id="53"/>
      </w:r>
      <w:r>
        <w:t xml:space="preserve"> new guidelines released by the </w:t>
      </w:r>
      <w:r w:rsidR="002B3F99">
        <w:t xml:space="preserve">CDC </w:t>
      </w:r>
      <w:r>
        <w:t>for prescribing opioids for chronic pain,</w:t>
      </w:r>
      <w:r>
        <w:rPr>
          <w:rStyle w:val="EndnoteReference"/>
        </w:rPr>
        <w:endnoteReference w:id="54"/>
      </w:r>
      <w:r>
        <w:t xml:space="preserve"> and various projects </w:t>
      </w:r>
      <w:r>
        <w:lastRenderedPageBreak/>
        <w:t>coordinated by the Massachusetts Opioid Abuse Prevention Collaborative.</w:t>
      </w:r>
      <w:r>
        <w:rPr>
          <w:rStyle w:val="EndnoteReference"/>
        </w:rPr>
        <w:endnoteReference w:id="55"/>
      </w:r>
      <w:r>
        <w:t xml:space="preserve">  In reviewing utilization data from the PMP f</w:t>
      </w:r>
      <w:r w:rsidR="00143442">
        <w:t>or</w:t>
      </w:r>
      <w:r>
        <w:t xml:space="preserve"> January 2014 through June 2016, the overall average utilization of these opioids has decreased by 6.7 percent.  On the other hand, as previously stated, new drugs, dosages, and forms are frequently introduced to the market, while others are removed.  New drug introductions are often accompanied by increased utilization in the market.  Both of these competing factors will continue into the foreseeable future</w:t>
      </w:r>
      <w:r w:rsidR="00EF62F6">
        <w:t>, and may offset each other.</w:t>
      </w:r>
    </w:p>
    <w:p w:rsidR="00AB109F" w:rsidRDefault="00AB109F" w:rsidP="00AB109F">
      <w:r>
        <w:t xml:space="preserve">For simplicity throughout this report, the analysis assumed utilization </w:t>
      </w:r>
      <w:r w:rsidR="00302318">
        <w:t xml:space="preserve">changes </w:t>
      </w:r>
      <w:r>
        <w:t xml:space="preserve">through the projection period </w:t>
      </w:r>
      <w:r w:rsidR="00302318">
        <w:t xml:space="preserve">were </w:t>
      </w:r>
      <w:r>
        <w:t xml:space="preserve">zero.  However, additional calculations found that every 5 percent change in utilization yielded a corresponding </w:t>
      </w:r>
      <w:r w:rsidR="00E278F8">
        <w:t>8</w:t>
      </w:r>
      <w:r w:rsidR="004749BC">
        <w:t>.0</w:t>
      </w:r>
      <w:r>
        <w:t xml:space="preserve"> percent change in medical expense PMPM</w:t>
      </w:r>
      <w:r w:rsidR="00E278F8">
        <w:t xml:space="preserve"> and</w:t>
      </w:r>
      <w:r>
        <w:t xml:space="preserve"> in total PMPM </w:t>
      </w:r>
      <w:r w:rsidR="00302318">
        <w:t xml:space="preserve">premium impact </w:t>
      </w:r>
      <w:r>
        <w:t>when carrier retention is included.</w:t>
      </w:r>
    </w:p>
    <w:p w:rsidR="00AB109F" w:rsidRPr="00A05842" w:rsidRDefault="00AB109F" w:rsidP="00A05842">
      <w:pPr>
        <w:pStyle w:val="Heading1"/>
      </w:pPr>
      <w:bookmarkStart w:id="62" w:name="_Toc348967811"/>
      <w:bookmarkStart w:id="63" w:name="_Toc417656094"/>
      <w:bookmarkStart w:id="64" w:name="_Toc449710544"/>
      <w:bookmarkStart w:id="65" w:name="_Toc468888013"/>
      <w:r w:rsidRPr="00EE3C9F">
        <w:t>5. Results</w:t>
      </w:r>
      <w:bookmarkEnd w:id="62"/>
      <w:bookmarkEnd w:id="63"/>
      <w:bookmarkEnd w:id="64"/>
      <w:bookmarkEnd w:id="65"/>
    </w:p>
    <w:p w:rsidR="00AB109F" w:rsidRDefault="00AB109F" w:rsidP="00EF62F6">
      <w:bookmarkStart w:id="66" w:name="_Toc348967818"/>
      <w:bookmarkStart w:id="67" w:name="_Toc417656095"/>
      <w:r>
        <w:t xml:space="preserve">The estimated impact of the proposed </w:t>
      </w:r>
      <w:r w:rsidR="0007127D">
        <w:t>formulary</w:t>
      </w:r>
      <w:r>
        <w:t xml:space="preserve"> on medical expense and premiums appears in Table </w:t>
      </w:r>
      <w:r w:rsidR="00297A44">
        <w:t>22</w:t>
      </w:r>
      <w:r>
        <w:t xml:space="preserve">. </w:t>
      </w:r>
      <w:r w:rsidR="009D2CA9">
        <w:t xml:space="preserve"> </w:t>
      </w:r>
      <w:r>
        <w:t>The analysis includes development of a best estimate “mid-level” scenario, as well as a low-level scenario using assumptions that produced a lower estimate, and a high-level scenario using more conservative assumptions that produced a higher estimated impact.</w:t>
      </w:r>
    </w:p>
    <w:p w:rsidR="00C37FE4" w:rsidRDefault="00AB109F" w:rsidP="00AB109F">
      <w:r>
        <w:t xml:space="preserve">The impact on premiums is based primarily on estimates of the quantity of HPHR opioids that will </w:t>
      </w:r>
      <w:r w:rsidR="009E3F09">
        <w:t>be replaced with</w:t>
      </w:r>
      <w:r>
        <w:t xml:space="preserve"> ADOs during the projection per</w:t>
      </w:r>
      <w:r w:rsidR="009E3F09">
        <w:t>iod</w:t>
      </w:r>
      <w:r>
        <w:t xml:space="preserve">.  More pointedly, the majority of HPHR opioids currently dispensed are in generic form, while all convertible ADOs are available </w:t>
      </w:r>
      <w:r w:rsidR="009E3F09">
        <w:t xml:space="preserve">only </w:t>
      </w:r>
      <w:r>
        <w:t xml:space="preserve">in brand-name form.  The vast majority of utilization of HPHR opioids is now generic MS Contin, which comprises over 90 percent of utilization for the drugs relevant to the study, but totals slightly under 59 percent of costs for these formulary drugs.  The price in the baseline period for generic MS Contin is estimated at $2.27 per unit dispensed, while its equivalent ADO, Embeda, is estimated at $9.42 per unit dispensed.  </w:t>
      </w:r>
      <w:r w:rsidRPr="002C557E">
        <w:t>The result of this conversion</w:t>
      </w:r>
      <w:r>
        <w:t xml:space="preserve"> from generic MS Contin to brand name Embeda</w:t>
      </w:r>
      <w:r w:rsidRPr="002C557E">
        <w:t xml:space="preserve"> is that costs across scenarios increase by approximately 30 to 40 percent for each 20 percent of drugs converted from HPHR to available ADO.</w:t>
      </w:r>
      <w:r>
        <w:t xml:space="preserve">  Moreover, carriers will </w:t>
      </w:r>
      <w:r w:rsidR="00143442">
        <w:t xml:space="preserve">have even higher costs as a result of the reduced </w:t>
      </w:r>
      <w:r w:rsidR="00C37FE4">
        <w:t xml:space="preserve">patient cost sharing for those </w:t>
      </w:r>
      <w:r>
        <w:t>patients who will switch from generic HPHR opioids to brand-name ADOs</w:t>
      </w:r>
      <w:r w:rsidR="004D7CEC">
        <w:t xml:space="preserve">, estimated to further increase </w:t>
      </w:r>
      <w:r w:rsidR="009E3F09">
        <w:t xml:space="preserve">carrier </w:t>
      </w:r>
      <w:r w:rsidR="004D7CEC">
        <w:t>costs by up to 10 percent</w:t>
      </w:r>
      <w:r w:rsidR="001364F6">
        <w:t>.</w:t>
      </w:r>
      <w:r>
        <w:t xml:space="preserve">  </w:t>
      </w:r>
    </w:p>
    <w:p w:rsidR="00AB109F" w:rsidRDefault="00D01787" w:rsidP="00AB109F">
      <w:r>
        <w:t>A variety of factors will affect t</w:t>
      </w:r>
      <w:r w:rsidR="00AB109F">
        <w:t xml:space="preserve">hese estimates, including any significant adjustments to the drug prices for opioids in the Massachusetts fully-insured market, changes to overall opioid utilization resulting from public health efforts, the approval of new opioids for patient use, and the addition of any more ADOs as </w:t>
      </w:r>
      <w:r w:rsidR="004741A5">
        <w:t>chemically-equivalent</w:t>
      </w:r>
      <w:r w:rsidR="00AB109F">
        <w:t xml:space="preserve"> substitutions for HPHRs to the Drug Formulary Commission list.</w:t>
      </w:r>
    </w:p>
    <w:p w:rsidR="00AB109F" w:rsidRDefault="00AB109F" w:rsidP="00AB109F">
      <w:r w:rsidRPr="00D27D44">
        <w:t>Starting in 2020, the</w:t>
      </w:r>
      <w:r>
        <w:t xml:space="preserve"> federal Affordable Care Act will impose an excise tax, commonly known as the “Cadillac Tax”, on expenditures on health insurance premiums and other relevant items (health savings account contributions, etc.) that exceed specified thresholds.  To the extent </w:t>
      </w:r>
      <w:r w:rsidR="00297A44">
        <w:t xml:space="preserve">that </w:t>
      </w:r>
      <w:r>
        <w:t xml:space="preserve">relevant expenditures exceed those thresholds (in 2020), the </w:t>
      </w:r>
      <w:r w:rsidR="009D2CA9">
        <w:t>substitution requirement</w:t>
      </w:r>
      <w:r>
        <w:t xml:space="preserve">, by increasing premiums, has the potential of creating liability for additional amounts under the tax.  Estimating the amount of potential tax liability requires information on the extent to which premiums, </w:t>
      </w:r>
      <w:r>
        <w:lastRenderedPageBreak/>
        <w:t xml:space="preserve">notwithstanding the effect of this </w:t>
      </w:r>
      <w:r w:rsidR="009D2CA9">
        <w:t>requirement</w:t>
      </w:r>
      <w:r>
        <w:t>, will exceed or approach the thresholds is beyond the scope of this analysis.</w:t>
      </w:r>
    </w:p>
    <w:p w:rsidR="00AB109F" w:rsidRDefault="00AB109F" w:rsidP="00AB109F">
      <w:pPr>
        <w:pStyle w:val="Heading2"/>
      </w:pPr>
      <w:bookmarkStart w:id="68" w:name="_Toc449710545"/>
      <w:bookmarkStart w:id="69" w:name="_Toc468888014"/>
      <w:r w:rsidRPr="00EB5827">
        <w:t>5.1. Two-year estimated impact</w:t>
      </w:r>
      <w:bookmarkEnd w:id="66"/>
      <w:bookmarkEnd w:id="67"/>
      <w:bookmarkEnd w:id="68"/>
      <w:bookmarkEnd w:id="69"/>
    </w:p>
    <w:p w:rsidR="00AB109F" w:rsidRDefault="00AB109F" w:rsidP="00AB109F">
      <w:r>
        <w:t xml:space="preserve">For each year in the two-year analysis period, Table 22 displays the projected net impact of the </w:t>
      </w:r>
      <w:r w:rsidR="009D2CA9">
        <w:t>substitution requirement</w:t>
      </w:r>
      <w:r>
        <w:t xml:space="preserve"> on medical expense and premiums using a projection of Massachusetts </w:t>
      </w:r>
      <w:r w:rsidRPr="005326D6">
        <w:t>fully-insured membership</w:t>
      </w:r>
      <w:r w:rsidR="009D2CA9">
        <w:t xml:space="preserve">.  Note that the proposed formulary is </w:t>
      </w:r>
      <w:r>
        <w:t>assumed effective January 1, 2017.</w:t>
      </w:r>
    </w:p>
    <w:p w:rsidR="00AB109F" w:rsidRDefault="00AB109F" w:rsidP="00AB109F">
      <w:r w:rsidRPr="00942508">
        <w:t>The low scenario impact is $2.8 million per year on average, and is due to the lower estimates of the number of HPHR opioids that will convert to ADOs.  The high scenario has an average cost of $5.</w:t>
      </w:r>
      <w:r w:rsidR="00333148">
        <w:t>6</w:t>
      </w:r>
      <w:r w:rsidRPr="00942508">
        <w:t xml:space="preserve"> million per year, and reflects higher assumptions for this variable.  The middle scenario has average annual costs of $</w:t>
      </w:r>
      <w:r w:rsidR="00333148">
        <w:t>4.1</w:t>
      </w:r>
      <w:r w:rsidRPr="00942508">
        <w:t xml:space="preserve"> million, or an average of 0.04 percent of premium.</w:t>
      </w:r>
    </w:p>
    <w:p w:rsidR="00AB109F" w:rsidRDefault="00AB109F" w:rsidP="00AB109F">
      <w:r>
        <w:t xml:space="preserve">Finally, the impact of the proposed </w:t>
      </w:r>
      <w:r w:rsidR="009D2CA9">
        <w:t xml:space="preserve">formulary </w:t>
      </w:r>
      <w:r>
        <w:t xml:space="preserve">on any one individual, employer-group, or carrier may vary from the overall results depending on the current level of benefits each receives or provides, and on how the benefits will change under the </w:t>
      </w:r>
      <w:r w:rsidR="001826BD">
        <w:t>substitution</w:t>
      </w:r>
      <w:r w:rsidR="000437CC">
        <w:t xml:space="preserve"> requirement</w:t>
      </w:r>
      <w:r w:rsidRPr="00865D86">
        <w:t>.</w:t>
      </w:r>
    </w:p>
    <w:p w:rsidR="00AB109F" w:rsidRPr="00865D86" w:rsidRDefault="00AB109F" w:rsidP="00AB109F">
      <w:pPr>
        <w:pStyle w:val="TableTitle"/>
      </w:pPr>
      <w:r w:rsidRPr="00865D86">
        <w:t xml:space="preserve">Table </w:t>
      </w:r>
      <w:r>
        <w:t>22</w:t>
      </w:r>
      <w:r w:rsidRPr="00865D86">
        <w:t>: Summary Results</w:t>
      </w:r>
    </w:p>
    <w:tbl>
      <w:tblPr>
        <w:tblW w:w="6799" w:type="dxa"/>
        <w:jc w:val="center"/>
        <w:tblLayout w:type="fixed"/>
        <w:tblCellMar>
          <w:top w:w="14" w:type="dxa"/>
          <w:left w:w="58" w:type="dxa"/>
          <w:bottom w:w="14" w:type="dxa"/>
          <w:right w:w="58" w:type="dxa"/>
        </w:tblCellMar>
        <w:tblLook w:val="04A0"/>
      </w:tblPr>
      <w:tblGrid>
        <w:gridCol w:w="3050"/>
        <w:gridCol w:w="853"/>
        <w:gridCol w:w="854"/>
        <w:gridCol w:w="1056"/>
        <w:gridCol w:w="986"/>
      </w:tblGrid>
      <w:tr w:rsidR="00AB109F" w:rsidRPr="00324AAC" w:rsidTr="008454AB">
        <w:trPr>
          <w:cantSplit/>
          <w:jc w:val="center"/>
        </w:trPr>
        <w:tc>
          <w:tcPr>
            <w:tcW w:w="3050" w:type="dxa"/>
            <w:tcBorders>
              <w:top w:val="single" w:sz="4" w:space="0" w:color="BFBFBF"/>
              <w:left w:val="single" w:sz="4" w:space="0" w:color="BFBFBF"/>
              <w:bottom w:val="single" w:sz="4" w:space="0" w:color="BFBFBF"/>
              <w:right w:val="single" w:sz="4" w:space="0" w:color="BFBFBF"/>
            </w:tcBorders>
            <w:vAlign w:val="center"/>
          </w:tcPr>
          <w:p w:rsidR="00AB109F" w:rsidRPr="00324AAC" w:rsidRDefault="00AB109F" w:rsidP="008454AB">
            <w:pPr>
              <w:pStyle w:val="Toplist"/>
              <w:spacing w:after="0" w:line="240" w:lineRule="auto"/>
              <w:jc w:val="right"/>
              <w:rPr>
                <w:rFonts w:asciiTheme="minorHAnsi" w:hAnsiTheme="minorHAnsi"/>
                <w:sz w:val="18"/>
                <w:szCs w:val="18"/>
              </w:rPr>
            </w:pPr>
          </w:p>
        </w:tc>
        <w:tc>
          <w:tcPr>
            <w:tcW w:w="853" w:type="dxa"/>
            <w:tcBorders>
              <w:top w:val="single" w:sz="4" w:space="0" w:color="BFBFBF"/>
              <w:left w:val="single" w:sz="4" w:space="0" w:color="BFBFBF"/>
              <w:bottom w:val="single" w:sz="4" w:space="0" w:color="BFBFBF"/>
              <w:right w:val="single" w:sz="4" w:space="0" w:color="BFBFBF"/>
            </w:tcBorders>
            <w:vAlign w:val="center"/>
          </w:tcPr>
          <w:p w:rsidR="00AB109F" w:rsidRPr="00324AAC" w:rsidRDefault="00AB109F" w:rsidP="008454AB">
            <w:pPr>
              <w:pStyle w:val="Toplist"/>
              <w:spacing w:after="0" w:line="240" w:lineRule="auto"/>
              <w:jc w:val="right"/>
              <w:rPr>
                <w:rFonts w:asciiTheme="minorHAnsi" w:hAnsiTheme="minorHAnsi"/>
                <w:b/>
                <w:sz w:val="18"/>
                <w:szCs w:val="18"/>
              </w:rPr>
            </w:pPr>
            <w:r w:rsidRPr="00324AAC">
              <w:rPr>
                <w:rFonts w:asciiTheme="minorHAnsi" w:hAnsiTheme="minorHAnsi"/>
                <w:b/>
                <w:sz w:val="18"/>
                <w:szCs w:val="18"/>
              </w:rPr>
              <w:t>2017</w:t>
            </w:r>
          </w:p>
        </w:tc>
        <w:tc>
          <w:tcPr>
            <w:tcW w:w="854" w:type="dxa"/>
            <w:tcBorders>
              <w:top w:val="single" w:sz="4" w:space="0" w:color="BFBFBF"/>
              <w:left w:val="single" w:sz="4" w:space="0" w:color="BFBFBF"/>
              <w:bottom w:val="single" w:sz="4" w:space="0" w:color="BFBFBF"/>
              <w:right w:val="single" w:sz="4" w:space="0" w:color="BFBFBF"/>
            </w:tcBorders>
            <w:vAlign w:val="center"/>
          </w:tcPr>
          <w:p w:rsidR="00AB109F" w:rsidRPr="00324AAC" w:rsidRDefault="00AB109F" w:rsidP="008454AB">
            <w:pPr>
              <w:pStyle w:val="Toplist"/>
              <w:spacing w:after="0" w:line="240" w:lineRule="auto"/>
              <w:jc w:val="right"/>
              <w:rPr>
                <w:rFonts w:asciiTheme="minorHAnsi" w:hAnsiTheme="minorHAnsi"/>
                <w:b/>
                <w:sz w:val="18"/>
                <w:szCs w:val="18"/>
              </w:rPr>
            </w:pPr>
            <w:r w:rsidRPr="00324AAC">
              <w:rPr>
                <w:rFonts w:asciiTheme="minorHAnsi" w:hAnsiTheme="minorHAnsi"/>
                <w:b/>
                <w:sz w:val="18"/>
                <w:szCs w:val="18"/>
              </w:rPr>
              <w:t>2018</w:t>
            </w:r>
          </w:p>
        </w:tc>
        <w:tc>
          <w:tcPr>
            <w:tcW w:w="1056" w:type="dxa"/>
            <w:tcBorders>
              <w:top w:val="single" w:sz="4" w:space="0" w:color="BFBFBF"/>
              <w:left w:val="single" w:sz="4" w:space="0" w:color="BFBFBF"/>
              <w:bottom w:val="single" w:sz="4" w:space="0" w:color="BFBFBF"/>
              <w:right w:val="single" w:sz="4" w:space="0" w:color="BFBFBF"/>
            </w:tcBorders>
            <w:vAlign w:val="center"/>
          </w:tcPr>
          <w:p w:rsidR="00AB109F" w:rsidRPr="00324AAC" w:rsidRDefault="00AB109F" w:rsidP="008454AB">
            <w:pPr>
              <w:pStyle w:val="Toplist"/>
              <w:spacing w:after="0" w:line="240" w:lineRule="auto"/>
              <w:jc w:val="right"/>
              <w:rPr>
                <w:rFonts w:asciiTheme="minorHAnsi" w:hAnsiTheme="minorHAnsi"/>
                <w:b/>
                <w:sz w:val="18"/>
                <w:szCs w:val="18"/>
              </w:rPr>
            </w:pPr>
            <w:r w:rsidRPr="00324AAC">
              <w:rPr>
                <w:rFonts w:asciiTheme="minorHAnsi" w:hAnsiTheme="minorHAnsi"/>
                <w:b/>
                <w:sz w:val="18"/>
                <w:szCs w:val="18"/>
              </w:rPr>
              <w:t>Average</w:t>
            </w:r>
          </w:p>
        </w:tc>
        <w:tc>
          <w:tcPr>
            <w:tcW w:w="986" w:type="dxa"/>
            <w:tcBorders>
              <w:top w:val="single" w:sz="4" w:space="0" w:color="BFBFBF"/>
              <w:left w:val="single" w:sz="4" w:space="0" w:color="BFBFBF"/>
              <w:bottom w:val="single" w:sz="4" w:space="0" w:color="BFBFBF"/>
              <w:right w:val="single" w:sz="4" w:space="0" w:color="BFBFBF"/>
            </w:tcBorders>
            <w:vAlign w:val="center"/>
          </w:tcPr>
          <w:p w:rsidR="00AB109F" w:rsidRPr="00324AAC" w:rsidRDefault="00AB109F" w:rsidP="008454AB">
            <w:pPr>
              <w:pStyle w:val="Toplist"/>
              <w:spacing w:after="0" w:line="240" w:lineRule="auto"/>
              <w:jc w:val="right"/>
              <w:rPr>
                <w:rFonts w:asciiTheme="minorHAnsi" w:hAnsiTheme="minorHAnsi"/>
                <w:b/>
                <w:sz w:val="18"/>
                <w:szCs w:val="18"/>
              </w:rPr>
            </w:pPr>
            <w:r>
              <w:rPr>
                <w:rFonts w:asciiTheme="minorHAnsi" w:hAnsiTheme="minorHAnsi"/>
                <w:b/>
                <w:sz w:val="18"/>
                <w:szCs w:val="18"/>
              </w:rPr>
              <w:t>2</w:t>
            </w:r>
            <w:r w:rsidRPr="00324AAC">
              <w:rPr>
                <w:rFonts w:asciiTheme="minorHAnsi" w:hAnsiTheme="minorHAnsi"/>
                <w:b/>
                <w:sz w:val="18"/>
                <w:szCs w:val="18"/>
              </w:rPr>
              <w:t xml:space="preserve"> Yr Total</w:t>
            </w:r>
          </w:p>
        </w:tc>
      </w:tr>
      <w:tr w:rsidR="008454AB" w:rsidRPr="00324AAC" w:rsidTr="008454AB">
        <w:trPr>
          <w:cantSplit/>
          <w:jc w:val="center"/>
        </w:trPr>
        <w:tc>
          <w:tcPr>
            <w:tcW w:w="3050" w:type="dxa"/>
            <w:tcBorders>
              <w:top w:val="single" w:sz="4" w:space="0" w:color="BFBFBF"/>
              <w:left w:val="single" w:sz="4" w:space="0" w:color="BFBFBF"/>
              <w:bottom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Members (000s)</w:t>
            </w:r>
          </w:p>
        </w:tc>
        <w:tc>
          <w:tcPr>
            <w:tcW w:w="853"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rPr>
            </w:pPr>
            <w:r w:rsidRPr="008454AB">
              <w:rPr>
                <w:rFonts w:asciiTheme="minorHAnsi" w:hAnsiTheme="minorHAnsi"/>
                <w:sz w:val="18"/>
              </w:rPr>
              <w:t>2,159</w:t>
            </w:r>
          </w:p>
        </w:tc>
        <w:tc>
          <w:tcPr>
            <w:tcW w:w="854"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rPr>
            </w:pPr>
            <w:r w:rsidRPr="008454AB">
              <w:rPr>
                <w:rFonts w:asciiTheme="minorHAnsi" w:hAnsiTheme="minorHAnsi"/>
                <w:sz w:val="18"/>
              </w:rPr>
              <w:t>2,156</w:t>
            </w:r>
          </w:p>
        </w:tc>
        <w:tc>
          <w:tcPr>
            <w:tcW w:w="1056"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rPr>
            </w:pPr>
          </w:p>
        </w:tc>
        <w:tc>
          <w:tcPr>
            <w:tcW w:w="986"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rPr>
            </w:pPr>
          </w:p>
        </w:tc>
      </w:tr>
      <w:tr w:rsidR="008454AB" w:rsidRPr="00324AAC" w:rsidTr="008454AB">
        <w:trPr>
          <w:cantSplit/>
          <w:jc w:val="center"/>
        </w:trPr>
        <w:tc>
          <w:tcPr>
            <w:tcW w:w="3050" w:type="dxa"/>
            <w:tcBorders>
              <w:top w:val="single" w:sz="4" w:space="0" w:color="BFBFBF"/>
              <w:left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Medical Expense Low ($000s)</w:t>
            </w:r>
          </w:p>
        </w:tc>
        <w:tc>
          <w:tcPr>
            <w:tcW w:w="853"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$2,032 </w:t>
            </w:r>
          </w:p>
        </w:tc>
        <w:tc>
          <w:tcPr>
            <w:tcW w:w="854"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$2,982 </w:t>
            </w:r>
          </w:p>
        </w:tc>
        <w:tc>
          <w:tcPr>
            <w:tcW w:w="1056"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$2,507 </w:t>
            </w:r>
          </w:p>
        </w:tc>
        <w:tc>
          <w:tcPr>
            <w:tcW w:w="986"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$5,014 </w:t>
            </w:r>
          </w:p>
        </w:tc>
      </w:tr>
      <w:tr w:rsidR="008454AB" w:rsidRPr="00324AAC" w:rsidTr="008454AB">
        <w:trPr>
          <w:cantSplit/>
          <w:jc w:val="center"/>
        </w:trPr>
        <w:tc>
          <w:tcPr>
            <w:tcW w:w="3050" w:type="dxa"/>
            <w:tcBorders>
              <w:left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Medical Expense Mid ($000s)</w:t>
            </w:r>
          </w:p>
        </w:tc>
        <w:tc>
          <w:tcPr>
            <w:tcW w:w="853"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$2,988 </w:t>
            </w:r>
          </w:p>
        </w:tc>
        <w:tc>
          <w:tcPr>
            <w:tcW w:w="854"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$4,383 </w:t>
            </w:r>
          </w:p>
        </w:tc>
        <w:tc>
          <w:tcPr>
            <w:tcW w:w="1056"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$3,685 </w:t>
            </w:r>
          </w:p>
        </w:tc>
        <w:tc>
          <w:tcPr>
            <w:tcW w:w="986"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$7,371 </w:t>
            </w:r>
          </w:p>
        </w:tc>
      </w:tr>
      <w:tr w:rsidR="008454AB" w:rsidRPr="00324AAC" w:rsidTr="008454AB">
        <w:trPr>
          <w:cantSplit/>
          <w:jc w:val="center"/>
        </w:trPr>
        <w:tc>
          <w:tcPr>
            <w:tcW w:w="3050" w:type="dxa"/>
            <w:tcBorders>
              <w:left w:val="single" w:sz="4" w:space="0" w:color="BFBFBF"/>
              <w:bottom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Medical Expense High ($000s)</w:t>
            </w:r>
          </w:p>
        </w:tc>
        <w:tc>
          <w:tcPr>
            <w:tcW w:w="853"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$4,024 </w:t>
            </w:r>
          </w:p>
        </w:tc>
        <w:tc>
          <w:tcPr>
            <w:tcW w:w="854"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$5,904 </w:t>
            </w:r>
          </w:p>
        </w:tc>
        <w:tc>
          <w:tcPr>
            <w:tcW w:w="1056"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$4,964 </w:t>
            </w:r>
          </w:p>
        </w:tc>
        <w:tc>
          <w:tcPr>
            <w:tcW w:w="986"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$9,928 </w:t>
            </w:r>
          </w:p>
        </w:tc>
      </w:tr>
      <w:tr w:rsidR="008454AB" w:rsidRPr="00324AAC" w:rsidTr="008454AB">
        <w:trPr>
          <w:cantSplit/>
          <w:jc w:val="center"/>
        </w:trPr>
        <w:tc>
          <w:tcPr>
            <w:tcW w:w="3050" w:type="dxa"/>
            <w:tcBorders>
              <w:top w:val="single" w:sz="4" w:space="0" w:color="BFBFBF"/>
              <w:left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Low ($000s)</w:t>
            </w:r>
          </w:p>
        </w:tc>
        <w:tc>
          <w:tcPr>
            <w:tcW w:w="853"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$2,284 </w:t>
            </w:r>
          </w:p>
        </w:tc>
        <w:tc>
          <w:tcPr>
            <w:tcW w:w="854"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$3,350 </w:t>
            </w:r>
          </w:p>
        </w:tc>
        <w:tc>
          <w:tcPr>
            <w:tcW w:w="1056"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$2,817 </w:t>
            </w:r>
          </w:p>
        </w:tc>
        <w:tc>
          <w:tcPr>
            <w:tcW w:w="986"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$5,634 </w:t>
            </w:r>
          </w:p>
        </w:tc>
      </w:tr>
      <w:tr w:rsidR="008454AB" w:rsidRPr="00324AAC" w:rsidTr="008454AB">
        <w:trPr>
          <w:cantSplit/>
          <w:jc w:val="center"/>
        </w:trPr>
        <w:tc>
          <w:tcPr>
            <w:tcW w:w="3050" w:type="dxa"/>
            <w:tcBorders>
              <w:left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Mid ($000s)</w:t>
            </w:r>
          </w:p>
        </w:tc>
        <w:tc>
          <w:tcPr>
            <w:tcW w:w="853"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$3,357 </w:t>
            </w:r>
          </w:p>
        </w:tc>
        <w:tc>
          <w:tcPr>
            <w:tcW w:w="854"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$4,925 </w:t>
            </w:r>
          </w:p>
        </w:tc>
        <w:tc>
          <w:tcPr>
            <w:tcW w:w="1056"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$4,141 </w:t>
            </w:r>
          </w:p>
        </w:tc>
        <w:tc>
          <w:tcPr>
            <w:tcW w:w="986"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$8,282 </w:t>
            </w:r>
          </w:p>
        </w:tc>
      </w:tr>
      <w:tr w:rsidR="008454AB" w:rsidRPr="00324AAC" w:rsidTr="008454AB">
        <w:trPr>
          <w:cantSplit/>
          <w:jc w:val="center"/>
        </w:trPr>
        <w:tc>
          <w:tcPr>
            <w:tcW w:w="3050" w:type="dxa"/>
            <w:tcBorders>
              <w:left w:val="single" w:sz="4" w:space="0" w:color="BFBFBF"/>
              <w:bottom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High ($000s)</w:t>
            </w:r>
          </w:p>
        </w:tc>
        <w:tc>
          <w:tcPr>
            <w:tcW w:w="853"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$4,521 </w:t>
            </w:r>
          </w:p>
        </w:tc>
        <w:tc>
          <w:tcPr>
            <w:tcW w:w="854"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$6,634 </w:t>
            </w:r>
          </w:p>
        </w:tc>
        <w:tc>
          <w:tcPr>
            <w:tcW w:w="1056"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$5,578 </w:t>
            </w:r>
          </w:p>
        </w:tc>
        <w:tc>
          <w:tcPr>
            <w:tcW w:w="986"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$11,155 </w:t>
            </w:r>
          </w:p>
        </w:tc>
      </w:tr>
      <w:tr w:rsidR="008454AB" w:rsidRPr="00324AAC" w:rsidTr="008454AB">
        <w:trPr>
          <w:cantSplit/>
          <w:jc w:val="center"/>
        </w:trPr>
        <w:tc>
          <w:tcPr>
            <w:tcW w:w="3050" w:type="dxa"/>
            <w:tcBorders>
              <w:top w:val="single" w:sz="4" w:space="0" w:color="BFBFBF"/>
              <w:left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PMPM Low</w:t>
            </w:r>
          </w:p>
        </w:tc>
        <w:tc>
          <w:tcPr>
            <w:tcW w:w="853"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$0.12 </w:t>
            </w:r>
          </w:p>
        </w:tc>
        <w:tc>
          <w:tcPr>
            <w:tcW w:w="854"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$0.13 </w:t>
            </w:r>
          </w:p>
        </w:tc>
        <w:tc>
          <w:tcPr>
            <w:tcW w:w="1056"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$0.13 </w:t>
            </w:r>
          </w:p>
        </w:tc>
        <w:tc>
          <w:tcPr>
            <w:tcW w:w="986"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$0.13 </w:t>
            </w:r>
          </w:p>
        </w:tc>
      </w:tr>
      <w:tr w:rsidR="008454AB" w:rsidRPr="00324AAC" w:rsidTr="008454AB">
        <w:trPr>
          <w:cantSplit/>
          <w:jc w:val="center"/>
        </w:trPr>
        <w:tc>
          <w:tcPr>
            <w:tcW w:w="3050" w:type="dxa"/>
            <w:tcBorders>
              <w:left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PMPM Mid</w:t>
            </w:r>
          </w:p>
        </w:tc>
        <w:tc>
          <w:tcPr>
            <w:tcW w:w="853"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$0.18 </w:t>
            </w:r>
          </w:p>
        </w:tc>
        <w:tc>
          <w:tcPr>
            <w:tcW w:w="854"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$0.19 </w:t>
            </w:r>
          </w:p>
        </w:tc>
        <w:tc>
          <w:tcPr>
            <w:tcW w:w="1056"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$0.19 </w:t>
            </w:r>
          </w:p>
        </w:tc>
        <w:tc>
          <w:tcPr>
            <w:tcW w:w="986"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$0.19 </w:t>
            </w:r>
          </w:p>
        </w:tc>
      </w:tr>
      <w:tr w:rsidR="008454AB" w:rsidRPr="00324AAC" w:rsidTr="008454AB">
        <w:trPr>
          <w:cantSplit/>
          <w:jc w:val="center"/>
        </w:trPr>
        <w:tc>
          <w:tcPr>
            <w:tcW w:w="3050" w:type="dxa"/>
            <w:tcBorders>
              <w:left w:val="single" w:sz="4" w:space="0" w:color="BFBFBF"/>
              <w:bottom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PMPM High</w:t>
            </w:r>
          </w:p>
        </w:tc>
        <w:tc>
          <w:tcPr>
            <w:tcW w:w="853"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$0.24 </w:t>
            </w:r>
          </w:p>
        </w:tc>
        <w:tc>
          <w:tcPr>
            <w:tcW w:w="854"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$0.26 </w:t>
            </w:r>
          </w:p>
        </w:tc>
        <w:tc>
          <w:tcPr>
            <w:tcW w:w="1056"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$0.25 </w:t>
            </w:r>
          </w:p>
        </w:tc>
        <w:tc>
          <w:tcPr>
            <w:tcW w:w="986"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$0.25 </w:t>
            </w:r>
          </w:p>
        </w:tc>
      </w:tr>
      <w:tr w:rsidR="008454AB" w:rsidRPr="00324AAC" w:rsidTr="008454AB">
        <w:trPr>
          <w:cantSplit/>
          <w:jc w:val="center"/>
        </w:trPr>
        <w:tc>
          <w:tcPr>
            <w:tcW w:w="3050" w:type="dxa"/>
            <w:tcBorders>
              <w:top w:val="single" w:sz="4" w:space="0" w:color="BFBFBF"/>
              <w:left w:val="single" w:sz="4" w:space="0" w:color="BFBFBF"/>
              <w:bottom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Estimated Monthly Premium</w:t>
            </w:r>
          </w:p>
        </w:tc>
        <w:tc>
          <w:tcPr>
            <w:tcW w:w="853"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$463 </w:t>
            </w:r>
          </w:p>
        </w:tc>
        <w:tc>
          <w:tcPr>
            <w:tcW w:w="854"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$473 </w:t>
            </w:r>
          </w:p>
        </w:tc>
        <w:tc>
          <w:tcPr>
            <w:tcW w:w="1056"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$468 </w:t>
            </w:r>
          </w:p>
        </w:tc>
        <w:tc>
          <w:tcPr>
            <w:tcW w:w="986"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$468 </w:t>
            </w:r>
          </w:p>
        </w:tc>
      </w:tr>
      <w:tr w:rsidR="008454AB" w:rsidRPr="00324AAC" w:rsidTr="008454AB">
        <w:trPr>
          <w:cantSplit/>
          <w:jc w:val="center"/>
        </w:trPr>
        <w:tc>
          <w:tcPr>
            <w:tcW w:w="3050" w:type="dxa"/>
            <w:tcBorders>
              <w:top w:val="single" w:sz="4" w:space="0" w:color="BFBFBF"/>
              <w:left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 Rise Low</w:t>
            </w:r>
          </w:p>
        </w:tc>
        <w:tc>
          <w:tcPr>
            <w:tcW w:w="853"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0.03%</w:t>
            </w:r>
          </w:p>
        </w:tc>
        <w:tc>
          <w:tcPr>
            <w:tcW w:w="854"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0.03%</w:t>
            </w:r>
          </w:p>
        </w:tc>
        <w:tc>
          <w:tcPr>
            <w:tcW w:w="1056"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0.03%</w:t>
            </w:r>
          </w:p>
        </w:tc>
        <w:tc>
          <w:tcPr>
            <w:tcW w:w="986"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0.03%</w:t>
            </w:r>
          </w:p>
        </w:tc>
      </w:tr>
      <w:tr w:rsidR="008454AB" w:rsidRPr="00324AAC" w:rsidTr="008454AB">
        <w:trPr>
          <w:cantSplit/>
          <w:jc w:val="center"/>
        </w:trPr>
        <w:tc>
          <w:tcPr>
            <w:tcW w:w="3050" w:type="dxa"/>
            <w:tcBorders>
              <w:left w:val="single" w:sz="4" w:space="0" w:color="BFBFBF"/>
              <w:right w:val="single" w:sz="4" w:space="0" w:color="BFBFBF"/>
            </w:tcBorders>
            <w:vAlign w:val="center"/>
          </w:tcPr>
          <w:p w:rsidR="008454AB" w:rsidRPr="00324AAC" w:rsidRDefault="008454AB" w:rsidP="00FE5365">
            <w:pPr>
              <w:pStyle w:val="Toplist"/>
              <w:spacing w:after="0" w:line="240" w:lineRule="auto"/>
              <w:rPr>
                <w:rFonts w:asciiTheme="minorHAnsi" w:hAnsiTheme="minorHAnsi"/>
                <w:sz w:val="18"/>
                <w:szCs w:val="18"/>
              </w:rPr>
            </w:pPr>
            <w:r w:rsidRPr="00324AAC">
              <w:rPr>
                <w:rFonts w:asciiTheme="minorHAnsi" w:hAnsiTheme="minorHAnsi" w:cs="Calibri"/>
                <w:color w:val="000000"/>
                <w:sz w:val="18"/>
                <w:szCs w:val="18"/>
              </w:rPr>
              <w:t>Premium % Rise Mid</w:t>
            </w:r>
          </w:p>
        </w:tc>
        <w:tc>
          <w:tcPr>
            <w:tcW w:w="853"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0.04%</w:t>
            </w:r>
          </w:p>
        </w:tc>
        <w:tc>
          <w:tcPr>
            <w:tcW w:w="854"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0.04%</w:t>
            </w:r>
          </w:p>
        </w:tc>
        <w:tc>
          <w:tcPr>
            <w:tcW w:w="1056"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0.04%</w:t>
            </w:r>
          </w:p>
        </w:tc>
        <w:tc>
          <w:tcPr>
            <w:tcW w:w="986"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0.04%</w:t>
            </w:r>
          </w:p>
        </w:tc>
      </w:tr>
      <w:tr w:rsidR="008454AB" w:rsidRPr="00324AAC" w:rsidTr="008454AB">
        <w:trPr>
          <w:cantSplit/>
          <w:jc w:val="center"/>
        </w:trPr>
        <w:tc>
          <w:tcPr>
            <w:tcW w:w="3050" w:type="dxa"/>
            <w:tcBorders>
              <w:left w:val="single" w:sz="4" w:space="0" w:color="BFBFBF"/>
              <w:bottom w:val="single" w:sz="4" w:space="0" w:color="BFBFBF"/>
              <w:right w:val="single" w:sz="4" w:space="0" w:color="BFBFBF"/>
            </w:tcBorders>
            <w:vAlign w:val="center"/>
          </w:tcPr>
          <w:p w:rsidR="008454AB" w:rsidRPr="00324AAC" w:rsidRDefault="008454AB" w:rsidP="00FE5365">
            <w:pPr>
              <w:pStyle w:val="Toplist"/>
              <w:keepNext w:val="0"/>
              <w:spacing w:after="0" w:line="240" w:lineRule="auto"/>
              <w:rPr>
                <w:rFonts w:asciiTheme="minorHAnsi" w:hAnsiTheme="minorHAnsi"/>
                <w:sz w:val="18"/>
                <w:szCs w:val="18"/>
              </w:rPr>
            </w:pPr>
            <w:r w:rsidRPr="00324AAC">
              <w:rPr>
                <w:rFonts w:asciiTheme="minorHAnsi" w:hAnsiTheme="minorHAnsi" w:cs="Calibri"/>
                <w:color w:val="000000"/>
                <w:sz w:val="18"/>
                <w:szCs w:val="18"/>
              </w:rPr>
              <w:t>Premium % Rise High</w:t>
            </w:r>
          </w:p>
        </w:tc>
        <w:tc>
          <w:tcPr>
            <w:tcW w:w="853"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0.05%</w:t>
            </w:r>
          </w:p>
        </w:tc>
        <w:tc>
          <w:tcPr>
            <w:tcW w:w="854"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0.05%</w:t>
            </w:r>
          </w:p>
        </w:tc>
        <w:tc>
          <w:tcPr>
            <w:tcW w:w="1056"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0.05%</w:t>
            </w:r>
          </w:p>
        </w:tc>
        <w:tc>
          <w:tcPr>
            <w:tcW w:w="986"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0.05%</w:t>
            </w:r>
          </w:p>
        </w:tc>
      </w:tr>
    </w:tbl>
    <w:p w:rsidR="00AB109F" w:rsidRDefault="00AB109F" w:rsidP="00AB109F">
      <w:pPr>
        <w:pStyle w:val="NoSpacing"/>
      </w:pPr>
      <w:bookmarkStart w:id="70" w:name="_Toc384048422"/>
    </w:p>
    <w:p w:rsidR="00AB109F" w:rsidRDefault="00AB109F" w:rsidP="00AB109F">
      <w:pPr>
        <w:pStyle w:val="Heading2"/>
      </w:pPr>
      <w:bookmarkStart w:id="71" w:name="_Toc454981946"/>
      <w:bookmarkStart w:id="72" w:name="_Toc468888015"/>
      <w:bookmarkEnd w:id="70"/>
      <w:r>
        <w:t>5.2. Impact on the GIC</w:t>
      </w:r>
      <w:bookmarkEnd w:id="71"/>
      <w:bookmarkEnd w:id="72"/>
    </w:p>
    <w:p w:rsidR="00AB109F" w:rsidRDefault="00AB109F" w:rsidP="00AB109F">
      <w:r>
        <w:t xml:space="preserve">The proposed </w:t>
      </w:r>
      <w:r w:rsidR="0007127D">
        <w:t>formulary</w:t>
      </w:r>
      <w:r>
        <w:t xml:space="preserve"> is assumed to apply to</w:t>
      </w:r>
      <w:r w:rsidRPr="0047050C">
        <w:t xml:space="preserve"> both fully-insured and self-insured plans operated for state and local employees by the GIC, with an effective date for all GIC policies on </w:t>
      </w:r>
      <w:r>
        <w:t xml:space="preserve">July </w:t>
      </w:r>
      <w:r w:rsidRPr="0047050C">
        <w:t>1, 201</w:t>
      </w:r>
      <w:r>
        <w:t>7</w:t>
      </w:r>
      <w:r w:rsidRPr="0047050C">
        <w:t>.</w:t>
      </w:r>
    </w:p>
    <w:p w:rsidR="00AB109F" w:rsidRPr="00D01787" w:rsidRDefault="00AB109F" w:rsidP="00AB109F">
      <w:pPr>
        <w:rPr>
          <w:rFonts w:asciiTheme="majorHAnsi" w:hAnsiTheme="majorHAnsi"/>
        </w:rPr>
      </w:pPr>
      <w:r w:rsidRPr="00CA7CF3">
        <w:rPr>
          <w:rFonts w:asciiTheme="majorHAnsi" w:hAnsiTheme="majorHAnsi"/>
        </w:rPr>
        <w:t xml:space="preserve">Because the benefit offerings of GIC plans are </w:t>
      </w:r>
      <w:r w:rsidR="00E067A8">
        <w:rPr>
          <w:rFonts w:asciiTheme="majorHAnsi" w:hAnsiTheme="majorHAnsi"/>
        </w:rPr>
        <w:t xml:space="preserve">often </w:t>
      </w:r>
      <w:r w:rsidRPr="00CA7CF3">
        <w:rPr>
          <w:rFonts w:asciiTheme="majorHAnsi" w:hAnsiTheme="majorHAnsi"/>
        </w:rPr>
        <w:t xml:space="preserve">similar to </w:t>
      </w:r>
      <w:r>
        <w:rPr>
          <w:rFonts w:asciiTheme="majorHAnsi" w:hAnsiTheme="majorHAnsi"/>
        </w:rPr>
        <w:t xml:space="preserve">those of </w:t>
      </w:r>
      <w:r w:rsidRPr="00CA7CF3">
        <w:rPr>
          <w:rFonts w:asciiTheme="majorHAnsi" w:hAnsiTheme="majorHAnsi"/>
        </w:rPr>
        <w:t xml:space="preserve">most other commercial plans in Massachusetts, </w:t>
      </w:r>
      <w:r>
        <w:rPr>
          <w:rFonts w:asciiTheme="majorHAnsi" w:hAnsiTheme="majorHAnsi"/>
        </w:rPr>
        <w:t>t</w:t>
      </w:r>
      <w:r w:rsidRPr="00CA7CF3">
        <w:rPr>
          <w:rFonts w:asciiTheme="majorHAnsi" w:hAnsiTheme="majorHAnsi"/>
        </w:rPr>
        <w:t xml:space="preserve">he estimated PMPM effect of the proposed </w:t>
      </w:r>
      <w:r w:rsidR="0007127D">
        <w:rPr>
          <w:rFonts w:asciiTheme="majorHAnsi" w:hAnsiTheme="majorHAnsi"/>
        </w:rPr>
        <w:t>formulary</w:t>
      </w:r>
      <w:r w:rsidRPr="00CA7CF3">
        <w:rPr>
          <w:rFonts w:asciiTheme="majorHAnsi" w:hAnsiTheme="majorHAnsi"/>
        </w:rPr>
        <w:t xml:space="preserve"> on GIC </w:t>
      </w:r>
      <w:r>
        <w:rPr>
          <w:rFonts w:asciiTheme="majorHAnsi" w:hAnsiTheme="majorHAnsi"/>
        </w:rPr>
        <w:t>medical expense</w:t>
      </w:r>
      <w:r w:rsidRPr="00CA7CF3">
        <w:rPr>
          <w:rFonts w:asciiTheme="majorHAnsi" w:hAnsiTheme="majorHAnsi"/>
        </w:rPr>
        <w:t xml:space="preserve"> is not expected to differ from that calculated for the other fully-insured plans in Massachusetts.</w:t>
      </w:r>
      <w:r>
        <w:rPr>
          <w:rFonts w:asciiTheme="majorHAnsi" w:hAnsiTheme="majorHAnsi"/>
        </w:rPr>
        <w:t xml:space="preserve">  </w:t>
      </w:r>
      <w:r w:rsidRPr="00340039">
        <w:t>To estimate the medical expense separately for the GIC, the PMPM medical expense for the general fully-insured population was applied to the GIC membership starting in July of 2017.</w:t>
      </w:r>
    </w:p>
    <w:p w:rsidR="00AB109F" w:rsidRDefault="00AB109F" w:rsidP="00AB109F">
      <w:r w:rsidRPr="00C4046B">
        <w:lastRenderedPageBreak/>
        <w:t>Table 23</w:t>
      </w:r>
      <w:r>
        <w:t xml:space="preserve"> breaks out the GIC-only fully-insured membership and the GIC self-insured membership, and the corresponding incremental medical expense and premium.  Note that the total medical expense and premium values for the general fully-insured membership displayed in </w:t>
      </w:r>
      <w:r w:rsidRPr="00C4046B">
        <w:t>Table 2</w:t>
      </w:r>
      <w:r w:rsidR="00280330">
        <w:t>2</w:t>
      </w:r>
      <w:r>
        <w:t xml:space="preserve"> also include the GIC fully-insured membership. </w:t>
      </w:r>
      <w:r w:rsidRPr="00CC0BEC">
        <w:t xml:space="preserve"> Finally, the </w:t>
      </w:r>
      <w:r>
        <w:t xml:space="preserve">proposed </w:t>
      </w:r>
      <w:r w:rsidR="0007127D">
        <w:t>formulary</w:t>
      </w:r>
      <w:r w:rsidRPr="00CC0BEC">
        <w:t xml:space="preserve"> </w:t>
      </w:r>
      <w:r>
        <w:t>is assumed to require</w:t>
      </w:r>
      <w:r w:rsidRPr="00CC0BEC">
        <w:t xml:space="preserve"> the GIC to implement the provisions on </w:t>
      </w:r>
      <w:r>
        <w:t xml:space="preserve">July </w:t>
      </w:r>
      <w:r w:rsidRPr="00CC0BEC">
        <w:t>1, 201</w:t>
      </w:r>
      <w:r>
        <w:t>7</w:t>
      </w:r>
      <w:r w:rsidRPr="00CC0BEC">
        <w:t xml:space="preserve">; therefore, the </w:t>
      </w:r>
      <w:r>
        <w:t xml:space="preserve">results in </w:t>
      </w:r>
      <w:r w:rsidRPr="00CC0BEC">
        <w:t>201</w:t>
      </w:r>
      <w:r>
        <w:t xml:space="preserve">7 are approximately one-half </w:t>
      </w:r>
      <w:r w:rsidRPr="00CC0BEC">
        <w:t>of an annual value</w:t>
      </w:r>
      <w:r>
        <w:t>.</w:t>
      </w:r>
    </w:p>
    <w:p w:rsidR="00AB109F" w:rsidRPr="00982ABD" w:rsidRDefault="00C60F8D" w:rsidP="00AB109F">
      <w:pPr>
        <w:pStyle w:val="TableTitle"/>
      </w:pPr>
      <w:r>
        <w:t xml:space="preserve">Table 23: </w:t>
      </w:r>
      <w:r w:rsidR="00AB109F" w:rsidRPr="00DC4B0C">
        <w:t>GIC Summary Results</w:t>
      </w:r>
    </w:p>
    <w:tbl>
      <w:tblPr>
        <w:tblW w:w="6802" w:type="dxa"/>
        <w:jc w:val="center"/>
        <w:tblLayout w:type="fixed"/>
        <w:tblCellMar>
          <w:top w:w="14" w:type="dxa"/>
          <w:left w:w="58" w:type="dxa"/>
          <w:bottom w:w="14" w:type="dxa"/>
          <w:right w:w="58" w:type="dxa"/>
        </w:tblCellMar>
        <w:tblLook w:val="04A0"/>
      </w:tblPr>
      <w:tblGrid>
        <w:gridCol w:w="3055"/>
        <w:gridCol w:w="815"/>
        <w:gridCol w:w="890"/>
        <w:gridCol w:w="968"/>
        <w:gridCol w:w="1074"/>
      </w:tblGrid>
      <w:tr w:rsidR="00AB109F" w:rsidRPr="00AF1740" w:rsidTr="00AB109F">
        <w:trPr>
          <w:cantSplit/>
          <w:jc w:val="center"/>
        </w:trPr>
        <w:tc>
          <w:tcPr>
            <w:tcW w:w="3055" w:type="dxa"/>
            <w:tcBorders>
              <w:top w:val="single" w:sz="4" w:space="0" w:color="BFBFBF"/>
              <w:left w:val="single" w:sz="4" w:space="0" w:color="BFBFBF"/>
              <w:bottom w:val="single" w:sz="4" w:space="0" w:color="BFBFBF"/>
              <w:right w:val="single" w:sz="4" w:space="0" w:color="BFBFBF"/>
            </w:tcBorders>
            <w:vAlign w:val="bottom"/>
          </w:tcPr>
          <w:p w:rsidR="00AB109F" w:rsidRPr="00AF1740" w:rsidRDefault="00AB109F" w:rsidP="00280330">
            <w:pPr>
              <w:pStyle w:val="Toplist"/>
              <w:spacing w:after="0" w:line="240" w:lineRule="auto"/>
              <w:rPr>
                <w:rFonts w:asciiTheme="minorHAnsi" w:hAnsiTheme="minorHAnsi"/>
                <w:sz w:val="18"/>
                <w:szCs w:val="18"/>
              </w:rPr>
            </w:pPr>
          </w:p>
        </w:tc>
        <w:tc>
          <w:tcPr>
            <w:tcW w:w="815" w:type="dxa"/>
            <w:tcBorders>
              <w:top w:val="single" w:sz="4" w:space="0" w:color="BFBFBF"/>
              <w:left w:val="single" w:sz="4" w:space="0" w:color="BFBFBF"/>
              <w:bottom w:val="single" w:sz="4" w:space="0" w:color="BFBFBF"/>
              <w:right w:val="single" w:sz="4" w:space="0" w:color="BFBFBF"/>
            </w:tcBorders>
            <w:vAlign w:val="bottom"/>
          </w:tcPr>
          <w:p w:rsidR="00AB109F" w:rsidRPr="00AF1740" w:rsidRDefault="00AB109F" w:rsidP="00280330">
            <w:pPr>
              <w:pStyle w:val="Toplist"/>
              <w:spacing w:after="0" w:line="240" w:lineRule="auto"/>
              <w:jc w:val="right"/>
              <w:rPr>
                <w:rFonts w:asciiTheme="minorHAnsi" w:hAnsiTheme="minorHAnsi"/>
                <w:b/>
                <w:sz w:val="18"/>
                <w:szCs w:val="18"/>
              </w:rPr>
            </w:pPr>
            <w:r w:rsidRPr="00AF1740">
              <w:rPr>
                <w:rFonts w:asciiTheme="minorHAnsi" w:hAnsiTheme="minorHAnsi"/>
                <w:b/>
                <w:sz w:val="18"/>
                <w:szCs w:val="18"/>
              </w:rPr>
              <w:t>2017</w:t>
            </w:r>
          </w:p>
        </w:tc>
        <w:tc>
          <w:tcPr>
            <w:tcW w:w="890" w:type="dxa"/>
            <w:tcBorders>
              <w:top w:val="single" w:sz="4" w:space="0" w:color="BFBFBF"/>
              <w:left w:val="single" w:sz="4" w:space="0" w:color="BFBFBF"/>
              <w:bottom w:val="single" w:sz="4" w:space="0" w:color="BFBFBF"/>
              <w:right w:val="single" w:sz="4" w:space="0" w:color="BFBFBF"/>
            </w:tcBorders>
            <w:vAlign w:val="bottom"/>
          </w:tcPr>
          <w:p w:rsidR="00AB109F" w:rsidRPr="00AF1740" w:rsidRDefault="00AB109F" w:rsidP="00280330">
            <w:pPr>
              <w:pStyle w:val="Toplist"/>
              <w:spacing w:after="0" w:line="240" w:lineRule="auto"/>
              <w:jc w:val="right"/>
              <w:rPr>
                <w:rFonts w:asciiTheme="minorHAnsi" w:hAnsiTheme="minorHAnsi"/>
                <w:b/>
                <w:sz w:val="18"/>
                <w:szCs w:val="18"/>
              </w:rPr>
            </w:pPr>
            <w:r w:rsidRPr="00AF1740">
              <w:rPr>
                <w:rFonts w:asciiTheme="minorHAnsi" w:hAnsiTheme="minorHAnsi"/>
                <w:b/>
                <w:sz w:val="18"/>
                <w:szCs w:val="18"/>
              </w:rPr>
              <w:t>2018</w:t>
            </w:r>
          </w:p>
        </w:tc>
        <w:tc>
          <w:tcPr>
            <w:tcW w:w="968" w:type="dxa"/>
            <w:tcBorders>
              <w:top w:val="single" w:sz="4" w:space="0" w:color="BFBFBF"/>
              <w:left w:val="single" w:sz="4" w:space="0" w:color="BFBFBF"/>
              <w:bottom w:val="single" w:sz="4" w:space="0" w:color="BFBFBF"/>
              <w:right w:val="single" w:sz="4" w:space="0" w:color="BFBFBF"/>
            </w:tcBorders>
            <w:vAlign w:val="bottom"/>
          </w:tcPr>
          <w:p w:rsidR="00AB109F" w:rsidRPr="00AF1740" w:rsidRDefault="00AB109F" w:rsidP="00280330">
            <w:pPr>
              <w:pStyle w:val="Toplist"/>
              <w:spacing w:after="0" w:line="240" w:lineRule="auto"/>
              <w:jc w:val="right"/>
              <w:rPr>
                <w:rFonts w:asciiTheme="minorHAnsi" w:hAnsiTheme="minorHAnsi"/>
                <w:b/>
                <w:sz w:val="18"/>
                <w:szCs w:val="18"/>
              </w:rPr>
            </w:pPr>
            <w:r w:rsidRPr="00AF1740">
              <w:rPr>
                <w:rFonts w:asciiTheme="minorHAnsi" w:hAnsiTheme="minorHAnsi"/>
                <w:b/>
                <w:sz w:val="18"/>
                <w:szCs w:val="18"/>
              </w:rPr>
              <w:t>Average</w:t>
            </w:r>
          </w:p>
        </w:tc>
        <w:tc>
          <w:tcPr>
            <w:tcW w:w="1074" w:type="dxa"/>
            <w:tcBorders>
              <w:top w:val="single" w:sz="4" w:space="0" w:color="BFBFBF"/>
              <w:left w:val="single" w:sz="4" w:space="0" w:color="BFBFBF"/>
              <w:bottom w:val="single" w:sz="4" w:space="0" w:color="BFBFBF"/>
              <w:right w:val="single" w:sz="4" w:space="0" w:color="BFBFBF"/>
            </w:tcBorders>
            <w:vAlign w:val="bottom"/>
          </w:tcPr>
          <w:p w:rsidR="00AB109F" w:rsidRPr="00AF1740" w:rsidRDefault="00AB109F" w:rsidP="00280330">
            <w:pPr>
              <w:pStyle w:val="Toplist"/>
              <w:spacing w:after="0" w:line="240" w:lineRule="auto"/>
              <w:jc w:val="right"/>
              <w:rPr>
                <w:rFonts w:asciiTheme="minorHAnsi" w:hAnsiTheme="minorHAnsi"/>
                <w:b/>
                <w:sz w:val="18"/>
                <w:szCs w:val="18"/>
              </w:rPr>
            </w:pPr>
            <w:r>
              <w:rPr>
                <w:rFonts w:asciiTheme="minorHAnsi" w:hAnsiTheme="minorHAnsi"/>
                <w:b/>
                <w:sz w:val="18"/>
                <w:szCs w:val="18"/>
              </w:rPr>
              <w:t>2</w:t>
            </w:r>
            <w:r w:rsidRPr="00AF1740">
              <w:rPr>
                <w:rFonts w:asciiTheme="minorHAnsi" w:hAnsiTheme="minorHAnsi"/>
                <w:b/>
                <w:sz w:val="18"/>
                <w:szCs w:val="18"/>
              </w:rPr>
              <w:t xml:space="preserve"> Yr Total</w:t>
            </w:r>
          </w:p>
        </w:tc>
      </w:tr>
      <w:tr w:rsidR="00AB109F" w:rsidRPr="00AF1740" w:rsidTr="00280330">
        <w:trPr>
          <w:cantSplit/>
          <w:jc w:val="center"/>
        </w:trPr>
        <w:tc>
          <w:tcPr>
            <w:tcW w:w="3055" w:type="dxa"/>
            <w:tcBorders>
              <w:top w:val="single" w:sz="4" w:space="0" w:color="BFBFBF"/>
              <w:left w:val="single" w:sz="4" w:space="0" w:color="BFBFBF"/>
              <w:bottom w:val="single" w:sz="4" w:space="0" w:color="BFBFBF"/>
            </w:tcBorders>
            <w:vAlign w:val="center"/>
          </w:tcPr>
          <w:p w:rsidR="00AB109F" w:rsidRPr="00AF1740" w:rsidRDefault="00AB109F" w:rsidP="00280330">
            <w:pPr>
              <w:pStyle w:val="Toplist"/>
              <w:spacing w:after="0" w:line="240" w:lineRule="auto"/>
              <w:rPr>
                <w:rFonts w:asciiTheme="minorHAnsi" w:hAnsiTheme="minorHAnsi"/>
                <w:b/>
                <w:sz w:val="18"/>
                <w:szCs w:val="18"/>
              </w:rPr>
            </w:pPr>
            <w:r w:rsidRPr="00AF1740">
              <w:rPr>
                <w:rFonts w:asciiTheme="minorHAnsi" w:hAnsiTheme="minorHAnsi"/>
                <w:b/>
                <w:sz w:val="18"/>
                <w:szCs w:val="18"/>
              </w:rPr>
              <w:t>GIC Fully-Insured</w:t>
            </w:r>
          </w:p>
        </w:tc>
        <w:tc>
          <w:tcPr>
            <w:tcW w:w="815" w:type="dxa"/>
            <w:tcBorders>
              <w:top w:val="single" w:sz="4" w:space="0" w:color="BFBFBF"/>
              <w:bottom w:val="single" w:sz="4" w:space="0" w:color="BFBFBF"/>
            </w:tcBorders>
            <w:vAlign w:val="center"/>
          </w:tcPr>
          <w:p w:rsidR="00AB109F" w:rsidRPr="00AF1740" w:rsidRDefault="00AB109F" w:rsidP="00280330">
            <w:pPr>
              <w:pStyle w:val="Toplist"/>
              <w:spacing w:after="0" w:line="240" w:lineRule="auto"/>
              <w:jc w:val="right"/>
              <w:rPr>
                <w:rFonts w:asciiTheme="minorHAnsi" w:hAnsiTheme="minorHAnsi"/>
                <w:sz w:val="18"/>
                <w:szCs w:val="18"/>
              </w:rPr>
            </w:pPr>
          </w:p>
        </w:tc>
        <w:tc>
          <w:tcPr>
            <w:tcW w:w="890" w:type="dxa"/>
            <w:tcBorders>
              <w:top w:val="single" w:sz="4" w:space="0" w:color="BFBFBF"/>
              <w:bottom w:val="single" w:sz="4" w:space="0" w:color="BFBFBF"/>
            </w:tcBorders>
            <w:vAlign w:val="center"/>
          </w:tcPr>
          <w:p w:rsidR="00AB109F" w:rsidRPr="00AF1740" w:rsidRDefault="00AB109F" w:rsidP="00280330">
            <w:pPr>
              <w:pStyle w:val="Toplist"/>
              <w:spacing w:after="0" w:line="240" w:lineRule="auto"/>
              <w:jc w:val="right"/>
              <w:rPr>
                <w:rFonts w:asciiTheme="minorHAnsi" w:hAnsiTheme="minorHAnsi"/>
                <w:sz w:val="18"/>
                <w:szCs w:val="18"/>
              </w:rPr>
            </w:pPr>
          </w:p>
        </w:tc>
        <w:tc>
          <w:tcPr>
            <w:tcW w:w="968" w:type="dxa"/>
            <w:tcBorders>
              <w:top w:val="single" w:sz="4" w:space="0" w:color="BFBFBF"/>
              <w:bottom w:val="single" w:sz="4" w:space="0" w:color="BFBFBF"/>
            </w:tcBorders>
            <w:vAlign w:val="center"/>
          </w:tcPr>
          <w:p w:rsidR="00AB109F" w:rsidRPr="00AF1740" w:rsidRDefault="00AB109F" w:rsidP="00280330">
            <w:pPr>
              <w:pStyle w:val="Toplist"/>
              <w:spacing w:after="0" w:line="240" w:lineRule="auto"/>
              <w:jc w:val="right"/>
              <w:rPr>
                <w:rFonts w:asciiTheme="minorHAnsi" w:hAnsiTheme="minorHAnsi"/>
                <w:sz w:val="18"/>
                <w:szCs w:val="18"/>
              </w:rPr>
            </w:pPr>
          </w:p>
        </w:tc>
        <w:tc>
          <w:tcPr>
            <w:tcW w:w="1074" w:type="dxa"/>
            <w:tcBorders>
              <w:top w:val="single" w:sz="4" w:space="0" w:color="BFBFBF"/>
              <w:bottom w:val="single" w:sz="4" w:space="0" w:color="BFBFBF"/>
              <w:right w:val="single" w:sz="4" w:space="0" w:color="BFBFBF"/>
            </w:tcBorders>
            <w:vAlign w:val="center"/>
          </w:tcPr>
          <w:p w:rsidR="00AB109F" w:rsidRPr="00AF1740" w:rsidRDefault="00AB109F" w:rsidP="00280330">
            <w:pPr>
              <w:pStyle w:val="Toplist"/>
              <w:spacing w:after="0" w:line="240" w:lineRule="auto"/>
              <w:jc w:val="right"/>
              <w:rPr>
                <w:rFonts w:asciiTheme="minorHAnsi" w:hAnsiTheme="minorHAnsi"/>
                <w:sz w:val="18"/>
                <w:szCs w:val="18"/>
              </w:rPr>
            </w:pPr>
          </w:p>
        </w:tc>
      </w:tr>
      <w:tr w:rsidR="008454AB" w:rsidRPr="00AF1740" w:rsidTr="008454AB">
        <w:trPr>
          <w:cantSplit/>
          <w:jc w:val="center"/>
        </w:trPr>
        <w:tc>
          <w:tcPr>
            <w:tcW w:w="3055" w:type="dxa"/>
            <w:tcBorders>
              <w:top w:val="single" w:sz="4" w:space="0" w:color="BFBFBF"/>
              <w:left w:val="single" w:sz="4" w:space="0" w:color="BFBFBF"/>
              <w:bottom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Members (000s)</w:t>
            </w:r>
          </w:p>
        </w:tc>
        <w:tc>
          <w:tcPr>
            <w:tcW w:w="815"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 54 </w:t>
            </w:r>
          </w:p>
        </w:tc>
        <w:tc>
          <w:tcPr>
            <w:tcW w:w="890"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 54 </w:t>
            </w:r>
          </w:p>
        </w:tc>
        <w:tc>
          <w:tcPr>
            <w:tcW w:w="968"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p>
        </w:tc>
        <w:tc>
          <w:tcPr>
            <w:tcW w:w="1074"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p>
        </w:tc>
      </w:tr>
      <w:tr w:rsidR="008454AB" w:rsidRPr="00AF1740" w:rsidTr="008454AB">
        <w:trPr>
          <w:cantSplit/>
          <w:jc w:val="center"/>
        </w:trPr>
        <w:tc>
          <w:tcPr>
            <w:tcW w:w="3055" w:type="dxa"/>
            <w:tcBorders>
              <w:top w:val="single" w:sz="4" w:space="0" w:color="BFBFBF"/>
              <w:left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Medical Expense Low ($000s)</w:t>
            </w:r>
          </w:p>
        </w:tc>
        <w:tc>
          <w:tcPr>
            <w:tcW w:w="815"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$36 </w:t>
            </w:r>
          </w:p>
        </w:tc>
        <w:tc>
          <w:tcPr>
            <w:tcW w:w="890"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$75 </w:t>
            </w:r>
          </w:p>
        </w:tc>
        <w:tc>
          <w:tcPr>
            <w:tcW w:w="968"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$55 </w:t>
            </w:r>
          </w:p>
        </w:tc>
        <w:tc>
          <w:tcPr>
            <w:tcW w:w="1074"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$110 </w:t>
            </w:r>
          </w:p>
        </w:tc>
      </w:tr>
      <w:tr w:rsidR="008454AB" w:rsidRPr="00AF1740" w:rsidTr="008454AB">
        <w:trPr>
          <w:cantSplit/>
          <w:jc w:val="center"/>
        </w:trPr>
        <w:tc>
          <w:tcPr>
            <w:tcW w:w="3055" w:type="dxa"/>
            <w:tcBorders>
              <w:left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Medical Expense Mid ($000s)</w:t>
            </w:r>
          </w:p>
        </w:tc>
        <w:tc>
          <w:tcPr>
            <w:tcW w:w="815"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$52 </w:t>
            </w:r>
          </w:p>
        </w:tc>
        <w:tc>
          <w:tcPr>
            <w:tcW w:w="890"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$110 </w:t>
            </w:r>
          </w:p>
        </w:tc>
        <w:tc>
          <w:tcPr>
            <w:tcW w:w="968"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$81 </w:t>
            </w:r>
          </w:p>
        </w:tc>
        <w:tc>
          <w:tcPr>
            <w:tcW w:w="1074"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$162 </w:t>
            </w:r>
          </w:p>
        </w:tc>
      </w:tr>
      <w:tr w:rsidR="008454AB" w:rsidRPr="00AF1740" w:rsidTr="008454AB">
        <w:trPr>
          <w:cantSplit/>
          <w:jc w:val="center"/>
        </w:trPr>
        <w:tc>
          <w:tcPr>
            <w:tcW w:w="3055" w:type="dxa"/>
            <w:tcBorders>
              <w:left w:val="single" w:sz="4" w:space="0" w:color="BFBFBF"/>
              <w:bottom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Medical Expense High ($000s)</w:t>
            </w:r>
          </w:p>
        </w:tc>
        <w:tc>
          <w:tcPr>
            <w:tcW w:w="815"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$71 </w:t>
            </w:r>
          </w:p>
        </w:tc>
        <w:tc>
          <w:tcPr>
            <w:tcW w:w="890"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$148 </w:t>
            </w:r>
          </w:p>
        </w:tc>
        <w:tc>
          <w:tcPr>
            <w:tcW w:w="968"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$109 </w:t>
            </w:r>
          </w:p>
        </w:tc>
        <w:tc>
          <w:tcPr>
            <w:tcW w:w="1074"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$219 </w:t>
            </w:r>
          </w:p>
        </w:tc>
      </w:tr>
      <w:tr w:rsidR="008454AB" w:rsidRPr="00AF1740" w:rsidTr="008454AB">
        <w:trPr>
          <w:cantSplit/>
          <w:jc w:val="center"/>
        </w:trPr>
        <w:tc>
          <w:tcPr>
            <w:tcW w:w="3055" w:type="dxa"/>
            <w:tcBorders>
              <w:top w:val="single" w:sz="4" w:space="0" w:color="BFBFBF"/>
              <w:left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Premium Low ($000s)</w:t>
            </w:r>
          </w:p>
        </w:tc>
        <w:tc>
          <w:tcPr>
            <w:tcW w:w="815"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$40 </w:t>
            </w:r>
          </w:p>
        </w:tc>
        <w:tc>
          <w:tcPr>
            <w:tcW w:w="890"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$84 </w:t>
            </w:r>
          </w:p>
        </w:tc>
        <w:tc>
          <w:tcPr>
            <w:tcW w:w="968"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$62 </w:t>
            </w:r>
          </w:p>
        </w:tc>
        <w:tc>
          <w:tcPr>
            <w:tcW w:w="1074"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$124 </w:t>
            </w:r>
          </w:p>
        </w:tc>
      </w:tr>
      <w:tr w:rsidR="008454AB" w:rsidRPr="00AF1740" w:rsidTr="008454AB">
        <w:trPr>
          <w:cantSplit/>
          <w:jc w:val="center"/>
        </w:trPr>
        <w:tc>
          <w:tcPr>
            <w:tcW w:w="3055" w:type="dxa"/>
            <w:tcBorders>
              <w:left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Premium Mid ($000s)</w:t>
            </w:r>
          </w:p>
        </w:tc>
        <w:tc>
          <w:tcPr>
            <w:tcW w:w="815"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$59 </w:t>
            </w:r>
          </w:p>
        </w:tc>
        <w:tc>
          <w:tcPr>
            <w:tcW w:w="890"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$123 </w:t>
            </w:r>
          </w:p>
        </w:tc>
        <w:tc>
          <w:tcPr>
            <w:tcW w:w="968"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$91 </w:t>
            </w:r>
          </w:p>
        </w:tc>
        <w:tc>
          <w:tcPr>
            <w:tcW w:w="1074"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$182 </w:t>
            </w:r>
          </w:p>
        </w:tc>
      </w:tr>
      <w:tr w:rsidR="008454AB" w:rsidRPr="00AF1740" w:rsidTr="008454AB">
        <w:trPr>
          <w:cantSplit/>
          <w:jc w:val="center"/>
        </w:trPr>
        <w:tc>
          <w:tcPr>
            <w:tcW w:w="3055" w:type="dxa"/>
            <w:tcBorders>
              <w:left w:val="single" w:sz="4" w:space="0" w:color="BFBFBF"/>
              <w:bottom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Premium High ($000s)</w:t>
            </w:r>
          </w:p>
        </w:tc>
        <w:tc>
          <w:tcPr>
            <w:tcW w:w="815"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$79 </w:t>
            </w:r>
          </w:p>
        </w:tc>
        <w:tc>
          <w:tcPr>
            <w:tcW w:w="890"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$166 </w:t>
            </w:r>
          </w:p>
        </w:tc>
        <w:tc>
          <w:tcPr>
            <w:tcW w:w="968"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$123 </w:t>
            </w:r>
          </w:p>
        </w:tc>
        <w:tc>
          <w:tcPr>
            <w:tcW w:w="1074"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$246 </w:t>
            </w:r>
          </w:p>
        </w:tc>
      </w:tr>
      <w:tr w:rsidR="008454AB" w:rsidRPr="00AF1740" w:rsidTr="008454AB">
        <w:trPr>
          <w:cantSplit/>
          <w:jc w:val="center"/>
        </w:trPr>
        <w:tc>
          <w:tcPr>
            <w:tcW w:w="3055" w:type="dxa"/>
            <w:tcBorders>
              <w:top w:val="single" w:sz="4" w:space="0" w:color="BFBFBF"/>
              <w:left w:val="single" w:sz="4" w:space="0" w:color="BFBFBF"/>
              <w:bottom w:val="single" w:sz="4" w:space="0" w:color="BFBFBF"/>
            </w:tcBorders>
            <w:vAlign w:val="center"/>
          </w:tcPr>
          <w:p w:rsidR="008454AB" w:rsidRPr="00AF1740" w:rsidRDefault="008454AB" w:rsidP="00280330">
            <w:pPr>
              <w:pStyle w:val="Toplist"/>
              <w:spacing w:after="0" w:line="240" w:lineRule="auto"/>
              <w:rPr>
                <w:rFonts w:asciiTheme="minorHAnsi" w:hAnsiTheme="minorHAnsi"/>
                <w:b/>
                <w:sz w:val="18"/>
                <w:szCs w:val="18"/>
              </w:rPr>
            </w:pPr>
            <w:r w:rsidRPr="00AF1740">
              <w:rPr>
                <w:rFonts w:asciiTheme="minorHAnsi" w:hAnsiTheme="minorHAnsi"/>
                <w:b/>
                <w:sz w:val="18"/>
                <w:szCs w:val="18"/>
              </w:rPr>
              <w:t>GIC Self-Insured</w:t>
            </w:r>
          </w:p>
        </w:tc>
        <w:tc>
          <w:tcPr>
            <w:tcW w:w="815" w:type="dxa"/>
            <w:tcBorders>
              <w:top w:val="single" w:sz="4" w:space="0" w:color="BFBFBF"/>
              <w:bottom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p>
        </w:tc>
        <w:tc>
          <w:tcPr>
            <w:tcW w:w="890" w:type="dxa"/>
            <w:tcBorders>
              <w:top w:val="single" w:sz="4" w:space="0" w:color="BFBFBF"/>
              <w:bottom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p>
        </w:tc>
        <w:tc>
          <w:tcPr>
            <w:tcW w:w="968" w:type="dxa"/>
            <w:tcBorders>
              <w:top w:val="single" w:sz="4" w:space="0" w:color="BFBFBF"/>
              <w:bottom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p>
        </w:tc>
        <w:tc>
          <w:tcPr>
            <w:tcW w:w="1074" w:type="dxa"/>
            <w:tcBorders>
              <w:top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p>
        </w:tc>
      </w:tr>
      <w:tr w:rsidR="008454AB" w:rsidRPr="00AF1740" w:rsidTr="008454AB">
        <w:trPr>
          <w:cantSplit/>
          <w:jc w:val="center"/>
        </w:trPr>
        <w:tc>
          <w:tcPr>
            <w:tcW w:w="3055" w:type="dxa"/>
            <w:tcBorders>
              <w:top w:val="single" w:sz="4" w:space="0" w:color="BFBFBF"/>
              <w:left w:val="single" w:sz="4" w:space="0" w:color="BFBFBF"/>
              <w:bottom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Members (000s)</w:t>
            </w:r>
          </w:p>
        </w:tc>
        <w:tc>
          <w:tcPr>
            <w:tcW w:w="815"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 270 </w:t>
            </w:r>
          </w:p>
        </w:tc>
        <w:tc>
          <w:tcPr>
            <w:tcW w:w="890"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 270 </w:t>
            </w:r>
          </w:p>
        </w:tc>
        <w:tc>
          <w:tcPr>
            <w:tcW w:w="968"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p>
        </w:tc>
        <w:tc>
          <w:tcPr>
            <w:tcW w:w="1074" w:type="dxa"/>
            <w:tcBorders>
              <w:top w:val="single" w:sz="4" w:space="0" w:color="BFBFBF"/>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p>
        </w:tc>
      </w:tr>
      <w:tr w:rsidR="008454AB" w:rsidRPr="00AF1740" w:rsidTr="008454AB">
        <w:trPr>
          <w:cantSplit/>
          <w:jc w:val="center"/>
        </w:trPr>
        <w:tc>
          <w:tcPr>
            <w:tcW w:w="3055" w:type="dxa"/>
            <w:tcBorders>
              <w:top w:val="single" w:sz="4" w:space="0" w:color="BFBFBF"/>
              <w:left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Medical Expense Low ($000s)</w:t>
            </w:r>
          </w:p>
        </w:tc>
        <w:tc>
          <w:tcPr>
            <w:tcW w:w="815"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$178 </w:t>
            </w:r>
          </w:p>
        </w:tc>
        <w:tc>
          <w:tcPr>
            <w:tcW w:w="890"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$373 </w:t>
            </w:r>
          </w:p>
        </w:tc>
        <w:tc>
          <w:tcPr>
            <w:tcW w:w="968"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$276 </w:t>
            </w:r>
          </w:p>
        </w:tc>
        <w:tc>
          <w:tcPr>
            <w:tcW w:w="1074" w:type="dxa"/>
            <w:tcBorders>
              <w:top w:val="single" w:sz="4" w:space="0" w:color="BFBFBF"/>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$552 </w:t>
            </w:r>
          </w:p>
        </w:tc>
      </w:tr>
      <w:tr w:rsidR="008454AB" w:rsidRPr="00AF1740" w:rsidTr="008454AB">
        <w:trPr>
          <w:cantSplit/>
          <w:jc w:val="center"/>
        </w:trPr>
        <w:tc>
          <w:tcPr>
            <w:tcW w:w="3055" w:type="dxa"/>
            <w:tcBorders>
              <w:left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Medical Expense Mid ($000s)</w:t>
            </w:r>
          </w:p>
        </w:tc>
        <w:tc>
          <w:tcPr>
            <w:tcW w:w="815"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$262 </w:t>
            </w:r>
          </w:p>
        </w:tc>
        <w:tc>
          <w:tcPr>
            <w:tcW w:w="890"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$549 </w:t>
            </w:r>
          </w:p>
        </w:tc>
        <w:tc>
          <w:tcPr>
            <w:tcW w:w="968"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$405 </w:t>
            </w:r>
          </w:p>
        </w:tc>
        <w:tc>
          <w:tcPr>
            <w:tcW w:w="1074" w:type="dxa"/>
            <w:tcBorders>
              <w:left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$811 </w:t>
            </w:r>
          </w:p>
        </w:tc>
      </w:tr>
      <w:tr w:rsidR="008454AB" w:rsidRPr="00AF1740" w:rsidTr="008454AB">
        <w:trPr>
          <w:cantSplit/>
          <w:jc w:val="center"/>
        </w:trPr>
        <w:tc>
          <w:tcPr>
            <w:tcW w:w="3055" w:type="dxa"/>
            <w:tcBorders>
              <w:left w:val="single" w:sz="4" w:space="0" w:color="BFBFBF"/>
              <w:bottom w:val="single" w:sz="4" w:space="0" w:color="BFBFBF"/>
              <w:right w:val="single" w:sz="4" w:space="0" w:color="BFBFBF"/>
            </w:tcBorders>
            <w:vAlign w:val="center"/>
          </w:tcPr>
          <w:p w:rsidR="008454AB" w:rsidRPr="00AF1740" w:rsidRDefault="008454AB" w:rsidP="00280330">
            <w:pPr>
              <w:pStyle w:val="Toplist"/>
              <w:spacing w:after="0" w:line="240" w:lineRule="auto"/>
              <w:rPr>
                <w:rFonts w:asciiTheme="minorHAnsi" w:hAnsiTheme="minorHAnsi"/>
                <w:sz w:val="18"/>
                <w:szCs w:val="18"/>
              </w:rPr>
            </w:pPr>
            <w:r w:rsidRPr="00AF1740">
              <w:rPr>
                <w:rFonts w:asciiTheme="minorHAnsi" w:hAnsiTheme="minorHAnsi"/>
                <w:sz w:val="18"/>
                <w:szCs w:val="18"/>
              </w:rPr>
              <w:t>Medical Expense High ($000s)</w:t>
            </w:r>
          </w:p>
        </w:tc>
        <w:tc>
          <w:tcPr>
            <w:tcW w:w="815"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$353 </w:t>
            </w:r>
          </w:p>
        </w:tc>
        <w:tc>
          <w:tcPr>
            <w:tcW w:w="890"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$739 </w:t>
            </w:r>
          </w:p>
        </w:tc>
        <w:tc>
          <w:tcPr>
            <w:tcW w:w="968"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$546 </w:t>
            </w:r>
          </w:p>
        </w:tc>
        <w:tc>
          <w:tcPr>
            <w:tcW w:w="1074" w:type="dxa"/>
            <w:tcBorders>
              <w:left w:val="single" w:sz="4" w:space="0" w:color="BFBFBF"/>
              <w:bottom w:val="single" w:sz="4" w:space="0" w:color="BFBFBF"/>
              <w:right w:val="single" w:sz="4" w:space="0" w:color="BFBFBF"/>
            </w:tcBorders>
            <w:vAlign w:val="center"/>
          </w:tcPr>
          <w:p w:rsidR="008454AB" w:rsidRPr="008454AB" w:rsidRDefault="008454AB" w:rsidP="008454AB">
            <w:pPr>
              <w:spacing w:after="0" w:line="240" w:lineRule="auto"/>
              <w:jc w:val="right"/>
              <w:rPr>
                <w:rFonts w:asciiTheme="minorHAnsi" w:hAnsiTheme="minorHAnsi"/>
                <w:sz w:val="18"/>
                <w:szCs w:val="18"/>
              </w:rPr>
            </w:pPr>
            <w:r w:rsidRPr="008454AB">
              <w:rPr>
                <w:rFonts w:asciiTheme="minorHAnsi" w:hAnsiTheme="minorHAnsi"/>
                <w:sz w:val="18"/>
                <w:szCs w:val="18"/>
              </w:rPr>
              <w:t xml:space="preserve">$1,092 </w:t>
            </w:r>
          </w:p>
        </w:tc>
      </w:tr>
    </w:tbl>
    <w:p w:rsidR="002A03A0" w:rsidRDefault="002A03A0" w:rsidP="003C4336">
      <w:pPr>
        <w:pStyle w:val="NoSpacing"/>
      </w:pPr>
      <w:bookmarkStart w:id="73" w:name="_Toc454981947"/>
      <w:bookmarkStart w:id="74" w:name="_Toc442005092"/>
    </w:p>
    <w:p w:rsidR="00A43402" w:rsidRDefault="00A43402">
      <w:pPr>
        <w:spacing w:after="0" w:line="240" w:lineRule="auto"/>
        <w:rPr>
          <w:rFonts w:ascii="Calibri" w:eastAsia="Times New Roman" w:hAnsi="Calibri"/>
          <w:b/>
          <w:bCs/>
          <w:color w:val="365F91"/>
          <w:sz w:val="32"/>
          <w:szCs w:val="28"/>
        </w:rPr>
      </w:pPr>
      <w:r>
        <w:br w:type="page"/>
      </w:r>
    </w:p>
    <w:p w:rsidR="00365D96" w:rsidRPr="00037A89" w:rsidRDefault="00365D96" w:rsidP="00365D96">
      <w:pPr>
        <w:pStyle w:val="Heading1"/>
        <w:rPr>
          <w:szCs w:val="26"/>
        </w:rPr>
      </w:pPr>
      <w:bookmarkStart w:id="75" w:name="_Toc463366249"/>
      <w:bookmarkStart w:id="76" w:name="_Toc468888016"/>
      <w:r>
        <w:lastRenderedPageBreak/>
        <w:t>Appendix A: Draft Formulary of Substitutions for Opioids with Heightened Public Health Risk</w:t>
      </w:r>
      <w:bookmarkEnd w:id="75"/>
      <w:bookmarkEnd w:id="76"/>
    </w:p>
    <w:tbl>
      <w:tblPr>
        <w:tblStyle w:val="TableGrid"/>
        <w:tblW w:w="9390" w:type="dxa"/>
        <w:jc w:val="center"/>
        <w:tblInd w:w="-107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top w:w="14" w:type="dxa"/>
          <w:left w:w="58" w:type="dxa"/>
          <w:bottom w:w="14" w:type="dxa"/>
          <w:right w:w="58" w:type="dxa"/>
        </w:tblCellMar>
        <w:tblLook w:val="04A0"/>
      </w:tblPr>
      <w:tblGrid>
        <w:gridCol w:w="2715"/>
        <w:gridCol w:w="2250"/>
        <w:gridCol w:w="1800"/>
        <w:gridCol w:w="1440"/>
        <w:gridCol w:w="1185"/>
      </w:tblGrid>
      <w:tr w:rsidR="000069A6" w:rsidRPr="002A03A0" w:rsidTr="00C218B9">
        <w:trPr>
          <w:cantSplit/>
          <w:tblHeader/>
          <w:jc w:val="center"/>
        </w:trPr>
        <w:tc>
          <w:tcPr>
            <w:tcW w:w="2715" w:type="dxa"/>
            <w:vAlign w:val="center"/>
          </w:tcPr>
          <w:p w:rsidR="000069A6" w:rsidRPr="002A03A0" w:rsidRDefault="000069A6" w:rsidP="00365D96">
            <w:pPr>
              <w:spacing w:after="0" w:line="240" w:lineRule="auto"/>
              <w:rPr>
                <w:rFonts w:asciiTheme="minorHAnsi" w:hAnsiTheme="minorHAnsi"/>
                <w:b/>
                <w:sz w:val="20"/>
                <w:szCs w:val="20"/>
              </w:rPr>
            </w:pPr>
            <w:r w:rsidRPr="002A03A0">
              <w:rPr>
                <w:rFonts w:asciiTheme="minorHAnsi" w:hAnsiTheme="minorHAnsi"/>
                <w:b/>
                <w:sz w:val="20"/>
                <w:szCs w:val="20"/>
              </w:rPr>
              <w:t>HPHR Opioid</w:t>
            </w:r>
          </w:p>
        </w:tc>
        <w:tc>
          <w:tcPr>
            <w:tcW w:w="2250" w:type="dxa"/>
            <w:vAlign w:val="center"/>
          </w:tcPr>
          <w:p w:rsidR="000069A6" w:rsidRPr="002A03A0" w:rsidRDefault="000069A6" w:rsidP="00365D96">
            <w:pPr>
              <w:spacing w:after="0" w:line="240" w:lineRule="auto"/>
              <w:rPr>
                <w:rFonts w:asciiTheme="minorHAnsi" w:hAnsiTheme="minorHAnsi"/>
                <w:b/>
                <w:sz w:val="20"/>
                <w:szCs w:val="20"/>
              </w:rPr>
            </w:pPr>
            <w:r w:rsidRPr="002A03A0">
              <w:rPr>
                <w:rFonts w:asciiTheme="minorHAnsi" w:hAnsiTheme="minorHAnsi"/>
                <w:b/>
                <w:sz w:val="20"/>
                <w:szCs w:val="20"/>
              </w:rPr>
              <w:t xml:space="preserve">Interchangeable </w:t>
            </w:r>
            <w:r>
              <w:rPr>
                <w:rFonts w:asciiTheme="minorHAnsi" w:hAnsiTheme="minorHAnsi"/>
                <w:b/>
                <w:sz w:val="20"/>
                <w:szCs w:val="20"/>
              </w:rPr>
              <w:t>Abuse-deterrent</w:t>
            </w:r>
            <w:r w:rsidRPr="002A03A0">
              <w:rPr>
                <w:rFonts w:asciiTheme="minorHAnsi" w:hAnsiTheme="minorHAnsi"/>
                <w:b/>
                <w:sz w:val="20"/>
                <w:szCs w:val="20"/>
              </w:rPr>
              <w:t xml:space="preserve"> Drug Product</w:t>
            </w:r>
          </w:p>
        </w:tc>
        <w:tc>
          <w:tcPr>
            <w:tcW w:w="1800" w:type="dxa"/>
            <w:vAlign w:val="center"/>
          </w:tcPr>
          <w:p w:rsidR="000069A6" w:rsidRPr="002A03A0" w:rsidRDefault="000069A6" w:rsidP="00365D96">
            <w:pPr>
              <w:spacing w:after="0" w:line="240" w:lineRule="auto"/>
              <w:rPr>
                <w:rFonts w:asciiTheme="minorHAnsi" w:hAnsiTheme="minorHAnsi"/>
                <w:b/>
                <w:sz w:val="20"/>
                <w:szCs w:val="20"/>
              </w:rPr>
            </w:pPr>
            <w:r w:rsidRPr="002A03A0">
              <w:rPr>
                <w:rFonts w:asciiTheme="minorHAnsi" w:hAnsiTheme="minorHAnsi"/>
                <w:b/>
                <w:sz w:val="20"/>
                <w:szCs w:val="20"/>
              </w:rPr>
              <w:t>Commercially Available Strengths</w:t>
            </w:r>
          </w:p>
        </w:tc>
        <w:tc>
          <w:tcPr>
            <w:tcW w:w="1440" w:type="dxa"/>
            <w:vAlign w:val="center"/>
          </w:tcPr>
          <w:p w:rsidR="000069A6" w:rsidRPr="002A03A0" w:rsidRDefault="008E0C99" w:rsidP="00365D96">
            <w:pPr>
              <w:spacing w:after="0" w:line="240" w:lineRule="auto"/>
              <w:rPr>
                <w:rFonts w:asciiTheme="minorHAnsi" w:hAnsiTheme="minorHAnsi"/>
                <w:b/>
                <w:sz w:val="20"/>
                <w:szCs w:val="20"/>
              </w:rPr>
            </w:pPr>
            <w:r>
              <w:rPr>
                <w:rFonts w:asciiTheme="minorHAnsi" w:hAnsiTheme="minorHAnsi"/>
                <w:b/>
                <w:sz w:val="20"/>
                <w:szCs w:val="20"/>
              </w:rPr>
              <w:t>Dosing Frequency</w:t>
            </w:r>
          </w:p>
        </w:tc>
        <w:tc>
          <w:tcPr>
            <w:tcW w:w="1185" w:type="dxa"/>
            <w:vAlign w:val="center"/>
          </w:tcPr>
          <w:p w:rsidR="000069A6" w:rsidRPr="002A03A0" w:rsidRDefault="000069A6" w:rsidP="00365D96">
            <w:pPr>
              <w:spacing w:after="0" w:line="240" w:lineRule="auto"/>
              <w:rPr>
                <w:rFonts w:asciiTheme="minorHAnsi" w:hAnsiTheme="minorHAnsi"/>
                <w:b/>
                <w:sz w:val="20"/>
                <w:szCs w:val="20"/>
              </w:rPr>
            </w:pPr>
            <w:r w:rsidRPr="002A03A0">
              <w:rPr>
                <w:rFonts w:asciiTheme="minorHAnsi" w:hAnsiTheme="minorHAnsi"/>
                <w:b/>
                <w:sz w:val="20"/>
                <w:szCs w:val="20"/>
              </w:rPr>
              <w:t>ADP Efficacy Category</w:t>
            </w:r>
            <w:r w:rsidRPr="002A03A0">
              <w:rPr>
                <w:rStyle w:val="EndnoteReference"/>
                <w:rFonts w:asciiTheme="minorHAnsi" w:hAnsiTheme="minorHAnsi"/>
                <w:b/>
                <w:sz w:val="20"/>
                <w:szCs w:val="20"/>
              </w:rPr>
              <w:endnoteReference w:id="56"/>
            </w:r>
          </w:p>
        </w:tc>
      </w:tr>
      <w:tr w:rsidR="000069A6" w:rsidRPr="002A03A0" w:rsidTr="00C218B9">
        <w:trPr>
          <w:cantSplit/>
          <w:trHeight w:hRule="exact" w:val="838"/>
          <w:jc w:val="center"/>
        </w:trPr>
        <w:tc>
          <w:tcPr>
            <w:tcW w:w="2715"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Kadian® (morphine ER capsules)</w:t>
            </w:r>
          </w:p>
        </w:tc>
        <w:tc>
          <w:tcPr>
            <w:tcW w:w="2250" w:type="dxa"/>
            <w:vMerge w:val="restart"/>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b/>
                <w:sz w:val="20"/>
                <w:szCs w:val="20"/>
              </w:rPr>
              <w:t>Embeda</w:t>
            </w:r>
            <w:r w:rsidRPr="002A03A0">
              <w:rPr>
                <w:rFonts w:asciiTheme="minorHAnsi" w:hAnsiTheme="minorHAnsi"/>
                <w:sz w:val="20"/>
                <w:szCs w:val="20"/>
              </w:rPr>
              <w:t>® (morphine sulfate extended-release/ naltrexone capsule)</w:t>
            </w: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20 mg/0.8 mg</w:t>
            </w:r>
          </w:p>
        </w:tc>
        <w:tc>
          <w:tcPr>
            <w:tcW w:w="1440" w:type="dxa"/>
            <w:vMerge w:val="restart"/>
            <w:vAlign w:val="center"/>
          </w:tcPr>
          <w:p w:rsidR="000069A6" w:rsidRPr="002A03A0" w:rsidRDefault="008E0C99" w:rsidP="00365D96">
            <w:pPr>
              <w:spacing w:after="0" w:line="240" w:lineRule="auto"/>
              <w:rPr>
                <w:rFonts w:asciiTheme="minorHAnsi" w:hAnsiTheme="minorHAnsi"/>
                <w:sz w:val="20"/>
                <w:szCs w:val="20"/>
              </w:rPr>
            </w:pPr>
            <w:r>
              <w:rPr>
                <w:rFonts w:asciiTheme="minorHAnsi" w:hAnsiTheme="minorHAnsi"/>
                <w:sz w:val="20"/>
                <w:szCs w:val="20"/>
              </w:rPr>
              <w:t>Every 24 hours or every 12 hours</w:t>
            </w:r>
          </w:p>
        </w:tc>
        <w:tc>
          <w:tcPr>
            <w:tcW w:w="1185" w:type="dxa"/>
            <w:vMerge w:val="restart"/>
            <w:vAlign w:val="center"/>
          </w:tcPr>
          <w:p w:rsidR="000069A6" w:rsidRPr="002A03A0" w:rsidRDefault="000069A6" w:rsidP="000069A6">
            <w:pPr>
              <w:spacing w:after="0" w:line="240" w:lineRule="auto"/>
              <w:rPr>
                <w:rFonts w:asciiTheme="minorHAnsi" w:hAnsiTheme="minorHAnsi"/>
                <w:sz w:val="20"/>
                <w:szCs w:val="20"/>
              </w:rPr>
            </w:pPr>
            <w:r w:rsidRPr="002A03A0">
              <w:rPr>
                <w:rFonts w:asciiTheme="minorHAnsi" w:hAnsiTheme="minorHAnsi"/>
                <w:sz w:val="20"/>
                <w:szCs w:val="20"/>
              </w:rPr>
              <w:t>Category II</w:t>
            </w:r>
          </w:p>
        </w:tc>
      </w:tr>
      <w:tr w:rsidR="000069A6" w:rsidRPr="002A03A0" w:rsidTr="00C218B9">
        <w:trPr>
          <w:cantSplit/>
          <w:trHeight w:hRule="exact" w:val="1072"/>
          <w:jc w:val="center"/>
        </w:trPr>
        <w:tc>
          <w:tcPr>
            <w:tcW w:w="2715"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Morphine ER 12 or 24 hour capsules (generic Kadian®)</w:t>
            </w: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30 mg/1.2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r w:rsidR="000069A6" w:rsidRPr="002A03A0" w:rsidTr="00C218B9">
        <w:trPr>
          <w:cantSplit/>
          <w:trHeight w:hRule="exact" w:val="820"/>
          <w:jc w:val="center"/>
        </w:trPr>
        <w:tc>
          <w:tcPr>
            <w:tcW w:w="2715"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Morphine ER 24 hour capsules (generic Avinza®)</w:t>
            </w: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50 mg/2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r w:rsidR="000069A6" w:rsidRPr="002A03A0" w:rsidTr="00C218B9">
        <w:trPr>
          <w:cantSplit/>
          <w:trHeight w:hRule="exact" w:val="892"/>
          <w:jc w:val="center"/>
        </w:trPr>
        <w:tc>
          <w:tcPr>
            <w:tcW w:w="2715"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Morphine ER tablet (generic MS Contin®)</w:t>
            </w: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60 mg/2.4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r w:rsidR="000069A6" w:rsidRPr="002A03A0" w:rsidTr="00C218B9">
        <w:trPr>
          <w:cantSplit/>
          <w:trHeight w:hRule="exact" w:val="802"/>
          <w:jc w:val="center"/>
        </w:trPr>
        <w:tc>
          <w:tcPr>
            <w:tcW w:w="2715"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MS Contin (morphine ER tablet)</w:t>
            </w: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80 mg/3.2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r w:rsidR="000069A6" w:rsidRPr="002A03A0" w:rsidTr="00C218B9">
        <w:trPr>
          <w:cantSplit/>
          <w:trHeight w:hRule="exact" w:val="288"/>
          <w:jc w:val="center"/>
        </w:trPr>
        <w:tc>
          <w:tcPr>
            <w:tcW w:w="2715" w:type="dxa"/>
            <w:vMerge w:val="restart"/>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Zohydro ER (hydrocodone ER capsule)</w:t>
            </w:r>
          </w:p>
        </w:tc>
        <w:tc>
          <w:tcPr>
            <w:tcW w:w="2250" w:type="dxa"/>
            <w:vMerge w:val="restart"/>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b/>
                <w:sz w:val="20"/>
                <w:szCs w:val="20"/>
              </w:rPr>
              <w:t>Hysingla ER</w:t>
            </w:r>
            <w:r w:rsidR="008E0C99" w:rsidRPr="002A03A0">
              <w:rPr>
                <w:rFonts w:asciiTheme="minorHAnsi" w:hAnsiTheme="minorHAnsi"/>
                <w:sz w:val="20"/>
                <w:szCs w:val="20"/>
              </w:rPr>
              <w:t>®</w:t>
            </w:r>
            <w:r w:rsidRPr="002A03A0">
              <w:rPr>
                <w:rFonts w:asciiTheme="minorHAnsi" w:hAnsiTheme="minorHAnsi"/>
                <w:sz w:val="20"/>
                <w:szCs w:val="20"/>
              </w:rPr>
              <w:t xml:space="preserve"> (hydrocodone extended-release tablet)</w:t>
            </w: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20 mg</w:t>
            </w:r>
          </w:p>
        </w:tc>
        <w:tc>
          <w:tcPr>
            <w:tcW w:w="1440" w:type="dxa"/>
            <w:vMerge w:val="restart"/>
            <w:vAlign w:val="center"/>
          </w:tcPr>
          <w:p w:rsidR="000069A6" w:rsidRPr="002A03A0" w:rsidRDefault="008E0C99" w:rsidP="004B49CA">
            <w:pPr>
              <w:spacing w:after="0" w:line="240" w:lineRule="auto"/>
              <w:rPr>
                <w:rFonts w:asciiTheme="minorHAnsi" w:hAnsiTheme="minorHAnsi"/>
                <w:sz w:val="20"/>
                <w:szCs w:val="20"/>
              </w:rPr>
            </w:pPr>
            <w:r>
              <w:rPr>
                <w:rFonts w:asciiTheme="minorHAnsi" w:hAnsiTheme="minorHAnsi"/>
                <w:sz w:val="20"/>
                <w:szCs w:val="20"/>
              </w:rPr>
              <w:t xml:space="preserve">Every </w:t>
            </w:r>
            <w:r w:rsidR="004B49CA">
              <w:rPr>
                <w:rFonts w:asciiTheme="minorHAnsi" w:hAnsiTheme="minorHAnsi"/>
                <w:sz w:val="20"/>
                <w:szCs w:val="20"/>
              </w:rPr>
              <w:t>24</w:t>
            </w:r>
            <w:r>
              <w:rPr>
                <w:rFonts w:asciiTheme="minorHAnsi" w:hAnsiTheme="minorHAnsi"/>
                <w:sz w:val="20"/>
                <w:szCs w:val="20"/>
              </w:rPr>
              <w:t xml:space="preserve"> hours</w:t>
            </w:r>
          </w:p>
        </w:tc>
        <w:tc>
          <w:tcPr>
            <w:tcW w:w="1185" w:type="dxa"/>
            <w:vMerge w:val="restart"/>
            <w:vAlign w:val="center"/>
          </w:tcPr>
          <w:p w:rsidR="000069A6" w:rsidRPr="002A03A0" w:rsidRDefault="000069A6" w:rsidP="000069A6">
            <w:pPr>
              <w:spacing w:after="0" w:line="240" w:lineRule="auto"/>
              <w:rPr>
                <w:rFonts w:asciiTheme="minorHAnsi" w:hAnsiTheme="minorHAnsi"/>
                <w:sz w:val="20"/>
                <w:szCs w:val="20"/>
              </w:rPr>
            </w:pPr>
            <w:r w:rsidRPr="002A03A0">
              <w:rPr>
                <w:rFonts w:asciiTheme="minorHAnsi" w:hAnsiTheme="minorHAnsi"/>
                <w:sz w:val="20"/>
                <w:szCs w:val="20"/>
              </w:rPr>
              <w:t>Category II</w:t>
            </w:r>
          </w:p>
        </w:tc>
      </w:tr>
      <w:tr w:rsidR="000069A6" w:rsidRPr="002A03A0" w:rsidTr="00C218B9">
        <w:trPr>
          <w:cantSplit/>
          <w:trHeight w:hRule="exact" w:val="288"/>
          <w:jc w:val="center"/>
        </w:trPr>
        <w:tc>
          <w:tcPr>
            <w:tcW w:w="2715" w:type="dxa"/>
            <w:vMerge/>
            <w:vAlign w:val="center"/>
          </w:tcPr>
          <w:p w:rsidR="000069A6" w:rsidRPr="002A03A0" w:rsidRDefault="000069A6" w:rsidP="00365D96">
            <w:pPr>
              <w:spacing w:after="0" w:line="240" w:lineRule="auto"/>
              <w:rPr>
                <w:rFonts w:asciiTheme="minorHAnsi" w:hAnsiTheme="minorHAnsi"/>
                <w:sz w:val="20"/>
                <w:szCs w:val="20"/>
              </w:rPr>
            </w:pP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30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r w:rsidR="000069A6" w:rsidRPr="002A03A0" w:rsidTr="00C218B9">
        <w:trPr>
          <w:cantSplit/>
          <w:trHeight w:hRule="exact" w:val="288"/>
          <w:jc w:val="center"/>
        </w:trPr>
        <w:tc>
          <w:tcPr>
            <w:tcW w:w="2715" w:type="dxa"/>
            <w:vMerge/>
            <w:vAlign w:val="center"/>
          </w:tcPr>
          <w:p w:rsidR="000069A6" w:rsidRPr="002A03A0" w:rsidRDefault="000069A6" w:rsidP="00365D96">
            <w:pPr>
              <w:spacing w:after="0" w:line="240" w:lineRule="auto"/>
              <w:rPr>
                <w:rFonts w:asciiTheme="minorHAnsi" w:hAnsiTheme="minorHAnsi"/>
                <w:sz w:val="20"/>
                <w:szCs w:val="20"/>
              </w:rPr>
            </w:pP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40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r w:rsidR="000069A6" w:rsidRPr="002A03A0" w:rsidTr="00C218B9">
        <w:trPr>
          <w:cantSplit/>
          <w:trHeight w:hRule="exact" w:val="288"/>
          <w:jc w:val="center"/>
        </w:trPr>
        <w:tc>
          <w:tcPr>
            <w:tcW w:w="2715" w:type="dxa"/>
            <w:vMerge/>
            <w:vAlign w:val="center"/>
          </w:tcPr>
          <w:p w:rsidR="000069A6" w:rsidRPr="002A03A0" w:rsidRDefault="000069A6" w:rsidP="00365D96">
            <w:pPr>
              <w:spacing w:after="0" w:line="240" w:lineRule="auto"/>
              <w:rPr>
                <w:rFonts w:asciiTheme="minorHAnsi" w:hAnsiTheme="minorHAnsi"/>
                <w:sz w:val="20"/>
                <w:szCs w:val="20"/>
              </w:rPr>
            </w:pP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60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r w:rsidR="000069A6" w:rsidRPr="002A03A0" w:rsidTr="00C218B9">
        <w:trPr>
          <w:cantSplit/>
          <w:trHeight w:hRule="exact" w:val="288"/>
          <w:jc w:val="center"/>
        </w:trPr>
        <w:tc>
          <w:tcPr>
            <w:tcW w:w="2715" w:type="dxa"/>
            <w:vMerge/>
            <w:vAlign w:val="center"/>
          </w:tcPr>
          <w:p w:rsidR="000069A6" w:rsidRPr="002A03A0" w:rsidRDefault="000069A6" w:rsidP="00365D96">
            <w:pPr>
              <w:spacing w:after="0" w:line="240" w:lineRule="auto"/>
              <w:rPr>
                <w:rFonts w:asciiTheme="minorHAnsi" w:hAnsiTheme="minorHAnsi"/>
                <w:sz w:val="20"/>
                <w:szCs w:val="20"/>
              </w:rPr>
            </w:pP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80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r w:rsidR="000069A6" w:rsidRPr="002A03A0" w:rsidTr="00C218B9">
        <w:trPr>
          <w:cantSplit/>
          <w:trHeight w:hRule="exact" w:val="288"/>
          <w:jc w:val="center"/>
        </w:trPr>
        <w:tc>
          <w:tcPr>
            <w:tcW w:w="2715" w:type="dxa"/>
            <w:vMerge/>
            <w:vAlign w:val="center"/>
          </w:tcPr>
          <w:p w:rsidR="000069A6" w:rsidRPr="002A03A0" w:rsidRDefault="000069A6" w:rsidP="00365D96">
            <w:pPr>
              <w:spacing w:after="0" w:line="240" w:lineRule="auto"/>
              <w:rPr>
                <w:rFonts w:asciiTheme="minorHAnsi" w:hAnsiTheme="minorHAnsi"/>
                <w:sz w:val="20"/>
                <w:szCs w:val="20"/>
              </w:rPr>
            </w:pP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100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r w:rsidR="000069A6" w:rsidRPr="002A03A0" w:rsidTr="00C218B9">
        <w:trPr>
          <w:cantSplit/>
          <w:trHeight w:hRule="exact" w:val="288"/>
          <w:jc w:val="center"/>
        </w:trPr>
        <w:tc>
          <w:tcPr>
            <w:tcW w:w="2715" w:type="dxa"/>
            <w:vMerge/>
            <w:vAlign w:val="center"/>
          </w:tcPr>
          <w:p w:rsidR="000069A6" w:rsidRPr="002A03A0" w:rsidRDefault="000069A6" w:rsidP="00365D96">
            <w:pPr>
              <w:spacing w:after="0" w:line="240" w:lineRule="auto"/>
              <w:rPr>
                <w:rFonts w:asciiTheme="minorHAnsi" w:hAnsiTheme="minorHAnsi"/>
                <w:sz w:val="20"/>
                <w:szCs w:val="20"/>
              </w:rPr>
            </w:pPr>
          </w:p>
        </w:tc>
        <w:tc>
          <w:tcPr>
            <w:tcW w:w="2250" w:type="dxa"/>
            <w:vMerge/>
            <w:vAlign w:val="center"/>
          </w:tcPr>
          <w:p w:rsidR="000069A6" w:rsidRPr="002A03A0" w:rsidRDefault="000069A6" w:rsidP="00365D96">
            <w:pPr>
              <w:spacing w:after="0" w:line="240" w:lineRule="auto"/>
              <w:rPr>
                <w:rFonts w:asciiTheme="minorHAnsi" w:hAnsiTheme="minorHAnsi"/>
                <w:sz w:val="20"/>
                <w:szCs w:val="20"/>
              </w:rPr>
            </w:pPr>
          </w:p>
        </w:tc>
        <w:tc>
          <w:tcPr>
            <w:tcW w:w="1800" w:type="dxa"/>
            <w:vAlign w:val="center"/>
          </w:tcPr>
          <w:p w:rsidR="000069A6" w:rsidRPr="002A03A0" w:rsidRDefault="000069A6" w:rsidP="00365D96">
            <w:pPr>
              <w:spacing w:after="0" w:line="240" w:lineRule="auto"/>
              <w:rPr>
                <w:rFonts w:asciiTheme="minorHAnsi" w:hAnsiTheme="minorHAnsi"/>
                <w:sz w:val="20"/>
                <w:szCs w:val="20"/>
              </w:rPr>
            </w:pPr>
            <w:r w:rsidRPr="002A03A0">
              <w:rPr>
                <w:rFonts w:asciiTheme="minorHAnsi" w:hAnsiTheme="minorHAnsi"/>
                <w:sz w:val="20"/>
                <w:szCs w:val="20"/>
              </w:rPr>
              <w:t>120 mg</w:t>
            </w:r>
          </w:p>
        </w:tc>
        <w:tc>
          <w:tcPr>
            <w:tcW w:w="1440" w:type="dxa"/>
            <w:vMerge/>
            <w:vAlign w:val="center"/>
          </w:tcPr>
          <w:p w:rsidR="000069A6" w:rsidRPr="002A03A0" w:rsidRDefault="000069A6" w:rsidP="00365D96">
            <w:pPr>
              <w:spacing w:after="0" w:line="240" w:lineRule="auto"/>
              <w:rPr>
                <w:rFonts w:asciiTheme="minorHAnsi" w:hAnsiTheme="minorHAnsi"/>
                <w:sz w:val="20"/>
                <w:szCs w:val="20"/>
              </w:rPr>
            </w:pPr>
          </w:p>
        </w:tc>
        <w:tc>
          <w:tcPr>
            <w:tcW w:w="1185" w:type="dxa"/>
            <w:vMerge/>
            <w:vAlign w:val="center"/>
          </w:tcPr>
          <w:p w:rsidR="000069A6" w:rsidRPr="002A03A0" w:rsidRDefault="000069A6" w:rsidP="00365D96">
            <w:pPr>
              <w:spacing w:after="0" w:line="240" w:lineRule="auto"/>
              <w:rPr>
                <w:rFonts w:asciiTheme="minorHAnsi" w:hAnsiTheme="minorHAnsi"/>
                <w:sz w:val="20"/>
                <w:szCs w:val="20"/>
              </w:rPr>
            </w:pPr>
          </w:p>
        </w:tc>
      </w:tr>
    </w:tbl>
    <w:p w:rsidR="00C218B9" w:rsidRDefault="00C218B9">
      <w:pPr>
        <w:spacing w:after="0" w:line="240" w:lineRule="auto"/>
      </w:pPr>
    </w:p>
    <w:p w:rsidR="00C218B9" w:rsidRDefault="00C218B9">
      <w:pPr>
        <w:spacing w:after="0" w:line="240" w:lineRule="auto"/>
      </w:pPr>
      <w:r>
        <w:br w:type="page"/>
      </w:r>
    </w:p>
    <w:p w:rsidR="0023354C" w:rsidRDefault="0023354C">
      <w:pPr>
        <w:spacing w:after="0" w:line="240" w:lineRule="auto"/>
      </w:pPr>
    </w:p>
    <w:tbl>
      <w:tblPr>
        <w:tblStyle w:val="TableGrid"/>
        <w:tblW w:w="9398" w:type="dxa"/>
        <w:jc w:val="center"/>
        <w:tblInd w:w="-107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top w:w="14" w:type="dxa"/>
          <w:left w:w="58" w:type="dxa"/>
          <w:bottom w:w="14" w:type="dxa"/>
          <w:right w:w="58" w:type="dxa"/>
        </w:tblCellMar>
        <w:tblLook w:val="04A0"/>
      </w:tblPr>
      <w:tblGrid>
        <w:gridCol w:w="2719"/>
        <w:gridCol w:w="2250"/>
        <w:gridCol w:w="1800"/>
        <w:gridCol w:w="1440"/>
        <w:gridCol w:w="1189"/>
      </w:tblGrid>
      <w:tr w:rsidR="000069A6" w:rsidRPr="00B600D5" w:rsidTr="00C218B9">
        <w:trPr>
          <w:cantSplit/>
          <w:tblHeader/>
          <w:jc w:val="center"/>
        </w:trPr>
        <w:tc>
          <w:tcPr>
            <w:tcW w:w="2719" w:type="dxa"/>
            <w:vAlign w:val="center"/>
          </w:tcPr>
          <w:p w:rsidR="000069A6" w:rsidRPr="00B600D5" w:rsidRDefault="000069A6" w:rsidP="00365D96">
            <w:pPr>
              <w:spacing w:after="0" w:line="240" w:lineRule="auto"/>
              <w:rPr>
                <w:rFonts w:asciiTheme="minorHAnsi" w:hAnsiTheme="minorHAnsi"/>
                <w:b/>
                <w:sz w:val="20"/>
                <w:szCs w:val="20"/>
              </w:rPr>
            </w:pPr>
            <w:r w:rsidRPr="00B600D5">
              <w:rPr>
                <w:rFonts w:asciiTheme="minorHAnsi" w:hAnsiTheme="minorHAnsi"/>
                <w:b/>
                <w:sz w:val="20"/>
                <w:szCs w:val="20"/>
              </w:rPr>
              <w:t>HPHR Opioid</w:t>
            </w:r>
          </w:p>
        </w:tc>
        <w:tc>
          <w:tcPr>
            <w:tcW w:w="2250" w:type="dxa"/>
            <w:vAlign w:val="center"/>
          </w:tcPr>
          <w:p w:rsidR="000069A6" w:rsidRPr="00B600D5" w:rsidRDefault="000069A6" w:rsidP="00365D96">
            <w:pPr>
              <w:spacing w:after="0" w:line="240" w:lineRule="auto"/>
              <w:rPr>
                <w:rFonts w:asciiTheme="minorHAnsi" w:hAnsiTheme="minorHAnsi"/>
                <w:b/>
                <w:sz w:val="20"/>
                <w:szCs w:val="20"/>
              </w:rPr>
            </w:pPr>
            <w:r w:rsidRPr="00B600D5">
              <w:rPr>
                <w:rFonts w:asciiTheme="minorHAnsi" w:hAnsiTheme="minorHAnsi"/>
                <w:b/>
                <w:sz w:val="20"/>
                <w:szCs w:val="20"/>
              </w:rPr>
              <w:t xml:space="preserve">Interchangeable </w:t>
            </w:r>
            <w:r>
              <w:rPr>
                <w:rFonts w:asciiTheme="minorHAnsi" w:hAnsiTheme="minorHAnsi"/>
                <w:b/>
                <w:sz w:val="20"/>
                <w:szCs w:val="20"/>
              </w:rPr>
              <w:t>Abuse-deterrent</w:t>
            </w:r>
            <w:r w:rsidRPr="00B600D5">
              <w:rPr>
                <w:rFonts w:asciiTheme="minorHAnsi" w:hAnsiTheme="minorHAnsi"/>
                <w:b/>
                <w:sz w:val="20"/>
                <w:szCs w:val="20"/>
              </w:rPr>
              <w:t xml:space="preserve"> Drug Product</w:t>
            </w:r>
          </w:p>
        </w:tc>
        <w:tc>
          <w:tcPr>
            <w:tcW w:w="1800" w:type="dxa"/>
            <w:vAlign w:val="center"/>
          </w:tcPr>
          <w:p w:rsidR="000069A6" w:rsidRPr="00B600D5" w:rsidRDefault="000069A6" w:rsidP="00365D96">
            <w:pPr>
              <w:spacing w:after="0" w:line="240" w:lineRule="auto"/>
              <w:rPr>
                <w:rFonts w:asciiTheme="minorHAnsi" w:hAnsiTheme="minorHAnsi"/>
                <w:b/>
                <w:sz w:val="20"/>
                <w:szCs w:val="20"/>
              </w:rPr>
            </w:pPr>
            <w:r w:rsidRPr="00B600D5">
              <w:rPr>
                <w:rFonts w:asciiTheme="minorHAnsi" w:hAnsiTheme="minorHAnsi"/>
                <w:b/>
                <w:sz w:val="20"/>
                <w:szCs w:val="20"/>
              </w:rPr>
              <w:t>Commercially Available Strengths</w:t>
            </w:r>
          </w:p>
        </w:tc>
        <w:tc>
          <w:tcPr>
            <w:tcW w:w="1440" w:type="dxa"/>
            <w:vAlign w:val="center"/>
          </w:tcPr>
          <w:p w:rsidR="000069A6" w:rsidRPr="00B600D5" w:rsidRDefault="008E0C99" w:rsidP="008E0C99">
            <w:pPr>
              <w:spacing w:after="0" w:line="240" w:lineRule="auto"/>
              <w:rPr>
                <w:rFonts w:asciiTheme="minorHAnsi" w:hAnsiTheme="minorHAnsi"/>
                <w:b/>
                <w:sz w:val="20"/>
                <w:szCs w:val="20"/>
              </w:rPr>
            </w:pPr>
            <w:r>
              <w:rPr>
                <w:rFonts w:asciiTheme="minorHAnsi" w:hAnsiTheme="minorHAnsi"/>
                <w:b/>
                <w:sz w:val="20"/>
                <w:szCs w:val="20"/>
              </w:rPr>
              <w:t>Dosing Frequency</w:t>
            </w:r>
          </w:p>
        </w:tc>
        <w:tc>
          <w:tcPr>
            <w:tcW w:w="1189" w:type="dxa"/>
            <w:vAlign w:val="center"/>
          </w:tcPr>
          <w:p w:rsidR="000069A6" w:rsidRPr="00B600D5" w:rsidRDefault="000069A6" w:rsidP="00365D96">
            <w:pPr>
              <w:spacing w:after="0" w:line="240" w:lineRule="auto"/>
              <w:rPr>
                <w:rFonts w:asciiTheme="minorHAnsi" w:hAnsiTheme="minorHAnsi"/>
                <w:b/>
                <w:sz w:val="20"/>
                <w:szCs w:val="20"/>
              </w:rPr>
            </w:pPr>
            <w:r w:rsidRPr="00B600D5">
              <w:rPr>
                <w:rFonts w:asciiTheme="minorHAnsi" w:hAnsiTheme="minorHAnsi"/>
                <w:b/>
                <w:sz w:val="20"/>
                <w:szCs w:val="20"/>
              </w:rPr>
              <w:t>ADP Efficacy Category</w:t>
            </w:r>
            <w:r w:rsidR="004B49CA" w:rsidRPr="004B49CA">
              <w:rPr>
                <w:rFonts w:asciiTheme="minorHAnsi" w:hAnsiTheme="minorHAnsi"/>
                <w:b/>
                <w:sz w:val="20"/>
                <w:szCs w:val="20"/>
                <w:vertAlign w:val="superscript"/>
              </w:rPr>
              <w:t>43</w:t>
            </w:r>
          </w:p>
        </w:tc>
      </w:tr>
      <w:tr w:rsidR="000069A6" w:rsidRPr="00B600D5" w:rsidTr="00C218B9">
        <w:trPr>
          <w:cantSplit/>
          <w:trHeight w:hRule="exact" w:val="288"/>
          <w:jc w:val="center"/>
        </w:trPr>
        <w:tc>
          <w:tcPr>
            <w:tcW w:w="2719" w:type="dxa"/>
            <w:vMerge w:val="restart"/>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No equivalent HPHR opioid identified</w:t>
            </w:r>
          </w:p>
        </w:tc>
        <w:tc>
          <w:tcPr>
            <w:tcW w:w="2250" w:type="dxa"/>
            <w:vMerge w:val="restart"/>
            <w:vAlign w:val="center"/>
          </w:tcPr>
          <w:p w:rsidR="000069A6" w:rsidRPr="00B600D5" w:rsidRDefault="000069A6" w:rsidP="00365D96">
            <w:pPr>
              <w:spacing w:after="0" w:line="240" w:lineRule="auto"/>
              <w:rPr>
                <w:rFonts w:asciiTheme="minorHAnsi" w:hAnsiTheme="minorHAnsi"/>
                <w:sz w:val="20"/>
                <w:szCs w:val="20"/>
              </w:rPr>
            </w:pPr>
            <w:r w:rsidRPr="007A5D52">
              <w:rPr>
                <w:rFonts w:asciiTheme="minorHAnsi" w:hAnsiTheme="minorHAnsi"/>
                <w:b/>
                <w:sz w:val="20"/>
                <w:szCs w:val="20"/>
              </w:rPr>
              <w:t>Nucynta ER</w:t>
            </w:r>
            <w:r w:rsidR="008E0C99" w:rsidRPr="002A03A0">
              <w:rPr>
                <w:rFonts w:asciiTheme="minorHAnsi" w:hAnsiTheme="minorHAnsi"/>
                <w:sz w:val="20"/>
                <w:szCs w:val="20"/>
              </w:rPr>
              <w:t>®</w:t>
            </w:r>
            <w:r w:rsidRPr="00B600D5">
              <w:rPr>
                <w:rFonts w:asciiTheme="minorHAnsi" w:hAnsiTheme="minorHAnsi"/>
                <w:sz w:val="20"/>
                <w:szCs w:val="20"/>
              </w:rPr>
              <w:t xml:space="preserve"> (tapentadol extended release tablet)</w:t>
            </w: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50 mg</w:t>
            </w:r>
          </w:p>
        </w:tc>
        <w:tc>
          <w:tcPr>
            <w:tcW w:w="1440" w:type="dxa"/>
            <w:vMerge w:val="restart"/>
            <w:vAlign w:val="center"/>
          </w:tcPr>
          <w:p w:rsidR="000069A6" w:rsidRPr="00B600D5" w:rsidRDefault="008E0C99" w:rsidP="00365D96">
            <w:pPr>
              <w:spacing w:after="0" w:line="240" w:lineRule="auto"/>
              <w:rPr>
                <w:rFonts w:asciiTheme="minorHAnsi" w:hAnsiTheme="minorHAnsi"/>
                <w:sz w:val="20"/>
                <w:szCs w:val="20"/>
              </w:rPr>
            </w:pPr>
            <w:r>
              <w:rPr>
                <w:rFonts w:asciiTheme="minorHAnsi" w:hAnsiTheme="minorHAnsi"/>
                <w:sz w:val="20"/>
                <w:szCs w:val="20"/>
              </w:rPr>
              <w:t>Every 12 hours</w:t>
            </w:r>
          </w:p>
        </w:tc>
        <w:tc>
          <w:tcPr>
            <w:tcW w:w="1189" w:type="dxa"/>
            <w:vMerge w:val="restart"/>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Category II</w:t>
            </w: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100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150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200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250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val="481"/>
          <w:jc w:val="center"/>
        </w:trPr>
        <w:tc>
          <w:tcPr>
            <w:tcW w:w="2719" w:type="dxa"/>
            <w:vMerge w:val="restart"/>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No equivalent HPHR opioid identified</w:t>
            </w:r>
          </w:p>
        </w:tc>
        <w:tc>
          <w:tcPr>
            <w:tcW w:w="2250" w:type="dxa"/>
            <w:vMerge w:val="restart"/>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b/>
                <w:sz w:val="20"/>
                <w:szCs w:val="20"/>
              </w:rPr>
              <w:t>Oxaydo</w:t>
            </w:r>
            <w:r w:rsidR="008E0C99" w:rsidRPr="002A03A0">
              <w:rPr>
                <w:rFonts w:asciiTheme="minorHAnsi" w:hAnsiTheme="minorHAnsi"/>
                <w:sz w:val="20"/>
                <w:szCs w:val="20"/>
              </w:rPr>
              <w:t>®</w:t>
            </w:r>
            <w:r w:rsidRPr="00B600D5">
              <w:rPr>
                <w:rFonts w:asciiTheme="minorHAnsi" w:hAnsiTheme="minorHAnsi"/>
                <w:sz w:val="20"/>
                <w:szCs w:val="20"/>
              </w:rPr>
              <w:t xml:space="preserve"> (oxycodone immediate-release tablet)</w:t>
            </w: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5 mg</w:t>
            </w:r>
          </w:p>
        </w:tc>
        <w:tc>
          <w:tcPr>
            <w:tcW w:w="1440" w:type="dxa"/>
            <w:vMerge w:val="restart"/>
            <w:vAlign w:val="center"/>
          </w:tcPr>
          <w:p w:rsidR="000069A6" w:rsidRPr="00B600D5" w:rsidRDefault="008E0C99" w:rsidP="00365D96">
            <w:pPr>
              <w:spacing w:after="0" w:line="240" w:lineRule="auto"/>
              <w:rPr>
                <w:rFonts w:asciiTheme="minorHAnsi" w:hAnsiTheme="minorHAnsi"/>
                <w:sz w:val="20"/>
                <w:szCs w:val="20"/>
              </w:rPr>
            </w:pPr>
            <w:r>
              <w:rPr>
                <w:rFonts w:asciiTheme="minorHAnsi" w:hAnsiTheme="minorHAnsi"/>
                <w:sz w:val="20"/>
                <w:szCs w:val="20"/>
              </w:rPr>
              <w:t>Every 4-6 hours</w:t>
            </w:r>
          </w:p>
        </w:tc>
        <w:tc>
          <w:tcPr>
            <w:tcW w:w="1189" w:type="dxa"/>
            <w:vMerge w:val="restart"/>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Category III</w:t>
            </w:r>
          </w:p>
        </w:tc>
      </w:tr>
      <w:tr w:rsidR="000069A6" w:rsidRPr="00B600D5" w:rsidTr="00C218B9">
        <w:trPr>
          <w:cantSplit/>
          <w:trHeight w:val="481"/>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7.5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restart"/>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No equivalent HPHR opioid identified</w:t>
            </w:r>
          </w:p>
        </w:tc>
        <w:tc>
          <w:tcPr>
            <w:tcW w:w="2250" w:type="dxa"/>
            <w:vMerge w:val="restart"/>
            <w:vAlign w:val="center"/>
          </w:tcPr>
          <w:p w:rsidR="000069A6" w:rsidRPr="00B600D5" w:rsidRDefault="000069A6" w:rsidP="00365D96">
            <w:pPr>
              <w:spacing w:after="0" w:line="240" w:lineRule="auto"/>
              <w:rPr>
                <w:rFonts w:asciiTheme="minorHAnsi" w:hAnsiTheme="minorHAnsi"/>
                <w:sz w:val="20"/>
                <w:szCs w:val="20"/>
              </w:rPr>
            </w:pPr>
            <w:r w:rsidRPr="007A5D52">
              <w:rPr>
                <w:rFonts w:asciiTheme="minorHAnsi" w:hAnsiTheme="minorHAnsi"/>
                <w:b/>
                <w:sz w:val="20"/>
                <w:szCs w:val="20"/>
              </w:rPr>
              <w:t>Oxycodone</w:t>
            </w:r>
            <w:r w:rsidRPr="00B600D5">
              <w:rPr>
                <w:rFonts w:asciiTheme="minorHAnsi" w:hAnsiTheme="minorHAnsi"/>
                <w:sz w:val="20"/>
                <w:szCs w:val="20"/>
              </w:rPr>
              <w:t xml:space="preserve"> extended release tablet</w:t>
            </w: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10 mg</w:t>
            </w:r>
          </w:p>
        </w:tc>
        <w:tc>
          <w:tcPr>
            <w:tcW w:w="1440" w:type="dxa"/>
            <w:vMerge w:val="restart"/>
            <w:vAlign w:val="center"/>
          </w:tcPr>
          <w:p w:rsidR="000069A6" w:rsidRPr="00B600D5" w:rsidRDefault="008E0C99" w:rsidP="00365D96">
            <w:pPr>
              <w:spacing w:after="0" w:line="240" w:lineRule="auto"/>
              <w:rPr>
                <w:rFonts w:asciiTheme="minorHAnsi" w:hAnsiTheme="minorHAnsi"/>
                <w:sz w:val="20"/>
                <w:szCs w:val="20"/>
              </w:rPr>
            </w:pPr>
            <w:r>
              <w:rPr>
                <w:rFonts w:asciiTheme="minorHAnsi" w:hAnsiTheme="minorHAnsi"/>
                <w:sz w:val="20"/>
                <w:szCs w:val="20"/>
              </w:rPr>
              <w:t>Every 12 hours or every 8 hours</w:t>
            </w:r>
          </w:p>
        </w:tc>
        <w:tc>
          <w:tcPr>
            <w:tcW w:w="1189" w:type="dxa"/>
            <w:vMerge w:val="restart"/>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Category II</w:t>
            </w: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15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20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30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40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60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Pr="00B600D5" w:rsidRDefault="000069A6" w:rsidP="00365D96">
            <w:pPr>
              <w:spacing w:after="0" w:line="240" w:lineRule="auto"/>
              <w:rPr>
                <w:rFonts w:asciiTheme="minorHAnsi" w:hAnsiTheme="minorHAnsi"/>
                <w:sz w:val="20"/>
                <w:szCs w:val="20"/>
              </w:rPr>
            </w:pPr>
          </w:p>
        </w:tc>
        <w:tc>
          <w:tcPr>
            <w:tcW w:w="2250" w:type="dxa"/>
            <w:vMerge/>
            <w:vAlign w:val="center"/>
          </w:tcPr>
          <w:p w:rsidR="000069A6" w:rsidRPr="00B600D5" w:rsidRDefault="000069A6" w:rsidP="00365D96">
            <w:pPr>
              <w:spacing w:after="0" w:line="240" w:lineRule="auto"/>
              <w:rPr>
                <w:rFonts w:asciiTheme="minorHAnsi" w:hAnsiTheme="minorHAnsi"/>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sidRPr="00B600D5">
              <w:rPr>
                <w:rFonts w:asciiTheme="minorHAnsi" w:hAnsiTheme="minorHAnsi"/>
                <w:sz w:val="20"/>
                <w:szCs w:val="20"/>
              </w:rPr>
              <w:t>80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val="288"/>
          <w:jc w:val="center"/>
        </w:trPr>
        <w:tc>
          <w:tcPr>
            <w:tcW w:w="2719" w:type="dxa"/>
            <w:vMerge w:val="restart"/>
            <w:vAlign w:val="center"/>
          </w:tcPr>
          <w:p w:rsidR="000069A6" w:rsidRPr="00B600D5" w:rsidRDefault="000069A6" w:rsidP="00CF1F13">
            <w:pPr>
              <w:spacing w:after="0" w:line="240" w:lineRule="auto"/>
              <w:rPr>
                <w:rFonts w:asciiTheme="minorHAnsi" w:hAnsiTheme="minorHAnsi"/>
                <w:sz w:val="20"/>
                <w:szCs w:val="20"/>
              </w:rPr>
            </w:pPr>
            <w:r>
              <w:rPr>
                <w:rFonts w:asciiTheme="minorHAnsi" w:hAnsiTheme="minorHAnsi"/>
                <w:sz w:val="20"/>
                <w:szCs w:val="20"/>
              </w:rPr>
              <w:t xml:space="preserve">No equivalent </w:t>
            </w:r>
            <w:r w:rsidRPr="00B600D5">
              <w:rPr>
                <w:rFonts w:asciiTheme="minorHAnsi" w:hAnsiTheme="minorHAnsi"/>
                <w:sz w:val="20"/>
                <w:szCs w:val="20"/>
              </w:rPr>
              <w:t>HPHR opioid identified</w:t>
            </w:r>
          </w:p>
        </w:tc>
        <w:tc>
          <w:tcPr>
            <w:tcW w:w="2250" w:type="dxa"/>
            <w:vMerge w:val="restart"/>
            <w:vAlign w:val="center"/>
          </w:tcPr>
          <w:p w:rsidR="000069A6" w:rsidRPr="00B600D5" w:rsidRDefault="000069A6" w:rsidP="00CF1F13">
            <w:pPr>
              <w:spacing w:after="0" w:line="240" w:lineRule="auto"/>
              <w:rPr>
                <w:rFonts w:asciiTheme="minorHAnsi" w:hAnsiTheme="minorHAnsi"/>
                <w:sz w:val="20"/>
                <w:szCs w:val="20"/>
              </w:rPr>
            </w:pPr>
            <w:r w:rsidRPr="003368F5">
              <w:rPr>
                <w:rFonts w:asciiTheme="minorHAnsi" w:hAnsiTheme="minorHAnsi"/>
                <w:b/>
                <w:sz w:val="20"/>
                <w:szCs w:val="20"/>
              </w:rPr>
              <w:t>Oxycontin</w:t>
            </w:r>
            <w:r w:rsidR="008E0C99" w:rsidRPr="002A03A0">
              <w:rPr>
                <w:rFonts w:asciiTheme="minorHAnsi" w:hAnsiTheme="minorHAnsi"/>
                <w:sz w:val="20"/>
                <w:szCs w:val="20"/>
              </w:rPr>
              <w:t>®</w:t>
            </w:r>
            <w:r w:rsidRPr="000B5A1C">
              <w:rPr>
                <w:rFonts w:asciiTheme="minorHAnsi" w:hAnsiTheme="minorHAnsi"/>
                <w:sz w:val="20"/>
                <w:szCs w:val="20"/>
              </w:rPr>
              <w:t xml:space="preserve"> </w:t>
            </w:r>
            <w:r w:rsidRPr="00B600D5">
              <w:rPr>
                <w:rFonts w:asciiTheme="minorHAnsi" w:hAnsiTheme="minorHAnsi"/>
                <w:sz w:val="20"/>
                <w:szCs w:val="20"/>
              </w:rPr>
              <w:t>(oxycodone extended-release tablet)</w:t>
            </w:r>
          </w:p>
        </w:tc>
        <w:tc>
          <w:tcPr>
            <w:tcW w:w="1800" w:type="dxa"/>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10 mg</w:t>
            </w:r>
          </w:p>
        </w:tc>
        <w:tc>
          <w:tcPr>
            <w:tcW w:w="1440" w:type="dxa"/>
            <w:vMerge w:val="restart"/>
            <w:vAlign w:val="center"/>
          </w:tcPr>
          <w:p w:rsidR="000069A6" w:rsidRPr="00B600D5" w:rsidRDefault="008E0C99" w:rsidP="00CF1F13">
            <w:pPr>
              <w:spacing w:after="0" w:line="240" w:lineRule="auto"/>
              <w:rPr>
                <w:rFonts w:asciiTheme="minorHAnsi" w:hAnsiTheme="minorHAnsi"/>
                <w:sz w:val="20"/>
                <w:szCs w:val="20"/>
              </w:rPr>
            </w:pPr>
            <w:r>
              <w:rPr>
                <w:rFonts w:asciiTheme="minorHAnsi" w:hAnsiTheme="minorHAnsi"/>
                <w:sz w:val="20"/>
                <w:szCs w:val="20"/>
              </w:rPr>
              <w:t>Every 12 hours or every 8 hours</w:t>
            </w:r>
          </w:p>
        </w:tc>
        <w:tc>
          <w:tcPr>
            <w:tcW w:w="1189" w:type="dxa"/>
            <w:vMerge w:val="restart"/>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Category II</w:t>
            </w:r>
          </w:p>
        </w:tc>
      </w:tr>
      <w:tr w:rsidR="000069A6" w:rsidRPr="00B600D5" w:rsidTr="00C218B9">
        <w:trPr>
          <w:cantSplit/>
          <w:trHeight w:val="288"/>
          <w:jc w:val="center"/>
        </w:trPr>
        <w:tc>
          <w:tcPr>
            <w:tcW w:w="2719" w:type="dxa"/>
            <w:vMerge/>
            <w:vAlign w:val="center"/>
          </w:tcPr>
          <w:p w:rsidR="000069A6" w:rsidRDefault="000069A6" w:rsidP="00CF1F13">
            <w:pPr>
              <w:spacing w:after="0" w:line="240" w:lineRule="auto"/>
              <w:rPr>
                <w:rFonts w:asciiTheme="minorHAnsi" w:hAnsiTheme="minorHAnsi"/>
                <w:sz w:val="20"/>
                <w:szCs w:val="20"/>
              </w:rPr>
            </w:pPr>
          </w:p>
        </w:tc>
        <w:tc>
          <w:tcPr>
            <w:tcW w:w="2250" w:type="dxa"/>
            <w:vMerge/>
            <w:vAlign w:val="center"/>
          </w:tcPr>
          <w:p w:rsidR="000069A6" w:rsidRPr="003368F5" w:rsidRDefault="000069A6" w:rsidP="00CF1F13">
            <w:pPr>
              <w:spacing w:after="0" w:line="240" w:lineRule="auto"/>
              <w:rPr>
                <w:rFonts w:asciiTheme="minorHAnsi" w:hAnsiTheme="minorHAnsi"/>
                <w:b/>
                <w:sz w:val="20"/>
                <w:szCs w:val="20"/>
              </w:rPr>
            </w:pPr>
          </w:p>
        </w:tc>
        <w:tc>
          <w:tcPr>
            <w:tcW w:w="1800" w:type="dxa"/>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15 mg</w:t>
            </w:r>
          </w:p>
        </w:tc>
        <w:tc>
          <w:tcPr>
            <w:tcW w:w="1440" w:type="dxa"/>
            <w:vMerge/>
            <w:vAlign w:val="center"/>
          </w:tcPr>
          <w:p w:rsidR="000069A6" w:rsidRPr="00B600D5" w:rsidRDefault="000069A6" w:rsidP="00CF1F13">
            <w:pPr>
              <w:spacing w:after="0" w:line="240" w:lineRule="auto"/>
              <w:rPr>
                <w:rFonts w:asciiTheme="minorHAnsi" w:hAnsiTheme="minorHAnsi"/>
                <w:sz w:val="20"/>
                <w:szCs w:val="20"/>
              </w:rPr>
            </w:pPr>
          </w:p>
        </w:tc>
        <w:tc>
          <w:tcPr>
            <w:tcW w:w="1189" w:type="dxa"/>
            <w:vMerge/>
            <w:vAlign w:val="center"/>
          </w:tcPr>
          <w:p w:rsidR="000069A6" w:rsidRPr="00B600D5" w:rsidRDefault="000069A6" w:rsidP="00CF1F13">
            <w:pPr>
              <w:spacing w:after="0" w:line="240" w:lineRule="auto"/>
              <w:rPr>
                <w:rFonts w:asciiTheme="minorHAnsi" w:hAnsiTheme="minorHAnsi"/>
                <w:sz w:val="20"/>
                <w:szCs w:val="20"/>
              </w:rPr>
            </w:pPr>
          </w:p>
        </w:tc>
      </w:tr>
      <w:tr w:rsidR="000069A6" w:rsidRPr="00B600D5" w:rsidTr="00C218B9">
        <w:trPr>
          <w:cantSplit/>
          <w:trHeight w:val="288"/>
          <w:jc w:val="center"/>
        </w:trPr>
        <w:tc>
          <w:tcPr>
            <w:tcW w:w="2719" w:type="dxa"/>
            <w:vMerge/>
            <w:vAlign w:val="center"/>
          </w:tcPr>
          <w:p w:rsidR="000069A6" w:rsidRDefault="000069A6" w:rsidP="00CF1F13">
            <w:pPr>
              <w:spacing w:after="0" w:line="240" w:lineRule="auto"/>
              <w:rPr>
                <w:rFonts w:asciiTheme="minorHAnsi" w:hAnsiTheme="minorHAnsi"/>
                <w:sz w:val="20"/>
                <w:szCs w:val="20"/>
              </w:rPr>
            </w:pPr>
          </w:p>
        </w:tc>
        <w:tc>
          <w:tcPr>
            <w:tcW w:w="2250" w:type="dxa"/>
            <w:vMerge/>
            <w:vAlign w:val="center"/>
          </w:tcPr>
          <w:p w:rsidR="000069A6" w:rsidRPr="003368F5" w:rsidRDefault="000069A6" w:rsidP="00CF1F13">
            <w:pPr>
              <w:spacing w:after="0" w:line="240" w:lineRule="auto"/>
              <w:rPr>
                <w:rFonts w:asciiTheme="minorHAnsi" w:hAnsiTheme="minorHAnsi"/>
                <w:b/>
                <w:sz w:val="20"/>
                <w:szCs w:val="20"/>
              </w:rPr>
            </w:pPr>
          </w:p>
        </w:tc>
        <w:tc>
          <w:tcPr>
            <w:tcW w:w="1800" w:type="dxa"/>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20 mg</w:t>
            </w:r>
          </w:p>
        </w:tc>
        <w:tc>
          <w:tcPr>
            <w:tcW w:w="1440" w:type="dxa"/>
            <w:vMerge/>
            <w:vAlign w:val="center"/>
          </w:tcPr>
          <w:p w:rsidR="000069A6" w:rsidRPr="00B600D5" w:rsidRDefault="000069A6" w:rsidP="00CF1F13">
            <w:pPr>
              <w:spacing w:after="0" w:line="240" w:lineRule="auto"/>
              <w:rPr>
                <w:rFonts w:asciiTheme="minorHAnsi" w:hAnsiTheme="minorHAnsi"/>
                <w:sz w:val="20"/>
                <w:szCs w:val="20"/>
              </w:rPr>
            </w:pPr>
          </w:p>
        </w:tc>
        <w:tc>
          <w:tcPr>
            <w:tcW w:w="1189" w:type="dxa"/>
            <w:vMerge/>
            <w:vAlign w:val="center"/>
          </w:tcPr>
          <w:p w:rsidR="000069A6" w:rsidRPr="00B600D5" w:rsidRDefault="000069A6" w:rsidP="00CF1F13">
            <w:pPr>
              <w:spacing w:after="0" w:line="240" w:lineRule="auto"/>
              <w:rPr>
                <w:rFonts w:asciiTheme="minorHAnsi" w:hAnsiTheme="minorHAnsi"/>
                <w:sz w:val="20"/>
                <w:szCs w:val="20"/>
              </w:rPr>
            </w:pPr>
          </w:p>
        </w:tc>
      </w:tr>
      <w:tr w:rsidR="000069A6" w:rsidRPr="00B600D5" w:rsidTr="00C218B9">
        <w:trPr>
          <w:cantSplit/>
          <w:trHeight w:val="288"/>
          <w:jc w:val="center"/>
        </w:trPr>
        <w:tc>
          <w:tcPr>
            <w:tcW w:w="2719" w:type="dxa"/>
            <w:vMerge/>
            <w:vAlign w:val="center"/>
          </w:tcPr>
          <w:p w:rsidR="000069A6" w:rsidRDefault="000069A6" w:rsidP="00CF1F13">
            <w:pPr>
              <w:spacing w:after="0" w:line="240" w:lineRule="auto"/>
              <w:rPr>
                <w:rFonts w:asciiTheme="minorHAnsi" w:hAnsiTheme="minorHAnsi"/>
                <w:sz w:val="20"/>
                <w:szCs w:val="20"/>
              </w:rPr>
            </w:pPr>
          </w:p>
        </w:tc>
        <w:tc>
          <w:tcPr>
            <w:tcW w:w="2250" w:type="dxa"/>
            <w:vMerge/>
            <w:vAlign w:val="center"/>
          </w:tcPr>
          <w:p w:rsidR="000069A6" w:rsidRPr="003368F5" w:rsidRDefault="000069A6" w:rsidP="00CF1F13">
            <w:pPr>
              <w:spacing w:after="0" w:line="240" w:lineRule="auto"/>
              <w:rPr>
                <w:rFonts w:asciiTheme="minorHAnsi" w:hAnsiTheme="minorHAnsi"/>
                <w:b/>
                <w:sz w:val="20"/>
                <w:szCs w:val="20"/>
              </w:rPr>
            </w:pPr>
          </w:p>
        </w:tc>
        <w:tc>
          <w:tcPr>
            <w:tcW w:w="1800" w:type="dxa"/>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30 mg</w:t>
            </w:r>
          </w:p>
        </w:tc>
        <w:tc>
          <w:tcPr>
            <w:tcW w:w="1440" w:type="dxa"/>
            <w:vMerge/>
            <w:vAlign w:val="center"/>
          </w:tcPr>
          <w:p w:rsidR="000069A6" w:rsidRPr="00B600D5" w:rsidRDefault="000069A6" w:rsidP="00CF1F13">
            <w:pPr>
              <w:spacing w:after="0" w:line="240" w:lineRule="auto"/>
              <w:rPr>
                <w:rFonts w:asciiTheme="minorHAnsi" w:hAnsiTheme="minorHAnsi"/>
                <w:sz w:val="20"/>
                <w:szCs w:val="20"/>
              </w:rPr>
            </w:pPr>
          </w:p>
        </w:tc>
        <w:tc>
          <w:tcPr>
            <w:tcW w:w="1189" w:type="dxa"/>
            <w:vMerge/>
            <w:vAlign w:val="center"/>
          </w:tcPr>
          <w:p w:rsidR="000069A6" w:rsidRPr="00B600D5" w:rsidRDefault="000069A6" w:rsidP="00CF1F13">
            <w:pPr>
              <w:spacing w:after="0" w:line="240" w:lineRule="auto"/>
              <w:rPr>
                <w:rFonts w:asciiTheme="minorHAnsi" w:hAnsiTheme="minorHAnsi"/>
                <w:sz w:val="20"/>
                <w:szCs w:val="20"/>
              </w:rPr>
            </w:pPr>
          </w:p>
        </w:tc>
      </w:tr>
      <w:tr w:rsidR="000069A6" w:rsidRPr="00B600D5" w:rsidTr="00C218B9">
        <w:trPr>
          <w:cantSplit/>
          <w:trHeight w:val="288"/>
          <w:jc w:val="center"/>
        </w:trPr>
        <w:tc>
          <w:tcPr>
            <w:tcW w:w="2719" w:type="dxa"/>
            <w:vMerge/>
            <w:vAlign w:val="center"/>
          </w:tcPr>
          <w:p w:rsidR="000069A6" w:rsidRDefault="000069A6" w:rsidP="00CF1F13">
            <w:pPr>
              <w:spacing w:after="0" w:line="240" w:lineRule="auto"/>
              <w:rPr>
                <w:rFonts w:asciiTheme="minorHAnsi" w:hAnsiTheme="minorHAnsi"/>
                <w:sz w:val="20"/>
                <w:szCs w:val="20"/>
              </w:rPr>
            </w:pPr>
          </w:p>
        </w:tc>
        <w:tc>
          <w:tcPr>
            <w:tcW w:w="2250" w:type="dxa"/>
            <w:vMerge/>
            <w:vAlign w:val="center"/>
          </w:tcPr>
          <w:p w:rsidR="000069A6" w:rsidRPr="003368F5" w:rsidRDefault="000069A6" w:rsidP="00CF1F13">
            <w:pPr>
              <w:spacing w:after="0" w:line="240" w:lineRule="auto"/>
              <w:rPr>
                <w:rFonts w:asciiTheme="minorHAnsi" w:hAnsiTheme="minorHAnsi"/>
                <w:b/>
                <w:sz w:val="20"/>
                <w:szCs w:val="20"/>
              </w:rPr>
            </w:pPr>
          </w:p>
        </w:tc>
        <w:tc>
          <w:tcPr>
            <w:tcW w:w="1800" w:type="dxa"/>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40 mg</w:t>
            </w:r>
          </w:p>
        </w:tc>
        <w:tc>
          <w:tcPr>
            <w:tcW w:w="1440" w:type="dxa"/>
            <w:vMerge/>
            <w:vAlign w:val="center"/>
          </w:tcPr>
          <w:p w:rsidR="000069A6" w:rsidRPr="00B600D5" w:rsidRDefault="000069A6" w:rsidP="00CF1F13">
            <w:pPr>
              <w:spacing w:after="0" w:line="240" w:lineRule="auto"/>
              <w:rPr>
                <w:rFonts w:asciiTheme="minorHAnsi" w:hAnsiTheme="minorHAnsi"/>
                <w:sz w:val="20"/>
                <w:szCs w:val="20"/>
              </w:rPr>
            </w:pPr>
          </w:p>
        </w:tc>
        <w:tc>
          <w:tcPr>
            <w:tcW w:w="1189" w:type="dxa"/>
            <w:vMerge/>
            <w:vAlign w:val="center"/>
          </w:tcPr>
          <w:p w:rsidR="000069A6" w:rsidRPr="00B600D5" w:rsidRDefault="000069A6" w:rsidP="00CF1F13">
            <w:pPr>
              <w:spacing w:after="0" w:line="240" w:lineRule="auto"/>
              <w:rPr>
                <w:rFonts w:asciiTheme="minorHAnsi" w:hAnsiTheme="minorHAnsi"/>
                <w:sz w:val="20"/>
                <w:szCs w:val="20"/>
              </w:rPr>
            </w:pPr>
          </w:p>
        </w:tc>
      </w:tr>
      <w:tr w:rsidR="000069A6" w:rsidRPr="00B600D5" w:rsidTr="00C218B9">
        <w:trPr>
          <w:cantSplit/>
          <w:trHeight w:val="288"/>
          <w:jc w:val="center"/>
        </w:trPr>
        <w:tc>
          <w:tcPr>
            <w:tcW w:w="2719" w:type="dxa"/>
            <w:vMerge/>
            <w:vAlign w:val="center"/>
          </w:tcPr>
          <w:p w:rsidR="000069A6" w:rsidRDefault="000069A6" w:rsidP="00CF1F13">
            <w:pPr>
              <w:spacing w:after="0" w:line="240" w:lineRule="auto"/>
              <w:rPr>
                <w:rFonts w:asciiTheme="minorHAnsi" w:hAnsiTheme="minorHAnsi"/>
                <w:sz w:val="20"/>
                <w:szCs w:val="20"/>
              </w:rPr>
            </w:pPr>
          </w:p>
        </w:tc>
        <w:tc>
          <w:tcPr>
            <w:tcW w:w="2250" w:type="dxa"/>
            <w:vMerge/>
            <w:vAlign w:val="center"/>
          </w:tcPr>
          <w:p w:rsidR="000069A6" w:rsidRPr="003368F5" w:rsidRDefault="000069A6" w:rsidP="00CF1F13">
            <w:pPr>
              <w:spacing w:after="0" w:line="240" w:lineRule="auto"/>
              <w:rPr>
                <w:rFonts w:asciiTheme="minorHAnsi" w:hAnsiTheme="minorHAnsi"/>
                <w:b/>
                <w:sz w:val="20"/>
                <w:szCs w:val="20"/>
              </w:rPr>
            </w:pPr>
          </w:p>
        </w:tc>
        <w:tc>
          <w:tcPr>
            <w:tcW w:w="1800" w:type="dxa"/>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60 mg</w:t>
            </w:r>
          </w:p>
        </w:tc>
        <w:tc>
          <w:tcPr>
            <w:tcW w:w="1440" w:type="dxa"/>
            <w:vMerge/>
            <w:vAlign w:val="center"/>
          </w:tcPr>
          <w:p w:rsidR="000069A6" w:rsidRPr="00B600D5" w:rsidRDefault="000069A6" w:rsidP="00CF1F13">
            <w:pPr>
              <w:spacing w:after="0" w:line="240" w:lineRule="auto"/>
              <w:rPr>
                <w:rFonts w:asciiTheme="minorHAnsi" w:hAnsiTheme="minorHAnsi"/>
                <w:sz w:val="20"/>
                <w:szCs w:val="20"/>
              </w:rPr>
            </w:pPr>
          </w:p>
        </w:tc>
        <w:tc>
          <w:tcPr>
            <w:tcW w:w="1189" w:type="dxa"/>
            <w:vMerge/>
            <w:vAlign w:val="center"/>
          </w:tcPr>
          <w:p w:rsidR="000069A6" w:rsidRPr="00B600D5" w:rsidRDefault="000069A6" w:rsidP="00CF1F13">
            <w:pPr>
              <w:spacing w:after="0" w:line="240" w:lineRule="auto"/>
              <w:rPr>
                <w:rFonts w:asciiTheme="minorHAnsi" w:hAnsiTheme="minorHAnsi"/>
                <w:sz w:val="20"/>
                <w:szCs w:val="20"/>
              </w:rPr>
            </w:pPr>
          </w:p>
        </w:tc>
      </w:tr>
      <w:tr w:rsidR="000069A6" w:rsidRPr="00B600D5" w:rsidTr="00C218B9">
        <w:trPr>
          <w:cantSplit/>
          <w:trHeight w:val="288"/>
          <w:jc w:val="center"/>
        </w:trPr>
        <w:tc>
          <w:tcPr>
            <w:tcW w:w="2719" w:type="dxa"/>
            <w:vMerge/>
            <w:vAlign w:val="center"/>
          </w:tcPr>
          <w:p w:rsidR="000069A6" w:rsidRDefault="000069A6" w:rsidP="00CF1F13">
            <w:pPr>
              <w:spacing w:after="0" w:line="240" w:lineRule="auto"/>
              <w:rPr>
                <w:rFonts w:asciiTheme="minorHAnsi" w:hAnsiTheme="minorHAnsi"/>
                <w:sz w:val="20"/>
                <w:szCs w:val="20"/>
              </w:rPr>
            </w:pPr>
          </w:p>
        </w:tc>
        <w:tc>
          <w:tcPr>
            <w:tcW w:w="2250" w:type="dxa"/>
            <w:vMerge/>
            <w:vAlign w:val="center"/>
          </w:tcPr>
          <w:p w:rsidR="000069A6" w:rsidRPr="003368F5" w:rsidRDefault="000069A6" w:rsidP="00CF1F13">
            <w:pPr>
              <w:spacing w:after="0" w:line="240" w:lineRule="auto"/>
              <w:rPr>
                <w:rFonts w:asciiTheme="minorHAnsi" w:hAnsiTheme="minorHAnsi"/>
                <w:b/>
                <w:sz w:val="20"/>
                <w:szCs w:val="20"/>
              </w:rPr>
            </w:pPr>
          </w:p>
        </w:tc>
        <w:tc>
          <w:tcPr>
            <w:tcW w:w="1800" w:type="dxa"/>
            <w:vAlign w:val="center"/>
          </w:tcPr>
          <w:p w:rsidR="000069A6" w:rsidRPr="00B600D5" w:rsidRDefault="000069A6" w:rsidP="000069A6">
            <w:pPr>
              <w:spacing w:after="0" w:line="240" w:lineRule="auto"/>
              <w:rPr>
                <w:rFonts w:asciiTheme="minorHAnsi" w:hAnsiTheme="minorHAnsi"/>
                <w:sz w:val="20"/>
                <w:szCs w:val="20"/>
              </w:rPr>
            </w:pPr>
            <w:r w:rsidRPr="00B600D5">
              <w:rPr>
                <w:rFonts w:asciiTheme="minorHAnsi" w:hAnsiTheme="minorHAnsi"/>
                <w:sz w:val="20"/>
                <w:szCs w:val="20"/>
              </w:rPr>
              <w:t>80 mg</w:t>
            </w:r>
          </w:p>
        </w:tc>
        <w:tc>
          <w:tcPr>
            <w:tcW w:w="1440" w:type="dxa"/>
            <w:vMerge/>
            <w:vAlign w:val="center"/>
          </w:tcPr>
          <w:p w:rsidR="000069A6" w:rsidRPr="00B600D5" w:rsidRDefault="000069A6" w:rsidP="00CF1F13">
            <w:pPr>
              <w:spacing w:after="0" w:line="240" w:lineRule="auto"/>
              <w:rPr>
                <w:rFonts w:asciiTheme="minorHAnsi" w:hAnsiTheme="minorHAnsi"/>
                <w:sz w:val="20"/>
                <w:szCs w:val="20"/>
              </w:rPr>
            </w:pPr>
          </w:p>
        </w:tc>
        <w:tc>
          <w:tcPr>
            <w:tcW w:w="1189" w:type="dxa"/>
            <w:vMerge/>
            <w:vAlign w:val="center"/>
          </w:tcPr>
          <w:p w:rsidR="000069A6" w:rsidRPr="00B600D5" w:rsidRDefault="000069A6" w:rsidP="00CF1F13">
            <w:pPr>
              <w:spacing w:after="0" w:line="240" w:lineRule="auto"/>
              <w:rPr>
                <w:rFonts w:asciiTheme="minorHAnsi" w:hAnsiTheme="minorHAnsi"/>
                <w:sz w:val="20"/>
                <w:szCs w:val="20"/>
              </w:rPr>
            </w:pPr>
          </w:p>
        </w:tc>
      </w:tr>
      <w:tr w:rsidR="000069A6" w:rsidRPr="00CF1F13" w:rsidTr="00C218B9">
        <w:trPr>
          <w:cantSplit/>
          <w:trHeight w:hRule="exact" w:val="288"/>
          <w:jc w:val="center"/>
        </w:trPr>
        <w:tc>
          <w:tcPr>
            <w:tcW w:w="2719" w:type="dxa"/>
            <w:vMerge w:val="restart"/>
            <w:vAlign w:val="center"/>
          </w:tcPr>
          <w:p w:rsidR="000069A6" w:rsidRPr="00CF1F13" w:rsidRDefault="000069A6" w:rsidP="00365D96">
            <w:pPr>
              <w:spacing w:after="0" w:line="240" w:lineRule="auto"/>
              <w:rPr>
                <w:rFonts w:asciiTheme="minorHAnsi" w:hAnsiTheme="minorHAnsi"/>
                <w:sz w:val="20"/>
                <w:szCs w:val="20"/>
              </w:rPr>
            </w:pPr>
            <w:r w:rsidRPr="00CF1F13">
              <w:rPr>
                <w:rFonts w:asciiTheme="minorHAnsi" w:hAnsiTheme="minorHAnsi"/>
                <w:sz w:val="20"/>
                <w:szCs w:val="20"/>
              </w:rPr>
              <w:t>No equivalent HPHR opioid identified</w:t>
            </w:r>
          </w:p>
        </w:tc>
        <w:tc>
          <w:tcPr>
            <w:tcW w:w="2250" w:type="dxa"/>
            <w:vMerge w:val="restart"/>
            <w:vAlign w:val="center"/>
          </w:tcPr>
          <w:p w:rsidR="000069A6" w:rsidRPr="00CF1F13" w:rsidRDefault="000069A6" w:rsidP="00CF1F13">
            <w:pPr>
              <w:spacing w:after="0" w:line="240" w:lineRule="auto"/>
              <w:rPr>
                <w:rFonts w:asciiTheme="minorHAnsi" w:hAnsiTheme="minorHAnsi"/>
                <w:b/>
                <w:sz w:val="20"/>
                <w:szCs w:val="20"/>
              </w:rPr>
            </w:pPr>
            <w:proofErr w:type="spellStart"/>
            <w:r w:rsidRPr="00CF1F13">
              <w:rPr>
                <w:rFonts w:asciiTheme="minorHAnsi" w:hAnsiTheme="minorHAnsi"/>
                <w:b/>
                <w:sz w:val="20"/>
                <w:szCs w:val="20"/>
              </w:rPr>
              <w:t>Xtampza</w:t>
            </w:r>
            <w:proofErr w:type="spellEnd"/>
            <w:r w:rsidRPr="00CF1F13">
              <w:rPr>
                <w:rFonts w:asciiTheme="minorHAnsi" w:hAnsiTheme="minorHAnsi"/>
                <w:b/>
                <w:sz w:val="20"/>
                <w:szCs w:val="20"/>
              </w:rPr>
              <w:t xml:space="preserve"> ER</w:t>
            </w:r>
            <w:r w:rsidR="008E0C99" w:rsidRPr="002A03A0">
              <w:rPr>
                <w:rFonts w:asciiTheme="minorHAnsi" w:hAnsiTheme="minorHAnsi"/>
                <w:sz w:val="20"/>
                <w:szCs w:val="20"/>
              </w:rPr>
              <w:t>®</w:t>
            </w:r>
            <w:r w:rsidRPr="00CF1F13">
              <w:rPr>
                <w:rFonts w:asciiTheme="minorHAnsi" w:hAnsiTheme="minorHAnsi"/>
                <w:b/>
                <w:sz w:val="20"/>
                <w:szCs w:val="20"/>
              </w:rPr>
              <w:t xml:space="preserve"> (oxycodone ER capsule)</w:t>
            </w:r>
          </w:p>
        </w:tc>
        <w:tc>
          <w:tcPr>
            <w:tcW w:w="1800" w:type="dxa"/>
            <w:vAlign w:val="center"/>
          </w:tcPr>
          <w:p w:rsidR="000069A6" w:rsidRPr="00CF1F13" w:rsidRDefault="000069A6" w:rsidP="00365D96">
            <w:pPr>
              <w:spacing w:after="0" w:line="240" w:lineRule="auto"/>
              <w:rPr>
                <w:rFonts w:asciiTheme="minorHAnsi" w:hAnsiTheme="minorHAnsi"/>
                <w:sz w:val="20"/>
                <w:szCs w:val="20"/>
              </w:rPr>
            </w:pPr>
            <w:r>
              <w:rPr>
                <w:rFonts w:asciiTheme="minorHAnsi" w:hAnsiTheme="minorHAnsi"/>
                <w:sz w:val="20"/>
                <w:szCs w:val="20"/>
              </w:rPr>
              <w:t>9 mg</w:t>
            </w:r>
          </w:p>
        </w:tc>
        <w:tc>
          <w:tcPr>
            <w:tcW w:w="1440" w:type="dxa"/>
            <w:vMerge w:val="restart"/>
            <w:vAlign w:val="center"/>
          </w:tcPr>
          <w:p w:rsidR="000069A6" w:rsidRPr="00CF1F13" w:rsidRDefault="008E0C99" w:rsidP="00365D96">
            <w:pPr>
              <w:spacing w:after="0" w:line="240" w:lineRule="auto"/>
              <w:rPr>
                <w:rFonts w:asciiTheme="minorHAnsi" w:hAnsiTheme="minorHAnsi"/>
                <w:sz w:val="20"/>
                <w:szCs w:val="20"/>
              </w:rPr>
            </w:pPr>
            <w:r>
              <w:rPr>
                <w:rFonts w:asciiTheme="minorHAnsi" w:hAnsiTheme="minorHAnsi"/>
                <w:sz w:val="20"/>
                <w:szCs w:val="20"/>
              </w:rPr>
              <w:t>Every 12 hours with food</w:t>
            </w:r>
          </w:p>
        </w:tc>
        <w:tc>
          <w:tcPr>
            <w:tcW w:w="1189" w:type="dxa"/>
            <w:vMerge w:val="restart"/>
            <w:vAlign w:val="center"/>
          </w:tcPr>
          <w:p w:rsidR="000069A6" w:rsidRPr="00CF1F13" w:rsidRDefault="000069A6" w:rsidP="000069A6">
            <w:pPr>
              <w:spacing w:after="0" w:line="240" w:lineRule="auto"/>
              <w:rPr>
                <w:rFonts w:asciiTheme="minorHAnsi" w:hAnsiTheme="minorHAnsi"/>
                <w:sz w:val="20"/>
                <w:szCs w:val="20"/>
              </w:rPr>
            </w:pPr>
            <w:r>
              <w:rPr>
                <w:rFonts w:asciiTheme="minorHAnsi" w:hAnsiTheme="minorHAnsi"/>
                <w:sz w:val="20"/>
                <w:szCs w:val="20"/>
              </w:rPr>
              <w:t>Category II</w:t>
            </w:r>
          </w:p>
        </w:tc>
      </w:tr>
      <w:tr w:rsidR="000069A6" w:rsidRPr="00B600D5" w:rsidTr="00C218B9">
        <w:trPr>
          <w:cantSplit/>
          <w:trHeight w:hRule="exact" w:val="288"/>
          <w:jc w:val="center"/>
        </w:trPr>
        <w:tc>
          <w:tcPr>
            <w:tcW w:w="2719" w:type="dxa"/>
            <w:vMerge/>
            <w:vAlign w:val="center"/>
          </w:tcPr>
          <w:p w:rsidR="000069A6" w:rsidRDefault="000069A6" w:rsidP="00365D96">
            <w:pPr>
              <w:spacing w:after="0" w:line="240" w:lineRule="auto"/>
              <w:rPr>
                <w:rFonts w:asciiTheme="minorHAnsi" w:hAnsiTheme="minorHAnsi"/>
                <w:sz w:val="20"/>
                <w:szCs w:val="20"/>
              </w:rPr>
            </w:pPr>
          </w:p>
        </w:tc>
        <w:tc>
          <w:tcPr>
            <w:tcW w:w="2250" w:type="dxa"/>
            <w:vMerge/>
            <w:vAlign w:val="center"/>
          </w:tcPr>
          <w:p w:rsidR="000069A6" w:rsidRDefault="000069A6" w:rsidP="00365D96">
            <w:pPr>
              <w:spacing w:after="0" w:line="240" w:lineRule="auto"/>
              <w:rPr>
                <w:rFonts w:asciiTheme="minorHAnsi" w:hAnsiTheme="minorHAnsi"/>
                <w:b/>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Pr>
                <w:rFonts w:asciiTheme="minorHAnsi" w:hAnsiTheme="minorHAnsi"/>
                <w:sz w:val="20"/>
                <w:szCs w:val="20"/>
              </w:rPr>
              <w:t>13.5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Default="000069A6" w:rsidP="00365D96">
            <w:pPr>
              <w:spacing w:after="0" w:line="240" w:lineRule="auto"/>
              <w:rPr>
                <w:rFonts w:asciiTheme="minorHAnsi" w:hAnsiTheme="minorHAnsi"/>
                <w:sz w:val="20"/>
                <w:szCs w:val="20"/>
              </w:rPr>
            </w:pPr>
          </w:p>
        </w:tc>
        <w:tc>
          <w:tcPr>
            <w:tcW w:w="2250" w:type="dxa"/>
            <w:vMerge/>
            <w:vAlign w:val="center"/>
          </w:tcPr>
          <w:p w:rsidR="000069A6" w:rsidRDefault="000069A6" w:rsidP="00365D96">
            <w:pPr>
              <w:spacing w:after="0" w:line="240" w:lineRule="auto"/>
              <w:rPr>
                <w:rFonts w:asciiTheme="minorHAnsi" w:hAnsiTheme="minorHAnsi"/>
                <w:b/>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Pr>
                <w:rFonts w:asciiTheme="minorHAnsi" w:hAnsiTheme="minorHAnsi"/>
                <w:sz w:val="20"/>
                <w:szCs w:val="20"/>
              </w:rPr>
              <w:t>18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Default="000069A6" w:rsidP="00365D96">
            <w:pPr>
              <w:spacing w:after="0" w:line="240" w:lineRule="auto"/>
              <w:rPr>
                <w:rFonts w:asciiTheme="minorHAnsi" w:hAnsiTheme="minorHAnsi"/>
                <w:sz w:val="20"/>
                <w:szCs w:val="20"/>
              </w:rPr>
            </w:pPr>
          </w:p>
        </w:tc>
        <w:tc>
          <w:tcPr>
            <w:tcW w:w="2250" w:type="dxa"/>
            <w:vMerge/>
            <w:vAlign w:val="center"/>
          </w:tcPr>
          <w:p w:rsidR="000069A6" w:rsidRDefault="000069A6" w:rsidP="00365D96">
            <w:pPr>
              <w:spacing w:after="0" w:line="240" w:lineRule="auto"/>
              <w:rPr>
                <w:rFonts w:asciiTheme="minorHAnsi" w:hAnsiTheme="minorHAnsi"/>
                <w:b/>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Pr>
                <w:rFonts w:asciiTheme="minorHAnsi" w:hAnsiTheme="minorHAnsi"/>
                <w:sz w:val="20"/>
                <w:szCs w:val="20"/>
              </w:rPr>
              <w:t>27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r w:rsidR="000069A6" w:rsidRPr="00B600D5" w:rsidTr="00C218B9">
        <w:trPr>
          <w:cantSplit/>
          <w:trHeight w:hRule="exact" w:val="288"/>
          <w:jc w:val="center"/>
        </w:trPr>
        <w:tc>
          <w:tcPr>
            <w:tcW w:w="2719" w:type="dxa"/>
            <w:vMerge/>
            <w:vAlign w:val="center"/>
          </w:tcPr>
          <w:p w:rsidR="000069A6" w:rsidRDefault="000069A6" w:rsidP="00365D96">
            <w:pPr>
              <w:spacing w:after="0" w:line="240" w:lineRule="auto"/>
              <w:rPr>
                <w:rFonts w:asciiTheme="minorHAnsi" w:hAnsiTheme="minorHAnsi"/>
                <w:sz w:val="20"/>
                <w:szCs w:val="20"/>
              </w:rPr>
            </w:pPr>
          </w:p>
        </w:tc>
        <w:tc>
          <w:tcPr>
            <w:tcW w:w="2250" w:type="dxa"/>
            <w:vMerge/>
            <w:vAlign w:val="center"/>
          </w:tcPr>
          <w:p w:rsidR="000069A6" w:rsidRDefault="000069A6" w:rsidP="00365D96">
            <w:pPr>
              <w:spacing w:after="0" w:line="240" w:lineRule="auto"/>
              <w:rPr>
                <w:rFonts w:asciiTheme="minorHAnsi" w:hAnsiTheme="minorHAnsi"/>
                <w:b/>
                <w:sz w:val="20"/>
                <w:szCs w:val="20"/>
              </w:rPr>
            </w:pPr>
          </w:p>
        </w:tc>
        <w:tc>
          <w:tcPr>
            <w:tcW w:w="1800" w:type="dxa"/>
            <w:vAlign w:val="center"/>
          </w:tcPr>
          <w:p w:rsidR="000069A6" w:rsidRPr="00B600D5" w:rsidRDefault="000069A6" w:rsidP="00365D96">
            <w:pPr>
              <w:spacing w:after="0" w:line="240" w:lineRule="auto"/>
              <w:rPr>
                <w:rFonts w:asciiTheme="minorHAnsi" w:hAnsiTheme="minorHAnsi"/>
                <w:sz w:val="20"/>
                <w:szCs w:val="20"/>
              </w:rPr>
            </w:pPr>
            <w:r>
              <w:rPr>
                <w:rFonts w:asciiTheme="minorHAnsi" w:hAnsiTheme="minorHAnsi"/>
                <w:sz w:val="20"/>
                <w:szCs w:val="20"/>
              </w:rPr>
              <w:t>36 mg</w:t>
            </w:r>
          </w:p>
        </w:tc>
        <w:tc>
          <w:tcPr>
            <w:tcW w:w="1440" w:type="dxa"/>
            <w:vMerge/>
            <w:vAlign w:val="center"/>
          </w:tcPr>
          <w:p w:rsidR="000069A6" w:rsidRPr="00B600D5" w:rsidRDefault="000069A6" w:rsidP="00365D96">
            <w:pPr>
              <w:spacing w:after="0" w:line="240" w:lineRule="auto"/>
              <w:rPr>
                <w:rFonts w:asciiTheme="minorHAnsi" w:hAnsiTheme="minorHAnsi"/>
                <w:sz w:val="20"/>
                <w:szCs w:val="20"/>
              </w:rPr>
            </w:pPr>
          </w:p>
        </w:tc>
        <w:tc>
          <w:tcPr>
            <w:tcW w:w="1189" w:type="dxa"/>
            <w:vMerge/>
            <w:vAlign w:val="center"/>
          </w:tcPr>
          <w:p w:rsidR="000069A6" w:rsidRPr="00B600D5" w:rsidRDefault="000069A6" w:rsidP="00365D96">
            <w:pPr>
              <w:spacing w:after="0" w:line="240" w:lineRule="auto"/>
              <w:rPr>
                <w:rFonts w:asciiTheme="minorHAnsi" w:hAnsiTheme="minorHAnsi"/>
                <w:sz w:val="20"/>
                <w:szCs w:val="20"/>
              </w:rPr>
            </w:pPr>
          </w:p>
        </w:tc>
      </w:tr>
    </w:tbl>
    <w:p w:rsidR="00365D96" w:rsidRDefault="00365D96">
      <w:pPr>
        <w:spacing w:after="0" w:line="240" w:lineRule="auto"/>
        <w:rPr>
          <w:rFonts w:ascii="Calibri" w:eastAsia="Times New Roman" w:hAnsi="Calibri"/>
          <w:b/>
          <w:bCs/>
          <w:color w:val="365F91"/>
          <w:sz w:val="32"/>
          <w:szCs w:val="28"/>
        </w:rPr>
      </w:pPr>
      <w:r>
        <w:br w:type="page"/>
      </w:r>
    </w:p>
    <w:p w:rsidR="00AB109F" w:rsidRPr="00037A89" w:rsidRDefault="00AB109F" w:rsidP="00A05842">
      <w:pPr>
        <w:pStyle w:val="Heading1"/>
        <w:rPr>
          <w:szCs w:val="26"/>
        </w:rPr>
      </w:pPr>
      <w:bookmarkStart w:id="77" w:name="_Toc468888017"/>
      <w:r>
        <w:lastRenderedPageBreak/>
        <w:t>Appendix</w:t>
      </w:r>
      <w:r w:rsidR="008334BE">
        <w:t xml:space="preserve"> </w:t>
      </w:r>
      <w:r w:rsidR="00365D96">
        <w:t>B</w:t>
      </w:r>
      <w:r>
        <w:t xml:space="preserve">: Membership Affected by the </w:t>
      </w:r>
      <w:r w:rsidRPr="00A05842">
        <w:t>Proposed</w:t>
      </w:r>
      <w:r>
        <w:t xml:space="preserve"> </w:t>
      </w:r>
      <w:bookmarkEnd w:id="73"/>
      <w:r w:rsidR="0007127D">
        <w:t>Formulary</w:t>
      </w:r>
      <w:bookmarkEnd w:id="77"/>
    </w:p>
    <w:p w:rsidR="001C4126" w:rsidRDefault="001C4126" w:rsidP="001C4126">
      <w:r w:rsidRPr="00DF7C30">
        <w:t xml:space="preserve">Membership </w:t>
      </w:r>
      <w:r>
        <w:t xml:space="preserve">potentially </w:t>
      </w:r>
      <w:r w:rsidRPr="00DF7C30">
        <w:t xml:space="preserve">affected by a </w:t>
      </w:r>
      <w:r>
        <w:t xml:space="preserve">proposed </w:t>
      </w:r>
      <w:r w:rsidRPr="00DF7C30">
        <w:t xml:space="preserve">mandate may include Massachusetts residents with fully-insured employer-sponsored </w:t>
      </w:r>
      <w:r>
        <w:t xml:space="preserve">health </w:t>
      </w:r>
      <w:r w:rsidRPr="00DF7C30">
        <w:t xml:space="preserve">insurance </w:t>
      </w:r>
      <w:r>
        <w:t>issued by a Massachusetts licensed company</w:t>
      </w:r>
      <w:r w:rsidRPr="00DF7C30">
        <w:t xml:space="preserve"> (including through the GIC), non-residents with fully-insured employer-sponsored insurance issued in Massachusetts, Massachusetts residents with </w:t>
      </w:r>
      <w:r>
        <w:t xml:space="preserve">individual (direct) health insurance </w:t>
      </w:r>
      <w:r w:rsidRPr="00DF7C30">
        <w:t>coverage, and</w:t>
      </w:r>
      <w:r>
        <w:t xml:space="preserve"> </w:t>
      </w:r>
      <w:r w:rsidRPr="00DF7C30">
        <w:t xml:space="preserve">lives covered by GIC self-insured coverage. </w:t>
      </w:r>
      <w:r>
        <w:t xml:space="preserve"> Membership projections for 2017 to</w:t>
      </w:r>
      <w:r w:rsidRPr="00037032">
        <w:t xml:space="preserve"> 20</w:t>
      </w:r>
      <w:r>
        <w:t>21</w:t>
      </w:r>
      <w:r w:rsidRPr="00037032">
        <w:t xml:space="preserve"> </w:t>
      </w:r>
      <w:r w:rsidRPr="00DF7C30">
        <w:t>are deriv</w:t>
      </w:r>
      <w:r>
        <w:t>ed from the following sources.</w:t>
      </w:r>
    </w:p>
    <w:p w:rsidR="001C4126" w:rsidRPr="000D3836" w:rsidRDefault="001C4126" w:rsidP="001C4126">
      <w:r>
        <w:t>The 2014 Massachusetts All Payer Claim Database (</w:t>
      </w:r>
      <w:r w:rsidR="009E3F09">
        <w:t>MA-APCD</w:t>
      </w:r>
      <w:r>
        <w:t>) formed the base for the projections.  The APCD provided fully-insured and self-insured membership by insurance carrier.  The APCD was also used to estimate the number of non-residents covered by a Massachusetts policy.  These are typically cases in which a non-resident works for a Massachusetts employer offering employer-</w:t>
      </w:r>
      <w:r w:rsidRPr="000D3836">
        <w:t>sponsored coverage.</w:t>
      </w:r>
    </w:p>
    <w:p w:rsidR="001C4126" w:rsidRPr="000D3836" w:rsidRDefault="001C4126" w:rsidP="001C4126">
      <w:r w:rsidRPr="000D3836">
        <w:t>The Massachusetts Center for Health Information and Analysis (CHIA) uses supplemental information</w:t>
      </w:r>
      <w:r w:rsidR="00813FB4">
        <w:t>,</w:t>
      </w:r>
      <w:r w:rsidRPr="000D3836">
        <w:t xml:space="preserve"> beyond the data in the </w:t>
      </w:r>
      <w:r w:rsidR="009E3F09">
        <w:t>MA-APCD</w:t>
      </w:r>
      <w:r w:rsidR="00813FB4">
        <w:t>, to develop enrollment trend</w:t>
      </w:r>
      <w:r w:rsidRPr="000D3836">
        <w:t xml:space="preserve"> r</w:t>
      </w:r>
      <w:r w:rsidR="00813FB4">
        <w:t xml:space="preserve">eports and provided </w:t>
      </w:r>
      <w:r w:rsidRPr="000D3836">
        <w:t>information on where they so</w:t>
      </w:r>
      <w:r w:rsidR="009E3F09">
        <w:t xml:space="preserve">urced the data in their report </w:t>
      </w:r>
      <w:r w:rsidRPr="000D3836">
        <w:t>(</w:t>
      </w:r>
      <w:r w:rsidR="009E3F09">
        <w:t>MA-APCD</w:t>
      </w:r>
      <w:r w:rsidRPr="000D3836">
        <w:t xml:space="preserve"> and supplemental carrier information).  We adjusted our membership estimates for the data not in the </w:t>
      </w:r>
      <w:r w:rsidR="009E3F09">
        <w:t>MA-APCD where appropriate.</w:t>
      </w:r>
    </w:p>
    <w:p w:rsidR="001C4126" w:rsidRDefault="001C4126" w:rsidP="001C4126">
      <w:r w:rsidRPr="000D3836">
        <w:t xml:space="preserve">The 2014 combined membership projection by carrier was compared to Massachusetts </w:t>
      </w:r>
      <w:r w:rsidR="00813FB4">
        <w:t>Division</w:t>
      </w:r>
      <w:r w:rsidRPr="000D3836">
        <w:t xml:space="preserve"> of Insurance (DOI) reports estimating fully-insured covered members by insurance carrier.  The membership projections were increased to inclu</w:t>
      </w:r>
      <w:r w:rsidR="00813FB4">
        <w:t xml:space="preserve">de insurance carriers </w:t>
      </w:r>
      <w:r w:rsidRPr="000D3836">
        <w:t>reported by the DOI but not in the</w:t>
      </w:r>
      <w:r>
        <w:t xml:space="preserve"> </w:t>
      </w:r>
      <w:r w:rsidR="009E3F09">
        <w:t>MA-APCD</w:t>
      </w:r>
      <w:r>
        <w:t xml:space="preserve"> or CHIA supplementary report.  These were typically insurance carriers with small membership in the state. </w:t>
      </w:r>
    </w:p>
    <w:p w:rsidR="001C4126" w:rsidRDefault="001C4126" w:rsidP="001C4126">
      <w:r>
        <w:t xml:space="preserve">The distribution of members by age and gender was estimated using </w:t>
      </w:r>
      <w:r w:rsidR="009E3F09">
        <w:t>MA-APCD</w:t>
      </w:r>
      <w:r>
        <w:t xml:space="preserve"> population distribution ratios and was checked for reasonableness and validated against the U.S. Census</w:t>
      </w:r>
      <w:r w:rsidR="00813FB4">
        <w:t>.</w:t>
      </w:r>
      <w:r>
        <w:rPr>
          <w:rStyle w:val="EndnoteReference"/>
        </w:rPr>
        <w:endnoteReference w:id="57"/>
      </w:r>
      <w:r>
        <w:t xml:space="preserve">  Membership was projected forward from the 2014 base year through 2021 using Census Bureau population growth rate estimates by age and gender</w:t>
      </w:r>
      <w:r w:rsidR="00813FB4">
        <w:t>.</w:t>
      </w:r>
      <w:r>
        <w:rPr>
          <w:rStyle w:val="EndnoteReference"/>
        </w:rPr>
        <w:endnoteReference w:id="58"/>
      </w:r>
    </w:p>
    <w:p w:rsidR="00AB109F" w:rsidRDefault="001C4126" w:rsidP="00AB109F">
      <w:r>
        <w:t>Projections for the GIC self-insured lives were developed using GIC base data for 2013,</w:t>
      </w:r>
      <w:r>
        <w:rPr>
          <w:rStyle w:val="EndnoteReference"/>
        </w:rPr>
        <w:endnoteReference w:id="59"/>
      </w:r>
      <w:r>
        <w:t xml:space="preserve"> 2014,</w:t>
      </w:r>
      <w:r>
        <w:rPr>
          <w:rStyle w:val="EndnoteReference"/>
        </w:rPr>
        <w:endnoteReference w:id="60"/>
      </w:r>
      <w:r>
        <w:t xml:space="preserve"> and 2015,</w:t>
      </w:r>
      <w:r>
        <w:rPr>
          <w:rStyle w:val="EndnoteReference"/>
        </w:rPr>
        <w:endnoteReference w:id="61"/>
      </w:r>
      <w:r>
        <w:t xml:space="preserve"> and the same projected growth rates from the Census Bureau that were used for the Massachusetts population.  Breakdowns of the GIC self-insured lives by gender and age were based on the Census Bureau distributions.  </w:t>
      </w:r>
    </w:p>
    <w:p w:rsidR="00AB109F" w:rsidRDefault="00AB109F" w:rsidP="00AB109F">
      <w:r>
        <w:br w:type="page"/>
      </w:r>
    </w:p>
    <w:p w:rsidR="00AB109F" w:rsidRDefault="00AB109F" w:rsidP="00A05842">
      <w:pPr>
        <w:pStyle w:val="Heading1"/>
      </w:pPr>
      <w:bookmarkStart w:id="78" w:name="_Toc468888018"/>
      <w:r>
        <w:lastRenderedPageBreak/>
        <w:t>Appendix</w:t>
      </w:r>
      <w:r w:rsidR="002A03A0">
        <w:t xml:space="preserve"> </w:t>
      </w:r>
      <w:r w:rsidR="00365D96">
        <w:t>C</w:t>
      </w:r>
      <w:r>
        <w:t xml:space="preserve">: Comparison to DPH Drug Formulary </w:t>
      </w:r>
      <w:r w:rsidRPr="00A05842">
        <w:t>Commission</w:t>
      </w:r>
      <w:r w:rsidR="00C33406">
        <w:t xml:space="preserve"> Cost E</w:t>
      </w:r>
      <w:r>
        <w:t>stimates</w:t>
      </w:r>
      <w:bookmarkEnd w:id="78"/>
    </w:p>
    <w:p w:rsidR="00AB109F" w:rsidRDefault="00AB109F" w:rsidP="00D422EA">
      <w:pPr>
        <w:pStyle w:val="Toplist"/>
      </w:pPr>
      <w:r>
        <w:t xml:space="preserve">As part of its work in developing the opioid drug formulary in Massachusetts, the Department of Public Health presented initial estimates of the costs of substitution for HPHR opioids and ADOs, as outlined in </w:t>
      </w:r>
      <w:r w:rsidR="000437CC">
        <w:t xml:space="preserve">the </w:t>
      </w:r>
      <w:r w:rsidR="001826BD">
        <w:t>substitution</w:t>
      </w:r>
      <w:r w:rsidR="000437CC">
        <w:t xml:space="preserve"> requirement</w:t>
      </w:r>
      <w:r>
        <w:t xml:space="preserve">.  While the precise methodology used for the DPH report is not known, several important differences between this analysis and the DPH report exist that explain in part </w:t>
      </w:r>
      <w:r w:rsidR="000437CC">
        <w:t>the different conclusions of the</w:t>
      </w:r>
      <w:r>
        <w:t xml:space="preserve"> two evaluations.</w:t>
      </w:r>
    </w:p>
    <w:p w:rsidR="00AB109F" w:rsidRDefault="00AB109F" w:rsidP="00D422EA">
      <w:pPr>
        <w:pStyle w:val="NumlistHi"/>
      </w:pPr>
      <w:r>
        <w:t xml:space="preserve">The DPH report is based on data captured in the Prescription Monitoring Program database, which comprises all patients of all ages in Massachusetts, inclusive of all public and private health insurance members, as well as the uninsured.  Conversely, the CHIA report excludes </w:t>
      </w:r>
      <w:proofErr w:type="spellStart"/>
      <w:r>
        <w:t>MassHealth</w:t>
      </w:r>
      <w:proofErr w:type="spellEnd"/>
      <w:r>
        <w:t xml:space="preserve"> (Medicaid), Medicare, TRICARE (health insurance for uniformed U.S. military service members and their families), uninsured, and self-insured group members from its analysis, and includes instead only fully-insured commercial members ages 0 to 64.  In terms of population, the CHIA report represents only 21 percent of the population reflected in the DPH analysis.  Moreover, utilization patterns between the two groups are vastly different.  In comparing total quantity dispensed units in 2014, the</w:t>
      </w:r>
      <w:r w:rsidR="00A445D1">
        <w:t xml:space="preserve"> MA-APCD</w:t>
      </w:r>
      <w:r>
        <w:t xml:space="preserve"> data used by CHIA was less than 10 percent of the units in the PMP.</w:t>
      </w:r>
    </w:p>
    <w:p w:rsidR="00AB109F" w:rsidRDefault="00AB109F" w:rsidP="00D422EA">
      <w:pPr>
        <w:pStyle w:val="NumlistHi"/>
      </w:pPr>
      <w:r>
        <w:t xml:space="preserve">DPH estimated drug prices in its analysis based on 2015 Wholesale Acquisition Cost data obtained from First Databank.  These prices are provided to First Databank by drug manufacturers and do not reflect actual prices paid in the Massachusetts health insurance marketplace, which may include substantial discounts negotiated by health insurance carriers, their pharmacy benefits managers (PBMs), and the pharmacies from which the drugs are obtained by patients. </w:t>
      </w:r>
      <w:r w:rsidR="00A445D1">
        <w:t xml:space="preserve"> MA-APCD</w:t>
      </w:r>
      <w:r>
        <w:t xml:space="preserve"> paid amounts are calculated based on allowed payments less patient cost-sharing divided by units dispensed.  In comparing 2015 WAC data used by DPH to 2014 cost data available in the</w:t>
      </w:r>
      <w:r w:rsidR="00A445D1">
        <w:t xml:space="preserve"> MA-APCD</w:t>
      </w:r>
      <w:r>
        <w:t xml:space="preserve"> used by CHIA, WAC prices were almost 40 percent higher than paid per unit amounts reflected in the</w:t>
      </w:r>
      <w:r w:rsidR="00A445D1">
        <w:t xml:space="preserve"> MA-APCD</w:t>
      </w:r>
      <w:r>
        <w:t>.</w:t>
      </w:r>
    </w:p>
    <w:p w:rsidR="00AB109F" w:rsidRPr="002F3BA5" w:rsidRDefault="00AB109F" w:rsidP="00D422EA">
      <w:pPr>
        <w:pStyle w:val="NumlistHi"/>
      </w:pPr>
      <w:r>
        <w:t xml:space="preserve">In its cost evaluations, DPH focused only on conversions where a single ADO dose is used to replace a single HPHR opioid dose (e.g. 30 mg Embeda is substituted for 30 mg Kadian).  That analysis did not include instances where two ADO pills can be combined to reach a </w:t>
      </w:r>
      <w:r w:rsidR="006C03B8">
        <w:t>chemically</w:t>
      </w:r>
      <w:r>
        <w:t xml:space="preserve">-equivalent dose of an HPHR opioid (e.g. two 100 mg Embeda are substituted for one 100 mg Kadian).  Per input of the DPH Formulary Commission, </w:t>
      </w:r>
      <w:r w:rsidR="006C03B8">
        <w:t>these multi-pill chemically</w:t>
      </w:r>
      <w:r>
        <w:t xml:space="preserve">-equivalent substitutions will be subject to this </w:t>
      </w:r>
      <w:r w:rsidR="001826BD">
        <w:t>substitution</w:t>
      </w:r>
      <w:r w:rsidR="000437CC">
        <w:t xml:space="preserve"> requirement</w:t>
      </w:r>
      <w:r>
        <w:t xml:space="preserve">, and are thus included in the CHIA analysis.  </w:t>
      </w:r>
      <w:r w:rsidR="001826BD">
        <w:t>Section 4.3 provides m</w:t>
      </w:r>
      <w:r>
        <w:t>ore detail on these substi</w:t>
      </w:r>
      <w:r w:rsidR="001826BD">
        <w:t>tutions</w:t>
      </w:r>
      <w:r>
        <w:t>.</w:t>
      </w:r>
    </w:p>
    <w:p w:rsidR="00AB109F" w:rsidRDefault="00AB109F" w:rsidP="00AB109F">
      <w:r>
        <w:br w:type="page"/>
      </w:r>
    </w:p>
    <w:p w:rsidR="00893CB3" w:rsidRPr="00A05842" w:rsidRDefault="00AB109F" w:rsidP="00A05842">
      <w:pPr>
        <w:pStyle w:val="Heading1"/>
      </w:pPr>
      <w:bookmarkStart w:id="79" w:name="_Toc468888019"/>
      <w:r>
        <w:lastRenderedPageBreak/>
        <w:t>Endnotes</w:t>
      </w:r>
      <w:bookmarkEnd w:id="74"/>
      <w:bookmarkEnd w:id="79"/>
    </w:p>
    <w:sectPr w:rsidR="00893CB3" w:rsidRPr="00A05842" w:rsidSect="008A1E2E">
      <w:footerReference w:type="default" r:id="rId17"/>
      <w:footnotePr>
        <w:numFmt w:val="lowerRoman"/>
      </w:footnotePr>
      <w:endnotePr>
        <w:numFmt w:val="decimal"/>
        <w:numRestart w:val="eachSect"/>
      </w:endnotePr>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C9" w:rsidRDefault="00E613C9" w:rsidP="002B0738">
      <w:pPr>
        <w:spacing w:after="0" w:line="240" w:lineRule="auto"/>
      </w:pPr>
      <w:r>
        <w:separator/>
      </w:r>
    </w:p>
  </w:endnote>
  <w:endnote w:type="continuationSeparator" w:id="0">
    <w:p w:rsidR="00E613C9" w:rsidRDefault="00E613C9" w:rsidP="002B0738">
      <w:pPr>
        <w:spacing w:after="0" w:line="240" w:lineRule="auto"/>
      </w:pPr>
      <w:r>
        <w:continuationSeparator/>
      </w:r>
    </w:p>
  </w:endnote>
  <w:endnote w:id="1">
    <w:p w:rsidR="00E613C9" w:rsidRDefault="00E613C9">
      <w:pPr>
        <w:pStyle w:val="EndnoteText"/>
      </w:pPr>
      <w:r>
        <w:rPr>
          <w:rStyle w:val="EndnoteReference"/>
        </w:rPr>
        <w:endnoteRef/>
      </w:r>
      <w:r>
        <w:t xml:space="preserve"> Chapter 258 of the Massachusetts Acts of 2014:  “An Act to increase opportunities for long-term substance abuse recovery.”  Accessed 1 September 2016:  https://malegislature.gov/Laws/SessionLaws/Acts/2014/Chapter258.</w:t>
      </w:r>
    </w:p>
  </w:endnote>
  <w:endnote w:id="2">
    <w:p w:rsidR="00E613C9" w:rsidRDefault="00E613C9" w:rsidP="0009200A">
      <w:pPr>
        <w:pStyle w:val="EndnoteText"/>
      </w:pPr>
      <w:r>
        <w:rPr>
          <w:rStyle w:val="EndnoteReference"/>
        </w:rPr>
        <w:endnoteRef/>
      </w:r>
      <w:r>
        <w:t xml:space="preserve"> U.S. Food and Drug Administration (FDA), Center for Drug Evaluation and Research (CDER).  Approved Drug Products with Therapeutic Equivalence Evaluations, 36th Edition: Orange Book Preface.  Accessed 4 October 2016: </w:t>
      </w:r>
      <w:r w:rsidRPr="0009200A">
        <w:t>http://www.fda.gov/Drugs/DevelopmentApprovalProcess/ucm079068.htm</w:t>
      </w:r>
      <w:r>
        <w:t>.</w:t>
      </w:r>
    </w:p>
    <w:p w:rsidR="00E613C9" w:rsidRDefault="00E613C9">
      <w:pPr>
        <w:pStyle w:val="EndnoteText"/>
      </w:pPr>
      <w:r>
        <w:t xml:space="preserve">Many prescribers, pharmacists, and carriers rely on therapeutic equivalent drugs to substitute generic form medications for brand form medications.  One reference most often used in selecting substitutes is the U.S. Food and Drug Administration (FDA) Approved Drug Products with Therapeutic Equivalence Evaluations (the Orange Book).  </w:t>
      </w:r>
    </w:p>
    <w:p w:rsidR="00E613C9" w:rsidRDefault="00E613C9">
      <w:pPr>
        <w:pStyle w:val="EndnoteText"/>
        <w:ind w:left="360"/>
      </w:pPr>
      <w:r w:rsidRPr="0009200A">
        <w:t>The publication, Approved Drug Products with Therapeutic Equivalence Evaluations (the List, commonly known as the Orange Book), identifies drug products approved on the basis of safety and effectiveness by the Food and Drug Administration (FDA) under the Federal Food, Drug, and Cosmetic Act (the FD&amp;C Act).  Drugs on the market approved only on the basis of safety (covered by the ongoing Drug Efficacy Study Implementation [DESI] review [e.g., Donnatal® Tablets and Librax® Capsules] or pre-1938 drugs [e.g., Phenobarbital</w:t>
      </w:r>
      <w:r>
        <w:t xml:space="preserve"> </w:t>
      </w:r>
      <w:r w:rsidRPr="0009200A">
        <w:t>Tablets]) are not included in this publication.  The main criterion for the inclusion of any product is that the product is the subject of an application with an effective approval that has not been withdrawn for safety or efficacy reasons.  Inclusion of products on the List is independent of any current regulatory action through administrative or judicial means against a drug product.  In addition, the List contains therapeutic equivalence evaluations for approved multisource prescription drug products.  These evaluations have been prepared to serve as public information and advice to state health agencies, prescribers, and pharmacists to promote public education in the area of drug product selection and to foster containment of health care costs.  Therapeutic equivalence evaluations in this publication are not official FDA actions affecting the legal status of products under the FD&amp;C Act.</w:t>
      </w:r>
    </w:p>
  </w:endnote>
  <w:endnote w:id="3">
    <w:p w:rsidR="00E613C9" w:rsidRDefault="00E613C9">
      <w:pPr>
        <w:pStyle w:val="EndnoteText"/>
      </w:pPr>
      <w:r>
        <w:rPr>
          <w:rStyle w:val="EndnoteReference"/>
        </w:rPr>
        <w:endnoteRef/>
      </w:r>
      <w:r>
        <w:t xml:space="preserve"> FDA.  Drugs.  Opioid Medications.  Accessed 15 August 2016:  </w:t>
      </w:r>
      <w:r w:rsidRPr="00DF3B60">
        <w:t>http://www.fda.gov/Drugs/DrugSafety/InformationbyDrugClass/ucm337066.htm</w:t>
      </w:r>
      <w:r>
        <w:t>.</w:t>
      </w:r>
    </w:p>
  </w:endnote>
  <w:endnote w:id="4">
    <w:p w:rsidR="00E613C9" w:rsidRDefault="00E613C9">
      <w:pPr>
        <w:pStyle w:val="EndnoteText"/>
      </w:pPr>
      <w:r>
        <w:rPr>
          <w:rStyle w:val="EndnoteReference"/>
        </w:rPr>
        <w:endnoteRef/>
      </w:r>
      <w:r>
        <w:t xml:space="preserve"> National Institute on Drug Abuse (NIDA).  Research Report Series.  Prescription Drugs:  Abuse and Addiction.  Accessed 6 September 2016:  </w:t>
      </w:r>
      <w:r w:rsidRPr="0059332B">
        <w:t>https://www.drugabuse.gov/sites/default/files/rrprescription.pdf</w:t>
      </w:r>
      <w:r>
        <w:t>.</w:t>
      </w:r>
    </w:p>
  </w:endnote>
  <w:endnote w:id="5">
    <w:p w:rsidR="00E613C9" w:rsidRDefault="00E613C9">
      <w:pPr>
        <w:pStyle w:val="EndnoteText"/>
      </w:pPr>
      <w:r>
        <w:rPr>
          <w:rStyle w:val="EndnoteReference"/>
        </w:rPr>
        <w:endnoteRef/>
      </w:r>
      <w:r>
        <w:t xml:space="preserve"> </w:t>
      </w:r>
      <w:r w:rsidRPr="00DF3B60">
        <w:rPr>
          <w:i/>
        </w:rPr>
        <w:t>Op</w:t>
      </w:r>
      <w:r>
        <w:rPr>
          <w:i/>
        </w:rPr>
        <w:t>. c</w:t>
      </w:r>
      <w:r w:rsidRPr="00DF3B60">
        <w:rPr>
          <w:i/>
        </w:rPr>
        <w:t>it.</w:t>
      </w:r>
      <w:r>
        <w:t xml:space="preserve">  FDA.  Drugs. Opioid Medications.</w:t>
      </w:r>
    </w:p>
  </w:endnote>
  <w:endnote w:id="6">
    <w:p w:rsidR="00E613C9" w:rsidRDefault="00E613C9">
      <w:pPr>
        <w:pStyle w:val="EndnoteText"/>
      </w:pPr>
      <w:r>
        <w:rPr>
          <w:rStyle w:val="EndnoteReference"/>
        </w:rPr>
        <w:endnoteRef/>
      </w:r>
      <w:r>
        <w:t xml:space="preserve"> </w:t>
      </w:r>
      <w:r w:rsidRPr="00DF3B60">
        <w:rPr>
          <w:i/>
        </w:rPr>
        <w:t>Op</w:t>
      </w:r>
      <w:r>
        <w:rPr>
          <w:i/>
        </w:rPr>
        <w:t>. c</w:t>
      </w:r>
      <w:r w:rsidRPr="00DF3B60">
        <w:rPr>
          <w:i/>
        </w:rPr>
        <w:t>it.</w:t>
      </w:r>
      <w:r>
        <w:rPr>
          <w:i/>
        </w:rPr>
        <w:t xml:space="preserve">  </w:t>
      </w:r>
      <w:r>
        <w:t xml:space="preserve">NIDA, Research Report Series.  Prescription Drugs:  Abuse and Addiction.  </w:t>
      </w:r>
    </w:p>
  </w:endnote>
  <w:endnote w:id="7">
    <w:p w:rsidR="00E613C9" w:rsidRDefault="00E613C9">
      <w:pPr>
        <w:pStyle w:val="EndnoteText"/>
      </w:pPr>
      <w:r>
        <w:rPr>
          <w:rStyle w:val="EndnoteReference"/>
        </w:rPr>
        <w:endnoteRef/>
      </w:r>
      <w:r>
        <w:t xml:space="preserve"> </w:t>
      </w:r>
      <w:r w:rsidRPr="00DF3B60">
        <w:rPr>
          <w:i/>
        </w:rPr>
        <w:t>Op</w:t>
      </w:r>
      <w:r>
        <w:rPr>
          <w:i/>
        </w:rPr>
        <w:t>. c</w:t>
      </w:r>
      <w:r w:rsidRPr="00DF3B60">
        <w:rPr>
          <w:i/>
        </w:rPr>
        <w:t>it.</w:t>
      </w:r>
      <w:r>
        <w:rPr>
          <w:i/>
        </w:rPr>
        <w:t xml:space="preserve">  </w:t>
      </w:r>
      <w:r>
        <w:t xml:space="preserve">NIDA, Research Report Series.  Prescription Drugs:  Abuse and Addiction. </w:t>
      </w:r>
    </w:p>
  </w:endnote>
  <w:endnote w:id="8">
    <w:p w:rsidR="00E613C9" w:rsidRDefault="00E613C9">
      <w:pPr>
        <w:pStyle w:val="EndnoteText"/>
      </w:pPr>
      <w:r>
        <w:rPr>
          <w:rStyle w:val="EndnoteReference"/>
        </w:rPr>
        <w:endnoteRef/>
      </w:r>
      <w:r>
        <w:t xml:space="preserve"> U.S. Substance Abuse and Mental Services Administration (SAMHSA).  Mental and Substance Abuse Disorders.  Substance Use Disorders.  Accessed 1 September 2016:  </w:t>
      </w:r>
      <w:r w:rsidRPr="0022245C">
        <w:t>http://www.samhsa.gov/disorders/substance-use</w:t>
      </w:r>
      <w:r>
        <w:t xml:space="preserve">.  </w:t>
      </w:r>
    </w:p>
    <w:p w:rsidR="00E613C9" w:rsidRDefault="00E613C9">
      <w:pPr>
        <w:pStyle w:val="EndnoteText"/>
        <w:ind w:left="360"/>
      </w:pPr>
      <w:r>
        <w:t xml:space="preserve">Symptoms of opioid use disorder include a strong desire for opioids, inability to control or reduce use, continued use despite interference with major obligation or social functioning, use of larger amounts over time, development of tolerance, spending a great deal of time to obtain and use opioids, and withdrawal symptoms that occur after stopping or reducing use, such as negative mood, nausea or vomiting, muscle aches, diarrhea, fever, and insomnia.  </w:t>
      </w:r>
    </w:p>
  </w:endnote>
  <w:endnote w:id="9">
    <w:p w:rsidR="00E613C9" w:rsidRDefault="00E613C9">
      <w:pPr>
        <w:pStyle w:val="EndnoteText"/>
      </w:pPr>
      <w:r>
        <w:rPr>
          <w:rStyle w:val="EndnoteReference"/>
        </w:rPr>
        <w:endnoteRef/>
      </w:r>
      <w:r>
        <w:t xml:space="preserve"> </w:t>
      </w:r>
      <w:r w:rsidRPr="00DF3B60">
        <w:rPr>
          <w:i/>
        </w:rPr>
        <w:t>Op</w:t>
      </w:r>
      <w:r>
        <w:rPr>
          <w:i/>
        </w:rPr>
        <w:t>. c</w:t>
      </w:r>
      <w:r w:rsidRPr="00DF3B60">
        <w:rPr>
          <w:i/>
        </w:rPr>
        <w:t>it.</w:t>
      </w:r>
      <w:r>
        <w:t xml:space="preserve">  FDA, Drugs.  Opioid Medications.  </w:t>
      </w:r>
    </w:p>
  </w:endnote>
  <w:endnote w:id="10">
    <w:p w:rsidR="00E613C9" w:rsidRDefault="00E613C9">
      <w:pPr>
        <w:pStyle w:val="EndnoteText"/>
      </w:pPr>
      <w:r>
        <w:rPr>
          <w:rStyle w:val="EndnoteReference"/>
        </w:rPr>
        <w:endnoteRef/>
      </w:r>
      <w:r>
        <w:t xml:space="preserve"> </w:t>
      </w:r>
      <w:r w:rsidRPr="00DF3B60">
        <w:rPr>
          <w:i/>
        </w:rPr>
        <w:t>Op</w:t>
      </w:r>
      <w:r>
        <w:rPr>
          <w:i/>
        </w:rPr>
        <w:t>. c</w:t>
      </w:r>
      <w:r w:rsidRPr="00DF3B60">
        <w:rPr>
          <w:i/>
        </w:rPr>
        <w:t>it.</w:t>
      </w:r>
      <w:r w:rsidR="008D3527">
        <w:rPr>
          <w:i/>
        </w:rPr>
        <w:t xml:space="preserve">  </w:t>
      </w:r>
      <w:r>
        <w:t>SAMHSA, Mental and Substance Use Disorders.  Substance Use Disorders.</w:t>
      </w:r>
    </w:p>
  </w:endnote>
  <w:endnote w:id="11">
    <w:p w:rsidR="00E613C9" w:rsidRDefault="00E613C9" w:rsidP="00277C06">
      <w:pPr>
        <w:pStyle w:val="EndnoteText"/>
      </w:pPr>
      <w:r>
        <w:rPr>
          <w:rStyle w:val="EndnoteReference"/>
        </w:rPr>
        <w:endnoteRef/>
      </w:r>
      <w:r>
        <w:t xml:space="preserve"> U.S. Centers for Disease Control and Prevention (CDC).  Injury Prevention &amp; Control:  Opioid Overdose.  Understanding the Epidemic.  Last reviewed and updated June 21, 2016.  Accessed 14 </w:t>
      </w:r>
      <w:r w:rsidRPr="00277C06">
        <w:t>September</w:t>
      </w:r>
      <w:r>
        <w:t xml:space="preserve"> 2016:  </w:t>
      </w:r>
      <w:r w:rsidRPr="0022245C">
        <w:t>https://www.cdc.gov/drugoverdose/epidemic/</w:t>
      </w:r>
      <w:r>
        <w:t xml:space="preserve">.  </w:t>
      </w:r>
    </w:p>
  </w:endnote>
  <w:endnote w:id="12">
    <w:p w:rsidR="00E613C9" w:rsidRDefault="00E613C9" w:rsidP="00BF6EEA">
      <w:pPr>
        <w:pStyle w:val="EndnoteText"/>
      </w:pPr>
      <w:r>
        <w:rPr>
          <w:rStyle w:val="EndnoteReference"/>
        </w:rPr>
        <w:endnoteRef/>
      </w:r>
      <w:r>
        <w:t xml:space="preserve"> </w:t>
      </w:r>
      <w:r w:rsidRPr="00DF3B60">
        <w:rPr>
          <w:i/>
        </w:rPr>
        <w:t>Op</w:t>
      </w:r>
      <w:r>
        <w:rPr>
          <w:i/>
        </w:rPr>
        <w:t>. c</w:t>
      </w:r>
      <w:r w:rsidRPr="00DF3B60">
        <w:rPr>
          <w:i/>
        </w:rPr>
        <w:t>it.</w:t>
      </w:r>
      <w:r>
        <w:t xml:space="preserve">CDC.  Injury Prevention &amp; Control:  Opioid Overdose.  Understanding the Epidemic. </w:t>
      </w:r>
    </w:p>
  </w:endnote>
  <w:endnote w:id="13">
    <w:p w:rsidR="00E613C9" w:rsidRDefault="00E613C9" w:rsidP="00BF6EEA">
      <w:pPr>
        <w:pStyle w:val="EndnoteText"/>
      </w:pPr>
      <w:r>
        <w:rPr>
          <w:rStyle w:val="EndnoteReference"/>
        </w:rPr>
        <w:endnoteRef/>
      </w:r>
      <w:r>
        <w:t xml:space="preserve"> </w:t>
      </w:r>
      <w:r w:rsidRPr="00DF3B60">
        <w:rPr>
          <w:i/>
        </w:rPr>
        <w:t>Op</w:t>
      </w:r>
      <w:r>
        <w:rPr>
          <w:i/>
        </w:rPr>
        <w:t>. c</w:t>
      </w:r>
      <w:r w:rsidRPr="00DF3B60">
        <w:rPr>
          <w:i/>
        </w:rPr>
        <w:t>it.</w:t>
      </w:r>
      <w:r>
        <w:t>CDC.</w:t>
      </w:r>
      <w:r w:rsidR="00636B31">
        <w:t xml:space="preserve">  Injury Prevention &amp; Control:  Opioid Overdose.  Understanding the Epidemic. </w:t>
      </w:r>
    </w:p>
  </w:endnote>
  <w:endnote w:id="14">
    <w:p w:rsidR="00E613C9" w:rsidRDefault="00E613C9">
      <w:pPr>
        <w:pStyle w:val="EndnoteText"/>
      </w:pPr>
      <w:r>
        <w:rPr>
          <w:rStyle w:val="EndnoteReference"/>
        </w:rPr>
        <w:endnoteRef/>
      </w:r>
      <w:r>
        <w:t xml:space="preserve"> Chapter 258 of the Massachusetts Acts of 2014: "An Act</w:t>
      </w:r>
      <w:r w:rsidRPr="009E3D07">
        <w:t xml:space="preserve"> to increase opportunities for long-term substance abuse recovery</w:t>
      </w:r>
      <w:r>
        <w:t xml:space="preserve">.”  Accessed 14 September 2016:  </w:t>
      </w:r>
      <w:r w:rsidRPr="009E3D07">
        <w:t>https://malegislature.gov/Laws/SessionLaws/Acts/2014/Chapter258</w:t>
      </w:r>
      <w:r>
        <w:t>.</w:t>
      </w:r>
    </w:p>
  </w:endnote>
  <w:endnote w:id="15">
    <w:p w:rsidR="00E613C9" w:rsidRDefault="00E613C9">
      <w:pPr>
        <w:pStyle w:val="EndnoteText"/>
      </w:pPr>
      <w:r>
        <w:rPr>
          <w:rStyle w:val="EndnoteReference"/>
        </w:rPr>
        <w:endnoteRef/>
      </w:r>
      <w:r>
        <w:t xml:space="preserve"> An opiate is any substance having an addiction-forming or addiction-sustaining liability similar to morphine or being capable of conversion in to a drug having addiction-forming or addiction-sustaining liability.  See M.G.L. c. 94C §1. </w:t>
      </w:r>
    </w:p>
  </w:endnote>
  <w:endnote w:id="16">
    <w:p w:rsidR="00E613C9" w:rsidRDefault="00E613C9">
      <w:pPr>
        <w:pStyle w:val="EndnoteText"/>
      </w:pPr>
      <w:r>
        <w:rPr>
          <w:rStyle w:val="EndnoteReference"/>
        </w:rPr>
        <w:endnoteRef/>
      </w:r>
      <w:r>
        <w:t xml:space="preserve"> Schedule II:  The drug or other substance has a high potential for abuse.  The drug or other substance has a currently accepted medical use in treatment in the United States or a currently accepted medical use with severe restrictions.  Abuse of the drug or other substances may lead to severe psychological or physical dependence.  21 U.S.C. 812.  Accessed 14 September 2016:  </w:t>
      </w:r>
      <w:r w:rsidRPr="00D17E9E">
        <w:t>http://www.deadiversion.usdoj.gov/21cfr/21usc/812.htm</w:t>
      </w:r>
      <w:r>
        <w:t>.</w:t>
      </w:r>
    </w:p>
  </w:endnote>
  <w:endnote w:id="17">
    <w:p w:rsidR="00E613C9" w:rsidRDefault="00E613C9">
      <w:pPr>
        <w:pStyle w:val="EndnoteText"/>
      </w:pPr>
      <w:r>
        <w:rPr>
          <w:rStyle w:val="EndnoteReference"/>
        </w:rPr>
        <w:endnoteRef/>
      </w:r>
      <w:r>
        <w:t xml:space="preserve"> Schedule III:  The drug or other substance has a potential for abuse less than the drugs or other substances in schedules I or II.  The drug or other substance has a currently accepted medical use in treatment in the United States.  Abuse of the drug or other substance may lead to moderate or low physical dependence or high psychological dependence.  21 U.S.C. § 812.  </w:t>
      </w:r>
    </w:p>
  </w:endnote>
  <w:endnote w:id="18">
    <w:p w:rsidR="00E613C9" w:rsidRDefault="00E613C9" w:rsidP="008F1D12">
      <w:pPr>
        <w:pStyle w:val="EndnoteText"/>
      </w:pPr>
      <w:r>
        <w:rPr>
          <w:rStyle w:val="EndnoteReference"/>
        </w:rPr>
        <w:endnoteRef/>
      </w:r>
      <w:r>
        <w:t xml:space="preserve"> Massachusetts Department of Public Health, Drug Formulary Commission (DPH-DFC). Minutes from 17 March 2016 and meeting presentation 7 April 2016.  Accessed 14 September 2016:  </w:t>
      </w:r>
      <w:r w:rsidRPr="00153B40">
        <w:t>http://www.mass.gov/eohhs/docs/dph/quality/drugcontrol/drug-formulary/2016-meetings/dfc-minutes-031716.pdf</w:t>
      </w:r>
    </w:p>
    <w:p w:rsidR="00E613C9" w:rsidRDefault="00E613C9" w:rsidP="00463AA8">
      <w:pPr>
        <w:pStyle w:val="EndnoteText"/>
        <w:ind w:left="360" w:right="360"/>
      </w:pPr>
      <w:r>
        <w:t>“Chemically Equivalent Substitution, for the purpose of creating a formulary of drugs with abuse deterrent properties that the commission has determined may be appropriately substituted for opioids 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biological effect.  Prodrugs or ingredients without analgesic effect that are used solely for abuse deterrent formulations need not be equivalent.”</w:t>
      </w:r>
    </w:p>
  </w:endnote>
  <w:endnote w:id="19">
    <w:p w:rsidR="00E613C9" w:rsidRDefault="00E613C9" w:rsidP="00ED5C1B">
      <w:pPr>
        <w:pStyle w:val="EndnoteText"/>
      </w:pPr>
      <w:r>
        <w:rPr>
          <w:rStyle w:val="EndnoteReference"/>
        </w:rPr>
        <w:endnoteRef/>
      </w:r>
      <w:r>
        <w:t xml:space="preserve"> U.S. Food and Drug Administration (FDA), Center for Drug Evaluation and Research (CDER). Approved Drug Products with Therapeutic Equivalence Evaluations, 36th Edition: Orange Book Preface.  Accessed 4 October 2016: </w:t>
      </w:r>
      <w:r w:rsidRPr="0009200A">
        <w:t>http://www.fda.gov/Drugs/DevelopmentApprovalProcess/ucm079068.htm</w:t>
      </w:r>
      <w:r>
        <w:t>.</w:t>
      </w:r>
    </w:p>
    <w:p w:rsidR="00E613C9" w:rsidRDefault="00E613C9" w:rsidP="00ED5C1B">
      <w:pPr>
        <w:pStyle w:val="EndnoteText"/>
      </w:pPr>
      <w:r>
        <w:t xml:space="preserve">Many prescribers, pharmacists, and carriers rely on therapeutic equivalent drugs to substitute generic form medications for brand form medications.  One reference most often used in selecting substitutes is the U.S. Food and Drug Administration (FDA) Approved Drug Products with Therapeutic Equivalence Evaluations (the Orange Book).  </w:t>
      </w:r>
    </w:p>
    <w:p w:rsidR="00E613C9" w:rsidRDefault="00E613C9">
      <w:pPr>
        <w:pStyle w:val="EndnoteText"/>
        <w:ind w:left="360"/>
      </w:pPr>
      <w:r w:rsidRPr="0009200A">
        <w:t>The publication, Approved Drug Products with Therapeutic Equivalence Evaluations (the List, commonly known as the Orange Book), identifies drug products approved on the basis of safety and effectiveness by the Food and Drug Administration (FDA) under the Federal Food, Drug, and Cosmetic Act (the FD&amp;C Act).  Drugs on the market approved only on the basis of safety (covered by the ongoing Drug Efficacy Study Implementation [DESI] review [e.g., Donnatal® Tablets and Librax® Capsules] or pre-1938 drugs [e.g., Phenobarbital</w:t>
      </w:r>
      <w:r>
        <w:t xml:space="preserve"> </w:t>
      </w:r>
      <w:r w:rsidRPr="0009200A">
        <w:t>Tablets]) are not included in this publication.  The main criterion for the inclusion of any product is that the product is the subject of an application with an effective approval that has not been withdrawn for safety or efficacy reasons.  Inclusion of products on the List is independent of any current regulatory action through administrative or judicial means against a drug product.  In addition, the List contains therapeutic equivalence evaluations for approved multisource prescription drug products.  These evaluations have been prepared to serve as public information and advice to state health agencies, prescribers, and pharmacists to promote public education in the area of drug product selection and to foster containment of health care costs.  Therapeutic equivalence evaluations in this publication are not official FDA actions affecting the legal status of products under the FD&amp;C Act.</w:t>
      </w:r>
    </w:p>
  </w:endnote>
  <w:endnote w:id="20">
    <w:p w:rsidR="00E613C9" w:rsidRDefault="00E613C9">
      <w:pPr>
        <w:pStyle w:val="EndnoteText"/>
      </w:pPr>
      <w:r>
        <w:rPr>
          <w:rStyle w:val="EndnoteReference"/>
        </w:rPr>
        <w:endnoteRef/>
      </w:r>
      <w:r>
        <w:t xml:space="preserve"> More information about the work of the Massachusetts Drug Formulary Commission may be found at </w:t>
      </w:r>
      <w:r w:rsidRPr="00DC2453">
        <w:t>http://www.mass.gov/eohhs/gov/departments/dph/programs/hcq/drug-control/drug-formulary-commission.html</w:t>
      </w:r>
      <w:r>
        <w:t>.</w:t>
      </w:r>
    </w:p>
  </w:endnote>
  <w:endnote w:id="21">
    <w:p w:rsidR="00E613C9" w:rsidRDefault="00E613C9" w:rsidP="00961CAC">
      <w:pPr>
        <w:pStyle w:val="EndnoteText"/>
      </w:pPr>
      <w:r>
        <w:rPr>
          <w:rStyle w:val="EndnoteReference"/>
        </w:rPr>
        <w:endnoteRef/>
      </w:r>
      <w:r>
        <w:t xml:space="preserve"> Oxycodone extended-release tablet is an authorized generic for OxyContin</w:t>
      </w:r>
      <w:r w:rsidRPr="00874E2F">
        <w:rPr>
          <w:vertAlign w:val="superscript"/>
        </w:rPr>
        <w:t>®</w:t>
      </w:r>
      <w:r>
        <w:t xml:space="preserve"> (oxycodone extended-release tablet), exhibits identical properties, and is considered a chemically equivalent substitute). </w:t>
      </w:r>
    </w:p>
  </w:endnote>
  <w:endnote w:id="22">
    <w:p w:rsidR="00E613C9" w:rsidRDefault="00E613C9" w:rsidP="00FB6107">
      <w:pPr>
        <w:pStyle w:val="EndnoteText"/>
      </w:pPr>
      <w:r>
        <w:rPr>
          <w:rStyle w:val="EndnoteReference"/>
        </w:rPr>
        <w:endnoteRef/>
      </w:r>
      <w:r>
        <w:t xml:space="preserve"> U.S. Centers for Disease Control and Prevention (CDC).  Injury Prevention &amp; Control:  Opioid Overdose.  Understanding the Epidemic.  Last reviewed and updated June 21, 2016.  Accessed 14 September 2016:  </w:t>
      </w:r>
      <w:r w:rsidRPr="0022245C">
        <w:t>https://www.cdc.gov/drugoverdose/epidemic/</w:t>
      </w:r>
      <w:r>
        <w:t xml:space="preserve">.  </w:t>
      </w:r>
    </w:p>
  </w:endnote>
  <w:endnote w:id="23">
    <w:p w:rsidR="00E613C9" w:rsidRDefault="00E613C9" w:rsidP="00FB6107">
      <w:pPr>
        <w:pStyle w:val="EndnoteText"/>
      </w:pPr>
      <w:r>
        <w:rPr>
          <w:rStyle w:val="EndnoteReference"/>
        </w:rPr>
        <w:endnoteRef/>
      </w:r>
      <w:r>
        <w:t xml:space="preserve"> </w:t>
      </w:r>
      <w:r w:rsidRPr="009164DA">
        <w:rPr>
          <w:i/>
        </w:rPr>
        <w:t>Op</w:t>
      </w:r>
      <w:r>
        <w:rPr>
          <w:i/>
        </w:rPr>
        <w:t>.</w:t>
      </w:r>
      <w:r w:rsidRPr="009164DA">
        <w:rPr>
          <w:i/>
        </w:rPr>
        <w:t xml:space="preserve"> </w:t>
      </w:r>
      <w:r>
        <w:rPr>
          <w:i/>
        </w:rPr>
        <w:t>c</w:t>
      </w:r>
      <w:r w:rsidRPr="009164DA">
        <w:rPr>
          <w:i/>
        </w:rPr>
        <w:t>it.</w:t>
      </w:r>
      <w:r>
        <w:t xml:space="preserve">  CDC, Injury Prevention &amp; Control:  Opioid Overdose. Understanding the Epidemic.</w:t>
      </w:r>
    </w:p>
  </w:endnote>
  <w:endnote w:id="24">
    <w:p w:rsidR="00E613C9" w:rsidRDefault="00E613C9" w:rsidP="000C57F0">
      <w:pPr>
        <w:pStyle w:val="EndnoteText"/>
      </w:pPr>
      <w:r>
        <w:rPr>
          <w:rStyle w:val="EndnoteReference"/>
        </w:rPr>
        <w:endnoteRef/>
      </w:r>
      <w:r>
        <w:t xml:space="preserve"> </w:t>
      </w:r>
      <w:r w:rsidRPr="006A3B53">
        <w:rPr>
          <w:i/>
        </w:rPr>
        <w:t>Op</w:t>
      </w:r>
      <w:r>
        <w:rPr>
          <w:i/>
        </w:rPr>
        <w:t>.</w:t>
      </w:r>
      <w:r w:rsidRPr="006A3B53">
        <w:rPr>
          <w:i/>
        </w:rPr>
        <w:t xml:space="preserve"> Cit.</w:t>
      </w:r>
      <w:r>
        <w:t xml:space="preserve">  CDC, Injury Prevention &amp; Control:  Opioid Overdose.</w:t>
      </w:r>
      <w:r w:rsidRPr="006A2750">
        <w:t xml:space="preserve"> </w:t>
      </w:r>
      <w:r>
        <w:t>Understanding the Epidemic.</w:t>
      </w:r>
    </w:p>
  </w:endnote>
  <w:endnote w:id="25">
    <w:p w:rsidR="00E613C9" w:rsidRDefault="00E613C9" w:rsidP="00FB6107">
      <w:pPr>
        <w:pStyle w:val="EndnoteText"/>
      </w:pPr>
      <w:r>
        <w:rPr>
          <w:rStyle w:val="EndnoteReference"/>
        </w:rPr>
        <w:endnoteRef/>
      </w:r>
      <w:r>
        <w:t xml:space="preserve"> CDC. Injury Prevention &amp; Control:  Opioid Overdose.  Prescription Opioid Overdose Data.  Accessed 14 September 2016.  Accessed 14 September 2016:  </w:t>
      </w:r>
      <w:r w:rsidRPr="007D3AD9">
        <w:t>http://www.cdc.gov/drugoverdose/data/overdose.html</w:t>
      </w:r>
      <w:r>
        <w:t>.</w:t>
      </w:r>
    </w:p>
  </w:endnote>
  <w:endnote w:id="26">
    <w:p w:rsidR="00E613C9" w:rsidRDefault="00E613C9" w:rsidP="00FB6107">
      <w:pPr>
        <w:pStyle w:val="EndnoteText"/>
      </w:pPr>
      <w:r>
        <w:rPr>
          <w:rStyle w:val="EndnoteReference"/>
        </w:rPr>
        <w:endnoteRef/>
      </w:r>
      <w:r>
        <w:t xml:space="preserve"> Massachusetts Department of Public Health. Data Brief:  Opioid-related Overdose Deaths Among Massachusetts Residents.  Posted: August 2016.  Accessed 13 September 2016:  </w:t>
      </w:r>
      <w:r w:rsidRPr="009273D9">
        <w:t>http://www.mass.gov/eohhs/docs/dph/quality/drugcontrol/county-level-pmp/opioid-related-overdose-deaths-among-ma-residents-august-2016.pdf</w:t>
      </w:r>
      <w:r>
        <w:t>.</w:t>
      </w:r>
    </w:p>
  </w:endnote>
  <w:endnote w:id="27">
    <w:p w:rsidR="00E613C9" w:rsidRDefault="00E613C9" w:rsidP="00FB6107">
      <w:pPr>
        <w:pStyle w:val="EndnoteText"/>
      </w:pPr>
      <w:r>
        <w:rPr>
          <w:rStyle w:val="EndnoteReference"/>
        </w:rPr>
        <w:endnoteRef/>
      </w:r>
      <w:r>
        <w:t xml:space="preserve"> Bond M, Malamut R.  Routes of abuse of prescription opioid analgesics:  a review and assessment of the potential impact of abuse-deterrent formulations.  Accessed 2 September 2016:  </w:t>
      </w:r>
      <w:r w:rsidRPr="00BA0B59">
        <w:t>http://www.tandfonline.com/doi/full/10.1080/00325481.2016.1120642?scroll=top&amp;needAccess=true</w:t>
      </w:r>
      <w:r>
        <w:t>.</w:t>
      </w:r>
    </w:p>
  </w:endnote>
  <w:endnote w:id="28">
    <w:p w:rsidR="00E613C9" w:rsidRDefault="00E613C9" w:rsidP="00FB6107">
      <w:pPr>
        <w:pStyle w:val="EndnoteText"/>
      </w:pPr>
      <w:r>
        <w:rPr>
          <w:rStyle w:val="EndnoteReference"/>
        </w:rPr>
        <w:endnoteRef/>
      </w:r>
      <w:r>
        <w:t xml:space="preserve"> </w:t>
      </w:r>
      <w:r>
        <w:rPr>
          <w:i/>
        </w:rPr>
        <w:t>Op. cit.</w:t>
      </w:r>
      <w:r>
        <w:t xml:space="preserve">  Bond M, Malamut R, Routes of abuse of prescription opioid analgesics:  a review and assessment of the potential impact of abuse-deterrent formulations.</w:t>
      </w:r>
    </w:p>
  </w:endnote>
  <w:endnote w:id="29">
    <w:p w:rsidR="00E613C9" w:rsidRDefault="00E613C9" w:rsidP="00FB6107">
      <w:pPr>
        <w:pStyle w:val="EndnoteText"/>
      </w:pPr>
      <w:r>
        <w:rPr>
          <w:rStyle w:val="EndnoteReference"/>
        </w:rPr>
        <w:endnoteRef/>
      </w:r>
      <w:r>
        <w:t xml:space="preserve"> Argoff CE, Silvershein DI.  A Comparison of Long- and Short-Acting Opioids for the Treatment of Chronic Noncancer Pain:  Tailoring Therapy to Meet Patient Needs.  Mayo Clinic Proceedings.  Mayo Clin Proc. 2009 Jul; 84(7):  602-612.  Accessed 13 September 2016:  </w:t>
      </w:r>
      <w:r w:rsidRPr="0023637F">
        <w:t>http://www.ncbi.nlm.nih.gov/pmc/articles/PMC2704132/</w:t>
      </w:r>
      <w:r>
        <w:t>.</w:t>
      </w:r>
    </w:p>
  </w:endnote>
  <w:endnote w:id="30">
    <w:p w:rsidR="00E613C9" w:rsidRDefault="00E613C9" w:rsidP="00A34BAA">
      <w:pPr>
        <w:pStyle w:val="EndnoteText"/>
      </w:pPr>
      <w:r>
        <w:rPr>
          <w:rStyle w:val="EndnoteReference"/>
        </w:rPr>
        <w:endnoteRef/>
      </w:r>
      <w:r>
        <w:t xml:space="preserve"> U.S. Substance Abuse and Mental Services Administration (SAMHSA).  Mental and Substance Abuse Disorders.  Substance Use Disorders.  Accessed 1 September 2016:  </w:t>
      </w:r>
      <w:r w:rsidRPr="0022245C">
        <w:t>http://www.samhsa.gov/disorders/substance-use</w:t>
      </w:r>
      <w:r>
        <w:t xml:space="preserve">.  </w:t>
      </w:r>
    </w:p>
  </w:endnote>
  <w:endnote w:id="31">
    <w:p w:rsidR="00E613C9" w:rsidRDefault="00E613C9" w:rsidP="00A34BAA">
      <w:pPr>
        <w:pStyle w:val="EndnoteText"/>
      </w:pPr>
      <w:r>
        <w:rPr>
          <w:rStyle w:val="EndnoteReference"/>
        </w:rPr>
        <w:endnoteRef/>
      </w:r>
      <w:r>
        <w:t xml:space="preserve"> </w:t>
      </w:r>
      <w:r w:rsidRPr="00C5652E">
        <w:rPr>
          <w:i/>
        </w:rPr>
        <w:t xml:space="preserve">Op. </w:t>
      </w:r>
      <w:r>
        <w:rPr>
          <w:i/>
        </w:rPr>
        <w:t>c</w:t>
      </w:r>
      <w:r w:rsidRPr="00C5652E">
        <w:rPr>
          <w:i/>
        </w:rPr>
        <w:t>it.</w:t>
      </w:r>
      <w:r>
        <w:t xml:space="preserve"> SAMHSA, Substance Use Disorders.  </w:t>
      </w:r>
    </w:p>
  </w:endnote>
  <w:endnote w:id="32">
    <w:p w:rsidR="00E613C9" w:rsidRDefault="00E613C9" w:rsidP="0040225C">
      <w:pPr>
        <w:pStyle w:val="EndnoteText"/>
      </w:pPr>
      <w:r>
        <w:rPr>
          <w:rStyle w:val="EndnoteReference"/>
        </w:rPr>
        <w:endnoteRef/>
      </w:r>
      <w:r>
        <w:t xml:space="preserve"> FDA Center for Drug Evaluation and Research (FDA-CDER).  Abuse-Deterrent Opioids-Evaluation and Labeling:  Guidance for Industry.  Accessed 2 September 2016:  </w:t>
      </w:r>
      <w:r w:rsidRPr="000B5EB5">
        <w:t>http://www.fda.gov/downloads/drugs/guidancecomplianceregulatoryinformation/guidances/ucm334743.pdf</w:t>
      </w:r>
      <w:r>
        <w:t>.</w:t>
      </w:r>
    </w:p>
  </w:endnote>
  <w:endnote w:id="33">
    <w:p w:rsidR="00E613C9" w:rsidRDefault="00E613C9" w:rsidP="0040225C">
      <w:pPr>
        <w:pStyle w:val="EndnoteText"/>
      </w:pPr>
      <w:r>
        <w:rPr>
          <w:rStyle w:val="EndnoteReference"/>
        </w:rPr>
        <w:endnoteRef/>
      </w:r>
      <w:r>
        <w:t xml:space="preserve"> FDA. FDA Facts: Abuse-Deterrent Opioid Medications.  Accessed 27 August 2016:  </w:t>
      </w:r>
      <w:r w:rsidRPr="00784A0D">
        <w:t>http://www.fda.gov/NewsEvents/Newsroom/FactSheets/ucm514939.htm</w:t>
      </w:r>
      <w:r>
        <w:t>.</w:t>
      </w:r>
    </w:p>
  </w:endnote>
  <w:endnote w:id="34">
    <w:p w:rsidR="00E613C9" w:rsidRDefault="00E613C9" w:rsidP="0040225C">
      <w:pPr>
        <w:pStyle w:val="EndnoteText"/>
      </w:pPr>
      <w:r>
        <w:rPr>
          <w:rStyle w:val="EndnoteReference"/>
        </w:rPr>
        <w:endnoteRef/>
      </w:r>
      <w:r>
        <w:t xml:space="preserve"> </w:t>
      </w:r>
      <w:r w:rsidRPr="00A83D55">
        <w:rPr>
          <w:i/>
        </w:rPr>
        <w:t xml:space="preserve">Op. </w:t>
      </w:r>
      <w:r>
        <w:rPr>
          <w:i/>
        </w:rPr>
        <w:t>ci</w:t>
      </w:r>
      <w:r w:rsidRPr="00A83D55">
        <w:rPr>
          <w:i/>
        </w:rPr>
        <w:t>t.</w:t>
      </w:r>
      <w:r>
        <w:t xml:space="preserve">  FDA, FDA Facts:  Abuse Deterrent Opioid Medications. </w:t>
      </w:r>
    </w:p>
    <w:p w:rsidR="00E613C9" w:rsidRDefault="00E613C9" w:rsidP="0040225C">
      <w:pPr>
        <w:pStyle w:val="EndnoteText"/>
      </w:pPr>
      <w:r>
        <w:t xml:space="preserve">FDA approved extended-release/long-acting abuse deterrent opioids include OxyContin, Targiniq ER, Embeda, Hysingla ER, MorphaBond, Xtampaza ER, Troxca ER.  </w:t>
      </w:r>
    </w:p>
  </w:endnote>
  <w:endnote w:id="35">
    <w:p w:rsidR="00E613C9" w:rsidRDefault="00E613C9" w:rsidP="0040225C">
      <w:pPr>
        <w:pStyle w:val="EndnoteText"/>
      </w:pPr>
      <w:r>
        <w:rPr>
          <w:rStyle w:val="EndnoteReference"/>
        </w:rPr>
        <w:endnoteRef/>
      </w:r>
      <w:r>
        <w:t xml:space="preserve"> </w:t>
      </w:r>
      <w:r>
        <w:rPr>
          <w:i/>
        </w:rPr>
        <w:t>Op. cit.</w:t>
      </w:r>
      <w:r>
        <w:t xml:space="preserve">  FDA, FDA Facts:  Abuse Deterrent Opioid Medications.</w:t>
      </w:r>
    </w:p>
  </w:endnote>
  <w:endnote w:id="36">
    <w:p w:rsidR="00E613C9" w:rsidRDefault="00E613C9" w:rsidP="00820026">
      <w:pPr>
        <w:pStyle w:val="EndnoteText"/>
      </w:pPr>
      <w:r>
        <w:rPr>
          <w:rStyle w:val="EndnoteReference"/>
        </w:rPr>
        <w:endnoteRef/>
      </w:r>
      <w:r w:rsidR="008D3527">
        <w:t xml:space="preserve"> Wermuth CG, Ga</w:t>
      </w:r>
      <w:r>
        <w:t xml:space="preserve">nellin CR, Lindberg P, et. al.  Glossary of Terms Used in Medicinal Chemistry; IUPAC Recommendations 1998. International Union of Pure and Applied Chemistry, Chemistry and Human Health Division, Medicinal Chemistry Section. Pure &amp; App </w:t>
      </w:r>
      <w:r w:rsidRPr="00820026">
        <w:t>Chem.</w:t>
      </w:r>
      <w:r>
        <w:t xml:space="preserve"> 1998;70(5):1129-43. Accessed 19 September 2016: </w:t>
      </w:r>
      <w:r w:rsidRPr="00820026">
        <w:t>https://www.iupac.org/publications/pac/1998/pdf/7005x1129.pdf</w:t>
      </w:r>
      <w:r>
        <w:t>.</w:t>
      </w:r>
    </w:p>
    <w:p w:rsidR="00E613C9" w:rsidRDefault="00E613C9" w:rsidP="00277C06">
      <w:pPr>
        <w:pStyle w:val="EndnoteText"/>
        <w:ind w:left="360"/>
      </w:pPr>
      <w:r w:rsidRPr="00820026">
        <w:rPr>
          <w:u w:val="single"/>
        </w:rPr>
        <w:t>Prodrug</w:t>
      </w:r>
      <w:r>
        <w:t xml:space="preserve">: A prodrug is any compound that undergoes biotransformation before exhibiting its pharmacological effects. Prodrugs can thus be viewed as drugs containing specialized non-toxic protective groups used in a transient manner to alter or to eliminate undesirable properties in the parent molecule. </w:t>
      </w:r>
    </w:p>
  </w:endnote>
  <w:endnote w:id="37">
    <w:p w:rsidR="00E613C9" w:rsidRPr="00DC053E" w:rsidRDefault="00E613C9">
      <w:pPr>
        <w:pStyle w:val="EndnoteText"/>
      </w:pPr>
      <w:r>
        <w:rPr>
          <w:rStyle w:val="EndnoteReference"/>
        </w:rPr>
        <w:endnoteRef/>
      </w:r>
      <w:r>
        <w:t xml:space="preserve"> </w:t>
      </w:r>
      <w:r>
        <w:rPr>
          <w:i/>
        </w:rPr>
        <w:t xml:space="preserve">Op. cit. </w:t>
      </w:r>
      <w:r>
        <w:t>Massachusetts Department of Public Health, Drug Formulary Commission (DPH-DFC), Minutes from 17 March 2016 and meeting presentation 7 April 2016.</w:t>
      </w:r>
    </w:p>
  </w:endnote>
  <w:endnote w:id="38">
    <w:p w:rsidR="00E613C9" w:rsidRDefault="00E613C9">
      <w:pPr>
        <w:pStyle w:val="EndnoteText"/>
      </w:pPr>
      <w:r>
        <w:rPr>
          <w:rStyle w:val="EndnoteReference"/>
        </w:rPr>
        <w:endnoteRef/>
      </w:r>
      <w:r>
        <w:t xml:space="preserve"> M.G.L. c. 112 §12D. </w:t>
      </w:r>
    </w:p>
  </w:endnote>
  <w:endnote w:id="39">
    <w:p w:rsidR="00E613C9" w:rsidRDefault="00E613C9">
      <w:pPr>
        <w:pStyle w:val="EndnoteText"/>
      </w:pPr>
      <w:r>
        <w:rPr>
          <w:rStyle w:val="EndnoteReference"/>
        </w:rPr>
        <w:endnoteRef/>
      </w:r>
      <w:r>
        <w:t xml:space="preserve"> Massachusetts Department of Public Health, Drug Formulary Commission (DPH-DFC). Minutes from 15 October 2016.  Accessed 14 September 2016:  </w:t>
      </w:r>
      <w:r w:rsidRPr="006578BE">
        <w:t>http://www.mass.gov/eohhs/docs/dph/quality/drugcontrol/drug-formulary/dfc-minutes-101515.doc</w:t>
      </w:r>
      <w:r>
        <w:t>.</w:t>
      </w:r>
    </w:p>
  </w:endnote>
  <w:endnote w:id="40">
    <w:p w:rsidR="00E613C9" w:rsidRDefault="00E613C9" w:rsidP="00934601">
      <w:pPr>
        <w:pStyle w:val="EndnoteText"/>
      </w:pPr>
      <w:r>
        <w:rPr>
          <w:rStyle w:val="EndnoteReference"/>
        </w:rPr>
        <w:endnoteRef/>
      </w:r>
      <w:r>
        <w:t xml:space="preserve"> DPH, </w:t>
      </w:r>
      <w:r w:rsidRPr="00934601">
        <w:t>Massachusetts Prescription Monitoring Program</w:t>
      </w:r>
      <w:r>
        <w:t xml:space="preserve"> (MA-PMP).  Accessed 15 September 2016: </w:t>
      </w:r>
      <w:r w:rsidRPr="00934601">
        <w:t>http://www.mass.gov/eohhs/gov/departments/dph/programs/hcq/drug-control/pmp/</w:t>
      </w:r>
      <w:r>
        <w:t>.</w:t>
      </w:r>
    </w:p>
    <w:p w:rsidR="00E613C9" w:rsidRDefault="00E613C9" w:rsidP="00277C06">
      <w:pPr>
        <w:pStyle w:val="EndnoteText"/>
        <w:ind w:left="360"/>
      </w:pPr>
      <w:r>
        <w:t>The MA PMP collects dispensing information on Massachusetts Schedule II through V controlled substances dispensed pursuant to a prescription. Schedules II through V consist of those prescription drug products with recognized potential for abuse or dependence (e.g., narcotics, stimulants, sedatives). Consequently they are among those most sought for illicit and non-medical use. The Drug Control Program (DCP) analyzes the PMP data to determine prescribing and dispensing trends; provide patient prescription history information to prescribers and dispensers; provide educational information to health care providers and the public; and to provide case information to regulatory and law enforcement agencies concerning drug distribution and diversion.</w:t>
      </w:r>
    </w:p>
    <w:p w:rsidR="00E613C9" w:rsidRDefault="00E613C9" w:rsidP="00277C06">
      <w:pPr>
        <w:pStyle w:val="EndnoteText"/>
        <w:ind w:left="360"/>
      </w:pPr>
      <w:r>
        <w:t>The Department of Public Health’s DCP established the MA PMP in 1992 pursuant to joint regulations (105 CMR 700.012) with the Board of Registration in Pharmacy (247 CMR 5.04). The prescription information is reported electronically to the PMP at least every 24 hours, or next business day, from all Massachusetts community, hospital outpatient and clinic pharmacies as well as from out-of-state mail order pharmacies that deliver to patients in Massachusetts.</w:t>
      </w:r>
    </w:p>
  </w:endnote>
  <w:endnote w:id="41">
    <w:p w:rsidR="00E613C9" w:rsidRDefault="00E613C9" w:rsidP="001502B2">
      <w:pPr>
        <w:pStyle w:val="EndnoteText"/>
      </w:pPr>
      <w:r>
        <w:rPr>
          <w:rStyle w:val="EndnoteReference"/>
        </w:rPr>
        <w:endnoteRef/>
      </w:r>
      <w:r>
        <w:t xml:space="preserve"> Massachusetts Executive Office of Health and Human Services (MA EOHHS). Letter from Eric Sheehan, J.D., Bureau Director, Bureau of Health Care Safety and Quality; and Chair Designee, Massachusetts Drug Formulary Commission to Massachusetts prescribers.  Letter dated 26 August 2016.  Accessed 4 October 2016: </w:t>
      </w:r>
      <w:r w:rsidRPr="001502B2">
        <w:t>http://www.mass.gov/eohhs/docs/dph/quality/drugcontrol/drug-formulary/non-opioid-drug-list-and-letter-july2016.pdf</w:t>
      </w:r>
      <w:r>
        <w:t>.</w:t>
      </w:r>
    </w:p>
  </w:endnote>
  <w:endnote w:id="42">
    <w:p w:rsidR="00E613C9" w:rsidRDefault="00E613C9">
      <w:pPr>
        <w:pStyle w:val="EndnoteText"/>
      </w:pPr>
      <w:r>
        <w:rPr>
          <w:rStyle w:val="EndnoteReference"/>
        </w:rPr>
        <w:endnoteRef/>
      </w:r>
      <w:r>
        <w:t xml:space="preserve"> P.L. 114-198, “Comprehensive Addiction and Recovery Act of 2016.”  Accessed 1 September 2016:  </w:t>
      </w:r>
      <w:r w:rsidRPr="00131B29">
        <w:t>https://www.congress.gov/114/plaws/publ198/PLAW-114publ198.pdf</w:t>
      </w:r>
      <w:r>
        <w:t>.</w:t>
      </w:r>
    </w:p>
  </w:endnote>
  <w:endnote w:id="43">
    <w:p w:rsidR="00E613C9" w:rsidRDefault="00E613C9" w:rsidP="00AB109F">
      <w:pPr>
        <w:pStyle w:val="EndnoteText"/>
      </w:pPr>
      <w:r>
        <w:rPr>
          <w:rStyle w:val="EndnoteReference"/>
        </w:rPr>
        <w:endnoteRef/>
      </w:r>
      <w:r>
        <w:t xml:space="preserve"> </w:t>
      </w:r>
      <w:r w:rsidRPr="00A627FC">
        <w:t>U.S. Department of Labor, Bureau of Labor Statistics</w:t>
      </w:r>
      <w:r>
        <w:t xml:space="preserve"> (BLS)</w:t>
      </w:r>
      <w:r w:rsidRPr="00A627FC">
        <w:t xml:space="preserve">.  Consumer Price Index. CPI Detailed Report, </w:t>
      </w:r>
      <w:r>
        <w:t xml:space="preserve">Data for </w:t>
      </w:r>
      <w:r w:rsidRPr="00A627FC">
        <w:t>July 2016: Table 25. Historical Consumer Price Index for All Urban Consumers (CPI-U): U.S. city average, by commodity and service group and detailed expenditure categories</w:t>
      </w:r>
      <w:r>
        <w:t xml:space="preserve">.  Accessed 7 September 2016: </w:t>
      </w:r>
      <w:r w:rsidRPr="00A627FC">
        <w:t>http://www.bls.gov/cpi/cpid1607.pdf</w:t>
      </w:r>
      <w:r>
        <w:t>.</w:t>
      </w:r>
    </w:p>
  </w:endnote>
  <w:endnote w:id="44">
    <w:p w:rsidR="00E613C9" w:rsidRPr="002106EE" w:rsidRDefault="00E613C9" w:rsidP="00AB109F">
      <w:pPr>
        <w:spacing w:after="120" w:line="240" w:lineRule="auto"/>
        <w:rPr>
          <w:rFonts w:asciiTheme="minorHAnsi" w:hAnsiTheme="minorHAnsi"/>
        </w:rPr>
      </w:pPr>
      <w:r w:rsidRPr="003737AE">
        <w:rPr>
          <w:rStyle w:val="EndnoteReference"/>
          <w:rFonts w:asciiTheme="minorHAnsi" w:hAnsiTheme="minorHAnsi"/>
          <w:sz w:val="20"/>
        </w:rPr>
        <w:endnoteRef/>
      </w:r>
      <w:r w:rsidRPr="003737AE">
        <w:rPr>
          <w:rFonts w:asciiTheme="minorHAnsi" w:hAnsiTheme="minorHAnsi"/>
          <w:sz w:val="20"/>
        </w:rPr>
        <w:t xml:space="preserve"> The allowed amount and paid claims PMPM estimates developed from claim data for the present study drew upon calendar year 2014 data from CHIA’s Massachuset</w:t>
      </w:r>
      <w:r>
        <w:rPr>
          <w:rFonts w:asciiTheme="minorHAnsi" w:hAnsiTheme="minorHAnsi"/>
          <w:sz w:val="20"/>
        </w:rPr>
        <w:t>ts All Payer Claim Database (MA-</w:t>
      </w:r>
      <w:r w:rsidRPr="003737AE">
        <w:rPr>
          <w:rFonts w:asciiTheme="minorHAnsi" w:hAnsiTheme="minorHAnsi"/>
          <w:sz w:val="20"/>
        </w:rPr>
        <w:t>APCD) Release 4.0.  CHIA collects and manages data from commercial carriers, third party administrators, and public programs.  CHIA works with each carrier to conduct a quality contr</w:t>
      </w:r>
      <w:r>
        <w:rPr>
          <w:rFonts w:asciiTheme="minorHAnsi" w:hAnsiTheme="minorHAnsi"/>
          <w:sz w:val="20"/>
        </w:rPr>
        <w:t>ol process on the MA-</w:t>
      </w:r>
      <w:r w:rsidRPr="003737AE">
        <w:rPr>
          <w:rFonts w:asciiTheme="minorHAnsi" w:hAnsiTheme="minorHAnsi"/>
          <w:sz w:val="20"/>
        </w:rPr>
        <w:t>APCD data, and “clears” data through this process on a carrier-by-carrier basis as this process is complete.</w:t>
      </w:r>
      <w:r>
        <w:rPr>
          <w:rFonts w:asciiTheme="minorHAnsi" w:hAnsiTheme="minorHAnsi"/>
          <w:sz w:val="20"/>
        </w:rPr>
        <w:t xml:space="preserve">  The MA-</w:t>
      </w:r>
      <w:r w:rsidRPr="003737AE">
        <w:rPr>
          <w:rFonts w:asciiTheme="minorHAnsi" w:hAnsiTheme="minorHAnsi"/>
          <w:sz w:val="20"/>
        </w:rPr>
        <w:t>APCD quality-controlled pharmacy claim data sample includes the three largest commercial carriers in the Commonwealth and MassHealth.  Th</w:t>
      </w:r>
      <w:r w:rsidRPr="003737AE">
        <w:rPr>
          <w:rFonts w:asciiTheme="minorHAnsi" w:hAnsiTheme="minorHAnsi"/>
          <w:color w:val="1F497D"/>
          <w:sz w:val="20"/>
        </w:rPr>
        <w:t>e</w:t>
      </w:r>
      <w:r w:rsidRPr="003737AE">
        <w:rPr>
          <w:rFonts w:asciiTheme="minorHAnsi" w:hAnsiTheme="minorHAnsi"/>
          <w:sz w:val="20"/>
        </w:rPr>
        <w:t xml:space="preserve"> quality-controlled sample of three commercial carriers comprises approximately 60 percent of total commercial fully-insured and GIC primary pharmacy membership under age 65 in the Commonwealth.  Compass relied upon this quality-controlled data sample after verifying basic reasonableness checks on membership and expenses.  Cost estimates contained in this report assume that the PMPM costs obtained from the MA</w:t>
      </w:r>
      <w:r>
        <w:rPr>
          <w:rFonts w:asciiTheme="minorHAnsi" w:hAnsiTheme="minorHAnsi"/>
          <w:sz w:val="20"/>
        </w:rPr>
        <w:t>-</w:t>
      </w:r>
      <w:r w:rsidRPr="003737AE">
        <w:rPr>
          <w:rFonts w:asciiTheme="minorHAnsi" w:hAnsiTheme="minorHAnsi"/>
          <w:sz w:val="20"/>
        </w:rPr>
        <w:t>APCD sample data are representative of the overall fully-insured commercial under-65 population.</w:t>
      </w:r>
      <w:r w:rsidRPr="002106EE">
        <w:rPr>
          <w:rFonts w:asciiTheme="minorHAnsi" w:hAnsiTheme="minorHAnsi"/>
          <w:szCs w:val="24"/>
        </w:rPr>
        <w:t xml:space="preserve"> </w:t>
      </w:r>
    </w:p>
  </w:endnote>
  <w:endnote w:id="45">
    <w:p w:rsidR="00E613C9" w:rsidRDefault="00E613C9" w:rsidP="00AB109F">
      <w:pPr>
        <w:pStyle w:val="EndnoteText"/>
      </w:pPr>
      <w:r>
        <w:rPr>
          <w:rStyle w:val="EndnoteReference"/>
        </w:rPr>
        <w:endnoteRef/>
      </w:r>
      <w:r>
        <w:t xml:space="preserve"> First Data Bank (FDB). Drug Pricing Policy.  Accessed 8 September 2016: </w:t>
      </w:r>
      <w:r w:rsidRPr="008B5FFF">
        <w:t>http://www.fdbhealth.com/policies/drug-pricing-policy/</w:t>
      </w:r>
      <w:r>
        <w:t>.</w:t>
      </w:r>
    </w:p>
    <w:p w:rsidR="00E613C9" w:rsidRDefault="00E613C9" w:rsidP="00AB109F">
      <w:pPr>
        <w:pStyle w:val="EndnoteText"/>
        <w:ind w:left="360"/>
      </w:pPr>
      <w:r>
        <w:t>Wholesale Acquisition Cost (WAC): as published by FDB represents the manufacturer's (for purposes of this Drug Price Policy, the term "manufacturer" includes manufacturers, repackagers, private labelers and other suppliers) published catalog or list price for a drug product to wholesalers as reported to First Databank by the manufacturer. WAC does not represent actual transaction prices and does not include prompt pay or other discounts, rebates or reductions in price. First Databank does not perform any independent investigation or analysis of actual transaction prices for purposes of reporting WAC. First Databank relies on manufacturers to report or otherwise make available the values for the WAC data field.</w:t>
      </w:r>
    </w:p>
  </w:endnote>
  <w:endnote w:id="46">
    <w:p w:rsidR="00E613C9" w:rsidRDefault="00E613C9" w:rsidP="00AB109F">
      <w:pPr>
        <w:pStyle w:val="EndnoteText"/>
      </w:pPr>
      <w:r>
        <w:rPr>
          <w:rStyle w:val="EndnoteReference"/>
        </w:rPr>
        <w:endnoteRef/>
      </w:r>
      <w:r>
        <w:t xml:space="preserve"> </w:t>
      </w:r>
      <w:r>
        <w:rPr>
          <w:i/>
        </w:rPr>
        <w:t xml:space="preserve">Op. cit. </w:t>
      </w:r>
      <w:r>
        <w:t>BLS,</w:t>
      </w:r>
      <w:r w:rsidRPr="00A627FC">
        <w:t xml:space="preserve"> Consumer Price Index. CPI Detailed Report, </w:t>
      </w:r>
      <w:r>
        <w:t xml:space="preserve">Data for </w:t>
      </w:r>
      <w:r w:rsidRPr="00A627FC">
        <w:t>July 2016</w:t>
      </w:r>
      <w:r>
        <w:t>: Table 25.</w:t>
      </w:r>
    </w:p>
  </w:endnote>
  <w:endnote w:id="47">
    <w:p w:rsidR="00E613C9" w:rsidRDefault="00E613C9" w:rsidP="00AB109F">
      <w:pPr>
        <w:pStyle w:val="EndnoteText"/>
      </w:pPr>
      <w:r>
        <w:rPr>
          <w:rStyle w:val="EndnoteReference"/>
        </w:rPr>
        <w:endnoteRef/>
      </w:r>
      <w:r>
        <w:t xml:space="preserve"> </w:t>
      </w:r>
      <w:r w:rsidR="008D3527">
        <w:t>Chapter 258 of the Massachusetts Acts of 2014:  “An Act to increase opportunities for long-term substance abuse recovery.”  Accessed 1 September 2016:  https://malegislature.gov/Laws/SessionLaws/Acts/2014/Chapter258</w:t>
      </w:r>
      <w:r>
        <w:t xml:space="preserve">. </w:t>
      </w:r>
    </w:p>
  </w:endnote>
  <w:endnote w:id="48">
    <w:p w:rsidR="00E613C9" w:rsidRDefault="00E613C9" w:rsidP="00AB109F">
      <w:pPr>
        <w:pStyle w:val="EndnoteText"/>
      </w:pPr>
      <w:r>
        <w:rPr>
          <w:rStyle w:val="EndnoteReference"/>
        </w:rPr>
        <w:endnoteRef/>
      </w:r>
      <w:r>
        <w:t xml:space="preserve"> In its cost evaluations, DPH focused only on conversions where a single ADO dose is used to replace a single HPHR opioid dose, and did not include ADO pills combined to reach a chemically-equivalent dose of an HPHR opioid.</w:t>
      </w:r>
    </w:p>
  </w:endnote>
  <w:endnote w:id="49">
    <w:p w:rsidR="00E613C9" w:rsidRDefault="00E613C9" w:rsidP="00AB109F">
      <w:pPr>
        <w:pStyle w:val="EndnoteText"/>
      </w:pPr>
      <w:r>
        <w:rPr>
          <w:rStyle w:val="EndnoteReference"/>
        </w:rPr>
        <w:endnoteRef/>
      </w:r>
      <w:r>
        <w:rPr>
          <w:i/>
        </w:rPr>
        <w:t>Op. cit.</w:t>
      </w:r>
      <w:r>
        <w:t xml:space="preserve"> FDA-</w:t>
      </w:r>
      <w:r w:rsidRPr="00DE20E9">
        <w:t>CDER</w:t>
      </w:r>
      <w:r>
        <w:t>, Abuse-Deterrent Opioids: Evaluation and Labeling, Guidance for Industry.</w:t>
      </w:r>
    </w:p>
  </w:endnote>
  <w:endnote w:id="50">
    <w:p w:rsidR="00E613C9" w:rsidRDefault="00E613C9" w:rsidP="003866B6">
      <w:pPr>
        <w:pStyle w:val="EndnoteText"/>
      </w:pPr>
      <w:r>
        <w:rPr>
          <w:rStyle w:val="EndnoteReference"/>
        </w:rPr>
        <w:endnoteRef/>
      </w:r>
      <w:r>
        <w:t xml:space="preserve"> </w:t>
      </w:r>
      <w:r>
        <w:rPr>
          <w:i/>
        </w:rPr>
        <w:t xml:space="preserve">Op. cit. </w:t>
      </w:r>
      <w:r>
        <w:t>BLS,</w:t>
      </w:r>
      <w:r w:rsidRPr="00A627FC">
        <w:t xml:space="preserve"> Consumer Price Index. CPI Detailed Report, </w:t>
      </w:r>
      <w:r>
        <w:t xml:space="preserve">Data for </w:t>
      </w:r>
      <w:r w:rsidRPr="00A627FC">
        <w:t>July 2016</w:t>
      </w:r>
      <w:r>
        <w:t>: Table 25.</w:t>
      </w:r>
    </w:p>
  </w:endnote>
  <w:endnote w:id="51">
    <w:p w:rsidR="00E613C9" w:rsidRPr="00A45DD7" w:rsidRDefault="00E613C9" w:rsidP="00AB109F">
      <w:pPr>
        <w:pStyle w:val="EndnoteText"/>
      </w:pPr>
      <w:r>
        <w:rPr>
          <w:rStyle w:val="EndnoteReference"/>
        </w:rPr>
        <w:endnoteRef/>
      </w:r>
      <w:r>
        <w:t xml:space="preserve"> </w:t>
      </w:r>
      <w:r w:rsidRPr="0033157B">
        <w:t xml:space="preserve">Massachusetts Center for Health Information and Analysis. </w:t>
      </w:r>
      <w:r>
        <w:t xml:space="preserve"> (MA-CHIA).  </w:t>
      </w:r>
      <w:r w:rsidRPr="0033157B">
        <w:t>Annual Report on the Massachusetts</w:t>
      </w:r>
      <w:r>
        <w:t xml:space="preserve"> Health Care System, </w:t>
      </w:r>
      <w:r w:rsidRPr="00A45DD7">
        <w:t>September</w:t>
      </w:r>
      <w:r>
        <w:t xml:space="preserve"> 2016.  Accessed 12 September</w:t>
      </w:r>
      <w:r w:rsidRPr="00A45DD7">
        <w:t xml:space="preserve"> 2016: </w:t>
      </w:r>
      <w:r w:rsidRPr="003031A0">
        <w:t>http://www.chiamass.gov/assets/2016-annual-report/2016-Annual-Report.pdf</w:t>
      </w:r>
      <w:r w:rsidRPr="00A45DD7">
        <w:t>.</w:t>
      </w:r>
    </w:p>
  </w:endnote>
  <w:endnote w:id="52">
    <w:p w:rsidR="00E613C9" w:rsidRDefault="00E613C9" w:rsidP="00277C06">
      <w:pPr>
        <w:pStyle w:val="EndnoteText"/>
      </w:pPr>
      <w:r>
        <w:rPr>
          <w:rStyle w:val="EndnoteReference"/>
        </w:rPr>
        <w:endnoteRef/>
      </w:r>
      <w:r>
        <w:t xml:space="preserve"> The analysis assumes the mandate would be effective for policies issued and renewed on or after </w:t>
      </w:r>
      <w:r w:rsidRPr="00A45192">
        <w:t>January 1, 2017</w:t>
      </w:r>
      <w:r>
        <w:t xml:space="preserve">.  The impact of the mandate on cost in 2017 was </w:t>
      </w:r>
      <w:r w:rsidRPr="00A45192">
        <w:t xml:space="preserve">estimated at 71.3 percent of the annual cost, </w:t>
      </w:r>
      <w:r>
        <w:t xml:space="preserve">using </w:t>
      </w:r>
      <w:r w:rsidRPr="00A45192">
        <w:t>an assumed</w:t>
      </w:r>
      <w:r>
        <w:t xml:space="preserve"> renewal distribution by month</w:t>
      </w:r>
      <w:r w:rsidRPr="00A45192">
        <w:t>, by market segment, and by the Massachusetts market segment composition.</w:t>
      </w:r>
    </w:p>
  </w:endnote>
  <w:endnote w:id="53">
    <w:p w:rsidR="00E613C9" w:rsidRDefault="00E613C9" w:rsidP="00277C06">
      <w:pPr>
        <w:pStyle w:val="EndnoteText"/>
      </w:pPr>
      <w:r>
        <w:rPr>
          <w:rStyle w:val="EndnoteReference"/>
        </w:rPr>
        <w:endnoteRef/>
      </w:r>
      <w:r>
        <w:t xml:space="preserve"> Massachusetts Executive Office of Health and Human Services (MA-EOHHS). </w:t>
      </w:r>
      <w:r w:rsidRPr="00633885">
        <w:t>State Health Officials Announce Open Registration for New Online PMP System</w:t>
      </w:r>
      <w:r>
        <w:t xml:space="preserve"> [Press Release]. Released 14 July 2016; accessed 8 September 2016: </w:t>
      </w:r>
      <w:r w:rsidRPr="00633885">
        <w:t>http://www.mass.gov/eohhs/gov/newsroom/press-releases/dph/new-online-pmp-system.html</w:t>
      </w:r>
      <w:r>
        <w:t>.</w:t>
      </w:r>
    </w:p>
  </w:endnote>
  <w:endnote w:id="54">
    <w:p w:rsidR="00E613C9" w:rsidRDefault="00E613C9" w:rsidP="00AB109F">
      <w:pPr>
        <w:pStyle w:val="EndnoteText"/>
      </w:pPr>
      <w:r>
        <w:rPr>
          <w:rStyle w:val="EndnoteReference"/>
        </w:rPr>
        <w:endnoteRef/>
      </w:r>
      <w:r>
        <w:t xml:space="preserve"> </w:t>
      </w:r>
      <w:r w:rsidRPr="00633885">
        <w:t xml:space="preserve">Dowell D, Haegerich TM, Chou R. CDC Guideline for Prescribing Opioids for Chronic Pain — United States, 2016. MMWR Recomm Rep 2016;65(No. RR-1):1–49. </w:t>
      </w:r>
      <w:r>
        <w:t>Accessed 8 September 2016</w:t>
      </w:r>
      <w:r w:rsidRPr="00633885">
        <w:t>: http://dx.doi.org/10.15585/mmwr.rr6501e1</w:t>
      </w:r>
      <w:r>
        <w:t>.</w:t>
      </w:r>
    </w:p>
  </w:endnote>
  <w:endnote w:id="55">
    <w:p w:rsidR="00E613C9" w:rsidRPr="003C4336" w:rsidRDefault="00E613C9" w:rsidP="003C4336">
      <w:pPr>
        <w:pStyle w:val="EndnoteText"/>
      </w:pPr>
      <w:r>
        <w:rPr>
          <w:rStyle w:val="EndnoteReference"/>
        </w:rPr>
        <w:endnoteRef/>
      </w:r>
      <w:r>
        <w:t xml:space="preserve"> MA-EOHHS. Opioid Overdose Prevention. Accessed 8 September 2016: </w:t>
      </w:r>
      <w:r w:rsidRPr="00934601">
        <w:t>http://www.mass.gov/eohhs/gov/departments/dph/programs/substance-abuse/prevention/opioid-overdose-prevention.html#MassachusettsOpioidAbusePreventionCollaborative</w:t>
      </w:r>
      <w:r>
        <w:t>.</w:t>
      </w:r>
    </w:p>
  </w:endnote>
  <w:endnote w:id="56">
    <w:p w:rsidR="00E613C9" w:rsidRDefault="00E613C9" w:rsidP="000069A6">
      <w:pPr>
        <w:pStyle w:val="EndnoteText"/>
      </w:pPr>
      <w:r>
        <w:rPr>
          <w:rStyle w:val="EndnoteReference"/>
        </w:rPr>
        <w:endnoteRef/>
      </w:r>
      <w:r>
        <w:t xml:space="preserve"> Category 1:  Laboratory-based in vitro manipulation and extraction studies.  Category 2:  Pharmacokinetic studies (the study of the time course of drug absorption, distribution, metabolism, and excretion).  Category 3:  Clinical abuse potential studies.</w:t>
      </w:r>
    </w:p>
  </w:endnote>
  <w:endnote w:id="57">
    <w:p w:rsidR="00E613C9" w:rsidRDefault="00E613C9" w:rsidP="001C4126">
      <w:pPr>
        <w:pStyle w:val="EndnoteText"/>
      </w:pPr>
      <w:r>
        <w:rPr>
          <w:rStyle w:val="EndnoteReference"/>
        </w:rPr>
        <w:endnoteRef/>
      </w:r>
      <w:r>
        <w:t xml:space="preserve"> </w:t>
      </w:r>
      <w:r w:rsidRPr="00FC61A6">
        <w:rPr>
          <w:rFonts w:asciiTheme="minorHAnsi" w:hAnsiTheme="minorHAnsi"/>
        </w:rPr>
        <w:t xml:space="preserve">U.S. Census Bureau. Annual Estimates of the </w:t>
      </w:r>
      <w:r>
        <w:rPr>
          <w:rFonts w:asciiTheme="minorHAnsi" w:hAnsiTheme="minorHAnsi"/>
        </w:rPr>
        <w:t xml:space="preserve">Resident </w:t>
      </w:r>
      <w:r w:rsidRPr="00FC61A6">
        <w:rPr>
          <w:rFonts w:asciiTheme="minorHAnsi" w:hAnsiTheme="minorHAnsi"/>
        </w:rPr>
        <w:t xml:space="preserve">Population for the United States, Regions, States, and Puerto Rico: April 1, 2010 to July 1, 2015. Accessed 28 April 2016: http://www.census.gov/popest/data/state/totals/2015/index.html. </w:t>
      </w:r>
    </w:p>
  </w:endnote>
  <w:endnote w:id="58">
    <w:p w:rsidR="00E613C9" w:rsidRDefault="00E613C9" w:rsidP="001C4126">
      <w:pPr>
        <w:pStyle w:val="EndnoteText"/>
      </w:pPr>
      <w:r>
        <w:rPr>
          <w:rStyle w:val="EndnoteReference"/>
        </w:rPr>
        <w:endnoteRef/>
      </w:r>
      <w:r w:rsidRPr="00FC61A6">
        <w:rPr>
          <w:rFonts w:asciiTheme="minorHAnsi" w:hAnsiTheme="minorHAnsi"/>
        </w:rPr>
        <w:t xml:space="preserve"> </w:t>
      </w:r>
      <w:r>
        <w:rPr>
          <w:rFonts w:asciiTheme="minorHAnsi" w:hAnsiTheme="minorHAnsi"/>
          <w:i/>
        </w:rPr>
        <w:t xml:space="preserve">Op. cit. </w:t>
      </w:r>
      <w:r w:rsidRPr="00FC61A6">
        <w:rPr>
          <w:rFonts w:asciiTheme="minorHAnsi" w:hAnsiTheme="minorHAnsi"/>
        </w:rPr>
        <w:t>U.S. Census Bureau</w:t>
      </w:r>
      <w:r>
        <w:rPr>
          <w:rFonts w:asciiTheme="minorHAnsi" w:hAnsiTheme="minorHAnsi"/>
        </w:rPr>
        <w:t>,</w:t>
      </w:r>
      <w:r w:rsidRPr="00FC61A6">
        <w:rPr>
          <w:rFonts w:asciiTheme="minorHAnsi" w:hAnsiTheme="minorHAnsi"/>
        </w:rPr>
        <w:t xml:space="preserve"> Annual Estimates of the Population for the United States, Regions, States, and Puerto Rico: April 1, 2010 to July 1, 2015. </w:t>
      </w:r>
    </w:p>
  </w:endnote>
  <w:endnote w:id="59">
    <w:p w:rsidR="00E613C9" w:rsidRPr="00FC61A6" w:rsidRDefault="00E613C9" w:rsidP="001C4126">
      <w:pPr>
        <w:pStyle w:val="EndnoteText"/>
        <w:rPr>
          <w:rFonts w:asciiTheme="minorHAnsi" w:hAnsiTheme="minorHAnsi"/>
        </w:rPr>
      </w:pPr>
      <w:r w:rsidRPr="00FC61A6">
        <w:rPr>
          <w:rStyle w:val="EndnoteReference"/>
          <w:rFonts w:asciiTheme="minorHAnsi" w:hAnsiTheme="minorHAnsi"/>
        </w:rPr>
        <w:endnoteRef/>
      </w:r>
      <w:r w:rsidRPr="00FC61A6">
        <w:rPr>
          <w:rFonts w:asciiTheme="minorHAnsi" w:hAnsiTheme="minorHAnsi"/>
        </w:rPr>
        <w:t xml:space="preserve"> Group Insurance Commission. GIC Health Plan Membership by Insured Status FY2013.  Accessed 28 March 2016: http://www.mass.gov/anf/docs/gic/annual-report/annualreportfy2013.pdf.</w:t>
      </w:r>
    </w:p>
  </w:endnote>
  <w:endnote w:id="60">
    <w:p w:rsidR="00E613C9" w:rsidRPr="00FC61A6" w:rsidRDefault="00E613C9" w:rsidP="001C4126">
      <w:pPr>
        <w:pStyle w:val="EndnoteText"/>
        <w:rPr>
          <w:rFonts w:asciiTheme="minorHAnsi" w:hAnsiTheme="minorHAnsi"/>
        </w:rPr>
      </w:pPr>
      <w:r w:rsidRPr="00FC61A6">
        <w:rPr>
          <w:rStyle w:val="EndnoteReference"/>
          <w:rFonts w:asciiTheme="minorHAnsi" w:hAnsiTheme="minorHAnsi"/>
        </w:rPr>
        <w:endnoteRef/>
      </w:r>
      <w:r w:rsidRPr="00FC61A6">
        <w:rPr>
          <w:rFonts w:asciiTheme="minorHAnsi" w:hAnsiTheme="minorHAnsi"/>
        </w:rPr>
        <w:t xml:space="preserve"> Group Insurance Commission. GIC Health Plan Membership by Insured Status FY2014.  Accessed 28 March 2016: </w:t>
      </w:r>
      <w:r w:rsidRPr="00DC2453">
        <w:t>http://www.mass.gov/anf/docs/gic/annual-report/fy2014annual-report.pdf</w:t>
      </w:r>
      <w:r w:rsidRPr="00FC61A6">
        <w:rPr>
          <w:rFonts w:asciiTheme="minorHAnsi" w:hAnsiTheme="minorHAnsi"/>
        </w:rPr>
        <w:t>.</w:t>
      </w:r>
    </w:p>
  </w:endnote>
  <w:endnote w:id="61">
    <w:p w:rsidR="00E613C9" w:rsidRPr="00FC61A6" w:rsidRDefault="00E613C9" w:rsidP="001C4126">
      <w:pPr>
        <w:pStyle w:val="EndnoteText"/>
        <w:rPr>
          <w:rFonts w:asciiTheme="minorHAnsi" w:hAnsiTheme="minorHAnsi"/>
        </w:rPr>
      </w:pPr>
      <w:r w:rsidRPr="00FC61A6">
        <w:rPr>
          <w:rStyle w:val="EndnoteReference"/>
          <w:rFonts w:asciiTheme="minorHAnsi" w:hAnsiTheme="minorHAnsi"/>
        </w:rPr>
        <w:endnoteRef/>
      </w:r>
      <w:r w:rsidRPr="00FC61A6">
        <w:rPr>
          <w:rFonts w:asciiTheme="minorHAnsi" w:hAnsiTheme="minorHAnsi"/>
        </w:rPr>
        <w:t xml:space="preserve"> Group Insurance Commission, Group Insurance Commission Fiscal Year 2015 Annual Report.  Accessed 25 January 2016: </w:t>
      </w:r>
      <w:r w:rsidRPr="00DC2453">
        <w:t>http://www.mass.gov/anf/docs/gic/annual-report/gic-annual-reportfy15.pdf</w:t>
      </w:r>
      <w:r w:rsidRPr="00FC61A6">
        <w:rPr>
          <w:rFonts w:asciiTheme="minorHAnsi" w:hAnsiTheme="minorHAnsi"/>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3C9" w:rsidRPr="002B0738" w:rsidRDefault="00E613C9" w:rsidP="002B0738">
    <w:pPr>
      <w:pStyle w:val="Footer"/>
      <w:pBdr>
        <w:top w:val="single" w:sz="12" w:space="1" w:color="365F91"/>
      </w:pBdr>
      <w:rPr>
        <w:rFonts w:ascii="Times New Roman" w:hAnsi="Times New Roman"/>
        <w:b/>
        <w:i/>
      </w:rPr>
    </w:pPr>
    <w:proofErr w:type="gramStart"/>
    <w:r w:rsidRPr="00E07B58">
      <w:rPr>
        <w:rFonts w:ascii="Times New Roman" w:hAnsi="Times New Roman"/>
        <w:b/>
        <w:color w:val="365F91"/>
        <w:sz w:val="32"/>
        <w:szCs w:val="32"/>
      </w:rPr>
      <w:t>compass</w:t>
    </w:r>
    <w:proofErr w:type="gramEnd"/>
    <w:r w:rsidRPr="002B0738">
      <w:rPr>
        <w:rFonts w:ascii="Times New Roman" w:hAnsi="Times New Roman"/>
        <w:b/>
        <w:i/>
        <w:sz w:val="32"/>
        <w:szCs w:val="32"/>
      </w:rPr>
      <w:t xml:space="preserve"> </w:t>
    </w:r>
    <w:r w:rsidRPr="002B0738">
      <w:rPr>
        <w:rFonts w:ascii="Times New Roman" w:hAnsi="Times New Roman"/>
        <w:b/>
        <w:i/>
        <w:sz w:val="16"/>
        <w:szCs w:val="16"/>
      </w:rPr>
      <w:t>Health Analytics</w:t>
    </w:r>
    <w:r w:rsidRPr="00490C2F">
      <w:rPr>
        <w:rFonts w:ascii="Times New Roman" w:hAnsi="Times New Roman"/>
        <w:b/>
        <w:i/>
        <w:sz w:val="20"/>
        <w:szCs w:val="20"/>
      </w:rPr>
      <w:tab/>
    </w:r>
    <w:r w:rsidRPr="002B0F4D">
      <w:rPr>
        <w:rFonts w:ascii="Times New Roman" w:hAnsi="Times New Roman"/>
        <w:b/>
        <w:i/>
        <w:sz w:val="20"/>
        <w:szCs w:val="20"/>
      </w:rPr>
      <w:tab/>
    </w:r>
    <w:r>
      <w:rPr>
        <w:rFonts w:ascii="Times New Roman" w:hAnsi="Times New Roman"/>
        <w:b/>
        <w:i/>
        <w:sz w:val="20"/>
        <w:szCs w:val="20"/>
      </w:rPr>
      <w:t>December</w:t>
    </w:r>
    <w:r w:rsidRPr="002B0F4D">
      <w:rPr>
        <w:rFonts w:ascii="Times New Roman" w:hAnsi="Times New Roman"/>
        <w:b/>
        <w:i/>
        <w:sz w:val="20"/>
        <w:szCs w:val="20"/>
      </w:rPr>
      <w:t xml:space="preserve"> 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3C9" w:rsidRPr="002B0738" w:rsidRDefault="00E613C9" w:rsidP="002B0738">
    <w:pPr>
      <w:pStyle w:val="Footer"/>
      <w:pBdr>
        <w:top w:val="single" w:sz="12" w:space="1" w:color="365F91"/>
      </w:pBdr>
      <w:rPr>
        <w:rFonts w:ascii="Times New Roman" w:hAnsi="Times New Roman"/>
        <w:b/>
        <w:i/>
      </w:rPr>
    </w:pPr>
    <w:proofErr w:type="gramStart"/>
    <w:r w:rsidRPr="00E07B58">
      <w:rPr>
        <w:rFonts w:ascii="Times New Roman" w:hAnsi="Times New Roman"/>
        <w:b/>
        <w:color w:val="365F91"/>
        <w:sz w:val="32"/>
        <w:szCs w:val="32"/>
      </w:rPr>
      <w:t>compass</w:t>
    </w:r>
    <w:proofErr w:type="gramEnd"/>
    <w:r w:rsidRPr="002B0738">
      <w:rPr>
        <w:rFonts w:ascii="Times New Roman" w:hAnsi="Times New Roman"/>
        <w:b/>
        <w:i/>
        <w:sz w:val="32"/>
        <w:szCs w:val="32"/>
      </w:rPr>
      <w:t xml:space="preserve"> </w:t>
    </w:r>
    <w:r w:rsidRPr="002B0738">
      <w:rPr>
        <w:rFonts w:ascii="Times New Roman" w:hAnsi="Times New Roman"/>
        <w:b/>
        <w:i/>
        <w:sz w:val="16"/>
        <w:szCs w:val="16"/>
      </w:rPr>
      <w:t>Health Analytics</w:t>
    </w:r>
    <w:r w:rsidRPr="002B0F4D">
      <w:rPr>
        <w:rFonts w:ascii="Times New Roman" w:hAnsi="Times New Roman"/>
        <w:b/>
        <w:i/>
        <w:sz w:val="20"/>
        <w:szCs w:val="20"/>
      </w:rPr>
      <w:tab/>
    </w:r>
    <w:r w:rsidRPr="002B0F4D">
      <w:rPr>
        <w:rFonts w:ascii="Times New Roman" w:hAnsi="Times New Roman"/>
        <w:b/>
        <w:i/>
        <w:sz w:val="20"/>
        <w:szCs w:val="20"/>
      </w:rPr>
      <w:fldChar w:fldCharType="begin"/>
    </w:r>
    <w:r w:rsidRPr="002B0F4D">
      <w:rPr>
        <w:rFonts w:ascii="Times New Roman" w:hAnsi="Times New Roman"/>
        <w:b/>
        <w:i/>
        <w:sz w:val="20"/>
        <w:szCs w:val="20"/>
      </w:rPr>
      <w:instrText xml:space="preserve"> PAGE   \* MERGEFORMAT </w:instrText>
    </w:r>
    <w:r w:rsidRPr="002B0F4D">
      <w:rPr>
        <w:rFonts w:ascii="Times New Roman" w:hAnsi="Times New Roman"/>
        <w:b/>
        <w:i/>
        <w:sz w:val="20"/>
        <w:szCs w:val="20"/>
      </w:rPr>
      <w:fldChar w:fldCharType="separate"/>
    </w:r>
    <w:r w:rsidR="00636B31">
      <w:rPr>
        <w:rFonts w:ascii="Times New Roman" w:hAnsi="Times New Roman"/>
        <w:b/>
        <w:i/>
        <w:noProof/>
        <w:sz w:val="20"/>
        <w:szCs w:val="20"/>
      </w:rPr>
      <w:t>iv</w:t>
    </w:r>
    <w:r w:rsidRPr="002B0F4D">
      <w:rPr>
        <w:rFonts w:ascii="Times New Roman" w:hAnsi="Times New Roman"/>
        <w:b/>
        <w:i/>
        <w:sz w:val="20"/>
        <w:szCs w:val="20"/>
      </w:rPr>
      <w:fldChar w:fldCharType="end"/>
    </w:r>
    <w:r w:rsidRPr="002B0F4D">
      <w:rPr>
        <w:rFonts w:ascii="Times New Roman" w:hAnsi="Times New Roman"/>
        <w:b/>
        <w:i/>
        <w:sz w:val="20"/>
        <w:szCs w:val="20"/>
      </w:rPr>
      <w:tab/>
    </w:r>
    <w:r>
      <w:rPr>
        <w:rFonts w:ascii="Times New Roman" w:hAnsi="Times New Roman"/>
        <w:b/>
        <w:i/>
        <w:sz w:val="20"/>
        <w:szCs w:val="20"/>
      </w:rPr>
      <w:t xml:space="preserve">December </w:t>
    </w:r>
    <w:r w:rsidRPr="002B0F4D">
      <w:rPr>
        <w:rFonts w:ascii="Times New Roman" w:hAnsi="Times New Roman"/>
        <w:b/>
        <w:i/>
        <w:sz w:val="20"/>
        <w:szCs w:val="20"/>
      </w:rPr>
      <w:t>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3C9" w:rsidRPr="002B0738" w:rsidRDefault="00E613C9" w:rsidP="002B0738">
    <w:pPr>
      <w:pStyle w:val="Footer"/>
      <w:pBdr>
        <w:top w:val="single" w:sz="12" w:space="1" w:color="365F91"/>
      </w:pBdr>
      <w:rPr>
        <w:rFonts w:ascii="Times New Roman" w:hAnsi="Times New Roman"/>
        <w:b/>
        <w:i/>
      </w:rPr>
    </w:pPr>
    <w:proofErr w:type="gramStart"/>
    <w:r w:rsidRPr="00E07B58">
      <w:rPr>
        <w:rFonts w:ascii="Times New Roman" w:hAnsi="Times New Roman"/>
        <w:b/>
        <w:color w:val="365F91"/>
        <w:sz w:val="32"/>
        <w:szCs w:val="32"/>
      </w:rPr>
      <w:t>compass</w:t>
    </w:r>
    <w:proofErr w:type="gramEnd"/>
    <w:r w:rsidRPr="002B0738">
      <w:rPr>
        <w:rFonts w:ascii="Times New Roman" w:hAnsi="Times New Roman"/>
        <w:b/>
        <w:i/>
        <w:sz w:val="32"/>
        <w:szCs w:val="32"/>
      </w:rPr>
      <w:t xml:space="preserve"> </w:t>
    </w:r>
    <w:r w:rsidRPr="002B0738">
      <w:rPr>
        <w:rFonts w:ascii="Times New Roman" w:hAnsi="Times New Roman"/>
        <w:b/>
        <w:i/>
        <w:sz w:val="16"/>
        <w:szCs w:val="16"/>
      </w:rPr>
      <w:t>Health Analytics</w:t>
    </w:r>
    <w:r w:rsidRPr="002B0F4D">
      <w:rPr>
        <w:rFonts w:ascii="Times New Roman" w:hAnsi="Times New Roman"/>
        <w:b/>
        <w:i/>
        <w:sz w:val="20"/>
        <w:szCs w:val="20"/>
      </w:rPr>
      <w:tab/>
    </w:r>
    <w:r w:rsidRPr="002B0F4D">
      <w:rPr>
        <w:rFonts w:ascii="Times New Roman" w:hAnsi="Times New Roman"/>
        <w:b/>
        <w:i/>
        <w:sz w:val="20"/>
        <w:szCs w:val="20"/>
      </w:rPr>
      <w:fldChar w:fldCharType="begin"/>
    </w:r>
    <w:r w:rsidRPr="002B0F4D">
      <w:rPr>
        <w:rFonts w:ascii="Times New Roman" w:hAnsi="Times New Roman"/>
        <w:b/>
        <w:i/>
        <w:sz w:val="20"/>
        <w:szCs w:val="20"/>
      </w:rPr>
      <w:instrText xml:space="preserve"> PAGE   \* MERGEFORMAT </w:instrText>
    </w:r>
    <w:r w:rsidRPr="002B0F4D">
      <w:rPr>
        <w:rFonts w:ascii="Times New Roman" w:hAnsi="Times New Roman"/>
        <w:b/>
        <w:i/>
        <w:sz w:val="20"/>
        <w:szCs w:val="20"/>
      </w:rPr>
      <w:fldChar w:fldCharType="separate"/>
    </w:r>
    <w:r w:rsidR="00636B31">
      <w:rPr>
        <w:rFonts w:ascii="Times New Roman" w:hAnsi="Times New Roman"/>
        <w:b/>
        <w:i/>
        <w:noProof/>
        <w:sz w:val="20"/>
        <w:szCs w:val="20"/>
      </w:rPr>
      <w:t>29</w:t>
    </w:r>
    <w:r w:rsidRPr="002B0F4D">
      <w:rPr>
        <w:rFonts w:ascii="Times New Roman" w:hAnsi="Times New Roman"/>
        <w:b/>
        <w:i/>
        <w:sz w:val="20"/>
        <w:szCs w:val="20"/>
      </w:rPr>
      <w:fldChar w:fldCharType="end"/>
    </w:r>
    <w:r w:rsidRPr="002B0F4D">
      <w:rPr>
        <w:rFonts w:ascii="Times New Roman" w:hAnsi="Times New Roman"/>
        <w:b/>
        <w:i/>
        <w:sz w:val="20"/>
        <w:szCs w:val="20"/>
      </w:rPr>
      <w:tab/>
    </w:r>
    <w:r>
      <w:rPr>
        <w:rFonts w:ascii="Times New Roman" w:hAnsi="Times New Roman"/>
        <w:b/>
        <w:i/>
        <w:sz w:val="20"/>
        <w:szCs w:val="20"/>
      </w:rPr>
      <w:t xml:space="preserve">December </w:t>
    </w:r>
    <w:r w:rsidRPr="002B0F4D">
      <w:rPr>
        <w:rFonts w:ascii="Times New Roman" w:hAnsi="Times New Roman"/>
        <w:b/>
        <w:i/>
        <w:sz w:val="20"/>
        <w:szCs w:val="20"/>
      </w:rPr>
      <w:t>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C9" w:rsidRDefault="00E613C9" w:rsidP="002B0738">
      <w:pPr>
        <w:spacing w:after="0" w:line="240" w:lineRule="auto"/>
      </w:pPr>
      <w:r>
        <w:separator/>
      </w:r>
    </w:p>
  </w:footnote>
  <w:footnote w:type="continuationSeparator" w:id="0">
    <w:p w:rsidR="00E613C9" w:rsidRDefault="00E613C9" w:rsidP="002B0738">
      <w:pPr>
        <w:spacing w:after="0" w:line="240" w:lineRule="auto"/>
      </w:pPr>
      <w:r>
        <w:continuationSeparator/>
      </w:r>
    </w:p>
  </w:footnote>
  <w:footnote w:id="1">
    <w:p w:rsidR="00E613C9" w:rsidRDefault="00E613C9">
      <w:pPr>
        <w:pStyle w:val="FootnoteText"/>
      </w:pPr>
      <w:r>
        <w:rPr>
          <w:rStyle w:val="FootnoteReference"/>
        </w:rPr>
        <w:footnoteRef/>
      </w:r>
      <w:r>
        <w:t xml:space="preserve"> The drug formulary becomes final only upon promulgation of 105 CMR 720, as amended, which is expected in 2017.</w:t>
      </w:r>
    </w:p>
  </w:footnote>
  <w:footnote w:id="2">
    <w:p w:rsidR="00E613C9" w:rsidRDefault="00E613C9">
      <w:pPr>
        <w:pStyle w:val="FootnoteText"/>
      </w:pPr>
      <w:r>
        <w:rPr>
          <w:rStyle w:val="FootnoteReference"/>
        </w:rPr>
        <w:footnoteRef/>
      </w:r>
      <w:r>
        <w:t xml:space="preserve"> This is consistent with the scope of most insurance benefit reviews conducted by CHIA.  Section 4 of Chapter 258, in referring to the Commission’s authority to </w:t>
      </w:r>
      <w:proofErr w:type="gramStart"/>
      <w:r>
        <w:t>ask</w:t>
      </w:r>
      <w:proofErr w:type="gramEnd"/>
      <w:r>
        <w:t xml:space="preserve"> CHIA for assistance, specifically refers to an </w:t>
      </w:r>
      <w:r>
        <w:rPr>
          <w:rFonts w:asciiTheme="majorHAnsi" w:hAnsiTheme="majorHAnsi"/>
        </w:rPr>
        <w:t>“insurance benefit review”.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4FBD"/>
    <w:multiLevelType w:val="hybridMultilevel"/>
    <w:tmpl w:val="3226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81F8F"/>
    <w:multiLevelType w:val="hybridMultilevel"/>
    <w:tmpl w:val="B75AA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C727B6"/>
    <w:multiLevelType w:val="hybridMultilevel"/>
    <w:tmpl w:val="9E9C3598"/>
    <w:lvl w:ilvl="0" w:tplc="D83C2750">
      <w:start w:val="1"/>
      <w:numFmt w:val="decimal"/>
      <w:pStyle w:val="Num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813DB"/>
    <w:multiLevelType w:val="hybridMultilevel"/>
    <w:tmpl w:val="47026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34DB3"/>
    <w:multiLevelType w:val="hybridMultilevel"/>
    <w:tmpl w:val="02909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F3F24"/>
    <w:multiLevelType w:val="hybridMultilevel"/>
    <w:tmpl w:val="86CE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142DB"/>
    <w:multiLevelType w:val="hybridMultilevel"/>
    <w:tmpl w:val="F732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60A02"/>
    <w:multiLevelType w:val="hybridMultilevel"/>
    <w:tmpl w:val="2BDE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37A3B"/>
    <w:multiLevelType w:val="hybridMultilevel"/>
    <w:tmpl w:val="DBE0C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A0E2D"/>
    <w:multiLevelType w:val="hybridMultilevel"/>
    <w:tmpl w:val="14C04F22"/>
    <w:lvl w:ilvl="0" w:tplc="4D065E1E">
      <w:start w:val="2014"/>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1611B"/>
    <w:multiLevelType w:val="hybridMultilevel"/>
    <w:tmpl w:val="2164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F4654F"/>
    <w:multiLevelType w:val="hybridMultilevel"/>
    <w:tmpl w:val="9EF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D5522D"/>
    <w:multiLevelType w:val="hybridMultilevel"/>
    <w:tmpl w:val="AC0C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21AC3"/>
    <w:multiLevelType w:val="hybridMultilevel"/>
    <w:tmpl w:val="2F7AB1F6"/>
    <w:lvl w:ilvl="0" w:tplc="8690AA60">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601EEE"/>
    <w:multiLevelType w:val="hybridMultilevel"/>
    <w:tmpl w:val="74CE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CD6A60"/>
    <w:multiLevelType w:val="hybridMultilevel"/>
    <w:tmpl w:val="FD8EB650"/>
    <w:lvl w:ilvl="0" w:tplc="04090001">
      <w:start w:val="1"/>
      <w:numFmt w:val="bullet"/>
      <w:lvlText w:val=""/>
      <w:lvlJc w:val="left"/>
      <w:pPr>
        <w:ind w:left="720" w:hanging="360"/>
      </w:pPr>
      <w:rPr>
        <w:rFonts w:ascii="Symbol" w:hAnsi="Symbol" w:hint="default"/>
      </w:rPr>
    </w:lvl>
    <w:lvl w:ilvl="1" w:tplc="04090003">
      <w:start w:val="1"/>
      <w:numFmt w:val="bullet"/>
      <w:pStyle w:val="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7F5588"/>
    <w:multiLevelType w:val="hybridMultilevel"/>
    <w:tmpl w:val="5922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E1605A"/>
    <w:multiLevelType w:val="multilevel"/>
    <w:tmpl w:val="EAF68B9E"/>
    <w:lvl w:ilvl="0">
      <w:start w:val="1980"/>
      <w:numFmt w:val="decimal"/>
      <w:lvlText w:val="%1"/>
      <w:lvlJc w:val="left"/>
      <w:pPr>
        <w:tabs>
          <w:tab w:val="num" w:pos="1440"/>
        </w:tabs>
        <w:ind w:left="1440" w:hanging="1440"/>
      </w:pPr>
      <w:rPr>
        <w:rFonts w:hint="default"/>
        <w:b w:val="0"/>
      </w:rPr>
    </w:lvl>
    <w:lvl w:ilvl="1">
      <w:start w:val="1982"/>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8">
    <w:nsid w:val="4DD80A5F"/>
    <w:multiLevelType w:val="hybridMultilevel"/>
    <w:tmpl w:val="33302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E56D7"/>
    <w:multiLevelType w:val="hybridMultilevel"/>
    <w:tmpl w:val="09F2ED4A"/>
    <w:lvl w:ilvl="0" w:tplc="E2E62636">
      <w:start w:val="1"/>
      <w:numFmt w:val="decimal"/>
      <w:pStyle w:val="NumlistHi"/>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F36B6"/>
    <w:multiLevelType w:val="hybridMultilevel"/>
    <w:tmpl w:val="AD566D66"/>
    <w:lvl w:ilvl="0" w:tplc="6F9C35FA">
      <w:start w:val="1"/>
      <w:numFmt w:val="upperLetter"/>
      <w:pStyle w:val="Letter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D13808"/>
    <w:multiLevelType w:val="hybridMultilevel"/>
    <w:tmpl w:val="7056F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52364C"/>
    <w:multiLevelType w:val="hybridMultilevel"/>
    <w:tmpl w:val="6480D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4B7924"/>
    <w:multiLevelType w:val="hybridMultilevel"/>
    <w:tmpl w:val="3C68BF44"/>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4">
    <w:nsid w:val="6C890AD3"/>
    <w:multiLevelType w:val="hybridMultilevel"/>
    <w:tmpl w:val="ECFE8476"/>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5">
    <w:nsid w:val="6F044C3E"/>
    <w:multiLevelType w:val="hybridMultilevel"/>
    <w:tmpl w:val="95A68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0119"/>
    <w:multiLevelType w:val="hybridMultilevel"/>
    <w:tmpl w:val="B310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19"/>
  </w:num>
  <w:num w:numId="5">
    <w:abstractNumId w:val="10"/>
  </w:num>
  <w:num w:numId="6">
    <w:abstractNumId w:val="23"/>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7"/>
  </w:num>
  <w:num w:numId="11">
    <w:abstractNumId w:val="6"/>
  </w:num>
  <w:num w:numId="12">
    <w:abstractNumId w:val="12"/>
  </w:num>
  <w:num w:numId="13">
    <w:abstractNumId w:val="1"/>
  </w:num>
  <w:num w:numId="14">
    <w:abstractNumId w:val="5"/>
  </w:num>
  <w:num w:numId="15">
    <w:abstractNumId w:val="24"/>
  </w:num>
  <w:num w:numId="16">
    <w:abstractNumId w:val="4"/>
  </w:num>
  <w:num w:numId="17">
    <w:abstractNumId w:val="21"/>
  </w:num>
  <w:num w:numId="18">
    <w:abstractNumId w:val="16"/>
  </w:num>
  <w:num w:numId="19">
    <w:abstractNumId w:val="18"/>
  </w:num>
  <w:num w:numId="20">
    <w:abstractNumId w:val="0"/>
  </w:num>
  <w:num w:numId="21">
    <w:abstractNumId w:val="8"/>
  </w:num>
  <w:num w:numId="22">
    <w:abstractNumId w:val="22"/>
  </w:num>
  <w:num w:numId="23">
    <w:abstractNumId w:val="20"/>
  </w:num>
  <w:num w:numId="24">
    <w:abstractNumId w:val="20"/>
    <w:lvlOverride w:ilvl="0">
      <w:startOverride w:val="1"/>
    </w:lvlOverride>
  </w:num>
  <w:num w:numId="25">
    <w:abstractNumId w:val="3"/>
  </w:num>
  <w:num w:numId="26">
    <w:abstractNumId w:val="11"/>
  </w:num>
  <w:num w:numId="27">
    <w:abstractNumId w:val="25"/>
  </w:num>
  <w:num w:numId="28">
    <w:abstractNumId w:val="2"/>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6"/>
  </w:num>
  <w:num w:numId="33">
    <w:abstractNumId w:val="2"/>
    <w:lvlOverride w:ilvl="0">
      <w:startOverride w:val="1"/>
    </w:lvlOverride>
  </w:num>
  <w:num w:numId="34">
    <w:abstractNumId w:val="2"/>
    <w:lvlOverride w:ilvl="0">
      <w:startOverride w:val="1"/>
    </w:lvlOverride>
  </w:num>
  <w:num w:numId="35">
    <w:abstractNumId w:val="9"/>
  </w:num>
  <w:num w:numId="36">
    <w:abstractNumId w:val="14"/>
  </w:num>
  <w:num w:numId="37">
    <w:abstractNumId w:val="2"/>
    <w:lvlOverride w:ilvl="0">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numFmt w:val="lowerRoman"/>
    <w:footnote w:id="-1"/>
    <w:footnote w:id="0"/>
  </w:footnotePr>
  <w:endnotePr>
    <w:pos w:val="sectEnd"/>
    <w:numFmt w:val="decimal"/>
    <w:numRestart w:val="eachSect"/>
    <w:endnote w:id="-1"/>
    <w:endnote w:id="0"/>
  </w:endnotePr>
  <w:compat/>
  <w:rsids>
    <w:rsidRoot w:val="00685A73"/>
    <w:rsid w:val="000003F1"/>
    <w:rsid w:val="000007BC"/>
    <w:rsid w:val="00000E91"/>
    <w:rsid w:val="0000114B"/>
    <w:rsid w:val="000013F3"/>
    <w:rsid w:val="00001412"/>
    <w:rsid w:val="000020D6"/>
    <w:rsid w:val="00002513"/>
    <w:rsid w:val="0000266C"/>
    <w:rsid w:val="00002AB3"/>
    <w:rsid w:val="000032AD"/>
    <w:rsid w:val="00004998"/>
    <w:rsid w:val="00005200"/>
    <w:rsid w:val="00005427"/>
    <w:rsid w:val="00005508"/>
    <w:rsid w:val="00006058"/>
    <w:rsid w:val="00006394"/>
    <w:rsid w:val="00006498"/>
    <w:rsid w:val="000069A6"/>
    <w:rsid w:val="00006D57"/>
    <w:rsid w:val="00006F09"/>
    <w:rsid w:val="000077E4"/>
    <w:rsid w:val="00010210"/>
    <w:rsid w:val="00010ED7"/>
    <w:rsid w:val="00011F12"/>
    <w:rsid w:val="000125AB"/>
    <w:rsid w:val="00012B8F"/>
    <w:rsid w:val="0001389A"/>
    <w:rsid w:val="00014234"/>
    <w:rsid w:val="0001440A"/>
    <w:rsid w:val="00016027"/>
    <w:rsid w:val="00016583"/>
    <w:rsid w:val="000168CF"/>
    <w:rsid w:val="00020A70"/>
    <w:rsid w:val="00021218"/>
    <w:rsid w:val="000216C9"/>
    <w:rsid w:val="000218DA"/>
    <w:rsid w:val="00021958"/>
    <w:rsid w:val="00022825"/>
    <w:rsid w:val="00023634"/>
    <w:rsid w:val="00023867"/>
    <w:rsid w:val="000245B1"/>
    <w:rsid w:val="00024D8D"/>
    <w:rsid w:val="00024DD6"/>
    <w:rsid w:val="00025772"/>
    <w:rsid w:val="00025FD8"/>
    <w:rsid w:val="00026AA9"/>
    <w:rsid w:val="00027464"/>
    <w:rsid w:val="00027F07"/>
    <w:rsid w:val="00030299"/>
    <w:rsid w:val="00030D51"/>
    <w:rsid w:val="000317B7"/>
    <w:rsid w:val="00031B30"/>
    <w:rsid w:val="00031E72"/>
    <w:rsid w:val="00032F31"/>
    <w:rsid w:val="00033108"/>
    <w:rsid w:val="000348DC"/>
    <w:rsid w:val="00034ECD"/>
    <w:rsid w:val="00035958"/>
    <w:rsid w:val="00036797"/>
    <w:rsid w:val="00037A89"/>
    <w:rsid w:val="00037DBE"/>
    <w:rsid w:val="00037E8C"/>
    <w:rsid w:val="00040D25"/>
    <w:rsid w:val="00040EDC"/>
    <w:rsid w:val="000415A3"/>
    <w:rsid w:val="00041D72"/>
    <w:rsid w:val="00042DE8"/>
    <w:rsid w:val="000432FD"/>
    <w:rsid w:val="000437CC"/>
    <w:rsid w:val="00043FD6"/>
    <w:rsid w:val="00044CB4"/>
    <w:rsid w:val="00044D70"/>
    <w:rsid w:val="00045E6E"/>
    <w:rsid w:val="000465FF"/>
    <w:rsid w:val="00046606"/>
    <w:rsid w:val="000469B3"/>
    <w:rsid w:val="00047BD3"/>
    <w:rsid w:val="00050D44"/>
    <w:rsid w:val="00051737"/>
    <w:rsid w:val="00051B74"/>
    <w:rsid w:val="00051E85"/>
    <w:rsid w:val="00052874"/>
    <w:rsid w:val="00052ED6"/>
    <w:rsid w:val="00053184"/>
    <w:rsid w:val="00053620"/>
    <w:rsid w:val="000544B1"/>
    <w:rsid w:val="0005450F"/>
    <w:rsid w:val="000546EE"/>
    <w:rsid w:val="00054855"/>
    <w:rsid w:val="00055284"/>
    <w:rsid w:val="0005567C"/>
    <w:rsid w:val="000566A4"/>
    <w:rsid w:val="00056B54"/>
    <w:rsid w:val="000578B9"/>
    <w:rsid w:val="0006089A"/>
    <w:rsid w:val="00061253"/>
    <w:rsid w:val="000612C3"/>
    <w:rsid w:val="000613B4"/>
    <w:rsid w:val="000617DE"/>
    <w:rsid w:val="00061B17"/>
    <w:rsid w:val="00062002"/>
    <w:rsid w:val="0006249E"/>
    <w:rsid w:val="00062D77"/>
    <w:rsid w:val="00062FC5"/>
    <w:rsid w:val="000632D5"/>
    <w:rsid w:val="0006367D"/>
    <w:rsid w:val="00063AC8"/>
    <w:rsid w:val="00064B65"/>
    <w:rsid w:val="0006573A"/>
    <w:rsid w:val="000660B9"/>
    <w:rsid w:val="00066845"/>
    <w:rsid w:val="00066F2C"/>
    <w:rsid w:val="00067094"/>
    <w:rsid w:val="00070119"/>
    <w:rsid w:val="000707A3"/>
    <w:rsid w:val="00070858"/>
    <w:rsid w:val="00070A78"/>
    <w:rsid w:val="00070B08"/>
    <w:rsid w:val="00071229"/>
    <w:rsid w:val="0007127D"/>
    <w:rsid w:val="00071CB4"/>
    <w:rsid w:val="000722CD"/>
    <w:rsid w:val="0007279E"/>
    <w:rsid w:val="00074105"/>
    <w:rsid w:val="00074526"/>
    <w:rsid w:val="000745B2"/>
    <w:rsid w:val="000759E8"/>
    <w:rsid w:val="00075E76"/>
    <w:rsid w:val="00076A82"/>
    <w:rsid w:val="00077D6F"/>
    <w:rsid w:val="000802B7"/>
    <w:rsid w:val="00080378"/>
    <w:rsid w:val="00080E99"/>
    <w:rsid w:val="00081318"/>
    <w:rsid w:val="00081D08"/>
    <w:rsid w:val="00081DF1"/>
    <w:rsid w:val="00081F47"/>
    <w:rsid w:val="000822BD"/>
    <w:rsid w:val="00082681"/>
    <w:rsid w:val="00082D54"/>
    <w:rsid w:val="0008440B"/>
    <w:rsid w:val="000852FF"/>
    <w:rsid w:val="00085648"/>
    <w:rsid w:val="00085C22"/>
    <w:rsid w:val="00086098"/>
    <w:rsid w:val="00086B20"/>
    <w:rsid w:val="00087257"/>
    <w:rsid w:val="00087849"/>
    <w:rsid w:val="00087A35"/>
    <w:rsid w:val="00087CC7"/>
    <w:rsid w:val="00087D7D"/>
    <w:rsid w:val="00090484"/>
    <w:rsid w:val="00090EC4"/>
    <w:rsid w:val="0009200A"/>
    <w:rsid w:val="00093A7C"/>
    <w:rsid w:val="000946A5"/>
    <w:rsid w:val="00094AF6"/>
    <w:rsid w:val="000956AD"/>
    <w:rsid w:val="00095AF6"/>
    <w:rsid w:val="00095BA0"/>
    <w:rsid w:val="000964AC"/>
    <w:rsid w:val="00097AE4"/>
    <w:rsid w:val="00097CDE"/>
    <w:rsid w:val="000A139E"/>
    <w:rsid w:val="000A1C42"/>
    <w:rsid w:val="000A215C"/>
    <w:rsid w:val="000A3838"/>
    <w:rsid w:val="000A3D87"/>
    <w:rsid w:val="000A402D"/>
    <w:rsid w:val="000A5AF6"/>
    <w:rsid w:val="000A65D0"/>
    <w:rsid w:val="000A680A"/>
    <w:rsid w:val="000A6B5B"/>
    <w:rsid w:val="000A6E5B"/>
    <w:rsid w:val="000A71C1"/>
    <w:rsid w:val="000A74D0"/>
    <w:rsid w:val="000B0886"/>
    <w:rsid w:val="000B0E28"/>
    <w:rsid w:val="000B12DC"/>
    <w:rsid w:val="000B2364"/>
    <w:rsid w:val="000B277A"/>
    <w:rsid w:val="000B2E22"/>
    <w:rsid w:val="000B3285"/>
    <w:rsid w:val="000B4065"/>
    <w:rsid w:val="000B40E4"/>
    <w:rsid w:val="000B42DC"/>
    <w:rsid w:val="000B4357"/>
    <w:rsid w:val="000B47B7"/>
    <w:rsid w:val="000B4BD8"/>
    <w:rsid w:val="000B4E8E"/>
    <w:rsid w:val="000B5338"/>
    <w:rsid w:val="000B5845"/>
    <w:rsid w:val="000B5A1C"/>
    <w:rsid w:val="000B5AB8"/>
    <w:rsid w:val="000B5B64"/>
    <w:rsid w:val="000B5EB5"/>
    <w:rsid w:val="000B610F"/>
    <w:rsid w:val="000B63BD"/>
    <w:rsid w:val="000B7701"/>
    <w:rsid w:val="000C01F9"/>
    <w:rsid w:val="000C044C"/>
    <w:rsid w:val="000C05BF"/>
    <w:rsid w:val="000C0676"/>
    <w:rsid w:val="000C0C52"/>
    <w:rsid w:val="000C1083"/>
    <w:rsid w:val="000C146C"/>
    <w:rsid w:val="000C1E76"/>
    <w:rsid w:val="000C29DB"/>
    <w:rsid w:val="000C2B29"/>
    <w:rsid w:val="000C323B"/>
    <w:rsid w:val="000C379D"/>
    <w:rsid w:val="000C37BC"/>
    <w:rsid w:val="000C4AD2"/>
    <w:rsid w:val="000C4EEB"/>
    <w:rsid w:val="000C5416"/>
    <w:rsid w:val="000C55F3"/>
    <w:rsid w:val="000C5724"/>
    <w:rsid w:val="000C57F0"/>
    <w:rsid w:val="000C5B9C"/>
    <w:rsid w:val="000C5DE3"/>
    <w:rsid w:val="000C60F2"/>
    <w:rsid w:val="000C7786"/>
    <w:rsid w:val="000D0481"/>
    <w:rsid w:val="000D0608"/>
    <w:rsid w:val="000D1831"/>
    <w:rsid w:val="000D1932"/>
    <w:rsid w:val="000D2B89"/>
    <w:rsid w:val="000D3E1D"/>
    <w:rsid w:val="000D47CA"/>
    <w:rsid w:val="000D51C6"/>
    <w:rsid w:val="000D5B20"/>
    <w:rsid w:val="000D659B"/>
    <w:rsid w:val="000D67E8"/>
    <w:rsid w:val="000D6CA5"/>
    <w:rsid w:val="000D6DA2"/>
    <w:rsid w:val="000E04B6"/>
    <w:rsid w:val="000E0C1B"/>
    <w:rsid w:val="000E0D30"/>
    <w:rsid w:val="000E12CE"/>
    <w:rsid w:val="000E228B"/>
    <w:rsid w:val="000E24F7"/>
    <w:rsid w:val="000E35B7"/>
    <w:rsid w:val="000E3FF8"/>
    <w:rsid w:val="000E5884"/>
    <w:rsid w:val="000E5E96"/>
    <w:rsid w:val="000E64FF"/>
    <w:rsid w:val="000E6606"/>
    <w:rsid w:val="000E6C90"/>
    <w:rsid w:val="000E6DA7"/>
    <w:rsid w:val="000E7820"/>
    <w:rsid w:val="000E7967"/>
    <w:rsid w:val="000E79B7"/>
    <w:rsid w:val="000E7F3E"/>
    <w:rsid w:val="000F0C42"/>
    <w:rsid w:val="000F10FA"/>
    <w:rsid w:val="000F1919"/>
    <w:rsid w:val="000F1C8E"/>
    <w:rsid w:val="000F272B"/>
    <w:rsid w:val="000F2EDC"/>
    <w:rsid w:val="000F306F"/>
    <w:rsid w:val="000F33B9"/>
    <w:rsid w:val="000F3DD5"/>
    <w:rsid w:val="000F491B"/>
    <w:rsid w:val="000F4A65"/>
    <w:rsid w:val="000F4C55"/>
    <w:rsid w:val="000F4C62"/>
    <w:rsid w:val="000F5431"/>
    <w:rsid w:val="000F5816"/>
    <w:rsid w:val="000F620C"/>
    <w:rsid w:val="000F6C0F"/>
    <w:rsid w:val="000F75C6"/>
    <w:rsid w:val="000F76DB"/>
    <w:rsid w:val="0010046D"/>
    <w:rsid w:val="0010050E"/>
    <w:rsid w:val="00100B38"/>
    <w:rsid w:val="00101203"/>
    <w:rsid w:val="00101392"/>
    <w:rsid w:val="00101C51"/>
    <w:rsid w:val="00102309"/>
    <w:rsid w:val="00102B0C"/>
    <w:rsid w:val="001031F8"/>
    <w:rsid w:val="00103662"/>
    <w:rsid w:val="00103886"/>
    <w:rsid w:val="00103EB1"/>
    <w:rsid w:val="001046E8"/>
    <w:rsid w:val="00104A9F"/>
    <w:rsid w:val="00104BEE"/>
    <w:rsid w:val="001050EB"/>
    <w:rsid w:val="00105347"/>
    <w:rsid w:val="00105A50"/>
    <w:rsid w:val="00105DF2"/>
    <w:rsid w:val="00107D6A"/>
    <w:rsid w:val="00110273"/>
    <w:rsid w:val="001105BA"/>
    <w:rsid w:val="00110AC6"/>
    <w:rsid w:val="00111293"/>
    <w:rsid w:val="00111F75"/>
    <w:rsid w:val="0011242B"/>
    <w:rsid w:val="001134CE"/>
    <w:rsid w:val="00113633"/>
    <w:rsid w:val="00113D71"/>
    <w:rsid w:val="00113FA3"/>
    <w:rsid w:val="001152CC"/>
    <w:rsid w:val="00115F2C"/>
    <w:rsid w:val="00116CF1"/>
    <w:rsid w:val="001171C7"/>
    <w:rsid w:val="001174CE"/>
    <w:rsid w:val="00117ACD"/>
    <w:rsid w:val="00117B14"/>
    <w:rsid w:val="0012065C"/>
    <w:rsid w:val="00120992"/>
    <w:rsid w:val="001209D9"/>
    <w:rsid w:val="00120EF7"/>
    <w:rsid w:val="001211AE"/>
    <w:rsid w:val="0012252C"/>
    <w:rsid w:val="001225C8"/>
    <w:rsid w:val="00122733"/>
    <w:rsid w:val="001237DD"/>
    <w:rsid w:val="001242FC"/>
    <w:rsid w:val="00124CA6"/>
    <w:rsid w:val="00124F32"/>
    <w:rsid w:val="0012526A"/>
    <w:rsid w:val="00125930"/>
    <w:rsid w:val="00125EE3"/>
    <w:rsid w:val="0012604F"/>
    <w:rsid w:val="00126072"/>
    <w:rsid w:val="00126099"/>
    <w:rsid w:val="00126981"/>
    <w:rsid w:val="001269CA"/>
    <w:rsid w:val="0013032A"/>
    <w:rsid w:val="001311EA"/>
    <w:rsid w:val="00131275"/>
    <w:rsid w:val="00131850"/>
    <w:rsid w:val="00131B29"/>
    <w:rsid w:val="00132660"/>
    <w:rsid w:val="00132793"/>
    <w:rsid w:val="001329E6"/>
    <w:rsid w:val="00132B65"/>
    <w:rsid w:val="00133C6B"/>
    <w:rsid w:val="00133C9F"/>
    <w:rsid w:val="00133F5F"/>
    <w:rsid w:val="00134DF0"/>
    <w:rsid w:val="001364F6"/>
    <w:rsid w:val="00136C0E"/>
    <w:rsid w:val="00136FCB"/>
    <w:rsid w:val="001375A5"/>
    <w:rsid w:val="0013780E"/>
    <w:rsid w:val="00137C23"/>
    <w:rsid w:val="001402C7"/>
    <w:rsid w:val="00140748"/>
    <w:rsid w:val="00140803"/>
    <w:rsid w:val="001409A1"/>
    <w:rsid w:val="00142933"/>
    <w:rsid w:val="001429AE"/>
    <w:rsid w:val="00142A6B"/>
    <w:rsid w:val="00142D05"/>
    <w:rsid w:val="00142E4F"/>
    <w:rsid w:val="00143442"/>
    <w:rsid w:val="00144361"/>
    <w:rsid w:val="001467D2"/>
    <w:rsid w:val="00147108"/>
    <w:rsid w:val="001472FF"/>
    <w:rsid w:val="001502B2"/>
    <w:rsid w:val="00150570"/>
    <w:rsid w:val="001506E2"/>
    <w:rsid w:val="001513DC"/>
    <w:rsid w:val="00151789"/>
    <w:rsid w:val="00152531"/>
    <w:rsid w:val="00152EEC"/>
    <w:rsid w:val="0015379C"/>
    <w:rsid w:val="00153B40"/>
    <w:rsid w:val="00153BE2"/>
    <w:rsid w:val="00154657"/>
    <w:rsid w:val="00155338"/>
    <w:rsid w:val="00155586"/>
    <w:rsid w:val="0015558E"/>
    <w:rsid w:val="00155A3D"/>
    <w:rsid w:val="00155D0E"/>
    <w:rsid w:val="00156CDC"/>
    <w:rsid w:val="001575A9"/>
    <w:rsid w:val="00157E37"/>
    <w:rsid w:val="001603C6"/>
    <w:rsid w:val="00160686"/>
    <w:rsid w:val="00160BAC"/>
    <w:rsid w:val="001614F5"/>
    <w:rsid w:val="001617D7"/>
    <w:rsid w:val="00161A66"/>
    <w:rsid w:val="00161D05"/>
    <w:rsid w:val="00161EC8"/>
    <w:rsid w:val="001623F7"/>
    <w:rsid w:val="00162E0E"/>
    <w:rsid w:val="00163024"/>
    <w:rsid w:val="00163842"/>
    <w:rsid w:val="001638E5"/>
    <w:rsid w:val="00164335"/>
    <w:rsid w:val="00164F13"/>
    <w:rsid w:val="0016521E"/>
    <w:rsid w:val="00165F85"/>
    <w:rsid w:val="001666F7"/>
    <w:rsid w:val="00166E48"/>
    <w:rsid w:val="00167284"/>
    <w:rsid w:val="00167BE3"/>
    <w:rsid w:val="00171539"/>
    <w:rsid w:val="00171FD4"/>
    <w:rsid w:val="00173EF5"/>
    <w:rsid w:val="001749BF"/>
    <w:rsid w:val="00174BCE"/>
    <w:rsid w:val="0017501E"/>
    <w:rsid w:val="001750D0"/>
    <w:rsid w:val="00175656"/>
    <w:rsid w:val="001758A2"/>
    <w:rsid w:val="001768C7"/>
    <w:rsid w:val="00177506"/>
    <w:rsid w:val="001775DB"/>
    <w:rsid w:val="0017778B"/>
    <w:rsid w:val="001779A4"/>
    <w:rsid w:val="00177B2F"/>
    <w:rsid w:val="00177DB8"/>
    <w:rsid w:val="001803BA"/>
    <w:rsid w:val="0018065F"/>
    <w:rsid w:val="001807E0"/>
    <w:rsid w:val="00180AB4"/>
    <w:rsid w:val="00181CB7"/>
    <w:rsid w:val="00181E07"/>
    <w:rsid w:val="001824F3"/>
    <w:rsid w:val="001826BD"/>
    <w:rsid w:val="00183E98"/>
    <w:rsid w:val="00183ED9"/>
    <w:rsid w:val="00184254"/>
    <w:rsid w:val="00184E55"/>
    <w:rsid w:val="001854CE"/>
    <w:rsid w:val="00185FC7"/>
    <w:rsid w:val="00186B51"/>
    <w:rsid w:val="00186B58"/>
    <w:rsid w:val="00190AF3"/>
    <w:rsid w:val="00191975"/>
    <w:rsid w:val="00192C69"/>
    <w:rsid w:val="001931FE"/>
    <w:rsid w:val="001936DC"/>
    <w:rsid w:val="00194416"/>
    <w:rsid w:val="00194A89"/>
    <w:rsid w:val="001963B3"/>
    <w:rsid w:val="001966AF"/>
    <w:rsid w:val="00196A26"/>
    <w:rsid w:val="00196E00"/>
    <w:rsid w:val="001970F0"/>
    <w:rsid w:val="001972DE"/>
    <w:rsid w:val="001A0EA6"/>
    <w:rsid w:val="001A1739"/>
    <w:rsid w:val="001A432A"/>
    <w:rsid w:val="001A48DA"/>
    <w:rsid w:val="001A4D2E"/>
    <w:rsid w:val="001A68D7"/>
    <w:rsid w:val="001A6E77"/>
    <w:rsid w:val="001A6FF5"/>
    <w:rsid w:val="001A7658"/>
    <w:rsid w:val="001A7E0F"/>
    <w:rsid w:val="001A7F92"/>
    <w:rsid w:val="001B0018"/>
    <w:rsid w:val="001B09DC"/>
    <w:rsid w:val="001B0C3C"/>
    <w:rsid w:val="001B135C"/>
    <w:rsid w:val="001B1DBA"/>
    <w:rsid w:val="001B35BB"/>
    <w:rsid w:val="001B3757"/>
    <w:rsid w:val="001B4A39"/>
    <w:rsid w:val="001B4F5D"/>
    <w:rsid w:val="001B614C"/>
    <w:rsid w:val="001B6206"/>
    <w:rsid w:val="001B649C"/>
    <w:rsid w:val="001B6F7E"/>
    <w:rsid w:val="001B75D3"/>
    <w:rsid w:val="001B7B4D"/>
    <w:rsid w:val="001C1C10"/>
    <w:rsid w:val="001C201F"/>
    <w:rsid w:val="001C215F"/>
    <w:rsid w:val="001C2704"/>
    <w:rsid w:val="001C27EA"/>
    <w:rsid w:val="001C3DE8"/>
    <w:rsid w:val="001C4126"/>
    <w:rsid w:val="001C5A31"/>
    <w:rsid w:val="001C5D89"/>
    <w:rsid w:val="001C6692"/>
    <w:rsid w:val="001C66D9"/>
    <w:rsid w:val="001C7802"/>
    <w:rsid w:val="001C7AB2"/>
    <w:rsid w:val="001D165C"/>
    <w:rsid w:val="001D18DF"/>
    <w:rsid w:val="001D25E2"/>
    <w:rsid w:val="001D281F"/>
    <w:rsid w:val="001D3BBD"/>
    <w:rsid w:val="001D3F17"/>
    <w:rsid w:val="001D412A"/>
    <w:rsid w:val="001D48A6"/>
    <w:rsid w:val="001D49B1"/>
    <w:rsid w:val="001D4D79"/>
    <w:rsid w:val="001D4F94"/>
    <w:rsid w:val="001D538F"/>
    <w:rsid w:val="001D5917"/>
    <w:rsid w:val="001D5EC3"/>
    <w:rsid w:val="001D5FC1"/>
    <w:rsid w:val="001D5FE1"/>
    <w:rsid w:val="001D60AD"/>
    <w:rsid w:val="001D60CD"/>
    <w:rsid w:val="001D6663"/>
    <w:rsid w:val="001D748A"/>
    <w:rsid w:val="001D78AA"/>
    <w:rsid w:val="001E0255"/>
    <w:rsid w:val="001E104A"/>
    <w:rsid w:val="001E118D"/>
    <w:rsid w:val="001E1363"/>
    <w:rsid w:val="001E1746"/>
    <w:rsid w:val="001E1BED"/>
    <w:rsid w:val="001E2F43"/>
    <w:rsid w:val="001E361E"/>
    <w:rsid w:val="001E3904"/>
    <w:rsid w:val="001E4888"/>
    <w:rsid w:val="001E49E4"/>
    <w:rsid w:val="001E4AC8"/>
    <w:rsid w:val="001E4B87"/>
    <w:rsid w:val="001E4F1D"/>
    <w:rsid w:val="001E508E"/>
    <w:rsid w:val="001E574D"/>
    <w:rsid w:val="001E5DDC"/>
    <w:rsid w:val="001E6913"/>
    <w:rsid w:val="001F1178"/>
    <w:rsid w:val="001F195D"/>
    <w:rsid w:val="001F1B37"/>
    <w:rsid w:val="001F2101"/>
    <w:rsid w:val="001F210F"/>
    <w:rsid w:val="001F2D5C"/>
    <w:rsid w:val="001F340E"/>
    <w:rsid w:val="001F3A9E"/>
    <w:rsid w:val="001F508E"/>
    <w:rsid w:val="001F57BB"/>
    <w:rsid w:val="001F66B8"/>
    <w:rsid w:val="001F6BF9"/>
    <w:rsid w:val="001F7EF2"/>
    <w:rsid w:val="0020167D"/>
    <w:rsid w:val="00201E14"/>
    <w:rsid w:val="00201F5C"/>
    <w:rsid w:val="002024F7"/>
    <w:rsid w:val="0020291E"/>
    <w:rsid w:val="00202F91"/>
    <w:rsid w:val="00205903"/>
    <w:rsid w:val="0020777D"/>
    <w:rsid w:val="00207C4E"/>
    <w:rsid w:val="00207F1F"/>
    <w:rsid w:val="00207F89"/>
    <w:rsid w:val="00210AFB"/>
    <w:rsid w:val="00210E81"/>
    <w:rsid w:val="00210F13"/>
    <w:rsid w:val="00211954"/>
    <w:rsid w:val="00211B79"/>
    <w:rsid w:val="00212665"/>
    <w:rsid w:val="00212DF0"/>
    <w:rsid w:val="002136A3"/>
    <w:rsid w:val="00213D6F"/>
    <w:rsid w:val="00213DC8"/>
    <w:rsid w:val="00214036"/>
    <w:rsid w:val="00214AF6"/>
    <w:rsid w:val="00215028"/>
    <w:rsid w:val="0021502D"/>
    <w:rsid w:val="002152E3"/>
    <w:rsid w:val="002154DC"/>
    <w:rsid w:val="002158BB"/>
    <w:rsid w:val="00215B86"/>
    <w:rsid w:val="00216942"/>
    <w:rsid w:val="002169CD"/>
    <w:rsid w:val="00217798"/>
    <w:rsid w:val="00220625"/>
    <w:rsid w:val="00220955"/>
    <w:rsid w:val="002214D6"/>
    <w:rsid w:val="00221B8C"/>
    <w:rsid w:val="0022245C"/>
    <w:rsid w:val="002229D0"/>
    <w:rsid w:val="00222C3A"/>
    <w:rsid w:val="00222E85"/>
    <w:rsid w:val="00224216"/>
    <w:rsid w:val="002242FC"/>
    <w:rsid w:val="00224352"/>
    <w:rsid w:val="00224370"/>
    <w:rsid w:val="00224771"/>
    <w:rsid w:val="0022494B"/>
    <w:rsid w:val="00224997"/>
    <w:rsid w:val="00224E9C"/>
    <w:rsid w:val="00224FAC"/>
    <w:rsid w:val="002258D9"/>
    <w:rsid w:val="002263ED"/>
    <w:rsid w:val="0022779A"/>
    <w:rsid w:val="002301D0"/>
    <w:rsid w:val="00230C5A"/>
    <w:rsid w:val="00230DB1"/>
    <w:rsid w:val="002318DF"/>
    <w:rsid w:val="00232129"/>
    <w:rsid w:val="0023232F"/>
    <w:rsid w:val="002325DD"/>
    <w:rsid w:val="0023354C"/>
    <w:rsid w:val="002336CF"/>
    <w:rsid w:val="00234211"/>
    <w:rsid w:val="00234E79"/>
    <w:rsid w:val="00234F57"/>
    <w:rsid w:val="002350D9"/>
    <w:rsid w:val="00235209"/>
    <w:rsid w:val="00235E87"/>
    <w:rsid w:val="0023637F"/>
    <w:rsid w:val="002363C6"/>
    <w:rsid w:val="002366E6"/>
    <w:rsid w:val="00236CA7"/>
    <w:rsid w:val="00236EC1"/>
    <w:rsid w:val="00236EC9"/>
    <w:rsid w:val="00237A06"/>
    <w:rsid w:val="00240305"/>
    <w:rsid w:val="00241642"/>
    <w:rsid w:val="00241F3F"/>
    <w:rsid w:val="00242162"/>
    <w:rsid w:val="00242DB3"/>
    <w:rsid w:val="00243036"/>
    <w:rsid w:val="002432AF"/>
    <w:rsid w:val="00243E63"/>
    <w:rsid w:val="00244111"/>
    <w:rsid w:val="00245BD0"/>
    <w:rsid w:val="00245F95"/>
    <w:rsid w:val="0024620E"/>
    <w:rsid w:val="0024635A"/>
    <w:rsid w:val="00246604"/>
    <w:rsid w:val="002466AF"/>
    <w:rsid w:val="00246B41"/>
    <w:rsid w:val="00246CB2"/>
    <w:rsid w:val="00247277"/>
    <w:rsid w:val="002473DF"/>
    <w:rsid w:val="0024780C"/>
    <w:rsid w:val="002506D3"/>
    <w:rsid w:val="00250A4F"/>
    <w:rsid w:val="00251036"/>
    <w:rsid w:val="00251162"/>
    <w:rsid w:val="00251979"/>
    <w:rsid w:val="0025201E"/>
    <w:rsid w:val="00252124"/>
    <w:rsid w:val="0025290F"/>
    <w:rsid w:val="0025338F"/>
    <w:rsid w:val="00253B41"/>
    <w:rsid w:val="00254025"/>
    <w:rsid w:val="00254704"/>
    <w:rsid w:val="00255915"/>
    <w:rsid w:val="00256C15"/>
    <w:rsid w:val="0025706E"/>
    <w:rsid w:val="00257CD6"/>
    <w:rsid w:val="00260992"/>
    <w:rsid w:val="00261E38"/>
    <w:rsid w:val="002623FF"/>
    <w:rsid w:val="002626DE"/>
    <w:rsid w:val="0026315E"/>
    <w:rsid w:val="00263784"/>
    <w:rsid w:val="00263DC6"/>
    <w:rsid w:val="00263DF0"/>
    <w:rsid w:val="00263F15"/>
    <w:rsid w:val="00264821"/>
    <w:rsid w:val="002648B4"/>
    <w:rsid w:val="002654DF"/>
    <w:rsid w:val="002701FB"/>
    <w:rsid w:val="00270235"/>
    <w:rsid w:val="00270DB5"/>
    <w:rsid w:val="002721A4"/>
    <w:rsid w:val="002721EC"/>
    <w:rsid w:val="00272421"/>
    <w:rsid w:val="00272526"/>
    <w:rsid w:val="002730AC"/>
    <w:rsid w:val="00274F47"/>
    <w:rsid w:val="00275119"/>
    <w:rsid w:val="002751C5"/>
    <w:rsid w:val="00275370"/>
    <w:rsid w:val="00275698"/>
    <w:rsid w:val="00276471"/>
    <w:rsid w:val="00276A5C"/>
    <w:rsid w:val="00276E53"/>
    <w:rsid w:val="00276FB9"/>
    <w:rsid w:val="002770C3"/>
    <w:rsid w:val="00277A37"/>
    <w:rsid w:val="00277C06"/>
    <w:rsid w:val="002801F8"/>
    <w:rsid w:val="00280330"/>
    <w:rsid w:val="0028111F"/>
    <w:rsid w:val="00281486"/>
    <w:rsid w:val="0028229D"/>
    <w:rsid w:val="00283365"/>
    <w:rsid w:val="00284101"/>
    <w:rsid w:val="0028450C"/>
    <w:rsid w:val="0028467E"/>
    <w:rsid w:val="00284A29"/>
    <w:rsid w:val="00285085"/>
    <w:rsid w:val="0028559A"/>
    <w:rsid w:val="00285EF4"/>
    <w:rsid w:val="00285F0F"/>
    <w:rsid w:val="00285F5F"/>
    <w:rsid w:val="00286765"/>
    <w:rsid w:val="00286BE4"/>
    <w:rsid w:val="00286CC4"/>
    <w:rsid w:val="00286F5F"/>
    <w:rsid w:val="00290820"/>
    <w:rsid w:val="00290C04"/>
    <w:rsid w:val="0029107A"/>
    <w:rsid w:val="002914FB"/>
    <w:rsid w:val="002921A7"/>
    <w:rsid w:val="00292B1C"/>
    <w:rsid w:val="00292C49"/>
    <w:rsid w:val="00292DC0"/>
    <w:rsid w:val="002930D3"/>
    <w:rsid w:val="00293232"/>
    <w:rsid w:val="00294E45"/>
    <w:rsid w:val="002955E4"/>
    <w:rsid w:val="002957C9"/>
    <w:rsid w:val="00295A86"/>
    <w:rsid w:val="00296E89"/>
    <w:rsid w:val="00297657"/>
    <w:rsid w:val="002979ED"/>
    <w:rsid w:val="00297A44"/>
    <w:rsid w:val="002A03A0"/>
    <w:rsid w:val="002A0F02"/>
    <w:rsid w:val="002A26E2"/>
    <w:rsid w:val="002A2B54"/>
    <w:rsid w:val="002A2DA1"/>
    <w:rsid w:val="002A3077"/>
    <w:rsid w:val="002A37CA"/>
    <w:rsid w:val="002A43B1"/>
    <w:rsid w:val="002A5B63"/>
    <w:rsid w:val="002A5CE3"/>
    <w:rsid w:val="002A5CFC"/>
    <w:rsid w:val="002A62FD"/>
    <w:rsid w:val="002A6366"/>
    <w:rsid w:val="002A683F"/>
    <w:rsid w:val="002A6B28"/>
    <w:rsid w:val="002A794B"/>
    <w:rsid w:val="002A79F2"/>
    <w:rsid w:val="002A7BA5"/>
    <w:rsid w:val="002B0104"/>
    <w:rsid w:val="002B0473"/>
    <w:rsid w:val="002B0738"/>
    <w:rsid w:val="002B0E4F"/>
    <w:rsid w:val="002B0F4D"/>
    <w:rsid w:val="002B1728"/>
    <w:rsid w:val="002B1BA3"/>
    <w:rsid w:val="002B3029"/>
    <w:rsid w:val="002B3EB9"/>
    <w:rsid w:val="002B3F99"/>
    <w:rsid w:val="002B40D3"/>
    <w:rsid w:val="002B439A"/>
    <w:rsid w:val="002B4529"/>
    <w:rsid w:val="002B54D9"/>
    <w:rsid w:val="002B58A8"/>
    <w:rsid w:val="002B6F3D"/>
    <w:rsid w:val="002B7000"/>
    <w:rsid w:val="002B7250"/>
    <w:rsid w:val="002B75A6"/>
    <w:rsid w:val="002C0317"/>
    <w:rsid w:val="002C0AD8"/>
    <w:rsid w:val="002C0C0D"/>
    <w:rsid w:val="002C1DD4"/>
    <w:rsid w:val="002C28A4"/>
    <w:rsid w:val="002C29C7"/>
    <w:rsid w:val="002C2C10"/>
    <w:rsid w:val="002C2C2B"/>
    <w:rsid w:val="002C2C39"/>
    <w:rsid w:val="002C383F"/>
    <w:rsid w:val="002C4C14"/>
    <w:rsid w:val="002C5B4D"/>
    <w:rsid w:val="002C6B7F"/>
    <w:rsid w:val="002C6E1B"/>
    <w:rsid w:val="002C774E"/>
    <w:rsid w:val="002C7F07"/>
    <w:rsid w:val="002D04AF"/>
    <w:rsid w:val="002D073C"/>
    <w:rsid w:val="002D2179"/>
    <w:rsid w:val="002D3017"/>
    <w:rsid w:val="002D33CB"/>
    <w:rsid w:val="002D3AAC"/>
    <w:rsid w:val="002D3C5A"/>
    <w:rsid w:val="002D4C39"/>
    <w:rsid w:val="002D5440"/>
    <w:rsid w:val="002D5C5B"/>
    <w:rsid w:val="002D5D33"/>
    <w:rsid w:val="002D6996"/>
    <w:rsid w:val="002D6AB6"/>
    <w:rsid w:val="002D77A4"/>
    <w:rsid w:val="002D7864"/>
    <w:rsid w:val="002E0262"/>
    <w:rsid w:val="002E1264"/>
    <w:rsid w:val="002E128A"/>
    <w:rsid w:val="002E1691"/>
    <w:rsid w:val="002E21A5"/>
    <w:rsid w:val="002E229F"/>
    <w:rsid w:val="002E2398"/>
    <w:rsid w:val="002E2AEC"/>
    <w:rsid w:val="002E2F66"/>
    <w:rsid w:val="002E33BB"/>
    <w:rsid w:val="002E428C"/>
    <w:rsid w:val="002E45C3"/>
    <w:rsid w:val="002E5756"/>
    <w:rsid w:val="002E5B61"/>
    <w:rsid w:val="002E6415"/>
    <w:rsid w:val="002E6F7C"/>
    <w:rsid w:val="002E7219"/>
    <w:rsid w:val="002E779C"/>
    <w:rsid w:val="002F138D"/>
    <w:rsid w:val="002F170A"/>
    <w:rsid w:val="002F1C66"/>
    <w:rsid w:val="002F1F4F"/>
    <w:rsid w:val="002F2267"/>
    <w:rsid w:val="002F4EE6"/>
    <w:rsid w:val="002F5074"/>
    <w:rsid w:val="002F51D7"/>
    <w:rsid w:val="002F5A16"/>
    <w:rsid w:val="002F5BEE"/>
    <w:rsid w:val="002F5C29"/>
    <w:rsid w:val="002F76FC"/>
    <w:rsid w:val="002F7F92"/>
    <w:rsid w:val="003011F9"/>
    <w:rsid w:val="003014ED"/>
    <w:rsid w:val="00301A07"/>
    <w:rsid w:val="00302318"/>
    <w:rsid w:val="00302691"/>
    <w:rsid w:val="00302C88"/>
    <w:rsid w:val="00303A40"/>
    <w:rsid w:val="00304682"/>
    <w:rsid w:val="00304A82"/>
    <w:rsid w:val="00305239"/>
    <w:rsid w:val="00305A5D"/>
    <w:rsid w:val="00305B85"/>
    <w:rsid w:val="00306253"/>
    <w:rsid w:val="00306697"/>
    <w:rsid w:val="003066BE"/>
    <w:rsid w:val="003068F4"/>
    <w:rsid w:val="00306E20"/>
    <w:rsid w:val="00311442"/>
    <w:rsid w:val="00312222"/>
    <w:rsid w:val="00312576"/>
    <w:rsid w:val="0031365E"/>
    <w:rsid w:val="00313912"/>
    <w:rsid w:val="00313DE3"/>
    <w:rsid w:val="00314180"/>
    <w:rsid w:val="0031444E"/>
    <w:rsid w:val="00314AC7"/>
    <w:rsid w:val="003155F0"/>
    <w:rsid w:val="00316044"/>
    <w:rsid w:val="0031661B"/>
    <w:rsid w:val="00317E86"/>
    <w:rsid w:val="00321075"/>
    <w:rsid w:val="00321BE2"/>
    <w:rsid w:val="00322C31"/>
    <w:rsid w:val="00323068"/>
    <w:rsid w:val="003234E4"/>
    <w:rsid w:val="003236A2"/>
    <w:rsid w:val="00324139"/>
    <w:rsid w:val="00324A04"/>
    <w:rsid w:val="00324AAC"/>
    <w:rsid w:val="00324DEF"/>
    <w:rsid w:val="00324EEE"/>
    <w:rsid w:val="00325EAE"/>
    <w:rsid w:val="003262DD"/>
    <w:rsid w:val="00326545"/>
    <w:rsid w:val="00326611"/>
    <w:rsid w:val="00326B08"/>
    <w:rsid w:val="0032746D"/>
    <w:rsid w:val="003276DF"/>
    <w:rsid w:val="00327776"/>
    <w:rsid w:val="00330617"/>
    <w:rsid w:val="003308E5"/>
    <w:rsid w:val="00330A31"/>
    <w:rsid w:val="00330CDA"/>
    <w:rsid w:val="00330D89"/>
    <w:rsid w:val="00331772"/>
    <w:rsid w:val="00332256"/>
    <w:rsid w:val="00333077"/>
    <w:rsid w:val="00333148"/>
    <w:rsid w:val="003336F4"/>
    <w:rsid w:val="0033398F"/>
    <w:rsid w:val="00334600"/>
    <w:rsid w:val="00335159"/>
    <w:rsid w:val="003351D8"/>
    <w:rsid w:val="0033527C"/>
    <w:rsid w:val="00335BDA"/>
    <w:rsid w:val="00335CC0"/>
    <w:rsid w:val="003368F5"/>
    <w:rsid w:val="0033788E"/>
    <w:rsid w:val="00337A5E"/>
    <w:rsid w:val="00340039"/>
    <w:rsid w:val="003403A0"/>
    <w:rsid w:val="003406F0"/>
    <w:rsid w:val="003407D6"/>
    <w:rsid w:val="003430BB"/>
    <w:rsid w:val="00343CC6"/>
    <w:rsid w:val="00346693"/>
    <w:rsid w:val="00346DEB"/>
    <w:rsid w:val="00347D81"/>
    <w:rsid w:val="0035014E"/>
    <w:rsid w:val="0035215C"/>
    <w:rsid w:val="0035258D"/>
    <w:rsid w:val="003532B8"/>
    <w:rsid w:val="003536A5"/>
    <w:rsid w:val="00353F75"/>
    <w:rsid w:val="0035464D"/>
    <w:rsid w:val="00354BF7"/>
    <w:rsid w:val="00354D91"/>
    <w:rsid w:val="00355039"/>
    <w:rsid w:val="00355151"/>
    <w:rsid w:val="003552B3"/>
    <w:rsid w:val="003554DB"/>
    <w:rsid w:val="003565AC"/>
    <w:rsid w:val="00356EEA"/>
    <w:rsid w:val="0035720C"/>
    <w:rsid w:val="00357E25"/>
    <w:rsid w:val="00360610"/>
    <w:rsid w:val="003609D1"/>
    <w:rsid w:val="00360AFA"/>
    <w:rsid w:val="00361F0E"/>
    <w:rsid w:val="00362466"/>
    <w:rsid w:val="003627E0"/>
    <w:rsid w:val="0036299E"/>
    <w:rsid w:val="00362A35"/>
    <w:rsid w:val="00363368"/>
    <w:rsid w:val="00363678"/>
    <w:rsid w:val="003637DA"/>
    <w:rsid w:val="00365319"/>
    <w:rsid w:val="00365D21"/>
    <w:rsid w:val="00365D96"/>
    <w:rsid w:val="00365EE0"/>
    <w:rsid w:val="003669BC"/>
    <w:rsid w:val="003703AF"/>
    <w:rsid w:val="00370588"/>
    <w:rsid w:val="00370FF9"/>
    <w:rsid w:val="00371983"/>
    <w:rsid w:val="00371C5A"/>
    <w:rsid w:val="00371F1C"/>
    <w:rsid w:val="003721FF"/>
    <w:rsid w:val="00373513"/>
    <w:rsid w:val="00373594"/>
    <w:rsid w:val="00374120"/>
    <w:rsid w:val="003743FF"/>
    <w:rsid w:val="00374EE9"/>
    <w:rsid w:val="00375963"/>
    <w:rsid w:val="00375C6F"/>
    <w:rsid w:val="00376910"/>
    <w:rsid w:val="00377B09"/>
    <w:rsid w:val="00377C84"/>
    <w:rsid w:val="00380D20"/>
    <w:rsid w:val="003811FB"/>
    <w:rsid w:val="003815D7"/>
    <w:rsid w:val="00382EA6"/>
    <w:rsid w:val="0038302E"/>
    <w:rsid w:val="0038467F"/>
    <w:rsid w:val="003846AC"/>
    <w:rsid w:val="003846E8"/>
    <w:rsid w:val="00384ED5"/>
    <w:rsid w:val="00384F18"/>
    <w:rsid w:val="003852E4"/>
    <w:rsid w:val="003853B9"/>
    <w:rsid w:val="0038559B"/>
    <w:rsid w:val="00385831"/>
    <w:rsid w:val="00385B79"/>
    <w:rsid w:val="003862FA"/>
    <w:rsid w:val="00386387"/>
    <w:rsid w:val="003866B6"/>
    <w:rsid w:val="00386F0B"/>
    <w:rsid w:val="00387920"/>
    <w:rsid w:val="0039081F"/>
    <w:rsid w:val="00391522"/>
    <w:rsid w:val="00391F3E"/>
    <w:rsid w:val="003921CA"/>
    <w:rsid w:val="003925E1"/>
    <w:rsid w:val="003930CB"/>
    <w:rsid w:val="0039469F"/>
    <w:rsid w:val="00394A45"/>
    <w:rsid w:val="003951B2"/>
    <w:rsid w:val="00396090"/>
    <w:rsid w:val="00396662"/>
    <w:rsid w:val="003969B0"/>
    <w:rsid w:val="00396DF1"/>
    <w:rsid w:val="003A013B"/>
    <w:rsid w:val="003A05FF"/>
    <w:rsid w:val="003A1582"/>
    <w:rsid w:val="003A15FA"/>
    <w:rsid w:val="003A1C9B"/>
    <w:rsid w:val="003A1D42"/>
    <w:rsid w:val="003A1E44"/>
    <w:rsid w:val="003A3EC7"/>
    <w:rsid w:val="003A44E0"/>
    <w:rsid w:val="003A57E4"/>
    <w:rsid w:val="003A6857"/>
    <w:rsid w:val="003A6A9C"/>
    <w:rsid w:val="003B07AB"/>
    <w:rsid w:val="003B0C22"/>
    <w:rsid w:val="003B3793"/>
    <w:rsid w:val="003B4402"/>
    <w:rsid w:val="003B49A3"/>
    <w:rsid w:val="003B49E5"/>
    <w:rsid w:val="003B4C32"/>
    <w:rsid w:val="003B55AA"/>
    <w:rsid w:val="003B595A"/>
    <w:rsid w:val="003B5B12"/>
    <w:rsid w:val="003B5D19"/>
    <w:rsid w:val="003B6389"/>
    <w:rsid w:val="003B72FA"/>
    <w:rsid w:val="003C04B1"/>
    <w:rsid w:val="003C053B"/>
    <w:rsid w:val="003C0DBC"/>
    <w:rsid w:val="003C0E90"/>
    <w:rsid w:val="003C2611"/>
    <w:rsid w:val="003C34EE"/>
    <w:rsid w:val="003C4336"/>
    <w:rsid w:val="003C49E1"/>
    <w:rsid w:val="003C5603"/>
    <w:rsid w:val="003C589B"/>
    <w:rsid w:val="003C6CE6"/>
    <w:rsid w:val="003C7853"/>
    <w:rsid w:val="003D08C1"/>
    <w:rsid w:val="003D1867"/>
    <w:rsid w:val="003D220F"/>
    <w:rsid w:val="003D2AC4"/>
    <w:rsid w:val="003D4204"/>
    <w:rsid w:val="003D4698"/>
    <w:rsid w:val="003D4941"/>
    <w:rsid w:val="003D4D22"/>
    <w:rsid w:val="003D520B"/>
    <w:rsid w:val="003D5367"/>
    <w:rsid w:val="003D7114"/>
    <w:rsid w:val="003D73A1"/>
    <w:rsid w:val="003D7B2C"/>
    <w:rsid w:val="003D7B71"/>
    <w:rsid w:val="003E0779"/>
    <w:rsid w:val="003E0AD4"/>
    <w:rsid w:val="003E0B30"/>
    <w:rsid w:val="003E0C02"/>
    <w:rsid w:val="003E16BD"/>
    <w:rsid w:val="003E1D34"/>
    <w:rsid w:val="003E1EB2"/>
    <w:rsid w:val="003E1F67"/>
    <w:rsid w:val="003E4EF6"/>
    <w:rsid w:val="003E5669"/>
    <w:rsid w:val="003F0AE8"/>
    <w:rsid w:val="003F0C54"/>
    <w:rsid w:val="003F19CE"/>
    <w:rsid w:val="003F1BEF"/>
    <w:rsid w:val="003F1CFC"/>
    <w:rsid w:val="003F1E83"/>
    <w:rsid w:val="003F3539"/>
    <w:rsid w:val="003F447C"/>
    <w:rsid w:val="003F48AC"/>
    <w:rsid w:val="003F78DD"/>
    <w:rsid w:val="00401602"/>
    <w:rsid w:val="00401A06"/>
    <w:rsid w:val="0040225C"/>
    <w:rsid w:val="00402A35"/>
    <w:rsid w:val="00403127"/>
    <w:rsid w:val="00403298"/>
    <w:rsid w:val="00404179"/>
    <w:rsid w:val="0040453F"/>
    <w:rsid w:val="00404947"/>
    <w:rsid w:val="00404BAB"/>
    <w:rsid w:val="00404D18"/>
    <w:rsid w:val="004051E1"/>
    <w:rsid w:val="00405E64"/>
    <w:rsid w:val="00406207"/>
    <w:rsid w:val="0040681C"/>
    <w:rsid w:val="0040728A"/>
    <w:rsid w:val="00407960"/>
    <w:rsid w:val="0041079F"/>
    <w:rsid w:val="00411170"/>
    <w:rsid w:val="00411A45"/>
    <w:rsid w:val="00411D86"/>
    <w:rsid w:val="0041218D"/>
    <w:rsid w:val="004125BA"/>
    <w:rsid w:val="004125C8"/>
    <w:rsid w:val="004128AE"/>
    <w:rsid w:val="004131D2"/>
    <w:rsid w:val="00413F87"/>
    <w:rsid w:val="0041426E"/>
    <w:rsid w:val="00414596"/>
    <w:rsid w:val="0041546D"/>
    <w:rsid w:val="00415C13"/>
    <w:rsid w:val="004165D4"/>
    <w:rsid w:val="00417042"/>
    <w:rsid w:val="0041769B"/>
    <w:rsid w:val="00417E6D"/>
    <w:rsid w:val="00417EDF"/>
    <w:rsid w:val="004208AF"/>
    <w:rsid w:val="00420912"/>
    <w:rsid w:val="00420DFE"/>
    <w:rsid w:val="00421384"/>
    <w:rsid w:val="00422027"/>
    <w:rsid w:val="0042216C"/>
    <w:rsid w:val="004229ED"/>
    <w:rsid w:val="004233D2"/>
    <w:rsid w:val="004233F6"/>
    <w:rsid w:val="00423ADC"/>
    <w:rsid w:val="00423F21"/>
    <w:rsid w:val="00425A0F"/>
    <w:rsid w:val="00426D5D"/>
    <w:rsid w:val="004279A3"/>
    <w:rsid w:val="00430A71"/>
    <w:rsid w:val="004310BD"/>
    <w:rsid w:val="004317DD"/>
    <w:rsid w:val="00432710"/>
    <w:rsid w:val="004329C3"/>
    <w:rsid w:val="00432DF0"/>
    <w:rsid w:val="00433B6E"/>
    <w:rsid w:val="004340CF"/>
    <w:rsid w:val="0043449C"/>
    <w:rsid w:val="004375F3"/>
    <w:rsid w:val="00440215"/>
    <w:rsid w:val="004403F8"/>
    <w:rsid w:val="004404E5"/>
    <w:rsid w:val="00440544"/>
    <w:rsid w:val="00440E37"/>
    <w:rsid w:val="00441B21"/>
    <w:rsid w:val="00441B98"/>
    <w:rsid w:val="00441C53"/>
    <w:rsid w:val="00442E49"/>
    <w:rsid w:val="004430C6"/>
    <w:rsid w:val="004435BC"/>
    <w:rsid w:val="00443678"/>
    <w:rsid w:val="00443A8D"/>
    <w:rsid w:val="00443BCA"/>
    <w:rsid w:val="00443BD2"/>
    <w:rsid w:val="0044581B"/>
    <w:rsid w:val="00446A05"/>
    <w:rsid w:val="00447B09"/>
    <w:rsid w:val="00447DAE"/>
    <w:rsid w:val="00447E0A"/>
    <w:rsid w:val="00450238"/>
    <w:rsid w:val="00450919"/>
    <w:rsid w:val="00450CA7"/>
    <w:rsid w:val="00451845"/>
    <w:rsid w:val="00451A5E"/>
    <w:rsid w:val="00451D47"/>
    <w:rsid w:val="004524CC"/>
    <w:rsid w:val="004525C8"/>
    <w:rsid w:val="00452C19"/>
    <w:rsid w:val="00452D72"/>
    <w:rsid w:val="00452E5E"/>
    <w:rsid w:val="00452FE1"/>
    <w:rsid w:val="00453BBA"/>
    <w:rsid w:val="00454235"/>
    <w:rsid w:val="00454344"/>
    <w:rsid w:val="00454C9E"/>
    <w:rsid w:val="00454D67"/>
    <w:rsid w:val="00454E36"/>
    <w:rsid w:val="004567EF"/>
    <w:rsid w:val="00456D0B"/>
    <w:rsid w:val="00460CDF"/>
    <w:rsid w:val="00460D03"/>
    <w:rsid w:val="00462CB4"/>
    <w:rsid w:val="004632C1"/>
    <w:rsid w:val="00463AA8"/>
    <w:rsid w:val="004646BD"/>
    <w:rsid w:val="00464998"/>
    <w:rsid w:val="004649CE"/>
    <w:rsid w:val="00465227"/>
    <w:rsid w:val="004659E0"/>
    <w:rsid w:val="00465B6F"/>
    <w:rsid w:val="00466452"/>
    <w:rsid w:val="004665A9"/>
    <w:rsid w:val="004704D3"/>
    <w:rsid w:val="00471332"/>
    <w:rsid w:val="00471D62"/>
    <w:rsid w:val="004726DF"/>
    <w:rsid w:val="00472BE6"/>
    <w:rsid w:val="00472F22"/>
    <w:rsid w:val="0047320A"/>
    <w:rsid w:val="00473401"/>
    <w:rsid w:val="00473620"/>
    <w:rsid w:val="004741A5"/>
    <w:rsid w:val="004749BC"/>
    <w:rsid w:val="00474E43"/>
    <w:rsid w:val="00475843"/>
    <w:rsid w:val="00475E9F"/>
    <w:rsid w:val="00475FC6"/>
    <w:rsid w:val="00476008"/>
    <w:rsid w:val="004767F2"/>
    <w:rsid w:val="00477211"/>
    <w:rsid w:val="00477AF8"/>
    <w:rsid w:val="004800F5"/>
    <w:rsid w:val="00480356"/>
    <w:rsid w:val="00480690"/>
    <w:rsid w:val="00481340"/>
    <w:rsid w:val="00482127"/>
    <w:rsid w:val="00482A7C"/>
    <w:rsid w:val="004840DC"/>
    <w:rsid w:val="00484772"/>
    <w:rsid w:val="00485166"/>
    <w:rsid w:val="00485304"/>
    <w:rsid w:val="00486398"/>
    <w:rsid w:val="0048747B"/>
    <w:rsid w:val="00487571"/>
    <w:rsid w:val="004902EA"/>
    <w:rsid w:val="00490BE8"/>
    <w:rsid w:val="00490C2F"/>
    <w:rsid w:val="004915D0"/>
    <w:rsid w:val="0049170E"/>
    <w:rsid w:val="00491CAE"/>
    <w:rsid w:val="00491EB3"/>
    <w:rsid w:val="0049266E"/>
    <w:rsid w:val="00492856"/>
    <w:rsid w:val="00492A73"/>
    <w:rsid w:val="00492A89"/>
    <w:rsid w:val="00492C18"/>
    <w:rsid w:val="00494438"/>
    <w:rsid w:val="004944C0"/>
    <w:rsid w:val="004944F5"/>
    <w:rsid w:val="00494AB0"/>
    <w:rsid w:val="00494AB6"/>
    <w:rsid w:val="00495513"/>
    <w:rsid w:val="00495C7E"/>
    <w:rsid w:val="00495DC6"/>
    <w:rsid w:val="0049710D"/>
    <w:rsid w:val="00497660"/>
    <w:rsid w:val="00497989"/>
    <w:rsid w:val="004A1A1A"/>
    <w:rsid w:val="004A1E07"/>
    <w:rsid w:val="004A1ED9"/>
    <w:rsid w:val="004A267A"/>
    <w:rsid w:val="004A2E8E"/>
    <w:rsid w:val="004A33C6"/>
    <w:rsid w:val="004A39B8"/>
    <w:rsid w:val="004A3D86"/>
    <w:rsid w:val="004A3E8F"/>
    <w:rsid w:val="004A4BC2"/>
    <w:rsid w:val="004A4CFA"/>
    <w:rsid w:val="004A6832"/>
    <w:rsid w:val="004A74F1"/>
    <w:rsid w:val="004A788D"/>
    <w:rsid w:val="004A79CC"/>
    <w:rsid w:val="004B0446"/>
    <w:rsid w:val="004B0AB0"/>
    <w:rsid w:val="004B119C"/>
    <w:rsid w:val="004B1874"/>
    <w:rsid w:val="004B1E10"/>
    <w:rsid w:val="004B1E44"/>
    <w:rsid w:val="004B26E1"/>
    <w:rsid w:val="004B29EE"/>
    <w:rsid w:val="004B3B2F"/>
    <w:rsid w:val="004B3F04"/>
    <w:rsid w:val="004B49CA"/>
    <w:rsid w:val="004B4BD3"/>
    <w:rsid w:val="004B5AD2"/>
    <w:rsid w:val="004B66FD"/>
    <w:rsid w:val="004B6A30"/>
    <w:rsid w:val="004B6F04"/>
    <w:rsid w:val="004B7021"/>
    <w:rsid w:val="004C11B2"/>
    <w:rsid w:val="004C18D6"/>
    <w:rsid w:val="004C21C4"/>
    <w:rsid w:val="004C268C"/>
    <w:rsid w:val="004C2A77"/>
    <w:rsid w:val="004C3902"/>
    <w:rsid w:val="004C42A9"/>
    <w:rsid w:val="004C47B9"/>
    <w:rsid w:val="004C4FD0"/>
    <w:rsid w:val="004C5183"/>
    <w:rsid w:val="004C639F"/>
    <w:rsid w:val="004C6670"/>
    <w:rsid w:val="004C6E5B"/>
    <w:rsid w:val="004C6F69"/>
    <w:rsid w:val="004C7759"/>
    <w:rsid w:val="004D0D5B"/>
    <w:rsid w:val="004D1418"/>
    <w:rsid w:val="004D1866"/>
    <w:rsid w:val="004D1C5B"/>
    <w:rsid w:val="004D1C61"/>
    <w:rsid w:val="004D3C0D"/>
    <w:rsid w:val="004D42CC"/>
    <w:rsid w:val="004D4FEB"/>
    <w:rsid w:val="004D59D3"/>
    <w:rsid w:val="004D5F63"/>
    <w:rsid w:val="004D74D1"/>
    <w:rsid w:val="004D7CEC"/>
    <w:rsid w:val="004E0055"/>
    <w:rsid w:val="004E0735"/>
    <w:rsid w:val="004E1B20"/>
    <w:rsid w:val="004E2443"/>
    <w:rsid w:val="004E2507"/>
    <w:rsid w:val="004E2BD0"/>
    <w:rsid w:val="004E45EE"/>
    <w:rsid w:val="004E4944"/>
    <w:rsid w:val="004E5141"/>
    <w:rsid w:val="004E64F5"/>
    <w:rsid w:val="004E6820"/>
    <w:rsid w:val="004F047B"/>
    <w:rsid w:val="004F049B"/>
    <w:rsid w:val="004F101E"/>
    <w:rsid w:val="004F1199"/>
    <w:rsid w:val="004F24C2"/>
    <w:rsid w:val="004F25DC"/>
    <w:rsid w:val="004F2930"/>
    <w:rsid w:val="004F2C33"/>
    <w:rsid w:val="004F2F2C"/>
    <w:rsid w:val="004F36E5"/>
    <w:rsid w:val="004F3CFF"/>
    <w:rsid w:val="004F4478"/>
    <w:rsid w:val="004F4669"/>
    <w:rsid w:val="004F48D7"/>
    <w:rsid w:val="004F4CA2"/>
    <w:rsid w:val="004F4DE1"/>
    <w:rsid w:val="004F55F2"/>
    <w:rsid w:val="004F5E4B"/>
    <w:rsid w:val="004F6B96"/>
    <w:rsid w:val="004F7287"/>
    <w:rsid w:val="004F73B3"/>
    <w:rsid w:val="00500CBE"/>
    <w:rsid w:val="00501D4C"/>
    <w:rsid w:val="0050219B"/>
    <w:rsid w:val="0050229B"/>
    <w:rsid w:val="0050279E"/>
    <w:rsid w:val="00502BA3"/>
    <w:rsid w:val="00503198"/>
    <w:rsid w:val="00504323"/>
    <w:rsid w:val="00504762"/>
    <w:rsid w:val="00504A81"/>
    <w:rsid w:val="00504C98"/>
    <w:rsid w:val="0050507B"/>
    <w:rsid w:val="00505316"/>
    <w:rsid w:val="00506182"/>
    <w:rsid w:val="00506E62"/>
    <w:rsid w:val="00506FFD"/>
    <w:rsid w:val="005071C6"/>
    <w:rsid w:val="005071DC"/>
    <w:rsid w:val="005077BF"/>
    <w:rsid w:val="00511272"/>
    <w:rsid w:val="00511610"/>
    <w:rsid w:val="00511ECC"/>
    <w:rsid w:val="005128E1"/>
    <w:rsid w:val="00512F63"/>
    <w:rsid w:val="00512F78"/>
    <w:rsid w:val="00513C64"/>
    <w:rsid w:val="00513E6E"/>
    <w:rsid w:val="0051467F"/>
    <w:rsid w:val="005146DB"/>
    <w:rsid w:val="00514CAE"/>
    <w:rsid w:val="00514D22"/>
    <w:rsid w:val="0051622F"/>
    <w:rsid w:val="00517B22"/>
    <w:rsid w:val="00517FD7"/>
    <w:rsid w:val="0052087A"/>
    <w:rsid w:val="005218D7"/>
    <w:rsid w:val="005219EB"/>
    <w:rsid w:val="00521D93"/>
    <w:rsid w:val="00521FA4"/>
    <w:rsid w:val="00522751"/>
    <w:rsid w:val="005233D4"/>
    <w:rsid w:val="00524669"/>
    <w:rsid w:val="0052486F"/>
    <w:rsid w:val="0052504C"/>
    <w:rsid w:val="0052514E"/>
    <w:rsid w:val="005253DB"/>
    <w:rsid w:val="005253EC"/>
    <w:rsid w:val="005264AE"/>
    <w:rsid w:val="00526946"/>
    <w:rsid w:val="005269EF"/>
    <w:rsid w:val="00531C61"/>
    <w:rsid w:val="005326D6"/>
    <w:rsid w:val="005328CF"/>
    <w:rsid w:val="00533533"/>
    <w:rsid w:val="00533942"/>
    <w:rsid w:val="00533D92"/>
    <w:rsid w:val="005356FC"/>
    <w:rsid w:val="00535986"/>
    <w:rsid w:val="00535C37"/>
    <w:rsid w:val="0053603C"/>
    <w:rsid w:val="005363F3"/>
    <w:rsid w:val="005364DA"/>
    <w:rsid w:val="00536950"/>
    <w:rsid w:val="00537E40"/>
    <w:rsid w:val="0054012C"/>
    <w:rsid w:val="005401B1"/>
    <w:rsid w:val="005406D2"/>
    <w:rsid w:val="00540AB8"/>
    <w:rsid w:val="005410D3"/>
    <w:rsid w:val="00541951"/>
    <w:rsid w:val="00541E52"/>
    <w:rsid w:val="005420FF"/>
    <w:rsid w:val="00542504"/>
    <w:rsid w:val="00544ED2"/>
    <w:rsid w:val="0054538D"/>
    <w:rsid w:val="00545891"/>
    <w:rsid w:val="005475F0"/>
    <w:rsid w:val="00547CFE"/>
    <w:rsid w:val="005501F9"/>
    <w:rsid w:val="0055171F"/>
    <w:rsid w:val="0055211A"/>
    <w:rsid w:val="00552264"/>
    <w:rsid w:val="00553276"/>
    <w:rsid w:val="0055371F"/>
    <w:rsid w:val="00553A44"/>
    <w:rsid w:val="00554331"/>
    <w:rsid w:val="00554A87"/>
    <w:rsid w:val="00554C0E"/>
    <w:rsid w:val="00555B8A"/>
    <w:rsid w:val="00555D30"/>
    <w:rsid w:val="0055632E"/>
    <w:rsid w:val="00556446"/>
    <w:rsid w:val="0055771D"/>
    <w:rsid w:val="005577C6"/>
    <w:rsid w:val="00560227"/>
    <w:rsid w:val="0056025A"/>
    <w:rsid w:val="00560A12"/>
    <w:rsid w:val="00561286"/>
    <w:rsid w:val="00561385"/>
    <w:rsid w:val="005617C5"/>
    <w:rsid w:val="0056274C"/>
    <w:rsid w:val="00562BAA"/>
    <w:rsid w:val="00562F1D"/>
    <w:rsid w:val="00564153"/>
    <w:rsid w:val="00564752"/>
    <w:rsid w:val="00564E9B"/>
    <w:rsid w:val="005655DB"/>
    <w:rsid w:val="00566935"/>
    <w:rsid w:val="00566B71"/>
    <w:rsid w:val="00566C3B"/>
    <w:rsid w:val="00566CD1"/>
    <w:rsid w:val="00567336"/>
    <w:rsid w:val="0056774B"/>
    <w:rsid w:val="005700B6"/>
    <w:rsid w:val="0057023B"/>
    <w:rsid w:val="005707D5"/>
    <w:rsid w:val="00571829"/>
    <w:rsid w:val="00571F9E"/>
    <w:rsid w:val="005720E5"/>
    <w:rsid w:val="00572253"/>
    <w:rsid w:val="00572D98"/>
    <w:rsid w:val="005731AB"/>
    <w:rsid w:val="0057330E"/>
    <w:rsid w:val="005749AC"/>
    <w:rsid w:val="00574D63"/>
    <w:rsid w:val="00575165"/>
    <w:rsid w:val="005752FE"/>
    <w:rsid w:val="00575CCB"/>
    <w:rsid w:val="00575EC5"/>
    <w:rsid w:val="005762C4"/>
    <w:rsid w:val="005778BA"/>
    <w:rsid w:val="00577CA3"/>
    <w:rsid w:val="005802BD"/>
    <w:rsid w:val="005816DB"/>
    <w:rsid w:val="00582836"/>
    <w:rsid w:val="00582D64"/>
    <w:rsid w:val="005834F0"/>
    <w:rsid w:val="005837EC"/>
    <w:rsid w:val="00584533"/>
    <w:rsid w:val="005845D1"/>
    <w:rsid w:val="00584EE1"/>
    <w:rsid w:val="00586189"/>
    <w:rsid w:val="00586C31"/>
    <w:rsid w:val="00586C5D"/>
    <w:rsid w:val="00587054"/>
    <w:rsid w:val="005878CD"/>
    <w:rsid w:val="00587CF5"/>
    <w:rsid w:val="00590140"/>
    <w:rsid w:val="00591442"/>
    <w:rsid w:val="0059216E"/>
    <w:rsid w:val="00592ADF"/>
    <w:rsid w:val="0059301E"/>
    <w:rsid w:val="0059332B"/>
    <w:rsid w:val="00593AE2"/>
    <w:rsid w:val="00595740"/>
    <w:rsid w:val="00596091"/>
    <w:rsid w:val="005974BA"/>
    <w:rsid w:val="0059776D"/>
    <w:rsid w:val="005A0314"/>
    <w:rsid w:val="005A0848"/>
    <w:rsid w:val="005A19BE"/>
    <w:rsid w:val="005A1C3D"/>
    <w:rsid w:val="005A207D"/>
    <w:rsid w:val="005A229A"/>
    <w:rsid w:val="005A318F"/>
    <w:rsid w:val="005A3D44"/>
    <w:rsid w:val="005A406F"/>
    <w:rsid w:val="005A46E0"/>
    <w:rsid w:val="005A4DD2"/>
    <w:rsid w:val="005A5659"/>
    <w:rsid w:val="005A586F"/>
    <w:rsid w:val="005A5C0E"/>
    <w:rsid w:val="005A74DC"/>
    <w:rsid w:val="005A7CE0"/>
    <w:rsid w:val="005B017F"/>
    <w:rsid w:val="005B0E09"/>
    <w:rsid w:val="005B0FEE"/>
    <w:rsid w:val="005B1EF6"/>
    <w:rsid w:val="005B3498"/>
    <w:rsid w:val="005B3BEC"/>
    <w:rsid w:val="005B3D9F"/>
    <w:rsid w:val="005B3E6F"/>
    <w:rsid w:val="005B5DA6"/>
    <w:rsid w:val="005B6552"/>
    <w:rsid w:val="005B6CC4"/>
    <w:rsid w:val="005B7751"/>
    <w:rsid w:val="005B7F9E"/>
    <w:rsid w:val="005C00E8"/>
    <w:rsid w:val="005C2EBB"/>
    <w:rsid w:val="005C3DD2"/>
    <w:rsid w:val="005C419B"/>
    <w:rsid w:val="005C42BF"/>
    <w:rsid w:val="005C4F3A"/>
    <w:rsid w:val="005C5FED"/>
    <w:rsid w:val="005C666B"/>
    <w:rsid w:val="005C6906"/>
    <w:rsid w:val="005C6EB5"/>
    <w:rsid w:val="005C6FEC"/>
    <w:rsid w:val="005D0DC6"/>
    <w:rsid w:val="005D1196"/>
    <w:rsid w:val="005D1C2E"/>
    <w:rsid w:val="005D249B"/>
    <w:rsid w:val="005D24F7"/>
    <w:rsid w:val="005D2676"/>
    <w:rsid w:val="005D3186"/>
    <w:rsid w:val="005D34FA"/>
    <w:rsid w:val="005D3DA3"/>
    <w:rsid w:val="005D4497"/>
    <w:rsid w:val="005D4843"/>
    <w:rsid w:val="005D5448"/>
    <w:rsid w:val="005D5AA5"/>
    <w:rsid w:val="005D5F8A"/>
    <w:rsid w:val="005D6510"/>
    <w:rsid w:val="005D7071"/>
    <w:rsid w:val="005D73B2"/>
    <w:rsid w:val="005D7EE3"/>
    <w:rsid w:val="005E048A"/>
    <w:rsid w:val="005E0583"/>
    <w:rsid w:val="005E094C"/>
    <w:rsid w:val="005E0CC8"/>
    <w:rsid w:val="005E11D7"/>
    <w:rsid w:val="005E17ED"/>
    <w:rsid w:val="005E183B"/>
    <w:rsid w:val="005E1F84"/>
    <w:rsid w:val="005E2506"/>
    <w:rsid w:val="005E3500"/>
    <w:rsid w:val="005E3E21"/>
    <w:rsid w:val="005E42B7"/>
    <w:rsid w:val="005E43BA"/>
    <w:rsid w:val="005E449A"/>
    <w:rsid w:val="005E513B"/>
    <w:rsid w:val="005E58E5"/>
    <w:rsid w:val="005E611C"/>
    <w:rsid w:val="005E63EB"/>
    <w:rsid w:val="005E6D54"/>
    <w:rsid w:val="005E709B"/>
    <w:rsid w:val="005E75D6"/>
    <w:rsid w:val="005F11AC"/>
    <w:rsid w:val="005F123F"/>
    <w:rsid w:val="005F1788"/>
    <w:rsid w:val="005F2AC3"/>
    <w:rsid w:val="005F34D4"/>
    <w:rsid w:val="005F4D43"/>
    <w:rsid w:val="005F5986"/>
    <w:rsid w:val="005F63B2"/>
    <w:rsid w:val="005F7786"/>
    <w:rsid w:val="005F7872"/>
    <w:rsid w:val="005F78B8"/>
    <w:rsid w:val="005F7B13"/>
    <w:rsid w:val="0060080B"/>
    <w:rsid w:val="0060093A"/>
    <w:rsid w:val="006018A5"/>
    <w:rsid w:val="00601CDF"/>
    <w:rsid w:val="00602EEA"/>
    <w:rsid w:val="00603957"/>
    <w:rsid w:val="00603A50"/>
    <w:rsid w:val="00604D0F"/>
    <w:rsid w:val="00605982"/>
    <w:rsid w:val="00605C1B"/>
    <w:rsid w:val="00605E65"/>
    <w:rsid w:val="006074FC"/>
    <w:rsid w:val="00607729"/>
    <w:rsid w:val="00607958"/>
    <w:rsid w:val="006116E1"/>
    <w:rsid w:val="00611B1F"/>
    <w:rsid w:val="00611F99"/>
    <w:rsid w:val="00612334"/>
    <w:rsid w:val="0061325D"/>
    <w:rsid w:val="0061385B"/>
    <w:rsid w:val="006139F1"/>
    <w:rsid w:val="00614870"/>
    <w:rsid w:val="00614E2F"/>
    <w:rsid w:val="00615357"/>
    <w:rsid w:val="00615D6F"/>
    <w:rsid w:val="006177A8"/>
    <w:rsid w:val="00617893"/>
    <w:rsid w:val="00617DC4"/>
    <w:rsid w:val="0062011B"/>
    <w:rsid w:val="006203BA"/>
    <w:rsid w:val="00620FE2"/>
    <w:rsid w:val="006213F3"/>
    <w:rsid w:val="00621737"/>
    <w:rsid w:val="00621B39"/>
    <w:rsid w:val="00621F13"/>
    <w:rsid w:val="00622B71"/>
    <w:rsid w:val="006230C1"/>
    <w:rsid w:val="006235BD"/>
    <w:rsid w:val="00623754"/>
    <w:rsid w:val="00624207"/>
    <w:rsid w:val="00624587"/>
    <w:rsid w:val="00624771"/>
    <w:rsid w:val="00624B55"/>
    <w:rsid w:val="00624BF2"/>
    <w:rsid w:val="00624BFD"/>
    <w:rsid w:val="00624C77"/>
    <w:rsid w:val="00624D45"/>
    <w:rsid w:val="00624EA3"/>
    <w:rsid w:val="006252D2"/>
    <w:rsid w:val="006258AF"/>
    <w:rsid w:val="00626009"/>
    <w:rsid w:val="006265D5"/>
    <w:rsid w:val="00627464"/>
    <w:rsid w:val="00630273"/>
    <w:rsid w:val="00631366"/>
    <w:rsid w:val="006325F5"/>
    <w:rsid w:val="0063280A"/>
    <w:rsid w:val="006345BC"/>
    <w:rsid w:val="006346ED"/>
    <w:rsid w:val="00634B42"/>
    <w:rsid w:val="00634CC5"/>
    <w:rsid w:val="00635F4C"/>
    <w:rsid w:val="00636152"/>
    <w:rsid w:val="0063628B"/>
    <w:rsid w:val="0063643F"/>
    <w:rsid w:val="006366DE"/>
    <w:rsid w:val="0063696D"/>
    <w:rsid w:val="00636A1C"/>
    <w:rsid w:val="00636B31"/>
    <w:rsid w:val="00636BCE"/>
    <w:rsid w:val="00636CF5"/>
    <w:rsid w:val="0063729A"/>
    <w:rsid w:val="00637DE5"/>
    <w:rsid w:val="00637EBB"/>
    <w:rsid w:val="00637F8A"/>
    <w:rsid w:val="00637FCD"/>
    <w:rsid w:val="0064113D"/>
    <w:rsid w:val="006421CD"/>
    <w:rsid w:val="00642B9B"/>
    <w:rsid w:val="00642E06"/>
    <w:rsid w:val="00643795"/>
    <w:rsid w:val="00643BAD"/>
    <w:rsid w:val="006440B2"/>
    <w:rsid w:val="00644282"/>
    <w:rsid w:val="006466AD"/>
    <w:rsid w:val="00646C16"/>
    <w:rsid w:val="0064778D"/>
    <w:rsid w:val="00647D3C"/>
    <w:rsid w:val="00647DF1"/>
    <w:rsid w:val="00650041"/>
    <w:rsid w:val="006502D0"/>
    <w:rsid w:val="006506EC"/>
    <w:rsid w:val="00650993"/>
    <w:rsid w:val="00650DAE"/>
    <w:rsid w:val="0065293C"/>
    <w:rsid w:val="00653DB1"/>
    <w:rsid w:val="00653E6B"/>
    <w:rsid w:val="006543A4"/>
    <w:rsid w:val="006544D1"/>
    <w:rsid w:val="00654649"/>
    <w:rsid w:val="00654B07"/>
    <w:rsid w:val="00656B07"/>
    <w:rsid w:val="00656E8D"/>
    <w:rsid w:val="00656F27"/>
    <w:rsid w:val="00657666"/>
    <w:rsid w:val="006578BE"/>
    <w:rsid w:val="006579C0"/>
    <w:rsid w:val="00660302"/>
    <w:rsid w:val="00660583"/>
    <w:rsid w:val="006608D6"/>
    <w:rsid w:val="0066159F"/>
    <w:rsid w:val="00661F35"/>
    <w:rsid w:val="006637EA"/>
    <w:rsid w:val="006658EC"/>
    <w:rsid w:val="00665E4A"/>
    <w:rsid w:val="0066784C"/>
    <w:rsid w:val="006703A3"/>
    <w:rsid w:val="00670801"/>
    <w:rsid w:val="00670F84"/>
    <w:rsid w:val="006714AC"/>
    <w:rsid w:val="006714C7"/>
    <w:rsid w:val="00671A07"/>
    <w:rsid w:val="00671E18"/>
    <w:rsid w:val="00671FD2"/>
    <w:rsid w:val="00672AF5"/>
    <w:rsid w:val="00673842"/>
    <w:rsid w:val="00673906"/>
    <w:rsid w:val="00674634"/>
    <w:rsid w:val="00674D5D"/>
    <w:rsid w:val="00675463"/>
    <w:rsid w:val="006756D8"/>
    <w:rsid w:val="0067603A"/>
    <w:rsid w:val="00676139"/>
    <w:rsid w:val="006766F0"/>
    <w:rsid w:val="0067688B"/>
    <w:rsid w:val="00676E80"/>
    <w:rsid w:val="0067718B"/>
    <w:rsid w:val="00677752"/>
    <w:rsid w:val="00677A81"/>
    <w:rsid w:val="00680F48"/>
    <w:rsid w:val="00681415"/>
    <w:rsid w:val="00681E06"/>
    <w:rsid w:val="006820D9"/>
    <w:rsid w:val="0068428D"/>
    <w:rsid w:val="00684C4B"/>
    <w:rsid w:val="0068545B"/>
    <w:rsid w:val="00685A73"/>
    <w:rsid w:val="00685C42"/>
    <w:rsid w:val="00686773"/>
    <w:rsid w:val="00686DFA"/>
    <w:rsid w:val="00687260"/>
    <w:rsid w:val="00687B7E"/>
    <w:rsid w:val="00690534"/>
    <w:rsid w:val="006907F8"/>
    <w:rsid w:val="006908CF"/>
    <w:rsid w:val="00690D58"/>
    <w:rsid w:val="00690EDE"/>
    <w:rsid w:val="00691091"/>
    <w:rsid w:val="006913EC"/>
    <w:rsid w:val="00691645"/>
    <w:rsid w:val="0069176D"/>
    <w:rsid w:val="006919A6"/>
    <w:rsid w:val="00691FC1"/>
    <w:rsid w:val="00692017"/>
    <w:rsid w:val="00693045"/>
    <w:rsid w:val="0069337B"/>
    <w:rsid w:val="00693854"/>
    <w:rsid w:val="006949E6"/>
    <w:rsid w:val="006953F8"/>
    <w:rsid w:val="006958CD"/>
    <w:rsid w:val="00695960"/>
    <w:rsid w:val="006967AE"/>
    <w:rsid w:val="006A0AE3"/>
    <w:rsid w:val="006A16C6"/>
    <w:rsid w:val="006A1BCE"/>
    <w:rsid w:val="006A209A"/>
    <w:rsid w:val="006A2688"/>
    <w:rsid w:val="006A2750"/>
    <w:rsid w:val="006A2C63"/>
    <w:rsid w:val="006A2F04"/>
    <w:rsid w:val="006A31D0"/>
    <w:rsid w:val="006A4EFC"/>
    <w:rsid w:val="006A52DA"/>
    <w:rsid w:val="006A5350"/>
    <w:rsid w:val="006A53B4"/>
    <w:rsid w:val="006A68C3"/>
    <w:rsid w:val="006A73C4"/>
    <w:rsid w:val="006A75FA"/>
    <w:rsid w:val="006A7724"/>
    <w:rsid w:val="006A796E"/>
    <w:rsid w:val="006B17C6"/>
    <w:rsid w:val="006B218B"/>
    <w:rsid w:val="006B4B91"/>
    <w:rsid w:val="006B4E3C"/>
    <w:rsid w:val="006B5D80"/>
    <w:rsid w:val="006B659C"/>
    <w:rsid w:val="006B67CF"/>
    <w:rsid w:val="006B67FC"/>
    <w:rsid w:val="006B6B05"/>
    <w:rsid w:val="006B6CEF"/>
    <w:rsid w:val="006B79D7"/>
    <w:rsid w:val="006B7A59"/>
    <w:rsid w:val="006B7EC3"/>
    <w:rsid w:val="006C03B8"/>
    <w:rsid w:val="006C0590"/>
    <w:rsid w:val="006C17AA"/>
    <w:rsid w:val="006C1A6E"/>
    <w:rsid w:val="006C1B8F"/>
    <w:rsid w:val="006C1F3E"/>
    <w:rsid w:val="006C28BF"/>
    <w:rsid w:val="006C2E62"/>
    <w:rsid w:val="006C42E2"/>
    <w:rsid w:val="006C44B6"/>
    <w:rsid w:val="006C4523"/>
    <w:rsid w:val="006C4B5A"/>
    <w:rsid w:val="006C6848"/>
    <w:rsid w:val="006C7703"/>
    <w:rsid w:val="006C7D3C"/>
    <w:rsid w:val="006C7FCD"/>
    <w:rsid w:val="006D1755"/>
    <w:rsid w:val="006D1DF8"/>
    <w:rsid w:val="006D2F44"/>
    <w:rsid w:val="006D3588"/>
    <w:rsid w:val="006D36E2"/>
    <w:rsid w:val="006D37BA"/>
    <w:rsid w:val="006D3C08"/>
    <w:rsid w:val="006D61ED"/>
    <w:rsid w:val="006D62C4"/>
    <w:rsid w:val="006D7C38"/>
    <w:rsid w:val="006E026A"/>
    <w:rsid w:val="006E06DB"/>
    <w:rsid w:val="006E0B01"/>
    <w:rsid w:val="006E1015"/>
    <w:rsid w:val="006E37F0"/>
    <w:rsid w:val="006E48CC"/>
    <w:rsid w:val="006E50C1"/>
    <w:rsid w:val="006E54C7"/>
    <w:rsid w:val="006E5AC9"/>
    <w:rsid w:val="006F00B7"/>
    <w:rsid w:val="006F0A64"/>
    <w:rsid w:val="006F1338"/>
    <w:rsid w:val="006F1734"/>
    <w:rsid w:val="006F1815"/>
    <w:rsid w:val="006F1AE8"/>
    <w:rsid w:val="006F1C21"/>
    <w:rsid w:val="006F280D"/>
    <w:rsid w:val="006F3192"/>
    <w:rsid w:val="006F3AE1"/>
    <w:rsid w:val="006F3C74"/>
    <w:rsid w:val="006F3CC6"/>
    <w:rsid w:val="006F4569"/>
    <w:rsid w:val="006F4C4C"/>
    <w:rsid w:val="006F4ED8"/>
    <w:rsid w:val="006F4FA7"/>
    <w:rsid w:val="006F585A"/>
    <w:rsid w:val="006F5987"/>
    <w:rsid w:val="006F62FF"/>
    <w:rsid w:val="006F6F6F"/>
    <w:rsid w:val="006F7027"/>
    <w:rsid w:val="006F781B"/>
    <w:rsid w:val="00700C47"/>
    <w:rsid w:val="00701411"/>
    <w:rsid w:val="007014E6"/>
    <w:rsid w:val="00701D45"/>
    <w:rsid w:val="0070215A"/>
    <w:rsid w:val="00702175"/>
    <w:rsid w:val="00702266"/>
    <w:rsid w:val="0070252E"/>
    <w:rsid w:val="00702C10"/>
    <w:rsid w:val="00702C32"/>
    <w:rsid w:val="00703912"/>
    <w:rsid w:val="0070395F"/>
    <w:rsid w:val="00703ABD"/>
    <w:rsid w:val="007040FD"/>
    <w:rsid w:val="0070429B"/>
    <w:rsid w:val="0070540F"/>
    <w:rsid w:val="0070550C"/>
    <w:rsid w:val="007058FD"/>
    <w:rsid w:val="00705A4F"/>
    <w:rsid w:val="00705AA0"/>
    <w:rsid w:val="007062CD"/>
    <w:rsid w:val="00706E61"/>
    <w:rsid w:val="007075FE"/>
    <w:rsid w:val="0070771A"/>
    <w:rsid w:val="00707A03"/>
    <w:rsid w:val="00707A97"/>
    <w:rsid w:val="0071005C"/>
    <w:rsid w:val="0071079A"/>
    <w:rsid w:val="007108F6"/>
    <w:rsid w:val="00710BE4"/>
    <w:rsid w:val="00710FB9"/>
    <w:rsid w:val="007113F6"/>
    <w:rsid w:val="00711BBF"/>
    <w:rsid w:val="00711E20"/>
    <w:rsid w:val="0071221C"/>
    <w:rsid w:val="00712890"/>
    <w:rsid w:val="00712A08"/>
    <w:rsid w:val="007134CE"/>
    <w:rsid w:val="007134E7"/>
    <w:rsid w:val="007136FC"/>
    <w:rsid w:val="00714103"/>
    <w:rsid w:val="007142DA"/>
    <w:rsid w:val="00714E1A"/>
    <w:rsid w:val="00715514"/>
    <w:rsid w:val="007157EF"/>
    <w:rsid w:val="00716B83"/>
    <w:rsid w:val="007170D6"/>
    <w:rsid w:val="007177DC"/>
    <w:rsid w:val="007211F0"/>
    <w:rsid w:val="007217D1"/>
    <w:rsid w:val="00722A86"/>
    <w:rsid w:val="00722CB8"/>
    <w:rsid w:val="007243C1"/>
    <w:rsid w:val="00724461"/>
    <w:rsid w:val="00724976"/>
    <w:rsid w:val="00724B53"/>
    <w:rsid w:val="00724C6B"/>
    <w:rsid w:val="007254F6"/>
    <w:rsid w:val="00726588"/>
    <w:rsid w:val="007266A8"/>
    <w:rsid w:val="007279DB"/>
    <w:rsid w:val="00727A06"/>
    <w:rsid w:val="0073052E"/>
    <w:rsid w:val="00730E68"/>
    <w:rsid w:val="007311C0"/>
    <w:rsid w:val="00731371"/>
    <w:rsid w:val="007313FC"/>
    <w:rsid w:val="00732545"/>
    <w:rsid w:val="00732AFC"/>
    <w:rsid w:val="00732C56"/>
    <w:rsid w:val="007334E3"/>
    <w:rsid w:val="00733DB5"/>
    <w:rsid w:val="007343CA"/>
    <w:rsid w:val="00735127"/>
    <w:rsid w:val="007351B0"/>
    <w:rsid w:val="0073524E"/>
    <w:rsid w:val="00735460"/>
    <w:rsid w:val="0073569A"/>
    <w:rsid w:val="007370AF"/>
    <w:rsid w:val="00737BEF"/>
    <w:rsid w:val="00740595"/>
    <w:rsid w:val="00741528"/>
    <w:rsid w:val="00742169"/>
    <w:rsid w:val="00743233"/>
    <w:rsid w:val="00743269"/>
    <w:rsid w:val="00743483"/>
    <w:rsid w:val="00744028"/>
    <w:rsid w:val="00745381"/>
    <w:rsid w:val="00745EE5"/>
    <w:rsid w:val="00745EF8"/>
    <w:rsid w:val="007460AB"/>
    <w:rsid w:val="0074641F"/>
    <w:rsid w:val="0074669C"/>
    <w:rsid w:val="0074716A"/>
    <w:rsid w:val="00750E08"/>
    <w:rsid w:val="00750E26"/>
    <w:rsid w:val="007510F5"/>
    <w:rsid w:val="007538F2"/>
    <w:rsid w:val="00753CE2"/>
    <w:rsid w:val="00754144"/>
    <w:rsid w:val="007543B0"/>
    <w:rsid w:val="00755279"/>
    <w:rsid w:val="00755CF2"/>
    <w:rsid w:val="00756A71"/>
    <w:rsid w:val="00756FA8"/>
    <w:rsid w:val="00757168"/>
    <w:rsid w:val="00757E57"/>
    <w:rsid w:val="0076083F"/>
    <w:rsid w:val="00761100"/>
    <w:rsid w:val="00761458"/>
    <w:rsid w:val="00761715"/>
    <w:rsid w:val="00762A9D"/>
    <w:rsid w:val="00762B1E"/>
    <w:rsid w:val="00763225"/>
    <w:rsid w:val="00763821"/>
    <w:rsid w:val="00763E97"/>
    <w:rsid w:val="007645F9"/>
    <w:rsid w:val="0076465A"/>
    <w:rsid w:val="00764906"/>
    <w:rsid w:val="00765323"/>
    <w:rsid w:val="00765E39"/>
    <w:rsid w:val="007660C6"/>
    <w:rsid w:val="00767255"/>
    <w:rsid w:val="00767A1B"/>
    <w:rsid w:val="00767AAC"/>
    <w:rsid w:val="00767AB6"/>
    <w:rsid w:val="007705BD"/>
    <w:rsid w:val="0077064D"/>
    <w:rsid w:val="00770B97"/>
    <w:rsid w:val="0077151B"/>
    <w:rsid w:val="00771959"/>
    <w:rsid w:val="00771D42"/>
    <w:rsid w:val="00772C98"/>
    <w:rsid w:val="0077333A"/>
    <w:rsid w:val="0077348E"/>
    <w:rsid w:val="007757D7"/>
    <w:rsid w:val="00775ABF"/>
    <w:rsid w:val="0077630F"/>
    <w:rsid w:val="00776B51"/>
    <w:rsid w:val="007779CB"/>
    <w:rsid w:val="00777EB7"/>
    <w:rsid w:val="0078189E"/>
    <w:rsid w:val="007820E9"/>
    <w:rsid w:val="0078268B"/>
    <w:rsid w:val="00782E90"/>
    <w:rsid w:val="00783117"/>
    <w:rsid w:val="007833BE"/>
    <w:rsid w:val="00783FED"/>
    <w:rsid w:val="0078473C"/>
    <w:rsid w:val="00784A0D"/>
    <w:rsid w:val="00784BE3"/>
    <w:rsid w:val="00784C75"/>
    <w:rsid w:val="00785064"/>
    <w:rsid w:val="00785336"/>
    <w:rsid w:val="00785B45"/>
    <w:rsid w:val="00785F20"/>
    <w:rsid w:val="00786327"/>
    <w:rsid w:val="00786529"/>
    <w:rsid w:val="00786848"/>
    <w:rsid w:val="00786C66"/>
    <w:rsid w:val="00786FCF"/>
    <w:rsid w:val="0078742F"/>
    <w:rsid w:val="00787476"/>
    <w:rsid w:val="00787CE1"/>
    <w:rsid w:val="00787EFE"/>
    <w:rsid w:val="00790697"/>
    <w:rsid w:val="00790755"/>
    <w:rsid w:val="00791927"/>
    <w:rsid w:val="007919DD"/>
    <w:rsid w:val="00791E26"/>
    <w:rsid w:val="00791E4D"/>
    <w:rsid w:val="0079291C"/>
    <w:rsid w:val="00792B97"/>
    <w:rsid w:val="00793701"/>
    <w:rsid w:val="00793A93"/>
    <w:rsid w:val="00794AE1"/>
    <w:rsid w:val="00794D5C"/>
    <w:rsid w:val="00794EE5"/>
    <w:rsid w:val="00794FF4"/>
    <w:rsid w:val="00795861"/>
    <w:rsid w:val="00795D50"/>
    <w:rsid w:val="00796492"/>
    <w:rsid w:val="00796C14"/>
    <w:rsid w:val="00796F14"/>
    <w:rsid w:val="00797B33"/>
    <w:rsid w:val="007A0404"/>
    <w:rsid w:val="007A1CE3"/>
    <w:rsid w:val="007A27C7"/>
    <w:rsid w:val="007A37F0"/>
    <w:rsid w:val="007A3F86"/>
    <w:rsid w:val="007A5583"/>
    <w:rsid w:val="007A55AE"/>
    <w:rsid w:val="007A5936"/>
    <w:rsid w:val="007A5AD2"/>
    <w:rsid w:val="007A5D52"/>
    <w:rsid w:val="007A5E7E"/>
    <w:rsid w:val="007A5F21"/>
    <w:rsid w:val="007A6BB3"/>
    <w:rsid w:val="007A74DC"/>
    <w:rsid w:val="007A7A2C"/>
    <w:rsid w:val="007B038F"/>
    <w:rsid w:val="007B0CE5"/>
    <w:rsid w:val="007B1AFA"/>
    <w:rsid w:val="007B1CDB"/>
    <w:rsid w:val="007B27B9"/>
    <w:rsid w:val="007B3A1E"/>
    <w:rsid w:val="007B3CF5"/>
    <w:rsid w:val="007B45C1"/>
    <w:rsid w:val="007B45E7"/>
    <w:rsid w:val="007B4C6F"/>
    <w:rsid w:val="007B4E31"/>
    <w:rsid w:val="007B5104"/>
    <w:rsid w:val="007B546A"/>
    <w:rsid w:val="007B58BE"/>
    <w:rsid w:val="007B637A"/>
    <w:rsid w:val="007C0BEB"/>
    <w:rsid w:val="007C1584"/>
    <w:rsid w:val="007C1F48"/>
    <w:rsid w:val="007C2B20"/>
    <w:rsid w:val="007C2B40"/>
    <w:rsid w:val="007C2FD5"/>
    <w:rsid w:val="007C33B3"/>
    <w:rsid w:val="007C3EF6"/>
    <w:rsid w:val="007C4566"/>
    <w:rsid w:val="007C49C0"/>
    <w:rsid w:val="007C5703"/>
    <w:rsid w:val="007C5AB9"/>
    <w:rsid w:val="007C5AE6"/>
    <w:rsid w:val="007C6EE0"/>
    <w:rsid w:val="007C72F2"/>
    <w:rsid w:val="007C7853"/>
    <w:rsid w:val="007C7C11"/>
    <w:rsid w:val="007D027E"/>
    <w:rsid w:val="007D04D5"/>
    <w:rsid w:val="007D093A"/>
    <w:rsid w:val="007D097E"/>
    <w:rsid w:val="007D1F95"/>
    <w:rsid w:val="007D2F0A"/>
    <w:rsid w:val="007D2F6E"/>
    <w:rsid w:val="007D31A9"/>
    <w:rsid w:val="007D3AD9"/>
    <w:rsid w:val="007D3CAA"/>
    <w:rsid w:val="007D461F"/>
    <w:rsid w:val="007D4EA8"/>
    <w:rsid w:val="007D608B"/>
    <w:rsid w:val="007D7511"/>
    <w:rsid w:val="007D76AB"/>
    <w:rsid w:val="007D76F8"/>
    <w:rsid w:val="007D776C"/>
    <w:rsid w:val="007D7AE4"/>
    <w:rsid w:val="007D7E60"/>
    <w:rsid w:val="007D7FE9"/>
    <w:rsid w:val="007D7FED"/>
    <w:rsid w:val="007E05B1"/>
    <w:rsid w:val="007E0C98"/>
    <w:rsid w:val="007E13E1"/>
    <w:rsid w:val="007E13FE"/>
    <w:rsid w:val="007E2A6D"/>
    <w:rsid w:val="007E360A"/>
    <w:rsid w:val="007E3745"/>
    <w:rsid w:val="007E4B50"/>
    <w:rsid w:val="007E517C"/>
    <w:rsid w:val="007E5BD2"/>
    <w:rsid w:val="007E5F21"/>
    <w:rsid w:val="007E5F8F"/>
    <w:rsid w:val="007E6029"/>
    <w:rsid w:val="007E666E"/>
    <w:rsid w:val="007E6B13"/>
    <w:rsid w:val="007E7199"/>
    <w:rsid w:val="007E7FA2"/>
    <w:rsid w:val="007F02CC"/>
    <w:rsid w:val="007F08A0"/>
    <w:rsid w:val="007F139B"/>
    <w:rsid w:val="007F16FF"/>
    <w:rsid w:val="007F1AD6"/>
    <w:rsid w:val="007F2EE7"/>
    <w:rsid w:val="007F2F52"/>
    <w:rsid w:val="007F39E1"/>
    <w:rsid w:val="007F424C"/>
    <w:rsid w:val="007F47BA"/>
    <w:rsid w:val="007F5D08"/>
    <w:rsid w:val="007F623F"/>
    <w:rsid w:val="007F664C"/>
    <w:rsid w:val="007F6A5B"/>
    <w:rsid w:val="007F76DD"/>
    <w:rsid w:val="007F7BC9"/>
    <w:rsid w:val="00800AB7"/>
    <w:rsid w:val="008013A1"/>
    <w:rsid w:val="008020AE"/>
    <w:rsid w:val="00802166"/>
    <w:rsid w:val="00802687"/>
    <w:rsid w:val="00802708"/>
    <w:rsid w:val="00802CE9"/>
    <w:rsid w:val="00802DCA"/>
    <w:rsid w:val="0080427D"/>
    <w:rsid w:val="00804619"/>
    <w:rsid w:val="00806374"/>
    <w:rsid w:val="00806E61"/>
    <w:rsid w:val="00806E9A"/>
    <w:rsid w:val="00806EE3"/>
    <w:rsid w:val="00810727"/>
    <w:rsid w:val="0081393E"/>
    <w:rsid w:val="00813B3E"/>
    <w:rsid w:val="00813BCF"/>
    <w:rsid w:val="00813FB4"/>
    <w:rsid w:val="00814FF7"/>
    <w:rsid w:val="0081545F"/>
    <w:rsid w:val="008154FD"/>
    <w:rsid w:val="0081585E"/>
    <w:rsid w:val="0081640F"/>
    <w:rsid w:val="0081666F"/>
    <w:rsid w:val="00816D37"/>
    <w:rsid w:val="00817A76"/>
    <w:rsid w:val="00817C0C"/>
    <w:rsid w:val="00820026"/>
    <w:rsid w:val="008201C6"/>
    <w:rsid w:val="008206AB"/>
    <w:rsid w:val="008211E4"/>
    <w:rsid w:val="00821796"/>
    <w:rsid w:val="00821CCB"/>
    <w:rsid w:val="00822AEA"/>
    <w:rsid w:val="00824FE1"/>
    <w:rsid w:val="008257B1"/>
    <w:rsid w:val="00826ECB"/>
    <w:rsid w:val="00830A4F"/>
    <w:rsid w:val="008320FE"/>
    <w:rsid w:val="008334BE"/>
    <w:rsid w:val="00833DDE"/>
    <w:rsid w:val="00834A3B"/>
    <w:rsid w:val="00835698"/>
    <w:rsid w:val="00835F18"/>
    <w:rsid w:val="0083600E"/>
    <w:rsid w:val="008371B5"/>
    <w:rsid w:val="0083799D"/>
    <w:rsid w:val="00837F79"/>
    <w:rsid w:val="008408C8"/>
    <w:rsid w:val="00840BAC"/>
    <w:rsid w:val="00841F1B"/>
    <w:rsid w:val="008423CB"/>
    <w:rsid w:val="00842AE2"/>
    <w:rsid w:val="008433DD"/>
    <w:rsid w:val="00843A78"/>
    <w:rsid w:val="00843DD2"/>
    <w:rsid w:val="00843EC5"/>
    <w:rsid w:val="00843FEE"/>
    <w:rsid w:val="00844072"/>
    <w:rsid w:val="00844300"/>
    <w:rsid w:val="00844B59"/>
    <w:rsid w:val="00844DEA"/>
    <w:rsid w:val="008454AB"/>
    <w:rsid w:val="00845F95"/>
    <w:rsid w:val="00846466"/>
    <w:rsid w:val="00846D5E"/>
    <w:rsid w:val="00846EB1"/>
    <w:rsid w:val="00850F5A"/>
    <w:rsid w:val="008518FB"/>
    <w:rsid w:val="00851C38"/>
    <w:rsid w:val="00851E08"/>
    <w:rsid w:val="00851EC9"/>
    <w:rsid w:val="00852FD6"/>
    <w:rsid w:val="008536CB"/>
    <w:rsid w:val="00853804"/>
    <w:rsid w:val="0085412A"/>
    <w:rsid w:val="008544C7"/>
    <w:rsid w:val="008549D8"/>
    <w:rsid w:val="00855FAF"/>
    <w:rsid w:val="00856665"/>
    <w:rsid w:val="00857D8B"/>
    <w:rsid w:val="00857F51"/>
    <w:rsid w:val="00860274"/>
    <w:rsid w:val="008609E2"/>
    <w:rsid w:val="008615D5"/>
    <w:rsid w:val="00862424"/>
    <w:rsid w:val="00862CBE"/>
    <w:rsid w:val="00863577"/>
    <w:rsid w:val="00863E58"/>
    <w:rsid w:val="0086455C"/>
    <w:rsid w:val="00865878"/>
    <w:rsid w:val="00865F9E"/>
    <w:rsid w:val="00866752"/>
    <w:rsid w:val="0086688E"/>
    <w:rsid w:val="00866A30"/>
    <w:rsid w:val="00866C6C"/>
    <w:rsid w:val="00867B6C"/>
    <w:rsid w:val="00867D88"/>
    <w:rsid w:val="00870350"/>
    <w:rsid w:val="00870E04"/>
    <w:rsid w:val="00872417"/>
    <w:rsid w:val="00873286"/>
    <w:rsid w:val="008733E3"/>
    <w:rsid w:val="00874057"/>
    <w:rsid w:val="008742B5"/>
    <w:rsid w:val="00874522"/>
    <w:rsid w:val="00874E2F"/>
    <w:rsid w:val="00875696"/>
    <w:rsid w:val="00875B50"/>
    <w:rsid w:val="00875D87"/>
    <w:rsid w:val="00876A1A"/>
    <w:rsid w:val="00877308"/>
    <w:rsid w:val="00877332"/>
    <w:rsid w:val="0088060F"/>
    <w:rsid w:val="008817B5"/>
    <w:rsid w:val="0088181A"/>
    <w:rsid w:val="008819F0"/>
    <w:rsid w:val="00881E2A"/>
    <w:rsid w:val="00882663"/>
    <w:rsid w:val="0088285E"/>
    <w:rsid w:val="00882977"/>
    <w:rsid w:val="0088336D"/>
    <w:rsid w:val="00883AA1"/>
    <w:rsid w:val="00883B5F"/>
    <w:rsid w:val="008843A1"/>
    <w:rsid w:val="00884995"/>
    <w:rsid w:val="0088500C"/>
    <w:rsid w:val="008858CA"/>
    <w:rsid w:val="008858F5"/>
    <w:rsid w:val="00886147"/>
    <w:rsid w:val="00886BE3"/>
    <w:rsid w:val="0088733F"/>
    <w:rsid w:val="00890273"/>
    <w:rsid w:val="008911C4"/>
    <w:rsid w:val="00891691"/>
    <w:rsid w:val="00891C3A"/>
    <w:rsid w:val="008932D5"/>
    <w:rsid w:val="008939D7"/>
    <w:rsid w:val="00893CB3"/>
    <w:rsid w:val="00894565"/>
    <w:rsid w:val="008950AC"/>
    <w:rsid w:val="008958A5"/>
    <w:rsid w:val="00895B44"/>
    <w:rsid w:val="0089608F"/>
    <w:rsid w:val="008962E8"/>
    <w:rsid w:val="00896592"/>
    <w:rsid w:val="00896B3D"/>
    <w:rsid w:val="00896E38"/>
    <w:rsid w:val="00897036"/>
    <w:rsid w:val="008974CB"/>
    <w:rsid w:val="008A0E6E"/>
    <w:rsid w:val="008A0EBD"/>
    <w:rsid w:val="008A1E2E"/>
    <w:rsid w:val="008A2EFD"/>
    <w:rsid w:val="008A3816"/>
    <w:rsid w:val="008A38F3"/>
    <w:rsid w:val="008A4479"/>
    <w:rsid w:val="008A469A"/>
    <w:rsid w:val="008A55DD"/>
    <w:rsid w:val="008A5F74"/>
    <w:rsid w:val="008A688F"/>
    <w:rsid w:val="008A697A"/>
    <w:rsid w:val="008A79A2"/>
    <w:rsid w:val="008B08CF"/>
    <w:rsid w:val="008B1760"/>
    <w:rsid w:val="008B1AB2"/>
    <w:rsid w:val="008B1D86"/>
    <w:rsid w:val="008B1DA3"/>
    <w:rsid w:val="008B2ACB"/>
    <w:rsid w:val="008B2F9F"/>
    <w:rsid w:val="008B489B"/>
    <w:rsid w:val="008B54D9"/>
    <w:rsid w:val="008B5618"/>
    <w:rsid w:val="008B602B"/>
    <w:rsid w:val="008B6053"/>
    <w:rsid w:val="008B61F0"/>
    <w:rsid w:val="008B65B0"/>
    <w:rsid w:val="008B7329"/>
    <w:rsid w:val="008B7D77"/>
    <w:rsid w:val="008C14D8"/>
    <w:rsid w:val="008C243A"/>
    <w:rsid w:val="008C2659"/>
    <w:rsid w:val="008C4679"/>
    <w:rsid w:val="008C4824"/>
    <w:rsid w:val="008C51F2"/>
    <w:rsid w:val="008C5BCB"/>
    <w:rsid w:val="008D0774"/>
    <w:rsid w:val="008D0809"/>
    <w:rsid w:val="008D1723"/>
    <w:rsid w:val="008D1868"/>
    <w:rsid w:val="008D1A1F"/>
    <w:rsid w:val="008D1A27"/>
    <w:rsid w:val="008D2E87"/>
    <w:rsid w:val="008D3527"/>
    <w:rsid w:val="008D35D8"/>
    <w:rsid w:val="008D3858"/>
    <w:rsid w:val="008D3BEA"/>
    <w:rsid w:val="008D5193"/>
    <w:rsid w:val="008D51E6"/>
    <w:rsid w:val="008D56FC"/>
    <w:rsid w:val="008D5F43"/>
    <w:rsid w:val="008D5FD0"/>
    <w:rsid w:val="008D628A"/>
    <w:rsid w:val="008D63A9"/>
    <w:rsid w:val="008D6C6E"/>
    <w:rsid w:val="008D7A16"/>
    <w:rsid w:val="008D7B91"/>
    <w:rsid w:val="008D7D8F"/>
    <w:rsid w:val="008D7E07"/>
    <w:rsid w:val="008E0812"/>
    <w:rsid w:val="008E0A05"/>
    <w:rsid w:val="008E0C99"/>
    <w:rsid w:val="008E1149"/>
    <w:rsid w:val="008E1778"/>
    <w:rsid w:val="008E1798"/>
    <w:rsid w:val="008E1A0D"/>
    <w:rsid w:val="008E331A"/>
    <w:rsid w:val="008E4867"/>
    <w:rsid w:val="008E4A4D"/>
    <w:rsid w:val="008E53D3"/>
    <w:rsid w:val="008E6D93"/>
    <w:rsid w:val="008E7C74"/>
    <w:rsid w:val="008F0B51"/>
    <w:rsid w:val="008F121F"/>
    <w:rsid w:val="008F1D12"/>
    <w:rsid w:val="008F2539"/>
    <w:rsid w:val="008F27A2"/>
    <w:rsid w:val="008F308A"/>
    <w:rsid w:val="008F3149"/>
    <w:rsid w:val="008F355D"/>
    <w:rsid w:val="008F3E14"/>
    <w:rsid w:val="008F3E1D"/>
    <w:rsid w:val="008F4259"/>
    <w:rsid w:val="008F479B"/>
    <w:rsid w:val="008F4905"/>
    <w:rsid w:val="008F6C71"/>
    <w:rsid w:val="009000C0"/>
    <w:rsid w:val="0090055C"/>
    <w:rsid w:val="0090079E"/>
    <w:rsid w:val="009007DC"/>
    <w:rsid w:val="00900AF3"/>
    <w:rsid w:val="00900CDA"/>
    <w:rsid w:val="0090103E"/>
    <w:rsid w:val="009010BD"/>
    <w:rsid w:val="009013D6"/>
    <w:rsid w:val="0090295B"/>
    <w:rsid w:val="00902D5B"/>
    <w:rsid w:val="0090395F"/>
    <w:rsid w:val="00903A0B"/>
    <w:rsid w:val="00904EDF"/>
    <w:rsid w:val="00906B3B"/>
    <w:rsid w:val="00906BB5"/>
    <w:rsid w:val="00907555"/>
    <w:rsid w:val="009075AA"/>
    <w:rsid w:val="00907B59"/>
    <w:rsid w:val="0091032B"/>
    <w:rsid w:val="00911062"/>
    <w:rsid w:val="00911628"/>
    <w:rsid w:val="009117D8"/>
    <w:rsid w:val="00912242"/>
    <w:rsid w:val="009126B1"/>
    <w:rsid w:val="0091311D"/>
    <w:rsid w:val="009139B9"/>
    <w:rsid w:val="00914965"/>
    <w:rsid w:val="009149F6"/>
    <w:rsid w:val="00914D77"/>
    <w:rsid w:val="00914EDA"/>
    <w:rsid w:val="00915F9E"/>
    <w:rsid w:val="009164DA"/>
    <w:rsid w:val="00916648"/>
    <w:rsid w:val="0091768D"/>
    <w:rsid w:val="009203C5"/>
    <w:rsid w:val="0092074D"/>
    <w:rsid w:val="00921EBA"/>
    <w:rsid w:val="00922F51"/>
    <w:rsid w:val="00924D78"/>
    <w:rsid w:val="009250BC"/>
    <w:rsid w:val="009252E6"/>
    <w:rsid w:val="00925891"/>
    <w:rsid w:val="00925DA0"/>
    <w:rsid w:val="0092645C"/>
    <w:rsid w:val="0092690D"/>
    <w:rsid w:val="0092695D"/>
    <w:rsid w:val="00926C2A"/>
    <w:rsid w:val="009270DD"/>
    <w:rsid w:val="009273D9"/>
    <w:rsid w:val="00927C89"/>
    <w:rsid w:val="00927CBE"/>
    <w:rsid w:val="00927D6A"/>
    <w:rsid w:val="00931C49"/>
    <w:rsid w:val="00931CC8"/>
    <w:rsid w:val="0093265F"/>
    <w:rsid w:val="00933045"/>
    <w:rsid w:val="009331CE"/>
    <w:rsid w:val="0093363C"/>
    <w:rsid w:val="00934302"/>
    <w:rsid w:val="00934601"/>
    <w:rsid w:val="009364C3"/>
    <w:rsid w:val="00937116"/>
    <w:rsid w:val="009372A8"/>
    <w:rsid w:val="00937637"/>
    <w:rsid w:val="009409A8"/>
    <w:rsid w:val="009419E7"/>
    <w:rsid w:val="00941ABF"/>
    <w:rsid w:val="00942881"/>
    <w:rsid w:val="009428FB"/>
    <w:rsid w:val="00942C0B"/>
    <w:rsid w:val="00942C4A"/>
    <w:rsid w:val="0094328F"/>
    <w:rsid w:val="0094369C"/>
    <w:rsid w:val="00944C5A"/>
    <w:rsid w:val="009456CB"/>
    <w:rsid w:val="009457A2"/>
    <w:rsid w:val="009463E9"/>
    <w:rsid w:val="00946482"/>
    <w:rsid w:val="00946DB4"/>
    <w:rsid w:val="0094737D"/>
    <w:rsid w:val="009476E6"/>
    <w:rsid w:val="0095096E"/>
    <w:rsid w:val="00950FB4"/>
    <w:rsid w:val="009511FA"/>
    <w:rsid w:val="00951574"/>
    <w:rsid w:val="00951F4A"/>
    <w:rsid w:val="00952AF0"/>
    <w:rsid w:val="00952C2E"/>
    <w:rsid w:val="009531ED"/>
    <w:rsid w:val="0095327F"/>
    <w:rsid w:val="009533AB"/>
    <w:rsid w:val="009535BD"/>
    <w:rsid w:val="00953CFA"/>
    <w:rsid w:val="00953EBE"/>
    <w:rsid w:val="0095586A"/>
    <w:rsid w:val="009563BA"/>
    <w:rsid w:val="0095691A"/>
    <w:rsid w:val="00956BD1"/>
    <w:rsid w:val="00956D73"/>
    <w:rsid w:val="0095714C"/>
    <w:rsid w:val="0095717C"/>
    <w:rsid w:val="009606BF"/>
    <w:rsid w:val="00960850"/>
    <w:rsid w:val="00960A11"/>
    <w:rsid w:val="00961CAC"/>
    <w:rsid w:val="00961E73"/>
    <w:rsid w:val="0096244E"/>
    <w:rsid w:val="009628EA"/>
    <w:rsid w:val="00962E3C"/>
    <w:rsid w:val="0096380E"/>
    <w:rsid w:val="00963D2C"/>
    <w:rsid w:val="0096483E"/>
    <w:rsid w:val="00964AF6"/>
    <w:rsid w:val="00964DEA"/>
    <w:rsid w:val="00965A42"/>
    <w:rsid w:val="00965BC7"/>
    <w:rsid w:val="00966225"/>
    <w:rsid w:val="00967512"/>
    <w:rsid w:val="009675DE"/>
    <w:rsid w:val="00972AC7"/>
    <w:rsid w:val="00972B75"/>
    <w:rsid w:val="00972CB3"/>
    <w:rsid w:val="00972D18"/>
    <w:rsid w:val="0097343B"/>
    <w:rsid w:val="00974456"/>
    <w:rsid w:val="009744AE"/>
    <w:rsid w:val="0097495E"/>
    <w:rsid w:val="009754F5"/>
    <w:rsid w:val="00975668"/>
    <w:rsid w:val="00975BA3"/>
    <w:rsid w:val="00976FED"/>
    <w:rsid w:val="00977671"/>
    <w:rsid w:val="00977AE9"/>
    <w:rsid w:val="0098079E"/>
    <w:rsid w:val="00981398"/>
    <w:rsid w:val="0098153D"/>
    <w:rsid w:val="00982136"/>
    <w:rsid w:val="009829E5"/>
    <w:rsid w:val="00982ABD"/>
    <w:rsid w:val="00985680"/>
    <w:rsid w:val="00985AD2"/>
    <w:rsid w:val="00985F1F"/>
    <w:rsid w:val="009865C3"/>
    <w:rsid w:val="00986EE3"/>
    <w:rsid w:val="009871DA"/>
    <w:rsid w:val="0098721A"/>
    <w:rsid w:val="009875F7"/>
    <w:rsid w:val="00987A42"/>
    <w:rsid w:val="00990ABD"/>
    <w:rsid w:val="00990C4E"/>
    <w:rsid w:val="00990D30"/>
    <w:rsid w:val="00992965"/>
    <w:rsid w:val="00992E8E"/>
    <w:rsid w:val="00993346"/>
    <w:rsid w:val="009938ED"/>
    <w:rsid w:val="00994012"/>
    <w:rsid w:val="00994057"/>
    <w:rsid w:val="00994827"/>
    <w:rsid w:val="00994D8C"/>
    <w:rsid w:val="00996A43"/>
    <w:rsid w:val="009A0A3A"/>
    <w:rsid w:val="009A10DA"/>
    <w:rsid w:val="009A1375"/>
    <w:rsid w:val="009A2220"/>
    <w:rsid w:val="009A2DD1"/>
    <w:rsid w:val="009A3F5A"/>
    <w:rsid w:val="009A4369"/>
    <w:rsid w:val="009A4D5E"/>
    <w:rsid w:val="009A5146"/>
    <w:rsid w:val="009A598D"/>
    <w:rsid w:val="009A5CE6"/>
    <w:rsid w:val="009A62D1"/>
    <w:rsid w:val="009A7273"/>
    <w:rsid w:val="009A72BC"/>
    <w:rsid w:val="009B045F"/>
    <w:rsid w:val="009B0512"/>
    <w:rsid w:val="009B0965"/>
    <w:rsid w:val="009B0B8E"/>
    <w:rsid w:val="009B15B8"/>
    <w:rsid w:val="009B179B"/>
    <w:rsid w:val="009B21DB"/>
    <w:rsid w:val="009B23E5"/>
    <w:rsid w:val="009B2ADF"/>
    <w:rsid w:val="009B3293"/>
    <w:rsid w:val="009B3A4F"/>
    <w:rsid w:val="009B530B"/>
    <w:rsid w:val="009B689D"/>
    <w:rsid w:val="009B6D35"/>
    <w:rsid w:val="009C001C"/>
    <w:rsid w:val="009C11EC"/>
    <w:rsid w:val="009C15CE"/>
    <w:rsid w:val="009C1A56"/>
    <w:rsid w:val="009C29F2"/>
    <w:rsid w:val="009C321F"/>
    <w:rsid w:val="009C38FC"/>
    <w:rsid w:val="009C3B9B"/>
    <w:rsid w:val="009C411D"/>
    <w:rsid w:val="009C6231"/>
    <w:rsid w:val="009C648E"/>
    <w:rsid w:val="009C6618"/>
    <w:rsid w:val="009C6C2A"/>
    <w:rsid w:val="009C6EFA"/>
    <w:rsid w:val="009C7DDA"/>
    <w:rsid w:val="009D1541"/>
    <w:rsid w:val="009D2C03"/>
    <w:rsid w:val="009D2CA9"/>
    <w:rsid w:val="009D3181"/>
    <w:rsid w:val="009D323E"/>
    <w:rsid w:val="009D3884"/>
    <w:rsid w:val="009D4152"/>
    <w:rsid w:val="009D42EE"/>
    <w:rsid w:val="009D439B"/>
    <w:rsid w:val="009D44E0"/>
    <w:rsid w:val="009D4E55"/>
    <w:rsid w:val="009D5BC0"/>
    <w:rsid w:val="009E0533"/>
    <w:rsid w:val="009E1A4F"/>
    <w:rsid w:val="009E1CB8"/>
    <w:rsid w:val="009E1EFB"/>
    <w:rsid w:val="009E2778"/>
    <w:rsid w:val="009E36B5"/>
    <w:rsid w:val="009E3AC9"/>
    <w:rsid w:val="009E3D07"/>
    <w:rsid w:val="009E3DE5"/>
    <w:rsid w:val="009E3F09"/>
    <w:rsid w:val="009E4224"/>
    <w:rsid w:val="009E4AEE"/>
    <w:rsid w:val="009E4E90"/>
    <w:rsid w:val="009E513F"/>
    <w:rsid w:val="009E5B72"/>
    <w:rsid w:val="009E6132"/>
    <w:rsid w:val="009E6498"/>
    <w:rsid w:val="009E6712"/>
    <w:rsid w:val="009E7215"/>
    <w:rsid w:val="009F09AA"/>
    <w:rsid w:val="009F0AA0"/>
    <w:rsid w:val="009F1056"/>
    <w:rsid w:val="009F3FB2"/>
    <w:rsid w:val="009F48E6"/>
    <w:rsid w:val="009F493C"/>
    <w:rsid w:val="009F56BB"/>
    <w:rsid w:val="009F5F74"/>
    <w:rsid w:val="00A00336"/>
    <w:rsid w:val="00A02220"/>
    <w:rsid w:val="00A03513"/>
    <w:rsid w:val="00A037E8"/>
    <w:rsid w:val="00A03862"/>
    <w:rsid w:val="00A045DC"/>
    <w:rsid w:val="00A05024"/>
    <w:rsid w:val="00A05842"/>
    <w:rsid w:val="00A05FB0"/>
    <w:rsid w:val="00A06642"/>
    <w:rsid w:val="00A0732B"/>
    <w:rsid w:val="00A07BA7"/>
    <w:rsid w:val="00A07BF1"/>
    <w:rsid w:val="00A10109"/>
    <w:rsid w:val="00A10CBE"/>
    <w:rsid w:val="00A10D30"/>
    <w:rsid w:val="00A11931"/>
    <w:rsid w:val="00A120B6"/>
    <w:rsid w:val="00A12100"/>
    <w:rsid w:val="00A121D6"/>
    <w:rsid w:val="00A1227C"/>
    <w:rsid w:val="00A12811"/>
    <w:rsid w:val="00A13191"/>
    <w:rsid w:val="00A15319"/>
    <w:rsid w:val="00A15B84"/>
    <w:rsid w:val="00A15EC3"/>
    <w:rsid w:val="00A20876"/>
    <w:rsid w:val="00A20952"/>
    <w:rsid w:val="00A212BE"/>
    <w:rsid w:val="00A214CA"/>
    <w:rsid w:val="00A21817"/>
    <w:rsid w:val="00A219B7"/>
    <w:rsid w:val="00A21F6D"/>
    <w:rsid w:val="00A22268"/>
    <w:rsid w:val="00A22DA3"/>
    <w:rsid w:val="00A231A8"/>
    <w:rsid w:val="00A2361C"/>
    <w:rsid w:val="00A236F8"/>
    <w:rsid w:val="00A23970"/>
    <w:rsid w:val="00A23DA4"/>
    <w:rsid w:val="00A245D7"/>
    <w:rsid w:val="00A24ACC"/>
    <w:rsid w:val="00A25BFD"/>
    <w:rsid w:val="00A26A0B"/>
    <w:rsid w:val="00A273EB"/>
    <w:rsid w:val="00A30361"/>
    <w:rsid w:val="00A3113C"/>
    <w:rsid w:val="00A312AD"/>
    <w:rsid w:val="00A31788"/>
    <w:rsid w:val="00A31C60"/>
    <w:rsid w:val="00A3297B"/>
    <w:rsid w:val="00A32AF9"/>
    <w:rsid w:val="00A347AC"/>
    <w:rsid w:val="00A3490D"/>
    <w:rsid w:val="00A34BAA"/>
    <w:rsid w:val="00A35D43"/>
    <w:rsid w:val="00A3616E"/>
    <w:rsid w:val="00A36199"/>
    <w:rsid w:val="00A367D4"/>
    <w:rsid w:val="00A36A32"/>
    <w:rsid w:val="00A36CE5"/>
    <w:rsid w:val="00A37295"/>
    <w:rsid w:val="00A3741A"/>
    <w:rsid w:val="00A37E4C"/>
    <w:rsid w:val="00A4066F"/>
    <w:rsid w:val="00A408D2"/>
    <w:rsid w:val="00A41865"/>
    <w:rsid w:val="00A43402"/>
    <w:rsid w:val="00A43B65"/>
    <w:rsid w:val="00A43BBA"/>
    <w:rsid w:val="00A43E22"/>
    <w:rsid w:val="00A43E43"/>
    <w:rsid w:val="00A445D1"/>
    <w:rsid w:val="00A450D4"/>
    <w:rsid w:val="00A45192"/>
    <w:rsid w:val="00A453CC"/>
    <w:rsid w:val="00A45DD7"/>
    <w:rsid w:val="00A46159"/>
    <w:rsid w:val="00A467B1"/>
    <w:rsid w:val="00A46BF7"/>
    <w:rsid w:val="00A46F14"/>
    <w:rsid w:val="00A50B8E"/>
    <w:rsid w:val="00A51155"/>
    <w:rsid w:val="00A51274"/>
    <w:rsid w:val="00A5131E"/>
    <w:rsid w:val="00A51521"/>
    <w:rsid w:val="00A51D5A"/>
    <w:rsid w:val="00A523E7"/>
    <w:rsid w:val="00A535A0"/>
    <w:rsid w:val="00A53665"/>
    <w:rsid w:val="00A53AE4"/>
    <w:rsid w:val="00A54176"/>
    <w:rsid w:val="00A54418"/>
    <w:rsid w:val="00A54863"/>
    <w:rsid w:val="00A5527B"/>
    <w:rsid w:val="00A552A6"/>
    <w:rsid w:val="00A55468"/>
    <w:rsid w:val="00A568DD"/>
    <w:rsid w:val="00A56AC8"/>
    <w:rsid w:val="00A56C2A"/>
    <w:rsid w:val="00A576E1"/>
    <w:rsid w:val="00A606B9"/>
    <w:rsid w:val="00A6077A"/>
    <w:rsid w:val="00A608C1"/>
    <w:rsid w:val="00A60C00"/>
    <w:rsid w:val="00A60DA9"/>
    <w:rsid w:val="00A60FB1"/>
    <w:rsid w:val="00A61DA7"/>
    <w:rsid w:val="00A61F91"/>
    <w:rsid w:val="00A621A5"/>
    <w:rsid w:val="00A621DB"/>
    <w:rsid w:val="00A62F22"/>
    <w:rsid w:val="00A63FCD"/>
    <w:rsid w:val="00A6416A"/>
    <w:rsid w:val="00A64B6E"/>
    <w:rsid w:val="00A64CC9"/>
    <w:rsid w:val="00A6645F"/>
    <w:rsid w:val="00A6658F"/>
    <w:rsid w:val="00A66927"/>
    <w:rsid w:val="00A678ED"/>
    <w:rsid w:val="00A70944"/>
    <w:rsid w:val="00A70A53"/>
    <w:rsid w:val="00A719B1"/>
    <w:rsid w:val="00A71A86"/>
    <w:rsid w:val="00A721CB"/>
    <w:rsid w:val="00A7240B"/>
    <w:rsid w:val="00A724CD"/>
    <w:rsid w:val="00A72773"/>
    <w:rsid w:val="00A728CB"/>
    <w:rsid w:val="00A72DFA"/>
    <w:rsid w:val="00A72E73"/>
    <w:rsid w:val="00A73C41"/>
    <w:rsid w:val="00A75B7F"/>
    <w:rsid w:val="00A75DDE"/>
    <w:rsid w:val="00A76C02"/>
    <w:rsid w:val="00A770A9"/>
    <w:rsid w:val="00A777AB"/>
    <w:rsid w:val="00A77ABB"/>
    <w:rsid w:val="00A81CDF"/>
    <w:rsid w:val="00A81E04"/>
    <w:rsid w:val="00A82B34"/>
    <w:rsid w:val="00A83215"/>
    <w:rsid w:val="00A83341"/>
    <w:rsid w:val="00A83770"/>
    <w:rsid w:val="00A8379A"/>
    <w:rsid w:val="00A83D55"/>
    <w:rsid w:val="00A84037"/>
    <w:rsid w:val="00A8453C"/>
    <w:rsid w:val="00A85186"/>
    <w:rsid w:val="00A858C1"/>
    <w:rsid w:val="00A8688A"/>
    <w:rsid w:val="00A86D8E"/>
    <w:rsid w:val="00A87064"/>
    <w:rsid w:val="00A87098"/>
    <w:rsid w:val="00A870AC"/>
    <w:rsid w:val="00A87192"/>
    <w:rsid w:val="00A8776B"/>
    <w:rsid w:val="00A87BD3"/>
    <w:rsid w:val="00A90285"/>
    <w:rsid w:val="00A90934"/>
    <w:rsid w:val="00A90A36"/>
    <w:rsid w:val="00A90E08"/>
    <w:rsid w:val="00A91446"/>
    <w:rsid w:val="00A919AC"/>
    <w:rsid w:val="00A92B42"/>
    <w:rsid w:val="00A92B51"/>
    <w:rsid w:val="00A951D2"/>
    <w:rsid w:val="00A95602"/>
    <w:rsid w:val="00A95D5B"/>
    <w:rsid w:val="00A9699B"/>
    <w:rsid w:val="00A96A6C"/>
    <w:rsid w:val="00A96FEB"/>
    <w:rsid w:val="00A9795C"/>
    <w:rsid w:val="00AA0D6A"/>
    <w:rsid w:val="00AA146C"/>
    <w:rsid w:val="00AA1A0B"/>
    <w:rsid w:val="00AA2328"/>
    <w:rsid w:val="00AA3E4A"/>
    <w:rsid w:val="00AA3FDC"/>
    <w:rsid w:val="00AA485E"/>
    <w:rsid w:val="00AA4CFB"/>
    <w:rsid w:val="00AA5D4D"/>
    <w:rsid w:val="00AA7012"/>
    <w:rsid w:val="00AA72E1"/>
    <w:rsid w:val="00AA7B6E"/>
    <w:rsid w:val="00AB109F"/>
    <w:rsid w:val="00AB1B5B"/>
    <w:rsid w:val="00AB2570"/>
    <w:rsid w:val="00AB2B14"/>
    <w:rsid w:val="00AB301B"/>
    <w:rsid w:val="00AB30F4"/>
    <w:rsid w:val="00AB3319"/>
    <w:rsid w:val="00AB376F"/>
    <w:rsid w:val="00AB3944"/>
    <w:rsid w:val="00AB40F5"/>
    <w:rsid w:val="00AB4ED4"/>
    <w:rsid w:val="00AB517B"/>
    <w:rsid w:val="00AB601E"/>
    <w:rsid w:val="00AB611C"/>
    <w:rsid w:val="00AB68CD"/>
    <w:rsid w:val="00AB7419"/>
    <w:rsid w:val="00AC05F0"/>
    <w:rsid w:val="00AC0758"/>
    <w:rsid w:val="00AC0E6B"/>
    <w:rsid w:val="00AC1217"/>
    <w:rsid w:val="00AC1AC2"/>
    <w:rsid w:val="00AC2D8E"/>
    <w:rsid w:val="00AC36A4"/>
    <w:rsid w:val="00AC376E"/>
    <w:rsid w:val="00AC50DE"/>
    <w:rsid w:val="00AC64C4"/>
    <w:rsid w:val="00AC6531"/>
    <w:rsid w:val="00AC67A0"/>
    <w:rsid w:val="00AC6868"/>
    <w:rsid w:val="00AC77A8"/>
    <w:rsid w:val="00AC7909"/>
    <w:rsid w:val="00AD109A"/>
    <w:rsid w:val="00AD23EF"/>
    <w:rsid w:val="00AD3951"/>
    <w:rsid w:val="00AD4412"/>
    <w:rsid w:val="00AD547E"/>
    <w:rsid w:val="00AD58DC"/>
    <w:rsid w:val="00AD64F8"/>
    <w:rsid w:val="00AD6B2C"/>
    <w:rsid w:val="00AD71E8"/>
    <w:rsid w:val="00AD7369"/>
    <w:rsid w:val="00AD7569"/>
    <w:rsid w:val="00AD76C2"/>
    <w:rsid w:val="00AD7EA9"/>
    <w:rsid w:val="00AE0CAA"/>
    <w:rsid w:val="00AE1C7B"/>
    <w:rsid w:val="00AE265F"/>
    <w:rsid w:val="00AE309F"/>
    <w:rsid w:val="00AE37ED"/>
    <w:rsid w:val="00AE5599"/>
    <w:rsid w:val="00AE57D4"/>
    <w:rsid w:val="00AE5ABA"/>
    <w:rsid w:val="00AE6D44"/>
    <w:rsid w:val="00AE6D4A"/>
    <w:rsid w:val="00AE6E76"/>
    <w:rsid w:val="00AE7522"/>
    <w:rsid w:val="00AF0979"/>
    <w:rsid w:val="00AF0A71"/>
    <w:rsid w:val="00AF13C9"/>
    <w:rsid w:val="00AF251B"/>
    <w:rsid w:val="00AF2963"/>
    <w:rsid w:val="00AF39F9"/>
    <w:rsid w:val="00AF3C04"/>
    <w:rsid w:val="00AF424C"/>
    <w:rsid w:val="00AF42E6"/>
    <w:rsid w:val="00AF457C"/>
    <w:rsid w:val="00AF4D51"/>
    <w:rsid w:val="00AF63AF"/>
    <w:rsid w:val="00AF7614"/>
    <w:rsid w:val="00AF76F0"/>
    <w:rsid w:val="00AF7F30"/>
    <w:rsid w:val="00B00ADC"/>
    <w:rsid w:val="00B012FC"/>
    <w:rsid w:val="00B0160F"/>
    <w:rsid w:val="00B02094"/>
    <w:rsid w:val="00B0339C"/>
    <w:rsid w:val="00B03FE3"/>
    <w:rsid w:val="00B04D32"/>
    <w:rsid w:val="00B04D83"/>
    <w:rsid w:val="00B05219"/>
    <w:rsid w:val="00B05AD4"/>
    <w:rsid w:val="00B06245"/>
    <w:rsid w:val="00B074EF"/>
    <w:rsid w:val="00B076B0"/>
    <w:rsid w:val="00B105AA"/>
    <w:rsid w:val="00B10A8C"/>
    <w:rsid w:val="00B10DEF"/>
    <w:rsid w:val="00B1167F"/>
    <w:rsid w:val="00B1199F"/>
    <w:rsid w:val="00B11A78"/>
    <w:rsid w:val="00B11D06"/>
    <w:rsid w:val="00B12790"/>
    <w:rsid w:val="00B12C29"/>
    <w:rsid w:val="00B13181"/>
    <w:rsid w:val="00B132BF"/>
    <w:rsid w:val="00B1352B"/>
    <w:rsid w:val="00B135E0"/>
    <w:rsid w:val="00B1411A"/>
    <w:rsid w:val="00B142C9"/>
    <w:rsid w:val="00B14F73"/>
    <w:rsid w:val="00B155BE"/>
    <w:rsid w:val="00B15974"/>
    <w:rsid w:val="00B15CE9"/>
    <w:rsid w:val="00B15D0D"/>
    <w:rsid w:val="00B15F9B"/>
    <w:rsid w:val="00B16370"/>
    <w:rsid w:val="00B1760C"/>
    <w:rsid w:val="00B17D1B"/>
    <w:rsid w:val="00B17E70"/>
    <w:rsid w:val="00B218CF"/>
    <w:rsid w:val="00B21C5D"/>
    <w:rsid w:val="00B24AB3"/>
    <w:rsid w:val="00B251D4"/>
    <w:rsid w:val="00B2544E"/>
    <w:rsid w:val="00B258BA"/>
    <w:rsid w:val="00B25FE5"/>
    <w:rsid w:val="00B26049"/>
    <w:rsid w:val="00B269EE"/>
    <w:rsid w:val="00B272A5"/>
    <w:rsid w:val="00B27664"/>
    <w:rsid w:val="00B30156"/>
    <w:rsid w:val="00B308F3"/>
    <w:rsid w:val="00B33940"/>
    <w:rsid w:val="00B339B1"/>
    <w:rsid w:val="00B339C7"/>
    <w:rsid w:val="00B340BA"/>
    <w:rsid w:val="00B3556A"/>
    <w:rsid w:val="00B369C3"/>
    <w:rsid w:val="00B36AA1"/>
    <w:rsid w:val="00B3701A"/>
    <w:rsid w:val="00B3784C"/>
    <w:rsid w:val="00B37ABA"/>
    <w:rsid w:val="00B4002F"/>
    <w:rsid w:val="00B4073E"/>
    <w:rsid w:val="00B40854"/>
    <w:rsid w:val="00B40B72"/>
    <w:rsid w:val="00B41815"/>
    <w:rsid w:val="00B41EC7"/>
    <w:rsid w:val="00B420FC"/>
    <w:rsid w:val="00B423CA"/>
    <w:rsid w:val="00B42E25"/>
    <w:rsid w:val="00B4369F"/>
    <w:rsid w:val="00B446E3"/>
    <w:rsid w:val="00B4552C"/>
    <w:rsid w:val="00B456D4"/>
    <w:rsid w:val="00B45CF8"/>
    <w:rsid w:val="00B4668A"/>
    <w:rsid w:val="00B46FFF"/>
    <w:rsid w:val="00B47902"/>
    <w:rsid w:val="00B508BB"/>
    <w:rsid w:val="00B51F2B"/>
    <w:rsid w:val="00B52731"/>
    <w:rsid w:val="00B537A0"/>
    <w:rsid w:val="00B54A3C"/>
    <w:rsid w:val="00B54BD8"/>
    <w:rsid w:val="00B54DA5"/>
    <w:rsid w:val="00B55823"/>
    <w:rsid w:val="00B55A2A"/>
    <w:rsid w:val="00B55E17"/>
    <w:rsid w:val="00B55F9F"/>
    <w:rsid w:val="00B56CA0"/>
    <w:rsid w:val="00B56D51"/>
    <w:rsid w:val="00B576F8"/>
    <w:rsid w:val="00B57755"/>
    <w:rsid w:val="00B600D5"/>
    <w:rsid w:val="00B60401"/>
    <w:rsid w:val="00B60C98"/>
    <w:rsid w:val="00B613D1"/>
    <w:rsid w:val="00B61582"/>
    <w:rsid w:val="00B62FC9"/>
    <w:rsid w:val="00B6356A"/>
    <w:rsid w:val="00B6359C"/>
    <w:rsid w:val="00B64DB0"/>
    <w:rsid w:val="00B651C4"/>
    <w:rsid w:val="00B65E4B"/>
    <w:rsid w:val="00B66A12"/>
    <w:rsid w:val="00B67428"/>
    <w:rsid w:val="00B67782"/>
    <w:rsid w:val="00B67F20"/>
    <w:rsid w:val="00B70AD6"/>
    <w:rsid w:val="00B71663"/>
    <w:rsid w:val="00B71686"/>
    <w:rsid w:val="00B71E1A"/>
    <w:rsid w:val="00B72871"/>
    <w:rsid w:val="00B72EF3"/>
    <w:rsid w:val="00B735DA"/>
    <w:rsid w:val="00B73821"/>
    <w:rsid w:val="00B74D8C"/>
    <w:rsid w:val="00B756AE"/>
    <w:rsid w:val="00B75EB3"/>
    <w:rsid w:val="00B762D3"/>
    <w:rsid w:val="00B76784"/>
    <w:rsid w:val="00B77747"/>
    <w:rsid w:val="00B77D6C"/>
    <w:rsid w:val="00B80E93"/>
    <w:rsid w:val="00B817AB"/>
    <w:rsid w:val="00B81E07"/>
    <w:rsid w:val="00B825C9"/>
    <w:rsid w:val="00B828C4"/>
    <w:rsid w:val="00B83328"/>
    <w:rsid w:val="00B836C5"/>
    <w:rsid w:val="00B837AB"/>
    <w:rsid w:val="00B839DD"/>
    <w:rsid w:val="00B8402D"/>
    <w:rsid w:val="00B845F5"/>
    <w:rsid w:val="00B84C7D"/>
    <w:rsid w:val="00B85E11"/>
    <w:rsid w:val="00B85E88"/>
    <w:rsid w:val="00B86B1C"/>
    <w:rsid w:val="00B86DA3"/>
    <w:rsid w:val="00B87CAD"/>
    <w:rsid w:val="00B87D84"/>
    <w:rsid w:val="00B87F84"/>
    <w:rsid w:val="00B91939"/>
    <w:rsid w:val="00B93263"/>
    <w:rsid w:val="00B94E1B"/>
    <w:rsid w:val="00B94E65"/>
    <w:rsid w:val="00B94E6B"/>
    <w:rsid w:val="00B95650"/>
    <w:rsid w:val="00B95934"/>
    <w:rsid w:val="00B95C25"/>
    <w:rsid w:val="00B9685F"/>
    <w:rsid w:val="00B9688C"/>
    <w:rsid w:val="00B978DE"/>
    <w:rsid w:val="00B97C40"/>
    <w:rsid w:val="00B97E02"/>
    <w:rsid w:val="00B97E3C"/>
    <w:rsid w:val="00BA00EC"/>
    <w:rsid w:val="00BA0B59"/>
    <w:rsid w:val="00BA14E8"/>
    <w:rsid w:val="00BA1652"/>
    <w:rsid w:val="00BA1A8F"/>
    <w:rsid w:val="00BA28C8"/>
    <w:rsid w:val="00BA355E"/>
    <w:rsid w:val="00BA3A7A"/>
    <w:rsid w:val="00BA5188"/>
    <w:rsid w:val="00BA5B34"/>
    <w:rsid w:val="00BA6041"/>
    <w:rsid w:val="00BA64C5"/>
    <w:rsid w:val="00BA7B45"/>
    <w:rsid w:val="00BA7D74"/>
    <w:rsid w:val="00BB00AE"/>
    <w:rsid w:val="00BB115A"/>
    <w:rsid w:val="00BB14C3"/>
    <w:rsid w:val="00BB1721"/>
    <w:rsid w:val="00BB2091"/>
    <w:rsid w:val="00BB27BE"/>
    <w:rsid w:val="00BB2DE6"/>
    <w:rsid w:val="00BB30D9"/>
    <w:rsid w:val="00BB4453"/>
    <w:rsid w:val="00BB4A9C"/>
    <w:rsid w:val="00BB4FA5"/>
    <w:rsid w:val="00BB68DC"/>
    <w:rsid w:val="00BB6AD2"/>
    <w:rsid w:val="00BB7576"/>
    <w:rsid w:val="00BB7A52"/>
    <w:rsid w:val="00BC085A"/>
    <w:rsid w:val="00BC0FA5"/>
    <w:rsid w:val="00BC183C"/>
    <w:rsid w:val="00BC1FD3"/>
    <w:rsid w:val="00BC344E"/>
    <w:rsid w:val="00BC42A7"/>
    <w:rsid w:val="00BC5536"/>
    <w:rsid w:val="00BC64B4"/>
    <w:rsid w:val="00BC6EEB"/>
    <w:rsid w:val="00BC779C"/>
    <w:rsid w:val="00BC77F9"/>
    <w:rsid w:val="00BD060A"/>
    <w:rsid w:val="00BD06AD"/>
    <w:rsid w:val="00BD079E"/>
    <w:rsid w:val="00BD1211"/>
    <w:rsid w:val="00BD159C"/>
    <w:rsid w:val="00BD24B4"/>
    <w:rsid w:val="00BD2D98"/>
    <w:rsid w:val="00BD3140"/>
    <w:rsid w:val="00BD4802"/>
    <w:rsid w:val="00BD4B98"/>
    <w:rsid w:val="00BD5021"/>
    <w:rsid w:val="00BD5366"/>
    <w:rsid w:val="00BD555F"/>
    <w:rsid w:val="00BD6FCE"/>
    <w:rsid w:val="00BD7350"/>
    <w:rsid w:val="00BD791B"/>
    <w:rsid w:val="00BE0114"/>
    <w:rsid w:val="00BE0224"/>
    <w:rsid w:val="00BE026D"/>
    <w:rsid w:val="00BE03B8"/>
    <w:rsid w:val="00BE09C0"/>
    <w:rsid w:val="00BE0A59"/>
    <w:rsid w:val="00BE0BA2"/>
    <w:rsid w:val="00BE0BE2"/>
    <w:rsid w:val="00BE14B4"/>
    <w:rsid w:val="00BE23E3"/>
    <w:rsid w:val="00BE2A6D"/>
    <w:rsid w:val="00BE2B8D"/>
    <w:rsid w:val="00BE34F5"/>
    <w:rsid w:val="00BE3D6A"/>
    <w:rsid w:val="00BE43D2"/>
    <w:rsid w:val="00BE4589"/>
    <w:rsid w:val="00BE4926"/>
    <w:rsid w:val="00BE55B4"/>
    <w:rsid w:val="00BE5703"/>
    <w:rsid w:val="00BE59A4"/>
    <w:rsid w:val="00BE6252"/>
    <w:rsid w:val="00BE6D8C"/>
    <w:rsid w:val="00BE6E3C"/>
    <w:rsid w:val="00BE6EA9"/>
    <w:rsid w:val="00BE6FD3"/>
    <w:rsid w:val="00BE79D3"/>
    <w:rsid w:val="00BF0F5A"/>
    <w:rsid w:val="00BF520C"/>
    <w:rsid w:val="00BF52DE"/>
    <w:rsid w:val="00BF5309"/>
    <w:rsid w:val="00BF5A6F"/>
    <w:rsid w:val="00BF5AC0"/>
    <w:rsid w:val="00BF5EF1"/>
    <w:rsid w:val="00BF6A72"/>
    <w:rsid w:val="00BF6EEA"/>
    <w:rsid w:val="00BF790F"/>
    <w:rsid w:val="00C00001"/>
    <w:rsid w:val="00C00619"/>
    <w:rsid w:val="00C00B11"/>
    <w:rsid w:val="00C0240D"/>
    <w:rsid w:val="00C029BC"/>
    <w:rsid w:val="00C02E74"/>
    <w:rsid w:val="00C034D9"/>
    <w:rsid w:val="00C03D3E"/>
    <w:rsid w:val="00C03EA0"/>
    <w:rsid w:val="00C04297"/>
    <w:rsid w:val="00C0448D"/>
    <w:rsid w:val="00C04E70"/>
    <w:rsid w:val="00C063D1"/>
    <w:rsid w:val="00C06B31"/>
    <w:rsid w:val="00C07A91"/>
    <w:rsid w:val="00C07B64"/>
    <w:rsid w:val="00C108D5"/>
    <w:rsid w:val="00C115BE"/>
    <w:rsid w:val="00C11831"/>
    <w:rsid w:val="00C11A2C"/>
    <w:rsid w:val="00C12189"/>
    <w:rsid w:val="00C12453"/>
    <w:rsid w:val="00C13266"/>
    <w:rsid w:val="00C13B53"/>
    <w:rsid w:val="00C148DC"/>
    <w:rsid w:val="00C1496B"/>
    <w:rsid w:val="00C155ED"/>
    <w:rsid w:val="00C15D3B"/>
    <w:rsid w:val="00C15D98"/>
    <w:rsid w:val="00C16E03"/>
    <w:rsid w:val="00C16E27"/>
    <w:rsid w:val="00C17429"/>
    <w:rsid w:val="00C20E88"/>
    <w:rsid w:val="00C213B7"/>
    <w:rsid w:val="00C218B9"/>
    <w:rsid w:val="00C221AD"/>
    <w:rsid w:val="00C2349C"/>
    <w:rsid w:val="00C2519B"/>
    <w:rsid w:val="00C26235"/>
    <w:rsid w:val="00C262DD"/>
    <w:rsid w:val="00C26636"/>
    <w:rsid w:val="00C26F16"/>
    <w:rsid w:val="00C27B54"/>
    <w:rsid w:val="00C30F72"/>
    <w:rsid w:val="00C31EF6"/>
    <w:rsid w:val="00C324AD"/>
    <w:rsid w:val="00C326F6"/>
    <w:rsid w:val="00C33406"/>
    <w:rsid w:val="00C33480"/>
    <w:rsid w:val="00C334AE"/>
    <w:rsid w:val="00C3354F"/>
    <w:rsid w:val="00C3392E"/>
    <w:rsid w:val="00C34019"/>
    <w:rsid w:val="00C34248"/>
    <w:rsid w:val="00C3574E"/>
    <w:rsid w:val="00C35B6B"/>
    <w:rsid w:val="00C35B86"/>
    <w:rsid w:val="00C36269"/>
    <w:rsid w:val="00C363B7"/>
    <w:rsid w:val="00C37228"/>
    <w:rsid w:val="00C37264"/>
    <w:rsid w:val="00C37B32"/>
    <w:rsid w:val="00C37FE4"/>
    <w:rsid w:val="00C37FE6"/>
    <w:rsid w:val="00C40073"/>
    <w:rsid w:val="00C41686"/>
    <w:rsid w:val="00C41A3E"/>
    <w:rsid w:val="00C42183"/>
    <w:rsid w:val="00C4233D"/>
    <w:rsid w:val="00C425C5"/>
    <w:rsid w:val="00C43982"/>
    <w:rsid w:val="00C43E78"/>
    <w:rsid w:val="00C441C9"/>
    <w:rsid w:val="00C4425E"/>
    <w:rsid w:val="00C448D0"/>
    <w:rsid w:val="00C46390"/>
    <w:rsid w:val="00C468C2"/>
    <w:rsid w:val="00C472FE"/>
    <w:rsid w:val="00C4732A"/>
    <w:rsid w:val="00C47382"/>
    <w:rsid w:val="00C500EF"/>
    <w:rsid w:val="00C503F7"/>
    <w:rsid w:val="00C516F3"/>
    <w:rsid w:val="00C517D7"/>
    <w:rsid w:val="00C5193D"/>
    <w:rsid w:val="00C5239B"/>
    <w:rsid w:val="00C52F3B"/>
    <w:rsid w:val="00C54377"/>
    <w:rsid w:val="00C5453E"/>
    <w:rsid w:val="00C551F7"/>
    <w:rsid w:val="00C5652E"/>
    <w:rsid w:val="00C57540"/>
    <w:rsid w:val="00C57F27"/>
    <w:rsid w:val="00C60578"/>
    <w:rsid w:val="00C60A3A"/>
    <w:rsid w:val="00C60F8D"/>
    <w:rsid w:val="00C6174E"/>
    <w:rsid w:val="00C6187E"/>
    <w:rsid w:val="00C61A0D"/>
    <w:rsid w:val="00C62030"/>
    <w:rsid w:val="00C64CE5"/>
    <w:rsid w:val="00C6507D"/>
    <w:rsid w:val="00C650F5"/>
    <w:rsid w:val="00C65246"/>
    <w:rsid w:val="00C6579D"/>
    <w:rsid w:val="00C72007"/>
    <w:rsid w:val="00C72621"/>
    <w:rsid w:val="00C72A76"/>
    <w:rsid w:val="00C736D0"/>
    <w:rsid w:val="00C73DEA"/>
    <w:rsid w:val="00C73E35"/>
    <w:rsid w:val="00C743AE"/>
    <w:rsid w:val="00C74418"/>
    <w:rsid w:val="00C74925"/>
    <w:rsid w:val="00C74BA7"/>
    <w:rsid w:val="00C74DAA"/>
    <w:rsid w:val="00C75D08"/>
    <w:rsid w:val="00C762E6"/>
    <w:rsid w:val="00C769BF"/>
    <w:rsid w:val="00C77603"/>
    <w:rsid w:val="00C801E4"/>
    <w:rsid w:val="00C803FD"/>
    <w:rsid w:val="00C8158B"/>
    <w:rsid w:val="00C817DF"/>
    <w:rsid w:val="00C82368"/>
    <w:rsid w:val="00C82BC9"/>
    <w:rsid w:val="00C82F6A"/>
    <w:rsid w:val="00C83520"/>
    <w:rsid w:val="00C8432E"/>
    <w:rsid w:val="00C8450C"/>
    <w:rsid w:val="00C846E6"/>
    <w:rsid w:val="00C8567E"/>
    <w:rsid w:val="00C85A19"/>
    <w:rsid w:val="00C85B61"/>
    <w:rsid w:val="00C85DFC"/>
    <w:rsid w:val="00C86CB5"/>
    <w:rsid w:val="00C871DE"/>
    <w:rsid w:val="00C87371"/>
    <w:rsid w:val="00C87729"/>
    <w:rsid w:val="00C879D6"/>
    <w:rsid w:val="00C87C1D"/>
    <w:rsid w:val="00C87D3B"/>
    <w:rsid w:val="00C901FA"/>
    <w:rsid w:val="00C90555"/>
    <w:rsid w:val="00C908FB"/>
    <w:rsid w:val="00C91312"/>
    <w:rsid w:val="00C919ED"/>
    <w:rsid w:val="00C91A05"/>
    <w:rsid w:val="00C921A6"/>
    <w:rsid w:val="00C92520"/>
    <w:rsid w:val="00C927FE"/>
    <w:rsid w:val="00C9342A"/>
    <w:rsid w:val="00C93A9C"/>
    <w:rsid w:val="00C93C94"/>
    <w:rsid w:val="00C940E4"/>
    <w:rsid w:val="00C955D6"/>
    <w:rsid w:val="00C96FF5"/>
    <w:rsid w:val="00C9749C"/>
    <w:rsid w:val="00CA0501"/>
    <w:rsid w:val="00CA0A5E"/>
    <w:rsid w:val="00CA1345"/>
    <w:rsid w:val="00CA2937"/>
    <w:rsid w:val="00CA3A9F"/>
    <w:rsid w:val="00CA3EAD"/>
    <w:rsid w:val="00CA412B"/>
    <w:rsid w:val="00CA426D"/>
    <w:rsid w:val="00CA50AC"/>
    <w:rsid w:val="00CA57AD"/>
    <w:rsid w:val="00CA66EC"/>
    <w:rsid w:val="00CA7CF3"/>
    <w:rsid w:val="00CA7F73"/>
    <w:rsid w:val="00CA7FF4"/>
    <w:rsid w:val="00CB077F"/>
    <w:rsid w:val="00CB0D9E"/>
    <w:rsid w:val="00CB1673"/>
    <w:rsid w:val="00CB1889"/>
    <w:rsid w:val="00CB1CC9"/>
    <w:rsid w:val="00CB1FDB"/>
    <w:rsid w:val="00CB2720"/>
    <w:rsid w:val="00CB28E9"/>
    <w:rsid w:val="00CB2B3A"/>
    <w:rsid w:val="00CB3988"/>
    <w:rsid w:val="00CB40D1"/>
    <w:rsid w:val="00CB48A7"/>
    <w:rsid w:val="00CB570C"/>
    <w:rsid w:val="00CB6253"/>
    <w:rsid w:val="00CB7920"/>
    <w:rsid w:val="00CB7C23"/>
    <w:rsid w:val="00CC0309"/>
    <w:rsid w:val="00CC0B1D"/>
    <w:rsid w:val="00CC0F76"/>
    <w:rsid w:val="00CC141F"/>
    <w:rsid w:val="00CC1447"/>
    <w:rsid w:val="00CC178F"/>
    <w:rsid w:val="00CC4552"/>
    <w:rsid w:val="00CC490E"/>
    <w:rsid w:val="00CC54DF"/>
    <w:rsid w:val="00CC58D7"/>
    <w:rsid w:val="00CC6369"/>
    <w:rsid w:val="00CC6BA6"/>
    <w:rsid w:val="00CC7076"/>
    <w:rsid w:val="00CC7437"/>
    <w:rsid w:val="00CD1485"/>
    <w:rsid w:val="00CD20D5"/>
    <w:rsid w:val="00CD2B75"/>
    <w:rsid w:val="00CD2F89"/>
    <w:rsid w:val="00CD348E"/>
    <w:rsid w:val="00CD3B99"/>
    <w:rsid w:val="00CD3BE5"/>
    <w:rsid w:val="00CD41E4"/>
    <w:rsid w:val="00CD4276"/>
    <w:rsid w:val="00CD620B"/>
    <w:rsid w:val="00CD71CB"/>
    <w:rsid w:val="00CD7C92"/>
    <w:rsid w:val="00CE0DAE"/>
    <w:rsid w:val="00CE1193"/>
    <w:rsid w:val="00CE1D7B"/>
    <w:rsid w:val="00CE231A"/>
    <w:rsid w:val="00CE26A2"/>
    <w:rsid w:val="00CE2735"/>
    <w:rsid w:val="00CE2B6A"/>
    <w:rsid w:val="00CE2E98"/>
    <w:rsid w:val="00CE3625"/>
    <w:rsid w:val="00CE3E6C"/>
    <w:rsid w:val="00CE44B6"/>
    <w:rsid w:val="00CE44CA"/>
    <w:rsid w:val="00CE50FB"/>
    <w:rsid w:val="00CE5B78"/>
    <w:rsid w:val="00CE6339"/>
    <w:rsid w:val="00CE70E3"/>
    <w:rsid w:val="00CE72D6"/>
    <w:rsid w:val="00CE7F8D"/>
    <w:rsid w:val="00CE7FE6"/>
    <w:rsid w:val="00CF020E"/>
    <w:rsid w:val="00CF0600"/>
    <w:rsid w:val="00CF1859"/>
    <w:rsid w:val="00CF1AE3"/>
    <w:rsid w:val="00CF1B2F"/>
    <w:rsid w:val="00CF1F13"/>
    <w:rsid w:val="00CF1FC1"/>
    <w:rsid w:val="00CF20C1"/>
    <w:rsid w:val="00CF2AA5"/>
    <w:rsid w:val="00CF2B30"/>
    <w:rsid w:val="00CF2D63"/>
    <w:rsid w:val="00CF3C60"/>
    <w:rsid w:val="00CF40B1"/>
    <w:rsid w:val="00CF45C2"/>
    <w:rsid w:val="00CF497C"/>
    <w:rsid w:val="00CF4C29"/>
    <w:rsid w:val="00CF5622"/>
    <w:rsid w:val="00CF5ED8"/>
    <w:rsid w:val="00CF6254"/>
    <w:rsid w:val="00CF663D"/>
    <w:rsid w:val="00CF6F19"/>
    <w:rsid w:val="00CF747C"/>
    <w:rsid w:val="00CF74D3"/>
    <w:rsid w:val="00CF7BA6"/>
    <w:rsid w:val="00D00219"/>
    <w:rsid w:val="00D00B45"/>
    <w:rsid w:val="00D01313"/>
    <w:rsid w:val="00D01787"/>
    <w:rsid w:val="00D01A0D"/>
    <w:rsid w:val="00D02460"/>
    <w:rsid w:val="00D03A21"/>
    <w:rsid w:val="00D03B39"/>
    <w:rsid w:val="00D04345"/>
    <w:rsid w:val="00D04AEE"/>
    <w:rsid w:val="00D04F53"/>
    <w:rsid w:val="00D061AB"/>
    <w:rsid w:val="00D0647B"/>
    <w:rsid w:val="00D0656F"/>
    <w:rsid w:val="00D06CC4"/>
    <w:rsid w:val="00D0780D"/>
    <w:rsid w:val="00D101CF"/>
    <w:rsid w:val="00D117C0"/>
    <w:rsid w:val="00D11A48"/>
    <w:rsid w:val="00D11A9B"/>
    <w:rsid w:val="00D11E1C"/>
    <w:rsid w:val="00D120C6"/>
    <w:rsid w:val="00D1213E"/>
    <w:rsid w:val="00D12875"/>
    <w:rsid w:val="00D1298B"/>
    <w:rsid w:val="00D130DC"/>
    <w:rsid w:val="00D13E4B"/>
    <w:rsid w:val="00D13FCE"/>
    <w:rsid w:val="00D13FD8"/>
    <w:rsid w:val="00D14006"/>
    <w:rsid w:val="00D142CD"/>
    <w:rsid w:val="00D1445A"/>
    <w:rsid w:val="00D146E1"/>
    <w:rsid w:val="00D14780"/>
    <w:rsid w:val="00D14B42"/>
    <w:rsid w:val="00D15F6C"/>
    <w:rsid w:val="00D16A69"/>
    <w:rsid w:val="00D17A4F"/>
    <w:rsid w:val="00D17E9E"/>
    <w:rsid w:val="00D20267"/>
    <w:rsid w:val="00D208F4"/>
    <w:rsid w:val="00D20AD8"/>
    <w:rsid w:val="00D213D1"/>
    <w:rsid w:val="00D21655"/>
    <w:rsid w:val="00D219C8"/>
    <w:rsid w:val="00D21A36"/>
    <w:rsid w:val="00D224C0"/>
    <w:rsid w:val="00D226B0"/>
    <w:rsid w:val="00D226B8"/>
    <w:rsid w:val="00D22834"/>
    <w:rsid w:val="00D22869"/>
    <w:rsid w:val="00D2395A"/>
    <w:rsid w:val="00D24149"/>
    <w:rsid w:val="00D25277"/>
    <w:rsid w:val="00D25919"/>
    <w:rsid w:val="00D25AAF"/>
    <w:rsid w:val="00D25BAB"/>
    <w:rsid w:val="00D2698C"/>
    <w:rsid w:val="00D27878"/>
    <w:rsid w:val="00D279D7"/>
    <w:rsid w:val="00D27D44"/>
    <w:rsid w:val="00D3095D"/>
    <w:rsid w:val="00D3148A"/>
    <w:rsid w:val="00D32861"/>
    <w:rsid w:val="00D32A5F"/>
    <w:rsid w:val="00D33246"/>
    <w:rsid w:val="00D33294"/>
    <w:rsid w:val="00D34B32"/>
    <w:rsid w:val="00D3540D"/>
    <w:rsid w:val="00D35839"/>
    <w:rsid w:val="00D35F6B"/>
    <w:rsid w:val="00D36162"/>
    <w:rsid w:val="00D3636E"/>
    <w:rsid w:val="00D36D61"/>
    <w:rsid w:val="00D4132D"/>
    <w:rsid w:val="00D41F81"/>
    <w:rsid w:val="00D422EA"/>
    <w:rsid w:val="00D434EA"/>
    <w:rsid w:val="00D444C6"/>
    <w:rsid w:val="00D44B85"/>
    <w:rsid w:val="00D44E11"/>
    <w:rsid w:val="00D45022"/>
    <w:rsid w:val="00D456FC"/>
    <w:rsid w:val="00D45B59"/>
    <w:rsid w:val="00D462BF"/>
    <w:rsid w:val="00D46381"/>
    <w:rsid w:val="00D46C10"/>
    <w:rsid w:val="00D46F4A"/>
    <w:rsid w:val="00D50546"/>
    <w:rsid w:val="00D516D2"/>
    <w:rsid w:val="00D51A52"/>
    <w:rsid w:val="00D51BFB"/>
    <w:rsid w:val="00D5335C"/>
    <w:rsid w:val="00D53596"/>
    <w:rsid w:val="00D538EB"/>
    <w:rsid w:val="00D53901"/>
    <w:rsid w:val="00D53E31"/>
    <w:rsid w:val="00D53F7D"/>
    <w:rsid w:val="00D53FA1"/>
    <w:rsid w:val="00D541F3"/>
    <w:rsid w:val="00D543AE"/>
    <w:rsid w:val="00D54B3B"/>
    <w:rsid w:val="00D5563E"/>
    <w:rsid w:val="00D5586C"/>
    <w:rsid w:val="00D558E7"/>
    <w:rsid w:val="00D5590E"/>
    <w:rsid w:val="00D55ABA"/>
    <w:rsid w:val="00D56103"/>
    <w:rsid w:val="00D56B38"/>
    <w:rsid w:val="00D56C12"/>
    <w:rsid w:val="00D56DB1"/>
    <w:rsid w:val="00D56E03"/>
    <w:rsid w:val="00D5793F"/>
    <w:rsid w:val="00D57E5F"/>
    <w:rsid w:val="00D60C0A"/>
    <w:rsid w:val="00D61038"/>
    <w:rsid w:val="00D610CC"/>
    <w:rsid w:val="00D618F6"/>
    <w:rsid w:val="00D61AB5"/>
    <w:rsid w:val="00D61BEC"/>
    <w:rsid w:val="00D628E4"/>
    <w:rsid w:val="00D6302D"/>
    <w:rsid w:val="00D64244"/>
    <w:rsid w:val="00D64AFE"/>
    <w:rsid w:val="00D64E86"/>
    <w:rsid w:val="00D653B6"/>
    <w:rsid w:val="00D657AE"/>
    <w:rsid w:val="00D662B9"/>
    <w:rsid w:val="00D668EB"/>
    <w:rsid w:val="00D673C5"/>
    <w:rsid w:val="00D67C1C"/>
    <w:rsid w:val="00D67EBB"/>
    <w:rsid w:val="00D70A24"/>
    <w:rsid w:val="00D70AD1"/>
    <w:rsid w:val="00D717F2"/>
    <w:rsid w:val="00D71CCC"/>
    <w:rsid w:val="00D7238E"/>
    <w:rsid w:val="00D72B5E"/>
    <w:rsid w:val="00D73C23"/>
    <w:rsid w:val="00D74823"/>
    <w:rsid w:val="00D74842"/>
    <w:rsid w:val="00D74C38"/>
    <w:rsid w:val="00D74C62"/>
    <w:rsid w:val="00D74FA5"/>
    <w:rsid w:val="00D74FE4"/>
    <w:rsid w:val="00D75952"/>
    <w:rsid w:val="00D75C30"/>
    <w:rsid w:val="00D76CFE"/>
    <w:rsid w:val="00D76F11"/>
    <w:rsid w:val="00D771BC"/>
    <w:rsid w:val="00D77BF4"/>
    <w:rsid w:val="00D77E2E"/>
    <w:rsid w:val="00D80AF4"/>
    <w:rsid w:val="00D81801"/>
    <w:rsid w:val="00D82180"/>
    <w:rsid w:val="00D82463"/>
    <w:rsid w:val="00D8301D"/>
    <w:rsid w:val="00D841BD"/>
    <w:rsid w:val="00D84203"/>
    <w:rsid w:val="00D8450E"/>
    <w:rsid w:val="00D84DE7"/>
    <w:rsid w:val="00D850CB"/>
    <w:rsid w:val="00D8518A"/>
    <w:rsid w:val="00D853AA"/>
    <w:rsid w:val="00D8565D"/>
    <w:rsid w:val="00D85A18"/>
    <w:rsid w:val="00D85EEF"/>
    <w:rsid w:val="00D909C0"/>
    <w:rsid w:val="00D90BF0"/>
    <w:rsid w:val="00D90C7F"/>
    <w:rsid w:val="00D91844"/>
    <w:rsid w:val="00D91BF8"/>
    <w:rsid w:val="00D91D60"/>
    <w:rsid w:val="00D92891"/>
    <w:rsid w:val="00D9294D"/>
    <w:rsid w:val="00D92EE3"/>
    <w:rsid w:val="00D93A30"/>
    <w:rsid w:val="00D946C1"/>
    <w:rsid w:val="00D94D65"/>
    <w:rsid w:val="00D95407"/>
    <w:rsid w:val="00D955DC"/>
    <w:rsid w:val="00D955F7"/>
    <w:rsid w:val="00D9597F"/>
    <w:rsid w:val="00D9607A"/>
    <w:rsid w:val="00D96089"/>
    <w:rsid w:val="00D96913"/>
    <w:rsid w:val="00D96EDC"/>
    <w:rsid w:val="00D97E42"/>
    <w:rsid w:val="00D97EC4"/>
    <w:rsid w:val="00DA02E7"/>
    <w:rsid w:val="00DA0360"/>
    <w:rsid w:val="00DA053D"/>
    <w:rsid w:val="00DA0788"/>
    <w:rsid w:val="00DA090D"/>
    <w:rsid w:val="00DA1050"/>
    <w:rsid w:val="00DA164A"/>
    <w:rsid w:val="00DA1803"/>
    <w:rsid w:val="00DA19B6"/>
    <w:rsid w:val="00DA3B2A"/>
    <w:rsid w:val="00DA3C49"/>
    <w:rsid w:val="00DA4A1E"/>
    <w:rsid w:val="00DA5C84"/>
    <w:rsid w:val="00DA61BA"/>
    <w:rsid w:val="00DA6BA0"/>
    <w:rsid w:val="00DA73BD"/>
    <w:rsid w:val="00DA7B42"/>
    <w:rsid w:val="00DA7C83"/>
    <w:rsid w:val="00DA7F75"/>
    <w:rsid w:val="00DB0320"/>
    <w:rsid w:val="00DB079E"/>
    <w:rsid w:val="00DB0CCA"/>
    <w:rsid w:val="00DB0DC6"/>
    <w:rsid w:val="00DB1255"/>
    <w:rsid w:val="00DB139F"/>
    <w:rsid w:val="00DB15EA"/>
    <w:rsid w:val="00DB1A2D"/>
    <w:rsid w:val="00DB23E9"/>
    <w:rsid w:val="00DB2E2C"/>
    <w:rsid w:val="00DB3011"/>
    <w:rsid w:val="00DB33AD"/>
    <w:rsid w:val="00DB346D"/>
    <w:rsid w:val="00DB4AA8"/>
    <w:rsid w:val="00DB4BAD"/>
    <w:rsid w:val="00DB5002"/>
    <w:rsid w:val="00DB526E"/>
    <w:rsid w:val="00DB530F"/>
    <w:rsid w:val="00DB567D"/>
    <w:rsid w:val="00DB5A6D"/>
    <w:rsid w:val="00DB5B42"/>
    <w:rsid w:val="00DB6A13"/>
    <w:rsid w:val="00DB76B7"/>
    <w:rsid w:val="00DC053E"/>
    <w:rsid w:val="00DC05D8"/>
    <w:rsid w:val="00DC1DFD"/>
    <w:rsid w:val="00DC2453"/>
    <w:rsid w:val="00DC28F5"/>
    <w:rsid w:val="00DC2D13"/>
    <w:rsid w:val="00DC3541"/>
    <w:rsid w:val="00DC36A8"/>
    <w:rsid w:val="00DC3B62"/>
    <w:rsid w:val="00DC3F71"/>
    <w:rsid w:val="00DC41BA"/>
    <w:rsid w:val="00DC49FB"/>
    <w:rsid w:val="00DC5274"/>
    <w:rsid w:val="00DC5AB8"/>
    <w:rsid w:val="00DC5DA0"/>
    <w:rsid w:val="00DC6727"/>
    <w:rsid w:val="00DC6775"/>
    <w:rsid w:val="00DC6D70"/>
    <w:rsid w:val="00DD02AD"/>
    <w:rsid w:val="00DD0D49"/>
    <w:rsid w:val="00DD0D5A"/>
    <w:rsid w:val="00DD2366"/>
    <w:rsid w:val="00DD3478"/>
    <w:rsid w:val="00DD38EE"/>
    <w:rsid w:val="00DD39C8"/>
    <w:rsid w:val="00DD4BD6"/>
    <w:rsid w:val="00DD4FF3"/>
    <w:rsid w:val="00DD749D"/>
    <w:rsid w:val="00DE0C19"/>
    <w:rsid w:val="00DE1174"/>
    <w:rsid w:val="00DE1DD4"/>
    <w:rsid w:val="00DE27AE"/>
    <w:rsid w:val="00DE2AF4"/>
    <w:rsid w:val="00DE3509"/>
    <w:rsid w:val="00DE36D4"/>
    <w:rsid w:val="00DE4719"/>
    <w:rsid w:val="00DE4C3D"/>
    <w:rsid w:val="00DE4E15"/>
    <w:rsid w:val="00DE53EA"/>
    <w:rsid w:val="00DE5953"/>
    <w:rsid w:val="00DE652D"/>
    <w:rsid w:val="00DE7326"/>
    <w:rsid w:val="00DE73AA"/>
    <w:rsid w:val="00DE7553"/>
    <w:rsid w:val="00DF28DD"/>
    <w:rsid w:val="00DF3B60"/>
    <w:rsid w:val="00DF43ED"/>
    <w:rsid w:val="00DF4777"/>
    <w:rsid w:val="00DF56B5"/>
    <w:rsid w:val="00DF5FB0"/>
    <w:rsid w:val="00DF6309"/>
    <w:rsid w:val="00DF73EF"/>
    <w:rsid w:val="00DF7548"/>
    <w:rsid w:val="00DF78AB"/>
    <w:rsid w:val="00E005AF"/>
    <w:rsid w:val="00E016C2"/>
    <w:rsid w:val="00E01E0C"/>
    <w:rsid w:val="00E05234"/>
    <w:rsid w:val="00E067A8"/>
    <w:rsid w:val="00E07B58"/>
    <w:rsid w:val="00E10152"/>
    <w:rsid w:val="00E107CC"/>
    <w:rsid w:val="00E10A50"/>
    <w:rsid w:val="00E10F28"/>
    <w:rsid w:val="00E11242"/>
    <w:rsid w:val="00E11617"/>
    <w:rsid w:val="00E1240D"/>
    <w:rsid w:val="00E12669"/>
    <w:rsid w:val="00E12819"/>
    <w:rsid w:val="00E12C83"/>
    <w:rsid w:val="00E131D2"/>
    <w:rsid w:val="00E1373A"/>
    <w:rsid w:val="00E1587B"/>
    <w:rsid w:val="00E1664C"/>
    <w:rsid w:val="00E1693E"/>
    <w:rsid w:val="00E16AB2"/>
    <w:rsid w:val="00E1705A"/>
    <w:rsid w:val="00E205DF"/>
    <w:rsid w:val="00E20972"/>
    <w:rsid w:val="00E22619"/>
    <w:rsid w:val="00E227DB"/>
    <w:rsid w:val="00E23B97"/>
    <w:rsid w:val="00E23DE2"/>
    <w:rsid w:val="00E23EA1"/>
    <w:rsid w:val="00E246D9"/>
    <w:rsid w:val="00E2535B"/>
    <w:rsid w:val="00E25781"/>
    <w:rsid w:val="00E2696A"/>
    <w:rsid w:val="00E269CF"/>
    <w:rsid w:val="00E26F0C"/>
    <w:rsid w:val="00E2747A"/>
    <w:rsid w:val="00E278F8"/>
    <w:rsid w:val="00E27D01"/>
    <w:rsid w:val="00E31E10"/>
    <w:rsid w:val="00E32542"/>
    <w:rsid w:val="00E328AF"/>
    <w:rsid w:val="00E338A7"/>
    <w:rsid w:val="00E3396E"/>
    <w:rsid w:val="00E34E91"/>
    <w:rsid w:val="00E3509A"/>
    <w:rsid w:val="00E3538C"/>
    <w:rsid w:val="00E37CCC"/>
    <w:rsid w:val="00E410F2"/>
    <w:rsid w:val="00E41770"/>
    <w:rsid w:val="00E417B0"/>
    <w:rsid w:val="00E417CE"/>
    <w:rsid w:val="00E42607"/>
    <w:rsid w:val="00E434EA"/>
    <w:rsid w:val="00E43B95"/>
    <w:rsid w:val="00E44169"/>
    <w:rsid w:val="00E453B9"/>
    <w:rsid w:val="00E46B0B"/>
    <w:rsid w:val="00E47549"/>
    <w:rsid w:val="00E47682"/>
    <w:rsid w:val="00E477EA"/>
    <w:rsid w:val="00E47ABB"/>
    <w:rsid w:val="00E503E6"/>
    <w:rsid w:val="00E50DC4"/>
    <w:rsid w:val="00E51245"/>
    <w:rsid w:val="00E51353"/>
    <w:rsid w:val="00E5297A"/>
    <w:rsid w:val="00E53A86"/>
    <w:rsid w:val="00E53F1E"/>
    <w:rsid w:val="00E5474C"/>
    <w:rsid w:val="00E548C2"/>
    <w:rsid w:val="00E54FE7"/>
    <w:rsid w:val="00E55818"/>
    <w:rsid w:val="00E55AC4"/>
    <w:rsid w:val="00E56462"/>
    <w:rsid w:val="00E56769"/>
    <w:rsid w:val="00E56EF8"/>
    <w:rsid w:val="00E5787C"/>
    <w:rsid w:val="00E611BB"/>
    <w:rsid w:val="00E61221"/>
    <w:rsid w:val="00E61399"/>
    <w:rsid w:val="00E613C9"/>
    <w:rsid w:val="00E61F4A"/>
    <w:rsid w:val="00E62605"/>
    <w:rsid w:val="00E63518"/>
    <w:rsid w:val="00E63550"/>
    <w:rsid w:val="00E636DA"/>
    <w:rsid w:val="00E63B71"/>
    <w:rsid w:val="00E65707"/>
    <w:rsid w:val="00E65A73"/>
    <w:rsid w:val="00E65C72"/>
    <w:rsid w:val="00E668B4"/>
    <w:rsid w:val="00E669AC"/>
    <w:rsid w:val="00E67760"/>
    <w:rsid w:val="00E67FEF"/>
    <w:rsid w:val="00E70025"/>
    <w:rsid w:val="00E7017C"/>
    <w:rsid w:val="00E707E8"/>
    <w:rsid w:val="00E71067"/>
    <w:rsid w:val="00E711CC"/>
    <w:rsid w:val="00E71B96"/>
    <w:rsid w:val="00E71C33"/>
    <w:rsid w:val="00E71EBA"/>
    <w:rsid w:val="00E71F39"/>
    <w:rsid w:val="00E7212D"/>
    <w:rsid w:val="00E73430"/>
    <w:rsid w:val="00E73594"/>
    <w:rsid w:val="00E73B05"/>
    <w:rsid w:val="00E73F4B"/>
    <w:rsid w:val="00E74C27"/>
    <w:rsid w:val="00E75E85"/>
    <w:rsid w:val="00E75FA2"/>
    <w:rsid w:val="00E773C5"/>
    <w:rsid w:val="00E77980"/>
    <w:rsid w:val="00E80974"/>
    <w:rsid w:val="00E80B88"/>
    <w:rsid w:val="00E811D8"/>
    <w:rsid w:val="00E81773"/>
    <w:rsid w:val="00E83146"/>
    <w:rsid w:val="00E84E96"/>
    <w:rsid w:val="00E84F88"/>
    <w:rsid w:val="00E85268"/>
    <w:rsid w:val="00E8530C"/>
    <w:rsid w:val="00E858AB"/>
    <w:rsid w:val="00E85A0A"/>
    <w:rsid w:val="00E87095"/>
    <w:rsid w:val="00E87B45"/>
    <w:rsid w:val="00E87FB5"/>
    <w:rsid w:val="00E90A73"/>
    <w:rsid w:val="00E91565"/>
    <w:rsid w:val="00E91DEB"/>
    <w:rsid w:val="00E92A70"/>
    <w:rsid w:val="00E9315B"/>
    <w:rsid w:val="00E93F3F"/>
    <w:rsid w:val="00E93F7B"/>
    <w:rsid w:val="00E941D1"/>
    <w:rsid w:val="00E94293"/>
    <w:rsid w:val="00E94610"/>
    <w:rsid w:val="00E94CC2"/>
    <w:rsid w:val="00E95BF8"/>
    <w:rsid w:val="00E95C76"/>
    <w:rsid w:val="00E96EBD"/>
    <w:rsid w:val="00E97030"/>
    <w:rsid w:val="00E9717B"/>
    <w:rsid w:val="00E97D25"/>
    <w:rsid w:val="00EA004B"/>
    <w:rsid w:val="00EA027E"/>
    <w:rsid w:val="00EA0855"/>
    <w:rsid w:val="00EA0896"/>
    <w:rsid w:val="00EA0F46"/>
    <w:rsid w:val="00EA146B"/>
    <w:rsid w:val="00EA1770"/>
    <w:rsid w:val="00EA19D1"/>
    <w:rsid w:val="00EA1ACD"/>
    <w:rsid w:val="00EA1F85"/>
    <w:rsid w:val="00EA31B3"/>
    <w:rsid w:val="00EA3C86"/>
    <w:rsid w:val="00EA3E57"/>
    <w:rsid w:val="00EA4172"/>
    <w:rsid w:val="00EA4917"/>
    <w:rsid w:val="00EA4D33"/>
    <w:rsid w:val="00EA54BB"/>
    <w:rsid w:val="00EA62B8"/>
    <w:rsid w:val="00EA6CA9"/>
    <w:rsid w:val="00EA73A4"/>
    <w:rsid w:val="00EA758C"/>
    <w:rsid w:val="00EB08EA"/>
    <w:rsid w:val="00EB0914"/>
    <w:rsid w:val="00EB0E49"/>
    <w:rsid w:val="00EB12D7"/>
    <w:rsid w:val="00EB173B"/>
    <w:rsid w:val="00EB221E"/>
    <w:rsid w:val="00EB2312"/>
    <w:rsid w:val="00EB3032"/>
    <w:rsid w:val="00EB32D2"/>
    <w:rsid w:val="00EB34E2"/>
    <w:rsid w:val="00EB42DB"/>
    <w:rsid w:val="00EB4B13"/>
    <w:rsid w:val="00EB4F01"/>
    <w:rsid w:val="00EB6029"/>
    <w:rsid w:val="00EB6842"/>
    <w:rsid w:val="00EB744E"/>
    <w:rsid w:val="00EB75D1"/>
    <w:rsid w:val="00EB78F3"/>
    <w:rsid w:val="00EC0056"/>
    <w:rsid w:val="00EC0133"/>
    <w:rsid w:val="00EC095D"/>
    <w:rsid w:val="00EC1578"/>
    <w:rsid w:val="00EC1591"/>
    <w:rsid w:val="00EC19D2"/>
    <w:rsid w:val="00EC1BC7"/>
    <w:rsid w:val="00EC1F03"/>
    <w:rsid w:val="00EC23C7"/>
    <w:rsid w:val="00EC2B10"/>
    <w:rsid w:val="00EC2BCA"/>
    <w:rsid w:val="00EC4F35"/>
    <w:rsid w:val="00EC582B"/>
    <w:rsid w:val="00EC6545"/>
    <w:rsid w:val="00EC67F5"/>
    <w:rsid w:val="00EC6A5D"/>
    <w:rsid w:val="00ED0268"/>
    <w:rsid w:val="00ED03EA"/>
    <w:rsid w:val="00ED07AA"/>
    <w:rsid w:val="00ED0C40"/>
    <w:rsid w:val="00ED15DF"/>
    <w:rsid w:val="00ED1F10"/>
    <w:rsid w:val="00ED210B"/>
    <w:rsid w:val="00ED2D39"/>
    <w:rsid w:val="00ED379C"/>
    <w:rsid w:val="00ED4565"/>
    <w:rsid w:val="00ED47E7"/>
    <w:rsid w:val="00ED4D7C"/>
    <w:rsid w:val="00ED544E"/>
    <w:rsid w:val="00ED5AA4"/>
    <w:rsid w:val="00ED5C1B"/>
    <w:rsid w:val="00ED6A74"/>
    <w:rsid w:val="00ED7F93"/>
    <w:rsid w:val="00EE0F04"/>
    <w:rsid w:val="00EE10D2"/>
    <w:rsid w:val="00EE193E"/>
    <w:rsid w:val="00EE210E"/>
    <w:rsid w:val="00EE2B0F"/>
    <w:rsid w:val="00EE3C9F"/>
    <w:rsid w:val="00EE6178"/>
    <w:rsid w:val="00EE6907"/>
    <w:rsid w:val="00EE6AA9"/>
    <w:rsid w:val="00EE6FDE"/>
    <w:rsid w:val="00EE7BCB"/>
    <w:rsid w:val="00EF055E"/>
    <w:rsid w:val="00EF0A8F"/>
    <w:rsid w:val="00EF1315"/>
    <w:rsid w:val="00EF1A74"/>
    <w:rsid w:val="00EF2155"/>
    <w:rsid w:val="00EF25F3"/>
    <w:rsid w:val="00EF29C7"/>
    <w:rsid w:val="00EF3459"/>
    <w:rsid w:val="00EF460B"/>
    <w:rsid w:val="00EF49F8"/>
    <w:rsid w:val="00EF50F8"/>
    <w:rsid w:val="00EF62BF"/>
    <w:rsid w:val="00EF62F6"/>
    <w:rsid w:val="00EF72FA"/>
    <w:rsid w:val="00EF74D1"/>
    <w:rsid w:val="00EF76B3"/>
    <w:rsid w:val="00EF7C79"/>
    <w:rsid w:val="00F00624"/>
    <w:rsid w:val="00F00831"/>
    <w:rsid w:val="00F0097E"/>
    <w:rsid w:val="00F0216A"/>
    <w:rsid w:val="00F026EB"/>
    <w:rsid w:val="00F030D8"/>
    <w:rsid w:val="00F0318D"/>
    <w:rsid w:val="00F032E1"/>
    <w:rsid w:val="00F03417"/>
    <w:rsid w:val="00F03774"/>
    <w:rsid w:val="00F05CE1"/>
    <w:rsid w:val="00F05DEE"/>
    <w:rsid w:val="00F05ED7"/>
    <w:rsid w:val="00F06773"/>
    <w:rsid w:val="00F06779"/>
    <w:rsid w:val="00F06DC2"/>
    <w:rsid w:val="00F06F78"/>
    <w:rsid w:val="00F078AC"/>
    <w:rsid w:val="00F07F54"/>
    <w:rsid w:val="00F10FB4"/>
    <w:rsid w:val="00F110BB"/>
    <w:rsid w:val="00F11B21"/>
    <w:rsid w:val="00F11E34"/>
    <w:rsid w:val="00F11E93"/>
    <w:rsid w:val="00F12692"/>
    <w:rsid w:val="00F13294"/>
    <w:rsid w:val="00F13552"/>
    <w:rsid w:val="00F14E73"/>
    <w:rsid w:val="00F15650"/>
    <w:rsid w:val="00F156DD"/>
    <w:rsid w:val="00F1598B"/>
    <w:rsid w:val="00F179CE"/>
    <w:rsid w:val="00F208C4"/>
    <w:rsid w:val="00F20B3E"/>
    <w:rsid w:val="00F21506"/>
    <w:rsid w:val="00F23C64"/>
    <w:rsid w:val="00F23E72"/>
    <w:rsid w:val="00F23FE1"/>
    <w:rsid w:val="00F2426D"/>
    <w:rsid w:val="00F252A1"/>
    <w:rsid w:val="00F2652F"/>
    <w:rsid w:val="00F27826"/>
    <w:rsid w:val="00F27BF4"/>
    <w:rsid w:val="00F301E1"/>
    <w:rsid w:val="00F30478"/>
    <w:rsid w:val="00F3156D"/>
    <w:rsid w:val="00F31BFA"/>
    <w:rsid w:val="00F320F6"/>
    <w:rsid w:val="00F32A85"/>
    <w:rsid w:val="00F3309D"/>
    <w:rsid w:val="00F33A86"/>
    <w:rsid w:val="00F33D99"/>
    <w:rsid w:val="00F33E7E"/>
    <w:rsid w:val="00F34441"/>
    <w:rsid w:val="00F35A46"/>
    <w:rsid w:val="00F3614F"/>
    <w:rsid w:val="00F37C17"/>
    <w:rsid w:val="00F40424"/>
    <w:rsid w:val="00F40FC5"/>
    <w:rsid w:val="00F417E6"/>
    <w:rsid w:val="00F426AB"/>
    <w:rsid w:val="00F429B7"/>
    <w:rsid w:val="00F42BBB"/>
    <w:rsid w:val="00F42C6D"/>
    <w:rsid w:val="00F43FA5"/>
    <w:rsid w:val="00F4557C"/>
    <w:rsid w:val="00F460B5"/>
    <w:rsid w:val="00F46272"/>
    <w:rsid w:val="00F47A0D"/>
    <w:rsid w:val="00F47C38"/>
    <w:rsid w:val="00F47EAB"/>
    <w:rsid w:val="00F5004D"/>
    <w:rsid w:val="00F5019C"/>
    <w:rsid w:val="00F50AE1"/>
    <w:rsid w:val="00F50FD0"/>
    <w:rsid w:val="00F51028"/>
    <w:rsid w:val="00F51BC1"/>
    <w:rsid w:val="00F524D6"/>
    <w:rsid w:val="00F5376A"/>
    <w:rsid w:val="00F53DE6"/>
    <w:rsid w:val="00F53F54"/>
    <w:rsid w:val="00F5439C"/>
    <w:rsid w:val="00F54821"/>
    <w:rsid w:val="00F54B42"/>
    <w:rsid w:val="00F54BE4"/>
    <w:rsid w:val="00F55225"/>
    <w:rsid w:val="00F555AB"/>
    <w:rsid w:val="00F557F9"/>
    <w:rsid w:val="00F5585F"/>
    <w:rsid w:val="00F560C9"/>
    <w:rsid w:val="00F567F7"/>
    <w:rsid w:val="00F5727D"/>
    <w:rsid w:val="00F5727E"/>
    <w:rsid w:val="00F57789"/>
    <w:rsid w:val="00F623B3"/>
    <w:rsid w:val="00F62935"/>
    <w:rsid w:val="00F6454F"/>
    <w:rsid w:val="00F64F1C"/>
    <w:rsid w:val="00F659B5"/>
    <w:rsid w:val="00F6604A"/>
    <w:rsid w:val="00F672D9"/>
    <w:rsid w:val="00F71518"/>
    <w:rsid w:val="00F71A99"/>
    <w:rsid w:val="00F71E1C"/>
    <w:rsid w:val="00F71F10"/>
    <w:rsid w:val="00F76159"/>
    <w:rsid w:val="00F762FA"/>
    <w:rsid w:val="00F76C83"/>
    <w:rsid w:val="00F77134"/>
    <w:rsid w:val="00F77928"/>
    <w:rsid w:val="00F77F2F"/>
    <w:rsid w:val="00F802AA"/>
    <w:rsid w:val="00F80850"/>
    <w:rsid w:val="00F80DF0"/>
    <w:rsid w:val="00F81618"/>
    <w:rsid w:val="00F81D1A"/>
    <w:rsid w:val="00F82219"/>
    <w:rsid w:val="00F82CCB"/>
    <w:rsid w:val="00F8367D"/>
    <w:rsid w:val="00F8404A"/>
    <w:rsid w:val="00F84734"/>
    <w:rsid w:val="00F86E73"/>
    <w:rsid w:val="00F874C0"/>
    <w:rsid w:val="00F90165"/>
    <w:rsid w:val="00F906DF"/>
    <w:rsid w:val="00F9072C"/>
    <w:rsid w:val="00F90DE0"/>
    <w:rsid w:val="00F919B4"/>
    <w:rsid w:val="00F91B44"/>
    <w:rsid w:val="00F91D93"/>
    <w:rsid w:val="00F92156"/>
    <w:rsid w:val="00F93039"/>
    <w:rsid w:val="00F93334"/>
    <w:rsid w:val="00F93657"/>
    <w:rsid w:val="00F93899"/>
    <w:rsid w:val="00F93AD5"/>
    <w:rsid w:val="00F93FF9"/>
    <w:rsid w:val="00F9546A"/>
    <w:rsid w:val="00F958E1"/>
    <w:rsid w:val="00F962B9"/>
    <w:rsid w:val="00F96600"/>
    <w:rsid w:val="00F96749"/>
    <w:rsid w:val="00F96759"/>
    <w:rsid w:val="00F97986"/>
    <w:rsid w:val="00FA00C2"/>
    <w:rsid w:val="00FA0D83"/>
    <w:rsid w:val="00FA0E89"/>
    <w:rsid w:val="00FA17B1"/>
    <w:rsid w:val="00FA3BFA"/>
    <w:rsid w:val="00FA449C"/>
    <w:rsid w:val="00FA673C"/>
    <w:rsid w:val="00FA6A0A"/>
    <w:rsid w:val="00FA6C39"/>
    <w:rsid w:val="00FA6D14"/>
    <w:rsid w:val="00FA74DD"/>
    <w:rsid w:val="00FA772A"/>
    <w:rsid w:val="00FA7CBA"/>
    <w:rsid w:val="00FA7FA3"/>
    <w:rsid w:val="00FB0955"/>
    <w:rsid w:val="00FB1943"/>
    <w:rsid w:val="00FB2F83"/>
    <w:rsid w:val="00FB3369"/>
    <w:rsid w:val="00FB38CB"/>
    <w:rsid w:val="00FB4B4C"/>
    <w:rsid w:val="00FB4F1A"/>
    <w:rsid w:val="00FB54B9"/>
    <w:rsid w:val="00FB54EF"/>
    <w:rsid w:val="00FB6107"/>
    <w:rsid w:val="00FB6199"/>
    <w:rsid w:val="00FB64E0"/>
    <w:rsid w:val="00FB72D1"/>
    <w:rsid w:val="00FB73D0"/>
    <w:rsid w:val="00FB77C4"/>
    <w:rsid w:val="00FB7E75"/>
    <w:rsid w:val="00FC2A37"/>
    <w:rsid w:val="00FC2BD5"/>
    <w:rsid w:val="00FC378D"/>
    <w:rsid w:val="00FC3AE0"/>
    <w:rsid w:val="00FC3AEE"/>
    <w:rsid w:val="00FC3E71"/>
    <w:rsid w:val="00FC410B"/>
    <w:rsid w:val="00FC4330"/>
    <w:rsid w:val="00FC51DB"/>
    <w:rsid w:val="00FC5837"/>
    <w:rsid w:val="00FD0FA5"/>
    <w:rsid w:val="00FD1212"/>
    <w:rsid w:val="00FD1F89"/>
    <w:rsid w:val="00FD2934"/>
    <w:rsid w:val="00FD2D83"/>
    <w:rsid w:val="00FD2E76"/>
    <w:rsid w:val="00FD2EFF"/>
    <w:rsid w:val="00FD479C"/>
    <w:rsid w:val="00FD47DB"/>
    <w:rsid w:val="00FD4BBB"/>
    <w:rsid w:val="00FD52F0"/>
    <w:rsid w:val="00FD6776"/>
    <w:rsid w:val="00FD717F"/>
    <w:rsid w:val="00FD7C00"/>
    <w:rsid w:val="00FE0C97"/>
    <w:rsid w:val="00FE11A5"/>
    <w:rsid w:val="00FE12B0"/>
    <w:rsid w:val="00FE217E"/>
    <w:rsid w:val="00FE3202"/>
    <w:rsid w:val="00FE3E70"/>
    <w:rsid w:val="00FE4326"/>
    <w:rsid w:val="00FE5365"/>
    <w:rsid w:val="00FE5AD7"/>
    <w:rsid w:val="00FE6374"/>
    <w:rsid w:val="00FF08F5"/>
    <w:rsid w:val="00FF0A08"/>
    <w:rsid w:val="00FF0C74"/>
    <w:rsid w:val="00FF2332"/>
    <w:rsid w:val="00FF2E92"/>
    <w:rsid w:val="00FF42DD"/>
    <w:rsid w:val="00FF442D"/>
    <w:rsid w:val="00FF46AD"/>
    <w:rsid w:val="00FF4A25"/>
    <w:rsid w:val="00FF4C37"/>
    <w:rsid w:val="00FF4F21"/>
    <w:rsid w:val="00FF526F"/>
    <w:rsid w:val="00FF5508"/>
    <w:rsid w:val="00FF5A62"/>
    <w:rsid w:val="00FF7757"/>
    <w:rsid w:val="00FF7978"/>
    <w:rsid w:val="00FF7D69"/>
    <w:rsid w:val="00FF7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5D4"/>
    <w:pPr>
      <w:spacing w:after="200" w:line="276" w:lineRule="auto"/>
    </w:pPr>
    <w:rPr>
      <w:rFonts w:ascii="Cambria" w:hAnsi="Cambria"/>
      <w:sz w:val="22"/>
      <w:szCs w:val="22"/>
    </w:rPr>
  </w:style>
  <w:style w:type="paragraph" w:styleId="Heading1">
    <w:name w:val="heading 1"/>
    <w:basedOn w:val="Normal"/>
    <w:next w:val="Normal"/>
    <w:link w:val="Heading1Char"/>
    <w:uiPriority w:val="9"/>
    <w:qFormat/>
    <w:rsid w:val="00A05842"/>
    <w:pPr>
      <w:keepNext/>
      <w:keepLines/>
      <w:spacing w:before="480" w:line="240" w:lineRule="auto"/>
      <w:outlineLvl w:val="0"/>
    </w:pPr>
    <w:rPr>
      <w:rFonts w:ascii="Calibri" w:eastAsia="Times New Roman" w:hAnsi="Calibri"/>
      <w:b/>
      <w:bCs/>
      <w:color w:val="365F91"/>
      <w:sz w:val="32"/>
      <w:szCs w:val="28"/>
    </w:rPr>
  </w:style>
  <w:style w:type="paragraph" w:styleId="Heading2">
    <w:name w:val="heading 2"/>
    <w:basedOn w:val="Normal"/>
    <w:next w:val="Normal"/>
    <w:link w:val="Heading2Char"/>
    <w:uiPriority w:val="9"/>
    <w:qFormat/>
    <w:rsid w:val="003852E4"/>
    <w:pPr>
      <w:keepNext/>
      <w:keepLines/>
      <w:spacing w:before="360" w:after="120" w:line="240" w:lineRule="auto"/>
      <w:outlineLvl w:val="1"/>
    </w:pPr>
    <w:rPr>
      <w:rFonts w:ascii="Calibri" w:eastAsia="Times New Roman" w:hAnsi="Calibri"/>
      <w:b/>
      <w:bCs/>
      <w:color w:val="4F81BD"/>
      <w:sz w:val="28"/>
      <w:szCs w:val="26"/>
    </w:rPr>
  </w:style>
  <w:style w:type="paragraph" w:styleId="Heading3">
    <w:name w:val="heading 3"/>
    <w:basedOn w:val="Normal"/>
    <w:next w:val="Normal"/>
    <w:link w:val="Heading3Char"/>
    <w:uiPriority w:val="9"/>
    <w:qFormat/>
    <w:rsid w:val="00F0318D"/>
    <w:pPr>
      <w:keepNext/>
      <w:keepLines/>
      <w:spacing w:before="200" w:after="0"/>
      <w:outlineLvl w:val="2"/>
    </w:pPr>
    <w:rPr>
      <w:rFonts w:eastAsia="Times New Roman"/>
      <w:b/>
      <w:bCs/>
      <w:color w:val="4F81BD"/>
      <w:sz w:val="20"/>
      <w:szCs w:val="20"/>
    </w:rPr>
  </w:style>
  <w:style w:type="paragraph" w:styleId="Heading4">
    <w:name w:val="heading 4"/>
    <w:basedOn w:val="Normal"/>
    <w:next w:val="Normal"/>
    <w:link w:val="Heading4Char"/>
    <w:uiPriority w:val="9"/>
    <w:qFormat/>
    <w:rsid w:val="00F0318D"/>
    <w:pPr>
      <w:keepNext/>
      <w:keepLines/>
      <w:spacing w:before="200" w:after="0"/>
      <w:outlineLvl w:val="3"/>
    </w:pPr>
    <w:rPr>
      <w:rFonts w:eastAsia="Times New Roman"/>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5842"/>
    <w:rPr>
      <w:rFonts w:eastAsia="Times New Roman"/>
      <w:b/>
      <w:bCs/>
      <w:color w:val="365F91"/>
      <w:sz w:val="32"/>
      <w:szCs w:val="28"/>
    </w:rPr>
  </w:style>
  <w:style w:type="character" w:customStyle="1" w:styleId="Heading2Char">
    <w:name w:val="Heading 2 Char"/>
    <w:link w:val="Heading2"/>
    <w:uiPriority w:val="9"/>
    <w:rsid w:val="003852E4"/>
    <w:rPr>
      <w:rFonts w:eastAsia="Times New Roman"/>
      <w:b/>
      <w:bCs/>
      <w:color w:val="4F81BD"/>
      <w:sz w:val="28"/>
      <w:szCs w:val="26"/>
    </w:rPr>
  </w:style>
  <w:style w:type="character" w:customStyle="1" w:styleId="Heading3Char">
    <w:name w:val="Heading 3 Char"/>
    <w:link w:val="Heading3"/>
    <w:uiPriority w:val="9"/>
    <w:rsid w:val="00F0318D"/>
    <w:rPr>
      <w:rFonts w:ascii="Cambria" w:eastAsia="Times New Roman" w:hAnsi="Cambria" w:cs="Times New Roman"/>
      <w:b/>
      <w:bCs/>
      <w:color w:val="4F81BD"/>
    </w:rPr>
  </w:style>
  <w:style w:type="character" w:customStyle="1" w:styleId="Heading4Char">
    <w:name w:val="Heading 4 Char"/>
    <w:link w:val="Heading4"/>
    <w:uiPriority w:val="9"/>
    <w:rsid w:val="00F0318D"/>
    <w:rPr>
      <w:rFonts w:ascii="Cambria" w:eastAsia="Times New Roman" w:hAnsi="Cambria" w:cs="Times New Roman"/>
      <w:b/>
      <w:bCs/>
      <w:i/>
      <w:iCs/>
      <w:color w:val="4F81BD"/>
    </w:rPr>
  </w:style>
  <w:style w:type="paragraph" w:styleId="TOC2">
    <w:name w:val="toc 2"/>
    <w:basedOn w:val="Normal"/>
    <w:next w:val="Normal"/>
    <w:autoRedefine/>
    <w:uiPriority w:val="39"/>
    <w:unhideWhenUsed/>
    <w:rsid w:val="00D853AA"/>
    <w:pPr>
      <w:tabs>
        <w:tab w:val="right" w:leader="dot" w:pos="9350"/>
      </w:tabs>
      <w:spacing w:before="40" w:after="0" w:line="240" w:lineRule="auto"/>
      <w:ind w:left="216"/>
    </w:pPr>
    <w:rPr>
      <w:rFonts w:asciiTheme="minorHAnsi" w:hAnsiTheme="minorHAnsi"/>
    </w:rPr>
  </w:style>
  <w:style w:type="paragraph" w:styleId="TOC1">
    <w:name w:val="toc 1"/>
    <w:basedOn w:val="Normal"/>
    <w:next w:val="Normal"/>
    <w:autoRedefine/>
    <w:uiPriority w:val="39"/>
    <w:unhideWhenUsed/>
    <w:rsid w:val="00D853AA"/>
    <w:pPr>
      <w:tabs>
        <w:tab w:val="right" w:leader="dot" w:pos="9350"/>
      </w:tabs>
      <w:spacing w:before="120" w:after="20" w:line="240" w:lineRule="auto"/>
    </w:pPr>
    <w:rPr>
      <w:rFonts w:asciiTheme="minorHAnsi" w:hAnsiTheme="minorHAnsi"/>
    </w:rPr>
  </w:style>
  <w:style w:type="character" w:styleId="Hyperlink">
    <w:name w:val="Hyperlink"/>
    <w:uiPriority w:val="99"/>
    <w:unhideWhenUsed/>
    <w:rsid w:val="002B0738"/>
    <w:rPr>
      <w:color w:val="0000FF"/>
      <w:u w:val="single"/>
    </w:rPr>
  </w:style>
  <w:style w:type="paragraph" w:styleId="Header">
    <w:name w:val="header"/>
    <w:basedOn w:val="Normal"/>
    <w:link w:val="HeaderChar"/>
    <w:uiPriority w:val="99"/>
    <w:unhideWhenUsed/>
    <w:rsid w:val="002B0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38"/>
  </w:style>
  <w:style w:type="paragraph" w:styleId="Footer">
    <w:name w:val="footer"/>
    <w:basedOn w:val="Normal"/>
    <w:link w:val="FooterChar"/>
    <w:uiPriority w:val="99"/>
    <w:unhideWhenUsed/>
    <w:rsid w:val="002B0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38"/>
  </w:style>
  <w:style w:type="character" w:styleId="PageNumber">
    <w:name w:val="page number"/>
    <w:basedOn w:val="DefaultParagraphFont"/>
    <w:rsid w:val="002B0738"/>
  </w:style>
  <w:style w:type="paragraph" w:customStyle="1" w:styleId="Collapsedblock">
    <w:name w:val="Collapsed block"/>
    <w:basedOn w:val="Normal"/>
    <w:link w:val="CollapsedblockChar"/>
    <w:qFormat/>
    <w:rsid w:val="003F48AC"/>
    <w:pPr>
      <w:keepNext/>
      <w:spacing w:after="0" w:line="240" w:lineRule="auto"/>
    </w:pPr>
    <w:rPr>
      <w:sz w:val="20"/>
    </w:rPr>
  </w:style>
  <w:style w:type="character" w:customStyle="1" w:styleId="CollapsedblockChar">
    <w:name w:val="Collapsed block Char"/>
    <w:link w:val="Collapsedblock"/>
    <w:rsid w:val="003F48AC"/>
    <w:rPr>
      <w:rFonts w:ascii="Cambria" w:hAnsi="Cambria"/>
      <w:szCs w:val="22"/>
    </w:rPr>
  </w:style>
  <w:style w:type="paragraph" w:customStyle="1" w:styleId="Toplist">
    <w:name w:val="Toplist"/>
    <w:basedOn w:val="Normal"/>
    <w:link w:val="ToplistChar"/>
    <w:qFormat/>
    <w:rsid w:val="0079291C"/>
    <w:pPr>
      <w:keepNext/>
      <w:spacing w:after="120"/>
    </w:pPr>
    <w:rPr>
      <w:szCs w:val="20"/>
    </w:rPr>
  </w:style>
  <w:style w:type="character" w:customStyle="1" w:styleId="ToplistChar">
    <w:name w:val="Toplist Char"/>
    <w:link w:val="Toplist"/>
    <w:rsid w:val="0079291C"/>
    <w:rPr>
      <w:rFonts w:ascii="Cambria" w:hAnsi="Cambria"/>
      <w:sz w:val="22"/>
    </w:rPr>
  </w:style>
  <w:style w:type="paragraph" w:customStyle="1" w:styleId="Subhead2">
    <w:name w:val="Subhead2"/>
    <w:basedOn w:val="Normal"/>
    <w:link w:val="Subhead2Char"/>
    <w:qFormat/>
    <w:rsid w:val="006543A4"/>
    <w:pPr>
      <w:keepNext/>
      <w:spacing w:before="240"/>
    </w:pPr>
    <w:rPr>
      <w:u w:val="single"/>
    </w:rPr>
  </w:style>
  <w:style w:type="character" w:customStyle="1" w:styleId="Subhead2Char">
    <w:name w:val="Subhead2 Char"/>
    <w:link w:val="Subhead2"/>
    <w:rsid w:val="006543A4"/>
    <w:rPr>
      <w:rFonts w:ascii="Cambria" w:hAnsi="Cambria"/>
      <w:sz w:val="22"/>
      <w:szCs w:val="22"/>
      <w:u w:val="single"/>
    </w:rPr>
  </w:style>
  <w:style w:type="paragraph" w:customStyle="1" w:styleId="ColorfulList-Accent11">
    <w:name w:val="Colorful List - Accent 11"/>
    <w:basedOn w:val="Normal"/>
    <w:link w:val="ColorfulList-Accent1Char"/>
    <w:uiPriority w:val="34"/>
    <w:qFormat/>
    <w:rsid w:val="0070540F"/>
    <w:pPr>
      <w:ind w:left="720"/>
      <w:contextualSpacing/>
    </w:pPr>
  </w:style>
  <w:style w:type="character" w:customStyle="1" w:styleId="ColorfulList-Accent1Char">
    <w:name w:val="Colorful List - Accent 1 Char"/>
    <w:basedOn w:val="DefaultParagraphFont"/>
    <w:link w:val="ColorfulList-Accent11"/>
    <w:uiPriority w:val="34"/>
    <w:rsid w:val="0070540F"/>
  </w:style>
  <w:style w:type="paragraph" w:customStyle="1" w:styleId="Bullet1">
    <w:name w:val="Bullet1"/>
    <w:basedOn w:val="ColorfulList-Accent11"/>
    <w:link w:val="Bullet1Char"/>
    <w:qFormat/>
    <w:rsid w:val="00E75FA2"/>
    <w:pPr>
      <w:numPr>
        <w:numId w:val="1"/>
      </w:numPr>
      <w:spacing w:after="120" w:line="264" w:lineRule="auto"/>
      <w:ind w:right="360"/>
      <w:contextualSpacing w:val="0"/>
    </w:pPr>
    <w:rPr>
      <w:szCs w:val="20"/>
    </w:rPr>
  </w:style>
  <w:style w:type="character" w:customStyle="1" w:styleId="Bullet1Char">
    <w:name w:val="Bullet1 Char"/>
    <w:link w:val="Bullet1"/>
    <w:rsid w:val="00E75FA2"/>
    <w:rPr>
      <w:rFonts w:ascii="Cambria" w:hAnsi="Cambria"/>
      <w:sz w:val="22"/>
    </w:rPr>
  </w:style>
  <w:style w:type="paragraph" w:customStyle="1" w:styleId="Bullet2">
    <w:name w:val="Bullet2"/>
    <w:basedOn w:val="Bullet1"/>
    <w:link w:val="Bullet2Char"/>
    <w:qFormat/>
    <w:rsid w:val="000B4BD8"/>
    <w:pPr>
      <w:numPr>
        <w:ilvl w:val="1"/>
        <w:numId w:val="2"/>
      </w:numPr>
      <w:spacing w:line="240" w:lineRule="auto"/>
      <w:ind w:left="1080"/>
      <w:contextualSpacing/>
    </w:pPr>
    <w:rPr>
      <w:szCs w:val="22"/>
    </w:rPr>
  </w:style>
  <w:style w:type="character" w:customStyle="1" w:styleId="Bullet2Char">
    <w:name w:val="Bullet2 Char"/>
    <w:link w:val="Bullet2"/>
    <w:rsid w:val="000B4BD8"/>
    <w:rPr>
      <w:rFonts w:ascii="Cambria" w:hAnsi="Cambria"/>
      <w:sz w:val="22"/>
      <w:szCs w:val="22"/>
    </w:rPr>
  </w:style>
  <w:style w:type="paragraph" w:customStyle="1" w:styleId="Bullet1tl">
    <w:name w:val="Bullet1_tl"/>
    <w:basedOn w:val="Bullet1"/>
    <w:link w:val="Bullet1tlChar"/>
    <w:qFormat/>
    <w:rsid w:val="00CB6253"/>
    <w:pPr>
      <w:keepNext/>
      <w:spacing w:after="60"/>
    </w:pPr>
  </w:style>
  <w:style w:type="character" w:customStyle="1" w:styleId="Bullet1tlChar">
    <w:name w:val="Bullet1_tl Char"/>
    <w:link w:val="Bullet1tl"/>
    <w:rsid w:val="00CB6253"/>
    <w:rPr>
      <w:rFonts w:ascii="Cambria" w:hAnsi="Cambria"/>
      <w:sz w:val="22"/>
    </w:rPr>
  </w:style>
  <w:style w:type="paragraph" w:customStyle="1" w:styleId="Numlist">
    <w:name w:val="Numlist"/>
    <w:basedOn w:val="Bullet1"/>
    <w:link w:val="NumlistChar"/>
    <w:qFormat/>
    <w:rsid w:val="00702C10"/>
    <w:pPr>
      <w:numPr>
        <w:numId w:val="28"/>
      </w:numPr>
    </w:pPr>
    <w:rPr>
      <w:szCs w:val="22"/>
    </w:rPr>
  </w:style>
  <w:style w:type="character" w:customStyle="1" w:styleId="NumlistChar">
    <w:name w:val="Numlist Char"/>
    <w:link w:val="Numlist"/>
    <w:rsid w:val="00702C10"/>
    <w:rPr>
      <w:rFonts w:ascii="Cambria" w:hAnsi="Cambria"/>
      <w:sz w:val="22"/>
      <w:szCs w:val="22"/>
    </w:rPr>
  </w:style>
  <w:style w:type="character" w:styleId="CommentReference">
    <w:name w:val="annotation reference"/>
    <w:uiPriority w:val="99"/>
    <w:semiHidden/>
    <w:unhideWhenUsed/>
    <w:rsid w:val="006325F5"/>
    <w:rPr>
      <w:sz w:val="16"/>
      <w:szCs w:val="16"/>
    </w:rPr>
  </w:style>
  <w:style w:type="paragraph" w:styleId="CommentText">
    <w:name w:val="annotation text"/>
    <w:basedOn w:val="Normal"/>
    <w:link w:val="CommentTextChar"/>
    <w:uiPriority w:val="99"/>
    <w:unhideWhenUsed/>
    <w:rsid w:val="006325F5"/>
    <w:pPr>
      <w:spacing w:line="240" w:lineRule="auto"/>
    </w:pPr>
    <w:rPr>
      <w:sz w:val="20"/>
      <w:szCs w:val="20"/>
    </w:rPr>
  </w:style>
  <w:style w:type="character" w:customStyle="1" w:styleId="CommentTextChar">
    <w:name w:val="Comment Text Char"/>
    <w:link w:val="CommentText"/>
    <w:uiPriority w:val="99"/>
    <w:rsid w:val="006325F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325F5"/>
    <w:rPr>
      <w:b/>
      <w:bCs/>
    </w:rPr>
  </w:style>
  <w:style w:type="character" w:customStyle="1" w:styleId="CommentSubjectChar">
    <w:name w:val="Comment Subject Char"/>
    <w:link w:val="CommentSubject"/>
    <w:uiPriority w:val="99"/>
    <w:semiHidden/>
    <w:rsid w:val="006325F5"/>
    <w:rPr>
      <w:rFonts w:ascii="Cambria" w:hAnsi="Cambria"/>
      <w:b/>
      <w:bCs/>
      <w:sz w:val="20"/>
      <w:szCs w:val="20"/>
    </w:rPr>
  </w:style>
  <w:style w:type="paragraph" w:styleId="BalloonText">
    <w:name w:val="Balloon Text"/>
    <w:basedOn w:val="Normal"/>
    <w:link w:val="BalloonTextChar"/>
    <w:uiPriority w:val="99"/>
    <w:semiHidden/>
    <w:unhideWhenUsed/>
    <w:rsid w:val="006325F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325F5"/>
    <w:rPr>
      <w:rFonts w:ascii="Tahoma" w:hAnsi="Tahoma" w:cs="Tahoma"/>
      <w:sz w:val="16"/>
      <w:szCs w:val="16"/>
    </w:rPr>
  </w:style>
  <w:style w:type="paragraph" w:styleId="FootnoteText">
    <w:name w:val="footnote text"/>
    <w:basedOn w:val="Normal"/>
    <w:link w:val="FootnoteTextChar"/>
    <w:uiPriority w:val="99"/>
    <w:unhideWhenUsed/>
    <w:rsid w:val="00A87192"/>
    <w:pPr>
      <w:spacing w:after="0" w:line="240" w:lineRule="auto"/>
    </w:pPr>
    <w:rPr>
      <w:sz w:val="20"/>
      <w:szCs w:val="20"/>
    </w:rPr>
  </w:style>
  <w:style w:type="character" w:customStyle="1" w:styleId="FootnoteTextChar">
    <w:name w:val="Footnote Text Char"/>
    <w:link w:val="FootnoteText"/>
    <w:uiPriority w:val="99"/>
    <w:rsid w:val="00A87192"/>
    <w:rPr>
      <w:rFonts w:ascii="Cambria" w:hAnsi="Cambria"/>
      <w:sz w:val="20"/>
      <w:szCs w:val="20"/>
    </w:rPr>
  </w:style>
  <w:style w:type="character" w:styleId="FootnoteReference">
    <w:name w:val="footnote reference"/>
    <w:uiPriority w:val="99"/>
    <w:unhideWhenUsed/>
    <w:rsid w:val="00A87192"/>
    <w:rPr>
      <w:vertAlign w:val="superscript"/>
    </w:rPr>
  </w:style>
  <w:style w:type="table" w:styleId="TableGrid">
    <w:name w:val="Table Grid"/>
    <w:basedOn w:val="TableNormal"/>
    <w:uiPriority w:val="59"/>
    <w:rsid w:val="00715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listtl">
    <w:name w:val="Numlist_tl"/>
    <w:basedOn w:val="Numlist"/>
    <w:link w:val="NumlisttlChar"/>
    <w:qFormat/>
    <w:rsid w:val="00DE7553"/>
    <w:pPr>
      <w:keepNext/>
      <w:spacing w:after="60"/>
    </w:pPr>
  </w:style>
  <w:style w:type="character" w:customStyle="1" w:styleId="NumlisttlChar">
    <w:name w:val="Numlist_tl Char"/>
    <w:link w:val="Numlisttl"/>
    <w:rsid w:val="00DE7553"/>
    <w:rPr>
      <w:rFonts w:ascii="Cambria" w:hAnsi="Cambria"/>
      <w:sz w:val="22"/>
      <w:szCs w:val="22"/>
    </w:rPr>
  </w:style>
  <w:style w:type="paragraph" w:customStyle="1" w:styleId="Bullet1last">
    <w:name w:val="Bullet1_last"/>
    <w:basedOn w:val="Bullet1"/>
    <w:link w:val="Bullet1lastChar"/>
    <w:qFormat/>
    <w:rsid w:val="00DE7553"/>
    <w:pPr>
      <w:spacing w:after="200"/>
    </w:pPr>
  </w:style>
  <w:style w:type="character" w:customStyle="1" w:styleId="Bullet1lastChar">
    <w:name w:val="Bullet1_last Char"/>
    <w:link w:val="Bullet1last"/>
    <w:rsid w:val="00DE7553"/>
    <w:rPr>
      <w:rFonts w:ascii="Cambria" w:hAnsi="Cambria"/>
      <w:sz w:val="22"/>
    </w:rPr>
  </w:style>
  <w:style w:type="paragraph" w:customStyle="1" w:styleId="NoSpacing1">
    <w:name w:val="No Spacing1"/>
    <w:uiPriority w:val="1"/>
    <w:qFormat/>
    <w:rsid w:val="003F48AC"/>
    <w:rPr>
      <w:rFonts w:ascii="Cambria" w:hAnsi="Cambria"/>
      <w:szCs w:val="22"/>
    </w:rPr>
  </w:style>
  <w:style w:type="character" w:styleId="FollowedHyperlink">
    <w:name w:val="FollowedHyperlink"/>
    <w:uiPriority w:val="99"/>
    <w:semiHidden/>
    <w:unhideWhenUsed/>
    <w:rsid w:val="00C04E70"/>
    <w:rPr>
      <w:color w:val="800080"/>
      <w:u w:val="single"/>
    </w:rPr>
  </w:style>
  <w:style w:type="paragraph" w:styleId="EndnoteText">
    <w:name w:val="endnote text"/>
    <w:basedOn w:val="Normal"/>
    <w:link w:val="EndnoteTextChar"/>
    <w:uiPriority w:val="99"/>
    <w:unhideWhenUsed/>
    <w:rsid w:val="00C42183"/>
    <w:pPr>
      <w:spacing w:after="60" w:line="240" w:lineRule="auto"/>
    </w:pPr>
    <w:rPr>
      <w:rFonts w:ascii="Calibri" w:hAnsi="Calibri"/>
      <w:sz w:val="20"/>
      <w:szCs w:val="20"/>
    </w:rPr>
  </w:style>
  <w:style w:type="character" w:customStyle="1" w:styleId="EndnoteTextChar">
    <w:name w:val="Endnote Text Char"/>
    <w:basedOn w:val="DefaultParagraphFont"/>
    <w:link w:val="EndnoteText"/>
    <w:uiPriority w:val="99"/>
    <w:rsid w:val="00C42183"/>
  </w:style>
  <w:style w:type="character" w:styleId="EndnoteReference">
    <w:name w:val="endnote reference"/>
    <w:uiPriority w:val="99"/>
    <w:semiHidden/>
    <w:unhideWhenUsed/>
    <w:rsid w:val="0077064D"/>
    <w:rPr>
      <w:vertAlign w:val="superscript"/>
    </w:rPr>
  </w:style>
  <w:style w:type="paragraph" w:styleId="NoSpacing">
    <w:name w:val="No Spacing"/>
    <w:qFormat/>
    <w:rsid w:val="00F03417"/>
    <w:rPr>
      <w:rFonts w:ascii="Cambria" w:hAnsi="Cambria"/>
      <w:sz w:val="22"/>
      <w:szCs w:val="22"/>
    </w:rPr>
  </w:style>
  <w:style w:type="paragraph" w:styleId="ListParagraph">
    <w:name w:val="List Paragraph"/>
    <w:basedOn w:val="Normal"/>
    <w:link w:val="ListParagraphChar"/>
    <w:uiPriority w:val="34"/>
    <w:qFormat/>
    <w:rsid w:val="00E47549"/>
    <w:pPr>
      <w:spacing w:after="0" w:line="240" w:lineRule="auto"/>
      <w:ind w:left="720"/>
    </w:pPr>
    <w:rPr>
      <w:rFonts w:ascii="Calibri" w:hAnsi="Calibri"/>
    </w:rPr>
  </w:style>
  <w:style w:type="paragraph" w:customStyle="1" w:styleId="Default">
    <w:name w:val="Default"/>
    <w:rsid w:val="00B27664"/>
    <w:pPr>
      <w:autoSpaceDE w:val="0"/>
      <w:autoSpaceDN w:val="0"/>
      <w:adjustRightInd w:val="0"/>
    </w:pPr>
    <w:rPr>
      <w:rFonts w:ascii="Helvetica Neue" w:hAnsi="Helvetica Neue" w:cs="Helvetica Neue"/>
      <w:color w:val="000000"/>
      <w:sz w:val="24"/>
      <w:szCs w:val="24"/>
    </w:rPr>
  </w:style>
  <w:style w:type="paragraph" w:customStyle="1" w:styleId="TableTitle">
    <w:name w:val="TableTitle"/>
    <w:basedOn w:val="Normal"/>
    <w:link w:val="TableTitleChar"/>
    <w:qFormat/>
    <w:rsid w:val="002C774E"/>
    <w:pPr>
      <w:keepNext/>
      <w:spacing w:after="120" w:line="240" w:lineRule="auto"/>
      <w:jc w:val="center"/>
    </w:pPr>
    <w:rPr>
      <w:b/>
    </w:rPr>
  </w:style>
  <w:style w:type="character" w:customStyle="1" w:styleId="TableTitleChar">
    <w:name w:val="TableTitle Char"/>
    <w:basedOn w:val="DefaultParagraphFont"/>
    <w:link w:val="TableTitle"/>
    <w:rsid w:val="002C774E"/>
    <w:rPr>
      <w:rFonts w:ascii="Cambria" w:hAnsi="Cambria"/>
      <w:b/>
      <w:sz w:val="22"/>
      <w:szCs w:val="22"/>
    </w:rPr>
  </w:style>
  <w:style w:type="paragraph" w:customStyle="1" w:styleId="numlist2">
    <w:name w:val="numlist2"/>
    <w:basedOn w:val="Bullet1"/>
    <w:link w:val="numlist2Char"/>
    <w:qFormat/>
    <w:rsid w:val="00087CC7"/>
    <w:rPr>
      <w:szCs w:val="22"/>
    </w:rPr>
  </w:style>
  <w:style w:type="character" w:customStyle="1" w:styleId="numlist2Char">
    <w:name w:val="numlist2 Char"/>
    <w:link w:val="numlist2"/>
    <w:rsid w:val="00087CC7"/>
    <w:rPr>
      <w:rFonts w:ascii="Cambria" w:hAnsi="Cambria"/>
      <w:sz w:val="22"/>
      <w:szCs w:val="22"/>
    </w:rPr>
  </w:style>
  <w:style w:type="paragraph" w:customStyle="1" w:styleId="NumlistHi">
    <w:name w:val="NumlistHi"/>
    <w:basedOn w:val="Normal"/>
    <w:link w:val="NumlistHiChar"/>
    <w:qFormat/>
    <w:rsid w:val="002350D9"/>
    <w:pPr>
      <w:numPr>
        <w:numId w:val="4"/>
      </w:numPr>
    </w:pPr>
  </w:style>
  <w:style w:type="character" w:customStyle="1" w:styleId="NumlistHiChar">
    <w:name w:val="NumlistHi Char"/>
    <w:link w:val="NumlistHi"/>
    <w:rsid w:val="002350D9"/>
    <w:rPr>
      <w:rFonts w:ascii="Cambria" w:hAnsi="Cambria"/>
      <w:sz w:val="22"/>
      <w:szCs w:val="22"/>
    </w:rPr>
  </w:style>
  <w:style w:type="paragraph" w:customStyle="1" w:styleId="Subhead3">
    <w:name w:val="Subhead3"/>
    <w:basedOn w:val="Subhead2"/>
    <w:link w:val="Subhead3Char"/>
    <w:qFormat/>
    <w:rsid w:val="002350D9"/>
    <w:pPr>
      <w:spacing w:before="200" w:after="120" w:line="240" w:lineRule="auto"/>
    </w:pPr>
    <w:rPr>
      <w:i/>
      <w:u w:val="none"/>
    </w:rPr>
  </w:style>
  <w:style w:type="character" w:customStyle="1" w:styleId="Subhead3Char">
    <w:name w:val="Subhead3 Char"/>
    <w:basedOn w:val="Subhead2Char"/>
    <w:link w:val="Subhead3"/>
    <w:rsid w:val="002350D9"/>
    <w:rPr>
      <w:rFonts w:ascii="Cambria" w:hAnsi="Cambria"/>
      <w:i/>
      <w:sz w:val="22"/>
      <w:szCs w:val="22"/>
      <w:u w:val="single"/>
    </w:rPr>
  </w:style>
  <w:style w:type="paragraph" w:styleId="Revision">
    <w:name w:val="Revision"/>
    <w:hidden/>
    <w:uiPriority w:val="99"/>
    <w:semiHidden/>
    <w:rsid w:val="00830A4F"/>
    <w:rPr>
      <w:rFonts w:ascii="Cambria" w:hAnsi="Cambria"/>
      <w:sz w:val="22"/>
      <w:szCs w:val="22"/>
    </w:rPr>
  </w:style>
  <w:style w:type="paragraph" w:customStyle="1" w:styleId="Quoteblock">
    <w:name w:val="Quoteblock"/>
    <w:basedOn w:val="Normal"/>
    <w:link w:val="QuoteblockChar"/>
    <w:qFormat/>
    <w:rsid w:val="002648B4"/>
    <w:pPr>
      <w:spacing w:line="240" w:lineRule="auto"/>
      <w:ind w:left="360"/>
    </w:pPr>
    <w:rPr>
      <w:rFonts w:ascii="Calibri" w:hAnsi="Calibri"/>
      <w:sz w:val="20"/>
    </w:rPr>
  </w:style>
  <w:style w:type="character" w:customStyle="1" w:styleId="QuoteblockChar">
    <w:name w:val="Quoteblock Char"/>
    <w:link w:val="Quoteblock"/>
    <w:rsid w:val="002648B4"/>
    <w:rPr>
      <w:szCs w:val="22"/>
    </w:rPr>
  </w:style>
  <w:style w:type="paragraph" w:customStyle="1" w:styleId="Letterlist1">
    <w:name w:val="Letterlist1"/>
    <w:basedOn w:val="ListParagraph"/>
    <w:link w:val="Letterlist1Char"/>
    <w:qFormat/>
    <w:rsid w:val="005264AE"/>
    <w:pPr>
      <w:numPr>
        <w:numId w:val="23"/>
      </w:numPr>
      <w:spacing w:after="120" w:line="264" w:lineRule="auto"/>
      <w:ind w:right="360"/>
    </w:pPr>
    <w:rPr>
      <w:rFonts w:asciiTheme="majorHAnsi" w:hAnsiTheme="majorHAnsi"/>
    </w:rPr>
  </w:style>
  <w:style w:type="character" w:customStyle="1" w:styleId="ListParagraphChar">
    <w:name w:val="List Paragraph Char"/>
    <w:basedOn w:val="DefaultParagraphFont"/>
    <w:link w:val="ListParagraph"/>
    <w:uiPriority w:val="34"/>
    <w:rsid w:val="005264AE"/>
    <w:rPr>
      <w:sz w:val="22"/>
      <w:szCs w:val="22"/>
    </w:rPr>
  </w:style>
  <w:style w:type="character" w:customStyle="1" w:styleId="Letterlist1Char">
    <w:name w:val="Letterlist1 Char"/>
    <w:basedOn w:val="ListParagraphChar"/>
    <w:link w:val="Letterlist1"/>
    <w:rsid w:val="005264AE"/>
    <w:rPr>
      <w:rFonts w:asciiTheme="majorHAnsi" w:hAnsiTheme="maj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5D4"/>
    <w:pPr>
      <w:spacing w:after="200" w:line="276" w:lineRule="auto"/>
    </w:pPr>
    <w:rPr>
      <w:rFonts w:ascii="Cambria" w:hAnsi="Cambria"/>
      <w:sz w:val="22"/>
      <w:szCs w:val="22"/>
    </w:rPr>
  </w:style>
  <w:style w:type="paragraph" w:styleId="Heading1">
    <w:name w:val="heading 1"/>
    <w:basedOn w:val="Normal"/>
    <w:next w:val="Normal"/>
    <w:link w:val="Heading1Char"/>
    <w:uiPriority w:val="9"/>
    <w:qFormat/>
    <w:rsid w:val="00A05842"/>
    <w:pPr>
      <w:keepNext/>
      <w:keepLines/>
      <w:spacing w:before="480" w:line="240" w:lineRule="auto"/>
      <w:outlineLvl w:val="0"/>
    </w:pPr>
    <w:rPr>
      <w:rFonts w:ascii="Calibri" w:eastAsia="Times New Roman" w:hAnsi="Calibri"/>
      <w:b/>
      <w:bCs/>
      <w:color w:val="365F91"/>
      <w:sz w:val="32"/>
      <w:szCs w:val="28"/>
    </w:rPr>
  </w:style>
  <w:style w:type="paragraph" w:styleId="Heading2">
    <w:name w:val="heading 2"/>
    <w:basedOn w:val="Normal"/>
    <w:next w:val="Normal"/>
    <w:link w:val="Heading2Char"/>
    <w:uiPriority w:val="9"/>
    <w:qFormat/>
    <w:rsid w:val="003852E4"/>
    <w:pPr>
      <w:keepNext/>
      <w:keepLines/>
      <w:spacing w:before="360" w:after="120" w:line="240" w:lineRule="auto"/>
      <w:outlineLvl w:val="1"/>
    </w:pPr>
    <w:rPr>
      <w:rFonts w:ascii="Calibri" w:eastAsia="Times New Roman" w:hAnsi="Calibri"/>
      <w:b/>
      <w:bCs/>
      <w:color w:val="4F81BD"/>
      <w:sz w:val="28"/>
      <w:szCs w:val="26"/>
    </w:rPr>
  </w:style>
  <w:style w:type="paragraph" w:styleId="Heading3">
    <w:name w:val="heading 3"/>
    <w:basedOn w:val="Normal"/>
    <w:next w:val="Normal"/>
    <w:link w:val="Heading3Char"/>
    <w:uiPriority w:val="9"/>
    <w:qFormat/>
    <w:rsid w:val="00F0318D"/>
    <w:pPr>
      <w:keepNext/>
      <w:keepLines/>
      <w:spacing w:before="200" w:after="0"/>
      <w:outlineLvl w:val="2"/>
    </w:pPr>
    <w:rPr>
      <w:rFonts w:eastAsia="Times New Roman"/>
      <w:b/>
      <w:bCs/>
      <w:color w:val="4F81BD"/>
      <w:sz w:val="20"/>
      <w:szCs w:val="20"/>
    </w:rPr>
  </w:style>
  <w:style w:type="paragraph" w:styleId="Heading4">
    <w:name w:val="heading 4"/>
    <w:basedOn w:val="Normal"/>
    <w:next w:val="Normal"/>
    <w:link w:val="Heading4Char"/>
    <w:uiPriority w:val="9"/>
    <w:qFormat/>
    <w:rsid w:val="00F0318D"/>
    <w:pPr>
      <w:keepNext/>
      <w:keepLines/>
      <w:spacing w:before="200" w:after="0"/>
      <w:outlineLvl w:val="3"/>
    </w:pPr>
    <w:rPr>
      <w:rFonts w:eastAsia="Times New Roman"/>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5842"/>
    <w:rPr>
      <w:rFonts w:eastAsia="Times New Roman"/>
      <w:b/>
      <w:bCs/>
      <w:color w:val="365F91"/>
      <w:sz w:val="32"/>
      <w:szCs w:val="28"/>
    </w:rPr>
  </w:style>
  <w:style w:type="character" w:customStyle="1" w:styleId="Heading2Char">
    <w:name w:val="Heading 2 Char"/>
    <w:link w:val="Heading2"/>
    <w:uiPriority w:val="9"/>
    <w:rsid w:val="003852E4"/>
    <w:rPr>
      <w:rFonts w:eastAsia="Times New Roman"/>
      <w:b/>
      <w:bCs/>
      <w:color w:val="4F81BD"/>
      <w:sz w:val="28"/>
      <w:szCs w:val="26"/>
    </w:rPr>
  </w:style>
  <w:style w:type="character" w:customStyle="1" w:styleId="Heading3Char">
    <w:name w:val="Heading 3 Char"/>
    <w:link w:val="Heading3"/>
    <w:uiPriority w:val="9"/>
    <w:rsid w:val="00F0318D"/>
    <w:rPr>
      <w:rFonts w:ascii="Cambria" w:eastAsia="Times New Roman" w:hAnsi="Cambria" w:cs="Times New Roman"/>
      <w:b/>
      <w:bCs/>
      <w:color w:val="4F81BD"/>
    </w:rPr>
  </w:style>
  <w:style w:type="character" w:customStyle="1" w:styleId="Heading4Char">
    <w:name w:val="Heading 4 Char"/>
    <w:link w:val="Heading4"/>
    <w:uiPriority w:val="9"/>
    <w:rsid w:val="00F0318D"/>
    <w:rPr>
      <w:rFonts w:ascii="Cambria" w:eastAsia="Times New Roman" w:hAnsi="Cambria" w:cs="Times New Roman"/>
      <w:b/>
      <w:bCs/>
      <w:i/>
      <w:iCs/>
      <w:color w:val="4F81BD"/>
    </w:rPr>
  </w:style>
  <w:style w:type="paragraph" w:styleId="TOC2">
    <w:name w:val="toc 2"/>
    <w:basedOn w:val="Normal"/>
    <w:next w:val="Normal"/>
    <w:autoRedefine/>
    <w:uiPriority w:val="39"/>
    <w:unhideWhenUsed/>
    <w:rsid w:val="00D853AA"/>
    <w:pPr>
      <w:tabs>
        <w:tab w:val="right" w:leader="dot" w:pos="9350"/>
      </w:tabs>
      <w:spacing w:before="40" w:after="0" w:line="240" w:lineRule="auto"/>
      <w:ind w:left="216"/>
    </w:pPr>
    <w:rPr>
      <w:rFonts w:asciiTheme="minorHAnsi" w:hAnsiTheme="minorHAnsi"/>
    </w:rPr>
  </w:style>
  <w:style w:type="paragraph" w:styleId="TOC1">
    <w:name w:val="toc 1"/>
    <w:basedOn w:val="Normal"/>
    <w:next w:val="Normal"/>
    <w:autoRedefine/>
    <w:uiPriority w:val="39"/>
    <w:unhideWhenUsed/>
    <w:rsid w:val="00D853AA"/>
    <w:pPr>
      <w:tabs>
        <w:tab w:val="right" w:leader="dot" w:pos="9350"/>
      </w:tabs>
      <w:spacing w:before="120" w:after="20" w:line="240" w:lineRule="auto"/>
    </w:pPr>
    <w:rPr>
      <w:rFonts w:asciiTheme="minorHAnsi" w:hAnsiTheme="minorHAnsi"/>
    </w:rPr>
  </w:style>
  <w:style w:type="character" w:styleId="Hyperlink">
    <w:name w:val="Hyperlink"/>
    <w:uiPriority w:val="99"/>
    <w:unhideWhenUsed/>
    <w:rsid w:val="002B0738"/>
    <w:rPr>
      <w:color w:val="0000FF"/>
      <w:u w:val="single"/>
    </w:rPr>
  </w:style>
  <w:style w:type="paragraph" w:styleId="Header">
    <w:name w:val="header"/>
    <w:basedOn w:val="Normal"/>
    <w:link w:val="HeaderChar"/>
    <w:uiPriority w:val="99"/>
    <w:unhideWhenUsed/>
    <w:rsid w:val="002B0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38"/>
  </w:style>
  <w:style w:type="paragraph" w:styleId="Footer">
    <w:name w:val="footer"/>
    <w:basedOn w:val="Normal"/>
    <w:link w:val="FooterChar"/>
    <w:uiPriority w:val="99"/>
    <w:unhideWhenUsed/>
    <w:rsid w:val="002B0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38"/>
  </w:style>
  <w:style w:type="character" w:styleId="PageNumber">
    <w:name w:val="page number"/>
    <w:basedOn w:val="DefaultParagraphFont"/>
    <w:rsid w:val="002B0738"/>
  </w:style>
  <w:style w:type="paragraph" w:customStyle="1" w:styleId="Collapsedblock">
    <w:name w:val="Collapsed block"/>
    <w:basedOn w:val="Normal"/>
    <w:link w:val="CollapsedblockChar"/>
    <w:qFormat/>
    <w:rsid w:val="003F48AC"/>
    <w:pPr>
      <w:keepNext/>
      <w:spacing w:after="0" w:line="240" w:lineRule="auto"/>
    </w:pPr>
    <w:rPr>
      <w:sz w:val="20"/>
    </w:rPr>
  </w:style>
  <w:style w:type="character" w:customStyle="1" w:styleId="CollapsedblockChar">
    <w:name w:val="Collapsed block Char"/>
    <w:link w:val="Collapsedblock"/>
    <w:rsid w:val="003F48AC"/>
    <w:rPr>
      <w:rFonts w:ascii="Cambria" w:hAnsi="Cambria"/>
      <w:szCs w:val="22"/>
    </w:rPr>
  </w:style>
  <w:style w:type="paragraph" w:customStyle="1" w:styleId="Toplist">
    <w:name w:val="Toplist"/>
    <w:basedOn w:val="Normal"/>
    <w:link w:val="ToplistChar"/>
    <w:qFormat/>
    <w:rsid w:val="0079291C"/>
    <w:pPr>
      <w:keepNext/>
      <w:spacing w:after="120"/>
    </w:pPr>
    <w:rPr>
      <w:szCs w:val="20"/>
    </w:rPr>
  </w:style>
  <w:style w:type="character" w:customStyle="1" w:styleId="ToplistChar">
    <w:name w:val="Toplist Char"/>
    <w:link w:val="Toplist"/>
    <w:rsid w:val="0079291C"/>
    <w:rPr>
      <w:rFonts w:ascii="Cambria" w:hAnsi="Cambria"/>
      <w:sz w:val="22"/>
    </w:rPr>
  </w:style>
  <w:style w:type="paragraph" w:customStyle="1" w:styleId="Subhead2">
    <w:name w:val="Subhead2"/>
    <w:basedOn w:val="Normal"/>
    <w:link w:val="Subhead2Char"/>
    <w:qFormat/>
    <w:rsid w:val="006543A4"/>
    <w:pPr>
      <w:keepNext/>
      <w:spacing w:before="240"/>
    </w:pPr>
    <w:rPr>
      <w:u w:val="single"/>
    </w:rPr>
  </w:style>
  <w:style w:type="character" w:customStyle="1" w:styleId="Subhead2Char">
    <w:name w:val="Subhead2 Char"/>
    <w:link w:val="Subhead2"/>
    <w:rsid w:val="006543A4"/>
    <w:rPr>
      <w:rFonts w:ascii="Cambria" w:hAnsi="Cambria"/>
      <w:sz w:val="22"/>
      <w:szCs w:val="22"/>
      <w:u w:val="single"/>
    </w:rPr>
  </w:style>
  <w:style w:type="paragraph" w:customStyle="1" w:styleId="ColorfulList-Accent11">
    <w:name w:val="Colorful List - Accent 11"/>
    <w:basedOn w:val="Normal"/>
    <w:link w:val="ColorfulList-Accent1Char"/>
    <w:uiPriority w:val="34"/>
    <w:qFormat/>
    <w:rsid w:val="0070540F"/>
    <w:pPr>
      <w:ind w:left="720"/>
      <w:contextualSpacing/>
    </w:pPr>
  </w:style>
  <w:style w:type="character" w:customStyle="1" w:styleId="ColorfulList-Accent1Char">
    <w:name w:val="Colorful List - Accent 1 Char"/>
    <w:basedOn w:val="DefaultParagraphFont"/>
    <w:link w:val="ColorfulList-Accent11"/>
    <w:uiPriority w:val="34"/>
    <w:rsid w:val="0070540F"/>
  </w:style>
  <w:style w:type="paragraph" w:customStyle="1" w:styleId="Bullet1">
    <w:name w:val="Bullet1"/>
    <w:basedOn w:val="ColorfulList-Accent11"/>
    <w:link w:val="Bullet1Char"/>
    <w:qFormat/>
    <w:rsid w:val="00E75FA2"/>
    <w:pPr>
      <w:numPr>
        <w:numId w:val="1"/>
      </w:numPr>
      <w:spacing w:after="120" w:line="264" w:lineRule="auto"/>
      <w:ind w:right="360"/>
      <w:contextualSpacing w:val="0"/>
    </w:pPr>
    <w:rPr>
      <w:szCs w:val="20"/>
    </w:rPr>
  </w:style>
  <w:style w:type="character" w:customStyle="1" w:styleId="Bullet1Char">
    <w:name w:val="Bullet1 Char"/>
    <w:link w:val="Bullet1"/>
    <w:rsid w:val="00E75FA2"/>
    <w:rPr>
      <w:rFonts w:ascii="Cambria" w:hAnsi="Cambria"/>
      <w:sz w:val="22"/>
    </w:rPr>
  </w:style>
  <w:style w:type="paragraph" w:customStyle="1" w:styleId="Bullet2">
    <w:name w:val="Bullet2"/>
    <w:basedOn w:val="Bullet1"/>
    <w:link w:val="Bullet2Char"/>
    <w:qFormat/>
    <w:rsid w:val="000B4BD8"/>
    <w:pPr>
      <w:numPr>
        <w:ilvl w:val="1"/>
        <w:numId w:val="2"/>
      </w:numPr>
      <w:spacing w:line="240" w:lineRule="auto"/>
      <w:ind w:left="1080"/>
      <w:contextualSpacing/>
    </w:pPr>
    <w:rPr>
      <w:szCs w:val="22"/>
    </w:rPr>
  </w:style>
  <w:style w:type="character" w:customStyle="1" w:styleId="Bullet2Char">
    <w:name w:val="Bullet2 Char"/>
    <w:link w:val="Bullet2"/>
    <w:rsid w:val="000B4BD8"/>
    <w:rPr>
      <w:rFonts w:ascii="Cambria" w:hAnsi="Cambria"/>
      <w:sz w:val="22"/>
      <w:szCs w:val="22"/>
    </w:rPr>
  </w:style>
  <w:style w:type="paragraph" w:customStyle="1" w:styleId="Bullet1tl">
    <w:name w:val="Bullet1_tl"/>
    <w:basedOn w:val="Bullet1"/>
    <w:link w:val="Bullet1tlChar"/>
    <w:qFormat/>
    <w:rsid w:val="00CB6253"/>
    <w:pPr>
      <w:keepNext/>
      <w:spacing w:after="60"/>
    </w:pPr>
  </w:style>
  <w:style w:type="character" w:customStyle="1" w:styleId="Bullet1tlChar">
    <w:name w:val="Bullet1_tl Char"/>
    <w:link w:val="Bullet1tl"/>
    <w:rsid w:val="00CB6253"/>
    <w:rPr>
      <w:rFonts w:ascii="Cambria" w:hAnsi="Cambria"/>
      <w:sz w:val="22"/>
    </w:rPr>
  </w:style>
  <w:style w:type="paragraph" w:customStyle="1" w:styleId="Numlist">
    <w:name w:val="Numlist"/>
    <w:basedOn w:val="Bullet1"/>
    <w:link w:val="NumlistChar"/>
    <w:qFormat/>
    <w:rsid w:val="00702C10"/>
    <w:pPr>
      <w:numPr>
        <w:numId w:val="28"/>
      </w:numPr>
    </w:pPr>
    <w:rPr>
      <w:szCs w:val="22"/>
    </w:rPr>
  </w:style>
  <w:style w:type="character" w:customStyle="1" w:styleId="NumlistChar">
    <w:name w:val="Numlist Char"/>
    <w:link w:val="Numlist"/>
    <w:rsid w:val="00702C10"/>
    <w:rPr>
      <w:rFonts w:ascii="Cambria" w:hAnsi="Cambria"/>
      <w:sz w:val="22"/>
      <w:szCs w:val="22"/>
    </w:rPr>
  </w:style>
  <w:style w:type="character" w:styleId="CommentReference">
    <w:name w:val="annotation reference"/>
    <w:uiPriority w:val="99"/>
    <w:semiHidden/>
    <w:unhideWhenUsed/>
    <w:rsid w:val="006325F5"/>
    <w:rPr>
      <w:sz w:val="16"/>
      <w:szCs w:val="16"/>
    </w:rPr>
  </w:style>
  <w:style w:type="paragraph" w:styleId="CommentText">
    <w:name w:val="annotation text"/>
    <w:basedOn w:val="Normal"/>
    <w:link w:val="CommentTextChar"/>
    <w:uiPriority w:val="99"/>
    <w:unhideWhenUsed/>
    <w:rsid w:val="006325F5"/>
    <w:pPr>
      <w:spacing w:line="240" w:lineRule="auto"/>
    </w:pPr>
    <w:rPr>
      <w:sz w:val="20"/>
      <w:szCs w:val="20"/>
    </w:rPr>
  </w:style>
  <w:style w:type="character" w:customStyle="1" w:styleId="CommentTextChar">
    <w:name w:val="Comment Text Char"/>
    <w:link w:val="CommentText"/>
    <w:uiPriority w:val="99"/>
    <w:rsid w:val="006325F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325F5"/>
    <w:rPr>
      <w:b/>
      <w:bCs/>
    </w:rPr>
  </w:style>
  <w:style w:type="character" w:customStyle="1" w:styleId="CommentSubjectChar">
    <w:name w:val="Comment Subject Char"/>
    <w:link w:val="CommentSubject"/>
    <w:uiPriority w:val="99"/>
    <w:semiHidden/>
    <w:rsid w:val="006325F5"/>
    <w:rPr>
      <w:rFonts w:ascii="Cambria" w:hAnsi="Cambria"/>
      <w:b/>
      <w:bCs/>
      <w:sz w:val="20"/>
      <w:szCs w:val="20"/>
    </w:rPr>
  </w:style>
  <w:style w:type="paragraph" w:styleId="BalloonText">
    <w:name w:val="Balloon Text"/>
    <w:basedOn w:val="Normal"/>
    <w:link w:val="BalloonTextChar"/>
    <w:uiPriority w:val="99"/>
    <w:semiHidden/>
    <w:unhideWhenUsed/>
    <w:rsid w:val="006325F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325F5"/>
    <w:rPr>
      <w:rFonts w:ascii="Tahoma" w:hAnsi="Tahoma" w:cs="Tahoma"/>
      <w:sz w:val="16"/>
      <w:szCs w:val="16"/>
    </w:rPr>
  </w:style>
  <w:style w:type="paragraph" w:styleId="FootnoteText">
    <w:name w:val="footnote text"/>
    <w:basedOn w:val="Normal"/>
    <w:link w:val="FootnoteTextChar"/>
    <w:uiPriority w:val="99"/>
    <w:unhideWhenUsed/>
    <w:rsid w:val="00A87192"/>
    <w:pPr>
      <w:spacing w:after="0" w:line="240" w:lineRule="auto"/>
    </w:pPr>
    <w:rPr>
      <w:sz w:val="20"/>
      <w:szCs w:val="20"/>
    </w:rPr>
  </w:style>
  <w:style w:type="character" w:customStyle="1" w:styleId="FootnoteTextChar">
    <w:name w:val="Footnote Text Char"/>
    <w:link w:val="FootnoteText"/>
    <w:uiPriority w:val="99"/>
    <w:rsid w:val="00A87192"/>
    <w:rPr>
      <w:rFonts w:ascii="Cambria" w:hAnsi="Cambria"/>
      <w:sz w:val="20"/>
      <w:szCs w:val="20"/>
    </w:rPr>
  </w:style>
  <w:style w:type="character" w:styleId="FootnoteReference">
    <w:name w:val="footnote reference"/>
    <w:uiPriority w:val="99"/>
    <w:unhideWhenUsed/>
    <w:rsid w:val="00A87192"/>
    <w:rPr>
      <w:vertAlign w:val="superscript"/>
    </w:rPr>
  </w:style>
  <w:style w:type="table" w:styleId="TableGrid">
    <w:name w:val="Table Grid"/>
    <w:basedOn w:val="TableNormal"/>
    <w:uiPriority w:val="59"/>
    <w:rsid w:val="00715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tl">
    <w:name w:val="Numlist_tl"/>
    <w:basedOn w:val="Numlist"/>
    <w:link w:val="NumlisttlChar"/>
    <w:qFormat/>
    <w:rsid w:val="00DE7553"/>
    <w:pPr>
      <w:keepNext/>
      <w:spacing w:after="60"/>
    </w:pPr>
  </w:style>
  <w:style w:type="character" w:customStyle="1" w:styleId="NumlisttlChar">
    <w:name w:val="Numlist_tl Char"/>
    <w:link w:val="Numlisttl"/>
    <w:rsid w:val="00DE7553"/>
    <w:rPr>
      <w:rFonts w:ascii="Cambria" w:hAnsi="Cambria"/>
      <w:sz w:val="22"/>
      <w:szCs w:val="22"/>
    </w:rPr>
  </w:style>
  <w:style w:type="paragraph" w:customStyle="1" w:styleId="Bullet1last">
    <w:name w:val="Bullet1_last"/>
    <w:basedOn w:val="Bullet1"/>
    <w:link w:val="Bullet1lastChar"/>
    <w:qFormat/>
    <w:rsid w:val="00DE7553"/>
    <w:pPr>
      <w:spacing w:after="200"/>
    </w:pPr>
  </w:style>
  <w:style w:type="character" w:customStyle="1" w:styleId="Bullet1lastChar">
    <w:name w:val="Bullet1_last Char"/>
    <w:link w:val="Bullet1last"/>
    <w:rsid w:val="00DE7553"/>
    <w:rPr>
      <w:rFonts w:ascii="Cambria" w:hAnsi="Cambria"/>
      <w:sz w:val="22"/>
    </w:rPr>
  </w:style>
  <w:style w:type="paragraph" w:customStyle="1" w:styleId="NoSpacing1">
    <w:name w:val="No Spacing1"/>
    <w:uiPriority w:val="1"/>
    <w:qFormat/>
    <w:rsid w:val="003F48AC"/>
    <w:rPr>
      <w:rFonts w:ascii="Cambria" w:hAnsi="Cambria"/>
      <w:szCs w:val="22"/>
    </w:rPr>
  </w:style>
  <w:style w:type="character" w:styleId="FollowedHyperlink">
    <w:name w:val="FollowedHyperlink"/>
    <w:uiPriority w:val="99"/>
    <w:semiHidden/>
    <w:unhideWhenUsed/>
    <w:rsid w:val="00C04E70"/>
    <w:rPr>
      <w:color w:val="800080"/>
      <w:u w:val="single"/>
    </w:rPr>
  </w:style>
  <w:style w:type="paragraph" w:styleId="EndnoteText">
    <w:name w:val="endnote text"/>
    <w:basedOn w:val="Normal"/>
    <w:link w:val="EndnoteTextChar"/>
    <w:uiPriority w:val="99"/>
    <w:unhideWhenUsed/>
    <w:rsid w:val="00C42183"/>
    <w:pPr>
      <w:spacing w:after="60" w:line="240" w:lineRule="auto"/>
    </w:pPr>
    <w:rPr>
      <w:rFonts w:ascii="Calibri" w:hAnsi="Calibri"/>
      <w:sz w:val="20"/>
      <w:szCs w:val="20"/>
    </w:rPr>
  </w:style>
  <w:style w:type="character" w:customStyle="1" w:styleId="EndnoteTextChar">
    <w:name w:val="Endnote Text Char"/>
    <w:basedOn w:val="DefaultParagraphFont"/>
    <w:link w:val="EndnoteText"/>
    <w:uiPriority w:val="99"/>
    <w:rsid w:val="00C42183"/>
  </w:style>
  <w:style w:type="character" w:styleId="EndnoteReference">
    <w:name w:val="endnote reference"/>
    <w:uiPriority w:val="99"/>
    <w:semiHidden/>
    <w:unhideWhenUsed/>
    <w:rsid w:val="0077064D"/>
    <w:rPr>
      <w:vertAlign w:val="superscript"/>
    </w:rPr>
  </w:style>
  <w:style w:type="paragraph" w:styleId="NoSpacing">
    <w:name w:val="No Spacing"/>
    <w:qFormat/>
    <w:rsid w:val="00F03417"/>
    <w:rPr>
      <w:rFonts w:ascii="Cambria" w:hAnsi="Cambria"/>
      <w:sz w:val="22"/>
      <w:szCs w:val="22"/>
    </w:rPr>
  </w:style>
  <w:style w:type="paragraph" w:styleId="ListParagraph">
    <w:name w:val="List Paragraph"/>
    <w:basedOn w:val="Normal"/>
    <w:link w:val="ListParagraphChar"/>
    <w:uiPriority w:val="34"/>
    <w:qFormat/>
    <w:rsid w:val="00E47549"/>
    <w:pPr>
      <w:spacing w:after="0" w:line="240" w:lineRule="auto"/>
      <w:ind w:left="720"/>
    </w:pPr>
    <w:rPr>
      <w:rFonts w:ascii="Calibri" w:hAnsi="Calibri"/>
    </w:rPr>
  </w:style>
  <w:style w:type="paragraph" w:customStyle="1" w:styleId="Default">
    <w:name w:val="Default"/>
    <w:rsid w:val="00B27664"/>
    <w:pPr>
      <w:autoSpaceDE w:val="0"/>
      <w:autoSpaceDN w:val="0"/>
      <w:adjustRightInd w:val="0"/>
    </w:pPr>
    <w:rPr>
      <w:rFonts w:ascii="Helvetica Neue" w:hAnsi="Helvetica Neue" w:cs="Helvetica Neue"/>
      <w:color w:val="000000"/>
      <w:sz w:val="24"/>
      <w:szCs w:val="24"/>
    </w:rPr>
  </w:style>
  <w:style w:type="paragraph" w:customStyle="1" w:styleId="TableTitle">
    <w:name w:val="TableTitle"/>
    <w:basedOn w:val="Normal"/>
    <w:link w:val="TableTitleChar"/>
    <w:qFormat/>
    <w:rsid w:val="002C774E"/>
    <w:pPr>
      <w:keepNext/>
      <w:spacing w:after="120" w:line="240" w:lineRule="auto"/>
      <w:jc w:val="center"/>
    </w:pPr>
    <w:rPr>
      <w:b/>
    </w:rPr>
  </w:style>
  <w:style w:type="character" w:customStyle="1" w:styleId="TableTitleChar">
    <w:name w:val="TableTitle Char"/>
    <w:basedOn w:val="DefaultParagraphFont"/>
    <w:link w:val="TableTitle"/>
    <w:rsid w:val="002C774E"/>
    <w:rPr>
      <w:rFonts w:ascii="Cambria" w:hAnsi="Cambria"/>
      <w:b/>
      <w:sz w:val="22"/>
      <w:szCs w:val="22"/>
    </w:rPr>
  </w:style>
  <w:style w:type="paragraph" w:customStyle="1" w:styleId="numlist2">
    <w:name w:val="numlist2"/>
    <w:basedOn w:val="Bullet1"/>
    <w:link w:val="numlist2Char"/>
    <w:qFormat/>
    <w:rsid w:val="00087CC7"/>
    <w:rPr>
      <w:szCs w:val="22"/>
    </w:rPr>
  </w:style>
  <w:style w:type="character" w:customStyle="1" w:styleId="numlist2Char">
    <w:name w:val="numlist2 Char"/>
    <w:link w:val="numlist2"/>
    <w:rsid w:val="00087CC7"/>
    <w:rPr>
      <w:rFonts w:ascii="Cambria" w:hAnsi="Cambria"/>
      <w:sz w:val="22"/>
      <w:szCs w:val="22"/>
    </w:rPr>
  </w:style>
  <w:style w:type="paragraph" w:customStyle="1" w:styleId="NumlistHi">
    <w:name w:val="NumlistHi"/>
    <w:basedOn w:val="Normal"/>
    <w:link w:val="NumlistHiChar"/>
    <w:qFormat/>
    <w:rsid w:val="002350D9"/>
    <w:pPr>
      <w:numPr>
        <w:numId w:val="4"/>
      </w:numPr>
    </w:pPr>
  </w:style>
  <w:style w:type="character" w:customStyle="1" w:styleId="NumlistHiChar">
    <w:name w:val="NumlistHi Char"/>
    <w:link w:val="NumlistHi"/>
    <w:rsid w:val="002350D9"/>
    <w:rPr>
      <w:rFonts w:ascii="Cambria" w:hAnsi="Cambria"/>
      <w:sz w:val="22"/>
      <w:szCs w:val="22"/>
    </w:rPr>
  </w:style>
  <w:style w:type="paragraph" w:customStyle="1" w:styleId="Subhead3">
    <w:name w:val="Subhead3"/>
    <w:basedOn w:val="Subhead2"/>
    <w:link w:val="Subhead3Char"/>
    <w:qFormat/>
    <w:rsid w:val="002350D9"/>
    <w:pPr>
      <w:spacing w:before="200" w:after="120" w:line="240" w:lineRule="auto"/>
    </w:pPr>
    <w:rPr>
      <w:i/>
      <w:u w:val="none"/>
    </w:rPr>
  </w:style>
  <w:style w:type="character" w:customStyle="1" w:styleId="Subhead3Char">
    <w:name w:val="Subhead3 Char"/>
    <w:basedOn w:val="Subhead2Char"/>
    <w:link w:val="Subhead3"/>
    <w:rsid w:val="002350D9"/>
    <w:rPr>
      <w:rFonts w:ascii="Cambria" w:hAnsi="Cambria"/>
      <w:i/>
      <w:sz w:val="22"/>
      <w:szCs w:val="22"/>
      <w:u w:val="single"/>
    </w:rPr>
  </w:style>
  <w:style w:type="paragraph" w:styleId="Revision">
    <w:name w:val="Revision"/>
    <w:hidden/>
    <w:uiPriority w:val="99"/>
    <w:semiHidden/>
    <w:rsid w:val="00830A4F"/>
    <w:rPr>
      <w:rFonts w:ascii="Cambria" w:hAnsi="Cambria"/>
      <w:sz w:val="22"/>
      <w:szCs w:val="22"/>
    </w:rPr>
  </w:style>
  <w:style w:type="paragraph" w:customStyle="1" w:styleId="Quoteblock">
    <w:name w:val="Quoteblock"/>
    <w:basedOn w:val="Normal"/>
    <w:link w:val="QuoteblockChar"/>
    <w:qFormat/>
    <w:rsid w:val="002648B4"/>
    <w:pPr>
      <w:spacing w:line="240" w:lineRule="auto"/>
      <w:ind w:left="360"/>
    </w:pPr>
    <w:rPr>
      <w:rFonts w:ascii="Calibri" w:hAnsi="Calibri"/>
      <w:sz w:val="20"/>
    </w:rPr>
  </w:style>
  <w:style w:type="character" w:customStyle="1" w:styleId="QuoteblockChar">
    <w:name w:val="Quoteblock Char"/>
    <w:link w:val="Quoteblock"/>
    <w:rsid w:val="002648B4"/>
    <w:rPr>
      <w:szCs w:val="22"/>
    </w:rPr>
  </w:style>
  <w:style w:type="paragraph" w:customStyle="1" w:styleId="Letterlist1">
    <w:name w:val="Letterlist1"/>
    <w:basedOn w:val="ListParagraph"/>
    <w:link w:val="Letterlist1Char"/>
    <w:qFormat/>
    <w:rsid w:val="005264AE"/>
    <w:pPr>
      <w:numPr>
        <w:numId w:val="23"/>
      </w:numPr>
      <w:spacing w:after="120" w:line="264" w:lineRule="auto"/>
      <w:ind w:right="360"/>
    </w:pPr>
    <w:rPr>
      <w:rFonts w:asciiTheme="majorHAnsi" w:hAnsiTheme="majorHAnsi"/>
    </w:rPr>
  </w:style>
  <w:style w:type="character" w:customStyle="1" w:styleId="ListParagraphChar">
    <w:name w:val="List Paragraph Char"/>
    <w:basedOn w:val="DefaultParagraphFont"/>
    <w:link w:val="ListParagraph"/>
    <w:uiPriority w:val="34"/>
    <w:rsid w:val="005264AE"/>
    <w:rPr>
      <w:sz w:val="22"/>
      <w:szCs w:val="22"/>
    </w:rPr>
  </w:style>
  <w:style w:type="character" w:customStyle="1" w:styleId="Letterlist1Char">
    <w:name w:val="Letterlist1 Char"/>
    <w:basedOn w:val="ListParagraphChar"/>
    <w:link w:val="Letterlist1"/>
    <w:rsid w:val="005264AE"/>
    <w:rPr>
      <w:rFonts w:asciiTheme="majorHAnsi" w:hAnsiTheme="majorHAnsi"/>
      <w:sz w:val="22"/>
      <w:szCs w:val="22"/>
    </w:rPr>
  </w:style>
</w:styles>
</file>

<file path=word/webSettings.xml><?xml version="1.0" encoding="utf-8"?>
<w:webSettings xmlns:r="http://schemas.openxmlformats.org/officeDocument/2006/relationships" xmlns:w="http://schemas.openxmlformats.org/wordprocessingml/2006/main">
  <w:divs>
    <w:div w:id="9332640">
      <w:bodyDiv w:val="1"/>
      <w:marLeft w:val="0"/>
      <w:marRight w:val="0"/>
      <w:marTop w:val="0"/>
      <w:marBottom w:val="0"/>
      <w:divBdr>
        <w:top w:val="none" w:sz="0" w:space="0" w:color="auto"/>
        <w:left w:val="none" w:sz="0" w:space="0" w:color="auto"/>
        <w:bottom w:val="none" w:sz="0" w:space="0" w:color="auto"/>
        <w:right w:val="none" w:sz="0" w:space="0" w:color="auto"/>
      </w:divBdr>
    </w:div>
    <w:div w:id="9920058">
      <w:bodyDiv w:val="1"/>
      <w:marLeft w:val="0"/>
      <w:marRight w:val="0"/>
      <w:marTop w:val="0"/>
      <w:marBottom w:val="0"/>
      <w:divBdr>
        <w:top w:val="none" w:sz="0" w:space="0" w:color="auto"/>
        <w:left w:val="none" w:sz="0" w:space="0" w:color="auto"/>
        <w:bottom w:val="none" w:sz="0" w:space="0" w:color="auto"/>
        <w:right w:val="none" w:sz="0" w:space="0" w:color="auto"/>
      </w:divBdr>
    </w:div>
    <w:div w:id="47075646">
      <w:bodyDiv w:val="1"/>
      <w:marLeft w:val="0"/>
      <w:marRight w:val="0"/>
      <w:marTop w:val="0"/>
      <w:marBottom w:val="0"/>
      <w:divBdr>
        <w:top w:val="none" w:sz="0" w:space="0" w:color="auto"/>
        <w:left w:val="none" w:sz="0" w:space="0" w:color="auto"/>
        <w:bottom w:val="none" w:sz="0" w:space="0" w:color="auto"/>
        <w:right w:val="none" w:sz="0" w:space="0" w:color="auto"/>
      </w:divBdr>
    </w:div>
    <w:div w:id="56324249">
      <w:bodyDiv w:val="1"/>
      <w:marLeft w:val="0"/>
      <w:marRight w:val="0"/>
      <w:marTop w:val="0"/>
      <w:marBottom w:val="0"/>
      <w:divBdr>
        <w:top w:val="none" w:sz="0" w:space="0" w:color="auto"/>
        <w:left w:val="none" w:sz="0" w:space="0" w:color="auto"/>
        <w:bottom w:val="none" w:sz="0" w:space="0" w:color="auto"/>
        <w:right w:val="none" w:sz="0" w:space="0" w:color="auto"/>
      </w:divBdr>
    </w:div>
    <w:div w:id="96796677">
      <w:bodyDiv w:val="1"/>
      <w:marLeft w:val="0"/>
      <w:marRight w:val="0"/>
      <w:marTop w:val="0"/>
      <w:marBottom w:val="0"/>
      <w:divBdr>
        <w:top w:val="none" w:sz="0" w:space="0" w:color="auto"/>
        <w:left w:val="none" w:sz="0" w:space="0" w:color="auto"/>
        <w:bottom w:val="none" w:sz="0" w:space="0" w:color="auto"/>
        <w:right w:val="none" w:sz="0" w:space="0" w:color="auto"/>
      </w:divBdr>
    </w:div>
    <w:div w:id="125901032">
      <w:bodyDiv w:val="1"/>
      <w:marLeft w:val="0"/>
      <w:marRight w:val="0"/>
      <w:marTop w:val="0"/>
      <w:marBottom w:val="0"/>
      <w:divBdr>
        <w:top w:val="none" w:sz="0" w:space="0" w:color="auto"/>
        <w:left w:val="none" w:sz="0" w:space="0" w:color="auto"/>
        <w:bottom w:val="none" w:sz="0" w:space="0" w:color="auto"/>
        <w:right w:val="none" w:sz="0" w:space="0" w:color="auto"/>
      </w:divBdr>
    </w:div>
    <w:div w:id="132524064">
      <w:bodyDiv w:val="1"/>
      <w:marLeft w:val="0"/>
      <w:marRight w:val="0"/>
      <w:marTop w:val="0"/>
      <w:marBottom w:val="0"/>
      <w:divBdr>
        <w:top w:val="none" w:sz="0" w:space="0" w:color="auto"/>
        <w:left w:val="none" w:sz="0" w:space="0" w:color="auto"/>
        <w:bottom w:val="none" w:sz="0" w:space="0" w:color="auto"/>
        <w:right w:val="none" w:sz="0" w:space="0" w:color="auto"/>
      </w:divBdr>
    </w:div>
    <w:div w:id="165025862">
      <w:bodyDiv w:val="1"/>
      <w:marLeft w:val="0"/>
      <w:marRight w:val="0"/>
      <w:marTop w:val="0"/>
      <w:marBottom w:val="0"/>
      <w:divBdr>
        <w:top w:val="none" w:sz="0" w:space="0" w:color="auto"/>
        <w:left w:val="none" w:sz="0" w:space="0" w:color="auto"/>
        <w:bottom w:val="none" w:sz="0" w:space="0" w:color="auto"/>
        <w:right w:val="none" w:sz="0" w:space="0" w:color="auto"/>
      </w:divBdr>
    </w:div>
    <w:div w:id="189614231">
      <w:bodyDiv w:val="1"/>
      <w:marLeft w:val="0"/>
      <w:marRight w:val="0"/>
      <w:marTop w:val="0"/>
      <w:marBottom w:val="0"/>
      <w:divBdr>
        <w:top w:val="none" w:sz="0" w:space="0" w:color="auto"/>
        <w:left w:val="none" w:sz="0" w:space="0" w:color="auto"/>
        <w:bottom w:val="none" w:sz="0" w:space="0" w:color="auto"/>
        <w:right w:val="none" w:sz="0" w:space="0" w:color="auto"/>
      </w:divBdr>
      <w:divsChild>
        <w:div w:id="1933040">
          <w:marLeft w:val="547"/>
          <w:marRight w:val="0"/>
          <w:marTop w:val="125"/>
          <w:marBottom w:val="0"/>
          <w:divBdr>
            <w:top w:val="none" w:sz="0" w:space="0" w:color="auto"/>
            <w:left w:val="none" w:sz="0" w:space="0" w:color="auto"/>
            <w:bottom w:val="none" w:sz="0" w:space="0" w:color="auto"/>
            <w:right w:val="none" w:sz="0" w:space="0" w:color="auto"/>
          </w:divBdr>
        </w:div>
        <w:div w:id="79181077">
          <w:marLeft w:val="1166"/>
          <w:marRight w:val="0"/>
          <w:marTop w:val="106"/>
          <w:marBottom w:val="0"/>
          <w:divBdr>
            <w:top w:val="none" w:sz="0" w:space="0" w:color="auto"/>
            <w:left w:val="none" w:sz="0" w:space="0" w:color="auto"/>
            <w:bottom w:val="none" w:sz="0" w:space="0" w:color="auto"/>
            <w:right w:val="none" w:sz="0" w:space="0" w:color="auto"/>
          </w:divBdr>
        </w:div>
        <w:div w:id="289016413">
          <w:marLeft w:val="1166"/>
          <w:marRight w:val="0"/>
          <w:marTop w:val="106"/>
          <w:marBottom w:val="0"/>
          <w:divBdr>
            <w:top w:val="none" w:sz="0" w:space="0" w:color="auto"/>
            <w:left w:val="none" w:sz="0" w:space="0" w:color="auto"/>
            <w:bottom w:val="none" w:sz="0" w:space="0" w:color="auto"/>
            <w:right w:val="none" w:sz="0" w:space="0" w:color="auto"/>
          </w:divBdr>
        </w:div>
        <w:div w:id="1424768141">
          <w:marLeft w:val="547"/>
          <w:marRight w:val="0"/>
          <w:marTop w:val="125"/>
          <w:marBottom w:val="0"/>
          <w:divBdr>
            <w:top w:val="none" w:sz="0" w:space="0" w:color="auto"/>
            <w:left w:val="none" w:sz="0" w:space="0" w:color="auto"/>
            <w:bottom w:val="none" w:sz="0" w:space="0" w:color="auto"/>
            <w:right w:val="none" w:sz="0" w:space="0" w:color="auto"/>
          </w:divBdr>
        </w:div>
        <w:div w:id="2026055338">
          <w:marLeft w:val="547"/>
          <w:marRight w:val="0"/>
          <w:marTop w:val="125"/>
          <w:marBottom w:val="0"/>
          <w:divBdr>
            <w:top w:val="none" w:sz="0" w:space="0" w:color="auto"/>
            <w:left w:val="none" w:sz="0" w:space="0" w:color="auto"/>
            <w:bottom w:val="none" w:sz="0" w:space="0" w:color="auto"/>
            <w:right w:val="none" w:sz="0" w:space="0" w:color="auto"/>
          </w:divBdr>
        </w:div>
      </w:divsChild>
    </w:div>
    <w:div w:id="208537528">
      <w:bodyDiv w:val="1"/>
      <w:marLeft w:val="0"/>
      <w:marRight w:val="0"/>
      <w:marTop w:val="0"/>
      <w:marBottom w:val="0"/>
      <w:divBdr>
        <w:top w:val="none" w:sz="0" w:space="0" w:color="auto"/>
        <w:left w:val="none" w:sz="0" w:space="0" w:color="auto"/>
        <w:bottom w:val="none" w:sz="0" w:space="0" w:color="auto"/>
        <w:right w:val="none" w:sz="0" w:space="0" w:color="auto"/>
      </w:divBdr>
    </w:div>
    <w:div w:id="228077378">
      <w:bodyDiv w:val="1"/>
      <w:marLeft w:val="0"/>
      <w:marRight w:val="0"/>
      <w:marTop w:val="0"/>
      <w:marBottom w:val="0"/>
      <w:divBdr>
        <w:top w:val="none" w:sz="0" w:space="0" w:color="auto"/>
        <w:left w:val="none" w:sz="0" w:space="0" w:color="auto"/>
        <w:bottom w:val="none" w:sz="0" w:space="0" w:color="auto"/>
        <w:right w:val="none" w:sz="0" w:space="0" w:color="auto"/>
      </w:divBdr>
    </w:div>
    <w:div w:id="240992972">
      <w:bodyDiv w:val="1"/>
      <w:marLeft w:val="0"/>
      <w:marRight w:val="0"/>
      <w:marTop w:val="0"/>
      <w:marBottom w:val="0"/>
      <w:divBdr>
        <w:top w:val="none" w:sz="0" w:space="0" w:color="auto"/>
        <w:left w:val="none" w:sz="0" w:space="0" w:color="auto"/>
        <w:bottom w:val="none" w:sz="0" w:space="0" w:color="auto"/>
        <w:right w:val="none" w:sz="0" w:space="0" w:color="auto"/>
      </w:divBdr>
    </w:div>
    <w:div w:id="299000988">
      <w:bodyDiv w:val="1"/>
      <w:marLeft w:val="0"/>
      <w:marRight w:val="0"/>
      <w:marTop w:val="0"/>
      <w:marBottom w:val="0"/>
      <w:divBdr>
        <w:top w:val="none" w:sz="0" w:space="0" w:color="auto"/>
        <w:left w:val="none" w:sz="0" w:space="0" w:color="auto"/>
        <w:bottom w:val="none" w:sz="0" w:space="0" w:color="auto"/>
        <w:right w:val="none" w:sz="0" w:space="0" w:color="auto"/>
      </w:divBdr>
    </w:div>
    <w:div w:id="324020808">
      <w:bodyDiv w:val="1"/>
      <w:marLeft w:val="0"/>
      <w:marRight w:val="0"/>
      <w:marTop w:val="0"/>
      <w:marBottom w:val="0"/>
      <w:divBdr>
        <w:top w:val="none" w:sz="0" w:space="0" w:color="auto"/>
        <w:left w:val="none" w:sz="0" w:space="0" w:color="auto"/>
        <w:bottom w:val="none" w:sz="0" w:space="0" w:color="auto"/>
        <w:right w:val="none" w:sz="0" w:space="0" w:color="auto"/>
      </w:divBdr>
    </w:div>
    <w:div w:id="410086448">
      <w:bodyDiv w:val="1"/>
      <w:marLeft w:val="0"/>
      <w:marRight w:val="0"/>
      <w:marTop w:val="0"/>
      <w:marBottom w:val="0"/>
      <w:divBdr>
        <w:top w:val="none" w:sz="0" w:space="0" w:color="auto"/>
        <w:left w:val="none" w:sz="0" w:space="0" w:color="auto"/>
        <w:bottom w:val="none" w:sz="0" w:space="0" w:color="auto"/>
        <w:right w:val="none" w:sz="0" w:space="0" w:color="auto"/>
      </w:divBdr>
    </w:div>
    <w:div w:id="422923651">
      <w:bodyDiv w:val="1"/>
      <w:marLeft w:val="0"/>
      <w:marRight w:val="0"/>
      <w:marTop w:val="0"/>
      <w:marBottom w:val="0"/>
      <w:divBdr>
        <w:top w:val="none" w:sz="0" w:space="0" w:color="auto"/>
        <w:left w:val="none" w:sz="0" w:space="0" w:color="auto"/>
        <w:bottom w:val="none" w:sz="0" w:space="0" w:color="auto"/>
        <w:right w:val="none" w:sz="0" w:space="0" w:color="auto"/>
      </w:divBdr>
    </w:div>
    <w:div w:id="433018730">
      <w:bodyDiv w:val="1"/>
      <w:marLeft w:val="0"/>
      <w:marRight w:val="0"/>
      <w:marTop w:val="0"/>
      <w:marBottom w:val="0"/>
      <w:divBdr>
        <w:top w:val="none" w:sz="0" w:space="0" w:color="auto"/>
        <w:left w:val="none" w:sz="0" w:space="0" w:color="auto"/>
        <w:bottom w:val="none" w:sz="0" w:space="0" w:color="auto"/>
        <w:right w:val="none" w:sz="0" w:space="0" w:color="auto"/>
      </w:divBdr>
    </w:div>
    <w:div w:id="489910151">
      <w:bodyDiv w:val="1"/>
      <w:marLeft w:val="0"/>
      <w:marRight w:val="0"/>
      <w:marTop w:val="0"/>
      <w:marBottom w:val="0"/>
      <w:divBdr>
        <w:top w:val="none" w:sz="0" w:space="0" w:color="auto"/>
        <w:left w:val="none" w:sz="0" w:space="0" w:color="auto"/>
        <w:bottom w:val="none" w:sz="0" w:space="0" w:color="auto"/>
        <w:right w:val="none" w:sz="0" w:space="0" w:color="auto"/>
      </w:divBdr>
    </w:div>
    <w:div w:id="497237897">
      <w:bodyDiv w:val="1"/>
      <w:marLeft w:val="0"/>
      <w:marRight w:val="0"/>
      <w:marTop w:val="0"/>
      <w:marBottom w:val="0"/>
      <w:divBdr>
        <w:top w:val="none" w:sz="0" w:space="0" w:color="auto"/>
        <w:left w:val="none" w:sz="0" w:space="0" w:color="auto"/>
        <w:bottom w:val="none" w:sz="0" w:space="0" w:color="auto"/>
        <w:right w:val="none" w:sz="0" w:space="0" w:color="auto"/>
      </w:divBdr>
    </w:div>
    <w:div w:id="555823887">
      <w:bodyDiv w:val="1"/>
      <w:marLeft w:val="0"/>
      <w:marRight w:val="0"/>
      <w:marTop w:val="0"/>
      <w:marBottom w:val="0"/>
      <w:divBdr>
        <w:top w:val="none" w:sz="0" w:space="0" w:color="auto"/>
        <w:left w:val="none" w:sz="0" w:space="0" w:color="auto"/>
        <w:bottom w:val="none" w:sz="0" w:space="0" w:color="auto"/>
        <w:right w:val="none" w:sz="0" w:space="0" w:color="auto"/>
      </w:divBdr>
    </w:div>
    <w:div w:id="573323609">
      <w:bodyDiv w:val="1"/>
      <w:marLeft w:val="0"/>
      <w:marRight w:val="0"/>
      <w:marTop w:val="0"/>
      <w:marBottom w:val="0"/>
      <w:divBdr>
        <w:top w:val="none" w:sz="0" w:space="0" w:color="auto"/>
        <w:left w:val="none" w:sz="0" w:space="0" w:color="auto"/>
        <w:bottom w:val="none" w:sz="0" w:space="0" w:color="auto"/>
        <w:right w:val="none" w:sz="0" w:space="0" w:color="auto"/>
      </w:divBdr>
    </w:div>
    <w:div w:id="678316873">
      <w:bodyDiv w:val="1"/>
      <w:marLeft w:val="0"/>
      <w:marRight w:val="0"/>
      <w:marTop w:val="0"/>
      <w:marBottom w:val="0"/>
      <w:divBdr>
        <w:top w:val="none" w:sz="0" w:space="0" w:color="auto"/>
        <w:left w:val="none" w:sz="0" w:space="0" w:color="auto"/>
        <w:bottom w:val="none" w:sz="0" w:space="0" w:color="auto"/>
        <w:right w:val="none" w:sz="0" w:space="0" w:color="auto"/>
      </w:divBdr>
    </w:div>
    <w:div w:id="687604020">
      <w:bodyDiv w:val="1"/>
      <w:marLeft w:val="0"/>
      <w:marRight w:val="0"/>
      <w:marTop w:val="0"/>
      <w:marBottom w:val="0"/>
      <w:divBdr>
        <w:top w:val="none" w:sz="0" w:space="0" w:color="auto"/>
        <w:left w:val="none" w:sz="0" w:space="0" w:color="auto"/>
        <w:bottom w:val="none" w:sz="0" w:space="0" w:color="auto"/>
        <w:right w:val="none" w:sz="0" w:space="0" w:color="auto"/>
      </w:divBdr>
    </w:div>
    <w:div w:id="690569930">
      <w:bodyDiv w:val="1"/>
      <w:marLeft w:val="0"/>
      <w:marRight w:val="0"/>
      <w:marTop w:val="0"/>
      <w:marBottom w:val="0"/>
      <w:divBdr>
        <w:top w:val="none" w:sz="0" w:space="0" w:color="auto"/>
        <w:left w:val="none" w:sz="0" w:space="0" w:color="auto"/>
        <w:bottom w:val="none" w:sz="0" w:space="0" w:color="auto"/>
        <w:right w:val="none" w:sz="0" w:space="0" w:color="auto"/>
      </w:divBdr>
    </w:div>
    <w:div w:id="711805547">
      <w:bodyDiv w:val="1"/>
      <w:marLeft w:val="0"/>
      <w:marRight w:val="0"/>
      <w:marTop w:val="0"/>
      <w:marBottom w:val="0"/>
      <w:divBdr>
        <w:top w:val="none" w:sz="0" w:space="0" w:color="auto"/>
        <w:left w:val="none" w:sz="0" w:space="0" w:color="auto"/>
        <w:bottom w:val="none" w:sz="0" w:space="0" w:color="auto"/>
        <w:right w:val="none" w:sz="0" w:space="0" w:color="auto"/>
      </w:divBdr>
    </w:div>
    <w:div w:id="761681868">
      <w:bodyDiv w:val="1"/>
      <w:marLeft w:val="0"/>
      <w:marRight w:val="0"/>
      <w:marTop w:val="0"/>
      <w:marBottom w:val="0"/>
      <w:divBdr>
        <w:top w:val="none" w:sz="0" w:space="0" w:color="auto"/>
        <w:left w:val="none" w:sz="0" w:space="0" w:color="auto"/>
        <w:bottom w:val="none" w:sz="0" w:space="0" w:color="auto"/>
        <w:right w:val="none" w:sz="0" w:space="0" w:color="auto"/>
      </w:divBdr>
    </w:div>
    <w:div w:id="800803831">
      <w:bodyDiv w:val="1"/>
      <w:marLeft w:val="0"/>
      <w:marRight w:val="0"/>
      <w:marTop w:val="0"/>
      <w:marBottom w:val="0"/>
      <w:divBdr>
        <w:top w:val="none" w:sz="0" w:space="0" w:color="auto"/>
        <w:left w:val="none" w:sz="0" w:space="0" w:color="auto"/>
        <w:bottom w:val="none" w:sz="0" w:space="0" w:color="auto"/>
        <w:right w:val="none" w:sz="0" w:space="0" w:color="auto"/>
      </w:divBdr>
    </w:div>
    <w:div w:id="812254851">
      <w:bodyDiv w:val="1"/>
      <w:marLeft w:val="0"/>
      <w:marRight w:val="0"/>
      <w:marTop w:val="0"/>
      <w:marBottom w:val="0"/>
      <w:divBdr>
        <w:top w:val="none" w:sz="0" w:space="0" w:color="auto"/>
        <w:left w:val="none" w:sz="0" w:space="0" w:color="auto"/>
        <w:bottom w:val="none" w:sz="0" w:space="0" w:color="auto"/>
        <w:right w:val="none" w:sz="0" w:space="0" w:color="auto"/>
      </w:divBdr>
    </w:div>
    <w:div w:id="831800082">
      <w:bodyDiv w:val="1"/>
      <w:marLeft w:val="0"/>
      <w:marRight w:val="0"/>
      <w:marTop w:val="0"/>
      <w:marBottom w:val="0"/>
      <w:divBdr>
        <w:top w:val="none" w:sz="0" w:space="0" w:color="auto"/>
        <w:left w:val="none" w:sz="0" w:space="0" w:color="auto"/>
        <w:bottom w:val="none" w:sz="0" w:space="0" w:color="auto"/>
        <w:right w:val="none" w:sz="0" w:space="0" w:color="auto"/>
      </w:divBdr>
    </w:div>
    <w:div w:id="847253926">
      <w:bodyDiv w:val="1"/>
      <w:marLeft w:val="0"/>
      <w:marRight w:val="0"/>
      <w:marTop w:val="0"/>
      <w:marBottom w:val="0"/>
      <w:divBdr>
        <w:top w:val="none" w:sz="0" w:space="0" w:color="auto"/>
        <w:left w:val="none" w:sz="0" w:space="0" w:color="auto"/>
        <w:bottom w:val="none" w:sz="0" w:space="0" w:color="auto"/>
        <w:right w:val="none" w:sz="0" w:space="0" w:color="auto"/>
      </w:divBdr>
    </w:div>
    <w:div w:id="855656382">
      <w:bodyDiv w:val="1"/>
      <w:marLeft w:val="0"/>
      <w:marRight w:val="0"/>
      <w:marTop w:val="0"/>
      <w:marBottom w:val="0"/>
      <w:divBdr>
        <w:top w:val="none" w:sz="0" w:space="0" w:color="auto"/>
        <w:left w:val="none" w:sz="0" w:space="0" w:color="auto"/>
        <w:bottom w:val="none" w:sz="0" w:space="0" w:color="auto"/>
        <w:right w:val="none" w:sz="0" w:space="0" w:color="auto"/>
      </w:divBdr>
    </w:div>
    <w:div w:id="948009503">
      <w:bodyDiv w:val="1"/>
      <w:marLeft w:val="0"/>
      <w:marRight w:val="0"/>
      <w:marTop w:val="0"/>
      <w:marBottom w:val="0"/>
      <w:divBdr>
        <w:top w:val="none" w:sz="0" w:space="0" w:color="auto"/>
        <w:left w:val="none" w:sz="0" w:space="0" w:color="auto"/>
        <w:bottom w:val="none" w:sz="0" w:space="0" w:color="auto"/>
        <w:right w:val="none" w:sz="0" w:space="0" w:color="auto"/>
      </w:divBdr>
    </w:div>
    <w:div w:id="954020582">
      <w:bodyDiv w:val="1"/>
      <w:marLeft w:val="0"/>
      <w:marRight w:val="0"/>
      <w:marTop w:val="0"/>
      <w:marBottom w:val="0"/>
      <w:divBdr>
        <w:top w:val="none" w:sz="0" w:space="0" w:color="auto"/>
        <w:left w:val="none" w:sz="0" w:space="0" w:color="auto"/>
        <w:bottom w:val="none" w:sz="0" w:space="0" w:color="auto"/>
        <w:right w:val="none" w:sz="0" w:space="0" w:color="auto"/>
      </w:divBdr>
    </w:div>
    <w:div w:id="1004550700">
      <w:bodyDiv w:val="1"/>
      <w:marLeft w:val="0"/>
      <w:marRight w:val="0"/>
      <w:marTop w:val="0"/>
      <w:marBottom w:val="0"/>
      <w:divBdr>
        <w:top w:val="none" w:sz="0" w:space="0" w:color="auto"/>
        <w:left w:val="none" w:sz="0" w:space="0" w:color="auto"/>
        <w:bottom w:val="none" w:sz="0" w:space="0" w:color="auto"/>
        <w:right w:val="none" w:sz="0" w:space="0" w:color="auto"/>
      </w:divBdr>
    </w:div>
    <w:div w:id="1055741285">
      <w:bodyDiv w:val="1"/>
      <w:marLeft w:val="0"/>
      <w:marRight w:val="0"/>
      <w:marTop w:val="0"/>
      <w:marBottom w:val="0"/>
      <w:divBdr>
        <w:top w:val="none" w:sz="0" w:space="0" w:color="auto"/>
        <w:left w:val="none" w:sz="0" w:space="0" w:color="auto"/>
        <w:bottom w:val="none" w:sz="0" w:space="0" w:color="auto"/>
        <w:right w:val="none" w:sz="0" w:space="0" w:color="auto"/>
      </w:divBdr>
    </w:div>
    <w:div w:id="1134519228">
      <w:bodyDiv w:val="1"/>
      <w:marLeft w:val="0"/>
      <w:marRight w:val="0"/>
      <w:marTop w:val="0"/>
      <w:marBottom w:val="0"/>
      <w:divBdr>
        <w:top w:val="none" w:sz="0" w:space="0" w:color="auto"/>
        <w:left w:val="none" w:sz="0" w:space="0" w:color="auto"/>
        <w:bottom w:val="none" w:sz="0" w:space="0" w:color="auto"/>
        <w:right w:val="none" w:sz="0" w:space="0" w:color="auto"/>
      </w:divBdr>
    </w:div>
    <w:div w:id="1150093527">
      <w:bodyDiv w:val="1"/>
      <w:marLeft w:val="0"/>
      <w:marRight w:val="0"/>
      <w:marTop w:val="0"/>
      <w:marBottom w:val="0"/>
      <w:divBdr>
        <w:top w:val="none" w:sz="0" w:space="0" w:color="auto"/>
        <w:left w:val="none" w:sz="0" w:space="0" w:color="auto"/>
        <w:bottom w:val="none" w:sz="0" w:space="0" w:color="auto"/>
        <w:right w:val="none" w:sz="0" w:space="0" w:color="auto"/>
      </w:divBdr>
    </w:div>
    <w:div w:id="1174301773">
      <w:bodyDiv w:val="1"/>
      <w:marLeft w:val="0"/>
      <w:marRight w:val="0"/>
      <w:marTop w:val="0"/>
      <w:marBottom w:val="0"/>
      <w:divBdr>
        <w:top w:val="none" w:sz="0" w:space="0" w:color="auto"/>
        <w:left w:val="none" w:sz="0" w:space="0" w:color="auto"/>
        <w:bottom w:val="none" w:sz="0" w:space="0" w:color="auto"/>
        <w:right w:val="none" w:sz="0" w:space="0" w:color="auto"/>
      </w:divBdr>
    </w:div>
    <w:div w:id="1266617184">
      <w:bodyDiv w:val="1"/>
      <w:marLeft w:val="0"/>
      <w:marRight w:val="0"/>
      <w:marTop w:val="0"/>
      <w:marBottom w:val="0"/>
      <w:divBdr>
        <w:top w:val="none" w:sz="0" w:space="0" w:color="auto"/>
        <w:left w:val="none" w:sz="0" w:space="0" w:color="auto"/>
        <w:bottom w:val="none" w:sz="0" w:space="0" w:color="auto"/>
        <w:right w:val="none" w:sz="0" w:space="0" w:color="auto"/>
      </w:divBdr>
    </w:div>
    <w:div w:id="1279263492">
      <w:bodyDiv w:val="1"/>
      <w:marLeft w:val="0"/>
      <w:marRight w:val="0"/>
      <w:marTop w:val="0"/>
      <w:marBottom w:val="0"/>
      <w:divBdr>
        <w:top w:val="none" w:sz="0" w:space="0" w:color="auto"/>
        <w:left w:val="none" w:sz="0" w:space="0" w:color="auto"/>
        <w:bottom w:val="none" w:sz="0" w:space="0" w:color="auto"/>
        <w:right w:val="none" w:sz="0" w:space="0" w:color="auto"/>
      </w:divBdr>
    </w:div>
    <w:div w:id="1345591454">
      <w:bodyDiv w:val="1"/>
      <w:marLeft w:val="0"/>
      <w:marRight w:val="0"/>
      <w:marTop w:val="0"/>
      <w:marBottom w:val="0"/>
      <w:divBdr>
        <w:top w:val="none" w:sz="0" w:space="0" w:color="auto"/>
        <w:left w:val="none" w:sz="0" w:space="0" w:color="auto"/>
        <w:bottom w:val="none" w:sz="0" w:space="0" w:color="auto"/>
        <w:right w:val="none" w:sz="0" w:space="0" w:color="auto"/>
      </w:divBdr>
    </w:div>
    <w:div w:id="1346832120">
      <w:bodyDiv w:val="1"/>
      <w:marLeft w:val="0"/>
      <w:marRight w:val="0"/>
      <w:marTop w:val="0"/>
      <w:marBottom w:val="0"/>
      <w:divBdr>
        <w:top w:val="none" w:sz="0" w:space="0" w:color="auto"/>
        <w:left w:val="none" w:sz="0" w:space="0" w:color="auto"/>
        <w:bottom w:val="none" w:sz="0" w:space="0" w:color="auto"/>
        <w:right w:val="none" w:sz="0" w:space="0" w:color="auto"/>
      </w:divBdr>
    </w:div>
    <w:div w:id="1394549759">
      <w:bodyDiv w:val="1"/>
      <w:marLeft w:val="0"/>
      <w:marRight w:val="0"/>
      <w:marTop w:val="0"/>
      <w:marBottom w:val="0"/>
      <w:divBdr>
        <w:top w:val="none" w:sz="0" w:space="0" w:color="auto"/>
        <w:left w:val="none" w:sz="0" w:space="0" w:color="auto"/>
        <w:bottom w:val="none" w:sz="0" w:space="0" w:color="auto"/>
        <w:right w:val="none" w:sz="0" w:space="0" w:color="auto"/>
      </w:divBdr>
    </w:div>
    <w:div w:id="1441030737">
      <w:bodyDiv w:val="1"/>
      <w:marLeft w:val="0"/>
      <w:marRight w:val="0"/>
      <w:marTop w:val="0"/>
      <w:marBottom w:val="0"/>
      <w:divBdr>
        <w:top w:val="none" w:sz="0" w:space="0" w:color="auto"/>
        <w:left w:val="none" w:sz="0" w:space="0" w:color="auto"/>
        <w:bottom w:val="none" w:sz="0" w:space="0" w:color="auto"/>
        <w:right w:val="none" w:sz="0" w:space="0" w:color="auto"/>
      </w:divBdr>
    </w:div>
    <w:div w:id="1460030885">
      <w:bodyDiv w:val="1"/>
      <w:marLeft w:val="0"/>
      <w:marRight w:val="0"/>
      <w:marTop w:val="0"/>
      <w:marBottom w:val="0"/>
      <w:divBdr>
        <w:top w:val="none" w:sz="0" w:space="0" w:color="auto"/>
        <w:left w:val="none" w:sz="0" w:space="0" w:color="auto"/>
        <w:bottom w:val="none" w:sz="0" w:space="0" w:color="auto"/>
        <w:right w:val="none" w:sz="0" w:space="0" w:color="auto"/>
      </w:divBdr>
    </w:div>
    <w:div w:id="1518498120">
      <w:bodyDiv w:val="1"/>
      <w:marLeft w:val="0"/>
      <w:marRight w:val="0"/>
      <w:marTop w:val="0"/>
      <w:marBottom w:val="0"/>
      <w:divBdr>
        <w:top w:val="none" w:sz="0" w:space="0" w:color="auto"/>
        <w:left w:val="none" w:sz="0" w:space="0" w:color="auto"/>
        <w:bottom w:val="none" w:sz="0" w:space="0" w:color="auto"/>
        <w:right w:val="none" w:sz="0" w:space="0" w:color="auto"/>
      </w:divBdr>
    </w:div>
    <w:div w:id="1562596782">
      <w:bodyDiv w:val="1"/>
      <w:marLeft w:val="0"/>
      <w:marRight w:val="0"/>
      <w:marTop w:val="0"/>
      <w:marBottom w:val="0"/>
      <w:divBdr>
        <w:top w:val="none" w:sz="0" w:space="0" w:color="auto"/>
        <w:left w:val="none" w:sz="0" w:space="0" w:color="auto"/>
        <w:bottom w:val="none" w:sz="0" w:space="0" w:color="auto"/>
        <w:right w:val="none" w:sz="0" w:space="0" w:color="auto"/>
      </w:divBdr>
    </w:div>
    <w:div w:id="1620261429">
      <w:bodyDiv w:val="1"/>
      <w:marLeft w:val="0"/>
      <w:marRight w:val="0"/>
      <w:marTop w:val="0"/>
      <w:marBottom w:val="0"/>
      <w:divBdr>
        <w:top w:val="none" w:sz="0" w:space="0" w:color="auto"/>
        <w:left w:val="none" w:sz="0" w:space="0" w:color="auto"/>
        <w:bottom w:val="none" w:sz="0" w:space="0" w:color="auto"/>
        <w:right w:val="none" w:sz="0" w:space="0" w:color="auto"/>
      </w:divBdr>
    </w:div>
    <w:div w:id="1627004138">
      <w:bodyDiv w:val="1"/>
      <w:marLeft w:val="0"/>
      <w:marRight w:val="0"/>
      <w:marTop w:val="0"/>
      <w:marBottom w:val="0"/>
      <w:divBdr>
        <w:top w:val="none" w:sz="0" w:space="0" w:color="auto"/>
        <w:left w:val="none" w:sz="0" w:space="0" w:color="auto"/>
        <w:bottom w:val="none" w:sz="0" w:space="0" w:color="auto"/>
        <w:right w:val="none" w:sz="0" w:space="0" w:color="auto"/>
      </w:divBdr>
    </w:div>
    <w:div w:id="1656445242">
      <w:bodyDiv w:val="1"/>
      <w:marLeft w:val="0"/>
      <w:marRight w:val="0"/>
      <w:marTop w:val="0"/>
      <w:marBottom w:val="0"/>
      <w:divBdr>
        <w:top w:val="none" w:sz="0" w:space="0" w:color="auto"/>
        <w:left w:val="none" w:sz="0" w:space="0" w:color="auto"/>
        <w:bottom w:val="none" w:sz="0" w:space="0" w:color="auto"/>
        <w:right w:val="none" w:sz="0" w:space="0" w:color="auto"/>
      </w:divBdr>
    </w:div>
    <w:div w:id="1713771016">
      <w:bodyDiv w:val="1"/>
      <w:marLeft w:val="0"/>
      <w:marRight w:val="0"/>
      <w:marTop w:val="0"/>
      <w:marBottom w:val="0"/>
      <w:divBdr>
        <w:top w:val="none" w:sz="0" w:space="0" w:color="auto"/>
        <w:left w:val="none" w:sz="0" w:space="0" w:color="auto"/>
        <w:bottom w:val="none" w:sz="0" w:space="0" w:color="auto"/>
        <w:right w:val="none" w:sz="0" w:space="0" w:color="auto"/>
      </w:divBdr>
    </w:div>
    <w:div w:id="1718042480">
      <w:bodyDiv w:val="1"/>
      <w:marLeft w:val="0"/>
      <w:marRight w:val="0"/>
      <w:marTop w:val="0"/>
      <w:marBottom w:val="0"/>
      <w:divBdr>
        <w:top w:val="none" w:sz="0" w:space="0" w:color="auto"/>
        <w:left w:val="none" w:sz="0" w:space="0" w:color="auto"/>
        <w:bottom w:val="none" w:sz="0" w:space="0" w:color="auto"/>
        <w:right w:val="none" w:sz="0" w:space="0" w:color="auto"/>
      </w:divBdr>
    </w:div>
    <w:div w:id="1718889036">
      <w:bodyDiv w:val="1"/>
      <w:marLeft w:val="0"/>
      <w:marRight w:val="0"/>
      <w:marTop w:val="0"/>
      <w:marBottom w:val="0"/>
      <w:divBdr>
        <w:top w:val="none" w:sz="0" w:space="0" w:color="auto"/>
        <w:left w:val="none" w:sz="0" w:space="0" w:color="auto"/>
        <w:bottom w:val="none" w:sz="0" w:space="0" w:color="auto"/>
        <w:right w:val="none" w:sz="0" w:space="0" w:color="auto"/>
      </w:divBdr>
    </w:div>
    <w:div w:id="1725636964">
      <w:bodyDiv w:val="1"/>
      <w:marLeft w:val="0"/>
      <w:marRight w:val="0"/>
      <w:marTop w:val="0"/>
      <w:marBottom w:val="0"/>
      <w:divBdr>
        <w:top w:val="none" w:sz="0" w:space="0" w:color="auto"/>
        <w:left w:val="none" w:sz="0" w:space="0" w:color="auto"/>
        <w:bottom w:val="none" w:sz="0" w:space="0" w:color="auto"/>
        <w:right w:val="none" w:sz="0" w:space="0" w:color="auto"/>
      </w:divBdr>
    </w:div>
    <w:div w:id="1753233665">
      <w:bodyDiv w:val="1"/>
      <w:marLeft w:val="0"/>
      <w:marRight w:val="0"/>
      <w:marTop w:val="0"/>
      <w:marBottom w:val="0"/>
      <w:divBdr>
        <w:top w:val="none" w:sz="0" w:space="0" w:color="auto"/>
        <w:left w:val="none" w:sz="0" w:space="0" w:color="auto"/>
        <w:bottom w:val="none" w:sz="0" w:space="0" w:color="auto"/>
        <w:right w:val="none" w:sz="0" w:space="0" w:color="auto"/>
      </w:divBdr>
    </w:div>
    <w:div w:id="1792673816">
      <w:bodyDiv w:val="1"/>
      <w:marLeft w:val="0"/>
      <w:marRight w:val="0"/>
      <w:marTop w:val="0"/>
      <w:marBottom w:val="0"/>
      <w:divBdr>
        <w:top w:val="none" w:sz="0" w:space="0" w:color="auto"/>
        <w:left w:val="none" w:sz="0" w:space="0" w:color="auto"/>
        <w:bottom w:val="none" w:sz="0" w:space="0" w:color="auto"/>
        <w:right w:val="none" w:sz="0" w:space="0" w:color="auto"/>
      </w:divBdr>
    </w:div>
    <w:div w:id="1881866532">
      <w:bodyDiv w:val="1"/>
      <w:marLeft w:val="0"/>
      <w:marRight w:val="0"/>
      <w:marTop w:val="0"/>
      <w:marBottom w:val="0"/>
      <w:divBdr>
        <w:top w:val="none" w:sz="0" w:space="0" w:color="auto"/>
        <w:left w:val="none" w:sz="0" w:space="0" w:color="auto"/>
        <w:bottom w:val="none" w:sz="0" w:space="0" w:color="auto"/>
        <w:right w:val="none" w:sz="0" w:space="0" w:color="auto"/>
      </w:divBdr>
    </w:div>
    <w:div w:id="1936089085">
      <w:bodyDiv w:val="1"/>
      <w:marLeft w:val="0"/>
      <w:marRight w:val="0"/>
      <w:marTop w:val="0"/>
      <w:marBottom w:val="0"/>
      <w:divBdr>
        <w:top w:val="none" w:sz="0" w:space="0" w:color="auto"/>
        <w:left w:val="none" w:sz="0" w:space="0" w:color="auto"/>
        <w:bottom w:val="none" w:sz="0" w:space="0" w:color="auto"/>
        <w:right w:val="none" w:sz="0" w:space="0" w:color="auto"/>
      </w:divBdr>
    </w:div>
    <w:div w:id="1954358130">
      <w:bodyDiv w:val="1"/>
      <w:marLeft w:val="0"/>
      <w:marRight w:val="0"/>
      <w:marTop w:val="0"/>
      <w:marBottom w:val="0"/>
      <w:divBdr>
        <w:top w:val="none" w:sz="0" w:space="0" w:color="auto"/>
        <w:left w:val="none" w:sz="0" w:space="0" w:color="auto"/>
        <w:bottom w:val="none" w:sz="0" w:space="0" w:color="auto"/>
        <w:right w:val="none" w:sz="0" w:space="0" w:color="auto"/>
      </w:divBdr>
    </w:div>
    <w:div w:id="1990477912">
      <w:bodyDiv w:val="1"/>
      <w:marLeft w:val="0"/>
      <w:marRight w:val="0"/>
      <w:marTop w:val="0"/>
      <w:marBottom w:val="0"/>
      <w:divBdr>
        <w:top w:val="none" w:sz="0" w:space="0" w:color="auto"/>
        <w:left w:val="none" w:sz="0" w:space="0" w:color="auto"/>
        <w:bottom w:val="none" w:sz="0" w:space="0" w:color="auto"/>
        <w:right w:val="none" w:sz="0" w:space="0" w:color="auto"/>
      </w:divBdr>
    </w:div>
    <w:div w:id="2020813804">
      <w:bodyDiv w:val="1"/>
      <w:marLeft w:val="0"/>
      <w:marRight w:val="0"/>
      <w:marTop w:val="0"/>
      <w:marBottom w:val="0"/>
      <w:divBdr>
        <w:top w:val="none" w:sz="0" w:space="0" w:color="auto"/>
        <w:left w:val="none" w:sz="0" w:space="0" w:color="auto"/>
        <w:bottom w:val="none" w:sz="0" w:space="0" w:color="auto"/>
        <w:right w:val="none" w:sz="0" w:space="0" w:color="auto"/>
      </w:divBdr>
    </w:div>
    <w:div w:id="2038699587">
      <w:bodyDiv w:val="1"/>
      <w:marLeft w:val="0"/>
      <w:marRight w:val="0"/>
      <w:marTop w:val="0"/>
      <w:marBottom w:val="0"/>
      <w:divBdr>
        <w:top w:val="none" w:sz="0" w:space="0" w:color="auto"/>
        <w:left w:val="none" w:sz="0" w:space="0" w:color="auto"/>
        <w:bottom w:val="none" w:sz="0" w:space="0" w:color="auto"/>
        <w:right w:val="none" w:sz="0" w:space="0" w:color="auto"/>
      </w:divBdr>
      <w:divsChild>
        <w:div w:id="216598078">
          <w:marLeft w:val="0"/>
          <w:marRight w:val="0"/>
          <w:marTop w:val="0"/>
          <w:marBottom w:val="0"/>
          <w:divBdr>
            <w:top w:val="none" w:sz="0" w:space="0" w:color="auto"/>
            <w:left w:val="none" w:sz="0" w:space="0" w:color="auto"/>
            <w:bottom w:val="none" w:sz="0" w:space="0" w:color="auto"/>
            <w:right w:val="none" w:sz="0" w:space="0" w:color="auto"/>
          </w:divBdr>
          <w:divsChild>
            <w:div w:id="1540163024">
              <w:marLeft w:val="0"/>
              <w:marRight w:val="0"/>
              <w:marTop w:val="0"/>
              <w:marBottom w:val="0"/>
              <w:divBdr>
                <w:top w:val="none" w:sz="0" w:space="0" w:color="auto"/>
                <w:left w:val="none" w:sz="0" w:space="0" w:color="auto"/>
                <w:bottom w:val="none" w:sz="0" w:space="0" w:color="auto"/>
                <w:right w:val="none" w:sz="0" w:space="0" w:color="auto"/>
              </w:divBdr>
              <w:divsChild>
                <w:div w:id="861894960">
                  <w:marLeft w:val="0"/>
                  <w:marRight w:val="0"/>
                  <w:marTop w:val="45"/>
                  <w:marBottom w:val="0"/>
                  <w:divBdr>
                    <w:top w:val="none" w:sz="0" w:space="0" w:color="auto"/>
                    <w:left w:val="none" w:sz="0" w:space="0" w:color="auto"/>
                    <w:bottom w:val="none" w:sz="0" w:space="0" w:color="auto"/>
                    <w:right w:val="single" w:sz="2" w:space="1" w:color="auto"/>
                  </w:divBdr>
                  <w:divsChild>
                    <w:div w:id="1994404222">
                      <w:marLeft w:val="0"/>
                      <w:marRight w:val="0"/>
                      <w:marTop w:val="0"/>
                      <w:marBottom w:val="0"/>
                      <w:divBdr>
                        <w:top w:val="none" w:sz="0" w:space="0" w:color="auto"/>
                        <w:left w:val="none" w:sz="0" w:space="0" w:color="auto"/>
                        <w:bottom w:val="none" w:sz="0" w:space="0" w:color="auto"/>
                        <w:right w:val="none" w:sz="0" w:space="0" w:color="auto"/>
                      </w:divBdr>
                      <w:divsChild>
                        <w:div w:id="1308172760">
                          <w:marLeft w:val="300"/>
                          <w:marRight w:val="300"/>
                          <w:marTop w:val="0"/>
                          <w:marBottom w:val="0"/>
                          <w:divBdr>
                            <w:top w:val="none" w:sz="0" w:space="0" w:color="auto"/>
                            <w:left w:val="none" w:sz="0" w:space="0" w:color="auto"/>
                            <w:bottom w:val="none" w:sz="0" w:space="0" w:color="auto"/>
                            <w:right w:val="none" w:sz="0" w:space="0" w:color="auto"/>
                          </w:divBdr>
                          <w:divsChild>
                            <w:div w:id="19267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710628">
      <w:bodyDiv w:val="1"/>
      <w:marLeft w:val="0"/>
      <w:marRight w:val="0"/>
      <w:marTop w:val="0"/>
      <w:marBottom w:val="0"/>
      <w:divBdr>
        <w:top w:val="none" w:sz="0" w:space="0" w:color="auto"/>
        <w:left w:val="none" w:sz="0" w:space="0" w:color="auto"/>
        <w:bottom w:val="none" w:sz="0" w:space="0" w:color="auto"/>
        <w:right w:val="none" w:sz="0" w:space="0" w:color="auto"/>
      </w:divBdr>
    </w:div>
    <w:div w:id="2048292839">
      <w:bodyDiv w:val="1"/>
      <w:marLeft w:val="0"/>
      <w:marRight w:val="0"/>
      <w:marTop w:val="0"/>
      <w:marBottom w:val="0"/>
      <w:divBdr>
        <w:top w:val="none" w:sz="0" w:space="0" w:color="auto"/>
        <w:left w:val="none" w:sz="0" w:space="0" w:color="auto"/>
        <w:bottom w:val="none" w:sz="0" w:space="0" w:color="auto"/>
        <w:right w:val="none" w:sz="0" w:space="0" w:color="auto"/>
      </w:divBdr>
    </w:div>
    <w:div w:id="2051345091">
      <w:bodyDiv w:val="1"/>
      <w:marLeft w:val="0"/>
      <w:marRight w:val="0"/>
      <w:marTop w:val="0"/>
      <w:marBottom w:val="0"/>
      <w:divBdr>
        <w:top w:val="none" w:sz="0" w:space="0" w:color="auto"/>
        <w:left w:val="none" w:sz="0" w:space="0" w:color="auto"/>
        <w:bottom w:val="none" w:sz="0" w:space="0" w:color="auto"/>
        <w:right w:val="none" w:sz="0" w:space="0" w:color="auto"/>
      </w:divBdr>
    </w:div>
    <w:div w:id="2059235119">
      <w:bodyDiv w:val="1"/>
      <w:marLeft w:val="0"/>
      <w:marRight w:val="0"/>
      <w:marTop w:val="0"/>
      <w:marBottom w:val="0"/>
      <w:divBdr>
        <w:top w:val="none" w:sz="0" w:space="0" w:color="auto"/>
        <w:left w:val="none" w:sz="0" w:space="0" w:color="auto"/>
        <w:bottom w:val="none" w:sz="0" w:space="0" w:color="auto"/>
        <w:right w:val="none" w:sz="0" w:space="0" w:color="auto"/>
      </w:divBdr>
    </w:div>
    <w:div w:id="2078046971">
      <w:bodyDiv w:val="1"/>
      <w:marLeft w:val="0"/>
      <w:marRight w:val="0"/>
      <w:marTop w:val="0"/>
      <w:marBottom w:val="0"/>
      <w:divBdr>
        <w:top w:val="none" w:sz="0" w:space="0" w:color="auto"/>
        <w:left w:val="none" w:sz="0" w:space="0" w:color="auto"/>
        <w:bottom w:val="none" w:sz="0" w:space="0" w:color="auto"/>
        <w:right w:val="none" w:sz="0" w:space="0" w:color="auto"/>
      </w:divBdr>
    </w:div>
    <w:div w:id="2088453558">
      <w:bodyDiv w:val="1"/>
      <w:marLeft w:val="0"/>
      <w:marRight w:val="0"/>
      <w:marTop w:val="0"/>
      <w:marBottom w:val="0"/>
      <w:divBdr>
        <w:top w:val="none" w:sz="0" w:space="0" w:color="auto"/>
        <w:left w:val="none" w:sz="0" w:space="0" w:color="auto"/>
        <w:bottom w:val="none" w:sz="0" w:space="0" w:color="auto"/>
        <w:right w:val="none" w:sz="0" w:space="0" w:color="auto"/>
      </w:divBdr>
    </w:div>
    <w:div w:id="2102555766">
      <w:bodyDiv w:val="1"/>
      <w:marLeft w:val="0"/>
      <w:marRight w:val="0"/>
      <w:marTop w:val="0"/>
      <w:marBottom w:val="0"/>
      <w:divBdr>
        <w:top w:val="none" w:sz="0" w:space="0" w:color="auto"/>
        <w:left w:val="none" w:sz="0" w:space="0" w:color="auto"/>
        <w:bottom w:val="none" w:sz="0" w:space="0" w:color="auto"/>
        <w:right w:val="none" w:sz="0" w:space="0" w:color="auto"/>
      </w:divBdr>
    </w:div>
    <w:div w:id="2122070976">
      <w:bodyDiv w:val="1"/>
      <w:marLeft w:val="0"/>
      <w:marRight w:val="0"/>
      <w:marTop w:val="0"/>
      <w:marBottom w:val="0"/>
      <w:divBdr>
        <w:top w:val="none" w:sz="0" w:space="0" w:color="auto"/>
        <w:left w:val="none" w:sz="0" w:space="0" w:color="auto"/>
        <w:bottom w:val="none" w:sz="0" w:space="0" w:color="auto"/>
        <w:right w:val="none" w:sz="0" w:space="0" w:color="auto"/>
      </w:divBdr>
    </w:div>
    <w:div w:id="21450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image" Target="media/image1.emf"/>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26" Type="http://schemas.microsoft.com/office/2007/relationships/stylesWithEffects" Target="stylesWithEffect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_rels/item7.xml.rels><?xml version="1.0" encoding="UTF-8"?>

<Relationships xmlns="http://schemas.openxmlformats.org/package/2006/relationships">
  <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61C56-522A-4334-94EA-6F485BCDDC55}">
  <ds:schemaRefs>
    <ds:schemaRef ds:uri="http://schemas.openxmlformats.org/officeDocument/2006/bibliography"/>
  </ds:schemaRefs>
</ds:datastoreItem>
</file>

<file path=customXml/itemProps2.xml><?xml version="1.0" encoding="utf-8"?>
<ds:datastoreItem xmlns:ds="http://schemas.openxmlformats.org/officeDocument/2006/customXml" ds:itemID="{83FAD1E8-0E54-4B96-B457-30725F5AD501}">
  <ds:schemaRefs>
    <ds:schemaRef ds:uri="http://schemas.openxmlformats.org/officeDocument/2006/bibliography"/>
  </ds:schemaRefs>
</ds:datastoreItem>
</file>

<file path=customXml/itemProps3.xml><?xml version="1.0" encoding="utf-8"?>
<ds:datastoreItem xmlns:ds="http://schemas.openxmlformats.org/officeDocument/2006/customXml" ds:itemID="{29C47C4C-0046-4801-841D-3038B16129BC}">
  <ds:schemaRefs>
    <ds:schemaRef ds:uri="http://schemas.openxmlformats.org/officeDocument/2006/bibliography"/>
  </ds:schemaRefs>
</ds:datastoreItem>
</file>

<file path=customXml/itemProps4.xml><?xml version="1.0" encoding="utf-8"?>
<ds:datastoreItem xmlns:ds="http://schemas.openxmlformats.org/officeDocument/2006/customXml" ds:itemID="{2EB3F38F-1CB4-4FBF-8CB6-9D9DA463FDCF}">
  <ds:schemaRefs>
    <ds:schemaRef ds:uri="http://schemas.openxmlformats.org/officeDocument/2006/bibliography"/>
  </ds:schemaRefs>
</ds:datastoreItem>
</file>

<file path=customXml/itemProps5.xml><?xml version="1.0" encoding="utf-8"?>
<ds:datastoreItem xmlns:ds="http://schemas.openxmlformats.org/officeDocument/2006/customXml" ds:itemID="{0A2CFE5C-D952-400A-8678-A5E1FAEC9872}">
  <ds:schemaRefs>
    <ds:schemaRef ds:uri="http://schemas.openxmlformats.org/officeDocument/2006/bibliography"/>
  </ds:schemaRefs>
</ds:datastoreItem>
</file>

<file path=customXml/itemProps6.xml><?xml version="1.0" encoding="utf-8"?>
<ds:datastoreItem xmlns:ds="http://schemas.openxmlformats.org/officeDocument/2006/customXml" ds:itemID="{415BCCC1-60CE-4C49-A4EB-461F406AB1F9}">
  <ds:schemaRefs>
    <ds:schemaRef ds:uri="http://schemas.openxmlformats.org/officeDocument/2006/bibliography"/>
  </ds:schemaRefs>
</ds:datastoreItem>
</file>

<file path=customXml/itemProps7.xml><?xml version="1.0" encoding="utf-8"?>
<ds:datastoreItem xmlns:ds="http://schemas.openxmlformats.org/officeDocument/2006/customXml" ds:itemID="{A2E161AB-6C83-465B-A94F-D7395156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9836</Words>
  <Characters>56066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65771</CharactersWithSpaces>
  <SharedDoc>false</SharedDoc>
  <HLinks>
    <vt:vector size="156" baseType="variant">
      <vt:variant>
        <vt:i4>1966131</vt:i4>
      </vt:variant>
      <vt:variant>
        <vt:i4>146</vt:i4>
      </vt:variant>
      <vt:variant>
        <vt:i4>0</vt:i4>
      </vt:variant>
      <vt:variant>
        <vt:i4>5</vt:i4>
      </vt:variant>
      <vt:variant>
        <vt:lpwstr/>
      </vt:variant>
      <vt:variant>
        <vt:lpwstr>_Toc412209536</vt:lpwstr>
      </vt:variant>
      <vt:variant>
        <vt:i4>1966131</vt:i4>
      </vt:variant>
      <vt:variant>
        <vt:i4>140</vt:i4>
      </vt:variant>
      <vt:variant>
        <vt:i4>0</vt:i4>
      </vt:variant>
      <vt:variant>
        <vt:i4>5</vt:i4>
      </vt:variant>
      <vt:variant>
        <vt:lpwstr/>
      </vt:variant>
      <vt:variant>
        <vt:lpwstr>_Toc412209535</vt:lpwstr>
      </vt:variant>
      <vt:variant>
        <vt:i4>1966131</vt:i4>
      </vt:variant>
      <vt:variant>
        <vt:i4>134</vt:i4>
      </vt:variant>
      <vt:variant>
        <vt:i4>0</vt:i4>
      </vt:variant>
      <vt:variant>
        <vt:i4>5</vt:i4>
      </vt:variant>
      <vt:variant>
        <vt:lpwstr/>
      </vt:variant>
      <vt:variant>
        <vt:lpwstr>_Toc412209534</vt:lpwstr>
      </vt:variant>
      <vt:variant>
        <vt:i4>1966131</vt:i4>
      </vt:variant>
      <vt:variant>
        <vt:i4>128</vt:i4>
      </vt:variant>
      <vt:variant>
        <vt:i4>0</vt:i4>
      </vt:variant>
      <vt:variant>
        <vt:i4>5</vt:i4>
      </vt:variant>
      <vt:variant>
        <vt:lpwstr/>
      </vt:variant>
      <vt:variant>
        <vt:lpwstr>_Toc412209533</vt:lpwstr>
      </vt:variant>
      <vt:variant>
        <vt:i4>1966131</vt:i4>
      </vt:variant>
      <vt:variant>
        <vt:i4>122</vt:i4>
      </vt:variant>
      <vt:variant>
        <vt:i4>0</vt:i4>
      </vt:variant>
      <vt:variant>
        <vt:i4>5</vt:i4>
      </vt:variant>
      <vt:variant>
        <vt:lpwstr/>
      </vt:variant>
      <vt:variant>
        <vt:lpwstr>_Toc412209532</vt:lpwstr>
      </vt:variant>
      <vt:variant>
        <vt:i4>1966131</vt:i4>
      </vt:variant>
      <vt:variant>
        <vt:i4>116</vt:i4>
      </vt:variant>
      <vt:variant>
        <vt:i4>0</vt:i4>
      </vt:variant>
      <vt:variant>
        <vt:i4>5</vt:i4>
      </vt:variant>
      <vt:variant>
        <vt:lpwstr/>
      </vt:variant>
      <vt:variant>
        <vt:lpwstr>_Toc412209531</vt:lpwstr>
      </vt:variant>
      <vt:variant>
        <vt:i4>1966131</vt:i4>
      </vt:variant>
      <vt:variant>
        <vt:i4>110</vt:i4>
      </vt:variant>
      <vt:variant>
        <vt:i4>0</vt:i4>
      </vt:variant>
      <vt:variant>
        <vt:i4>5</vt:i4>
      </vt:variant>
      <vt:variant>
        <vt:lpwstr/>
      </vt:variant>
      <vt:variant>
        <vt:lpwstr>_Toc412209530</vt:lpwstr>
      </vt:variant>
      <vt:variant>
        <vt:i4>2031667</vt:i4>
      </vt:variant>
      <vt:variant>
        <vt:i4>104</vt:i4>
      </vt:variant>
      <vt:variant>
        <vt:i4>0</vt:i4>
      </vt:variant>
      <vt:variant>
        <vt:i4>5</vt:i4>
      </vt:variant>
      <vt:variant>
        <vt:lpwstr/>
      </vt:variant>
      <vt:variant>
        <vt:lpwstr>_Toc412209529</vt:lpwstr>
      </vt:variant>
      <vt:variant>
        <vt:i4>2031667</vt:i4>
      </vt:variant>
      <vt:variant>
        <vt:i4>98</vt:i4>
      </vt:variant>
      <vt:variant>
        <vt:i4>0</vt:i4>
      </vt:variant>
      <vt:variant>
        <vt:i4>5</vt:i4>
      </vt:variant>
      <vt:variant>
        <vt:lpwstr/>
      </vt:variant>
      <vt:variant>
        <vt:lpwstr>_Toc412209528</vt:lpwstr>
      </vt:variant>
      <vt:variant>
        <vt:i4>2031667</vt:i4>
      </vt:variant>
      <vt:variant>
        <vt:i4>92</vt:i4>
      </vt:variant>
      <vt:variant>
        <vt:i4>0</vt:i4>
      </vt:variant>
      <vt:variant>
        <vt:i4>5</vt:i4>
      </vt:variant>
      <vt:variant>
        <vt:lpwstr/>
      </vt:variant>
      <vt:variant>
        <vt:lpwstr>_Toc412209527</vt:lpwstr>
      </vt:variant>
      <vt:variant>
        <vt:i4>2031667</vt:i4>
      </vt:variant>
      <vt:variant>
        <vt:i4>86</vt:i4>
      </vt:variant>
      <vt:variant>
        <vt:i4>0</vt:i4>
      </vt:variant>
      <vt:variant>
        <vt:i4>5</vt:i4>
      </vt:variant>
      <vt:variant>
        <vt:lpwstr/>
      </vt:variant>
      <vt:variant>
        <vt:lpwstr>_Toc412209526</vt:lpwstr>
      </vt:variant>
      <vt:variant>
        <vt:i4>2031667</vt:i4>
      </vt:variant>
      <vt:variant>
        <vt:i4>80</vt:i4>
      </vt:variant>
      <vt:variant>
        <vt:i4>0</vt:i4>
      </vt:variant>
      <vt:variant>
        <vt:i4>5</vt:i4>
      </vt:variant>
      <vt:variant>
        <vt:lpwstr/>
      </vt:variant>
      <vt:variant>
        <vt:lpwstr>_Toc412209525</vt:lpwstr>
      </vt:variant>
      <vt:variant>
        <vt:i4>2031667</vt:i4>
      </vt:variant>
      <vt:variant>
        <vt:i4>74</vt:i4>
      </vt:variant>
      <vt:variant>
        <vt:i4>0</vt:i4>
      </vt:variant>
      <vt:variant>
        <vt:i4>5</vt:i4>
      </vt:variant>
      <vt:variant>
        <vt:lpwstr/>
      </vt:variant>
      <vt:variant>
        <vt:lpwstr>_Toc412209524</vt:lpwstr>
      </vt:variant>
      <vt:variant>
        <vt:i4>2031667</vt:i4>
      </vt:variant>
      <vt:variant>
        <vt:i4>68</vt:i4>
      </vt:variant>
      <vt:variant>
        <vt:i4>0</vt:i4>
      </vt:variant>
      <vt:variant>
        <vt:i4>5</vt:i4>
      </vt:variant>
      <vt:variant>
        <vt:lpwstr/>
      </vt:variant>
      <vt:variant>
        <vt:lpwstr>_Toc412209523</vt:lpwstr>
      </vt:variant>
      <vt:variant>
        <vt:i4>2031667</vt:i4>
      </vt:variant>
      <vt:variant>
        <vt:i4>62</vt:i4>
      </vt:variant>
      <vt:variant>
        <vt:i4>0</vt:i4>
      </vt:variant>
      <vt:variant>
        <vt:i4>5</vt:i4>
      </vt:variant>
      <vt:variant>
        <vt:lpwstr/>
      </vt:variant>
      <vt:variant>
        <vt:lpwstr>_Toc412209522</vt:lpwstr>
      </vt:variant>
      <vt:variant>
        <vt:i4>2031667</vt:i4>
      </vt:variant>
      <vt:variant>
        <vt:i4>56</vt:i4>
      </vt:variant>
      <vt:variant>
        <vt:i4>0</vt:i4>
      </vt:variant>
      <vt:variant>
        <vt:i4>5</vt:i4>
      </vt:variant>
      <vt:variant>
        <vt:lpwstr/>
      </vt:variant>
      <vt:variant>
        <vt:lpwstr>_Toc412209521</vt:lpwstr>
      </vt:variant>
      <vt:variant>
        <vt:i4>2031667</vt:i4>
      </vt:variant>
      <vt:variant>
        <vt:i4>50</vt:i4>
      </vt:variant>
      <vt:variant>
        <vt:i4>0</vt:i4>
      </vt:variant>
      <vt:variant>
        <vt:i4>5</vt:i4>
      </vt:variant>
      <vt:variant>
        <vt:lpwstr/>
      </vt:variant>
      <vt:variant>
        <vt:lpwstr>_Toc412209520</vt:lpwstr>
      </vt:variant>
      <vt:variant>
        <vt:i4>1835059</vt:i4>
      </vt:variant>
      <vt:variant>
        <vt:i4>44</vt:i4>
      </vt:variant>
      <vt:variant>
        <vt:i4>0</vt:i4>
      </vt:variant>
      <vt:variant>
        <vt:i4>5</vt:i4>
      </vt:variant>
      <vt:variant>
        <vt:lpwstr/>
      </vt:variant>
      <vt:variant>
        <vt:lpwstr>_Toc412209519</vt:lpwstr>
      </vt:variant>
      <vt:variant>
        <vt:i4>1835059</vt:i4>
      </vt:variant>
      <vt:variant>
        <vt:i4>38</vt:i4>
      </vt:variant>
      <vt:variant>
        <vt:i4>0</vt:i4>
      </vt:variant>
      <vt:variant>
        <vt:i4>5</vt:i4>
      </vt:variant>
      <vt:variant>
        <vt:lpwstr/>
      </vt:variant>
      <vt:variant>
        <vt:lpwstr>_Toc412209518</vt:lpwstr>
      </vt:variant>
      <vt:variant>
        <vt:i4>1835059</vt:i4>
      </vt:variant>
      <vt:variant>
        <vt:i4>32</vt:i4>
      </vt:variant>
      <vt:variant>
        <vt:i4>0</vt:i4>
      </vt:variant>
      <vt:variant>
        <vt:i4>5</vt:i4>
      </vt:variant>
      <vt:variant>
        <vt:lpwstr/>
      </vt:variant>
      <vt:variant>
        <vt:lpwstr>_Toc412209517</vt:lpwstr>
      </vt:variant>
      <vt:variant>
        <vt:i4>1835059</vt:i4>
      </vt:variant>
      <vt:variant>
        <vt:i4>26</vt:i4>
      </vt:variant>
      <vt:variant>
        <vt:i4>0</vt:i4>
      </vt:variant>
      <vt:variant>
        <vt:i4>5</vt:i4>
      </vt:variant>
      <vt:variant>
        <vt:lpwstr/>
      </vt:variant>
      <vt:variant>
        <vt:lpwstr>_Toc412209516</vt:lpwstr>
      </vt:variant>
      <vt:variant>
        <vt:i4>1835059</vt:i4>
      </vt:variant>
      <vt:variant>
        <vt:i4>20</vt:i4>
      </vt:variant>
      <vt:variant>
        <vt:i4>0</vt:i4>
      </vt:variant>
      <vt:variant>
        <vt:i4>5</vt:i4>
      </vt:variant>
      <vt:variant>
        <vt:lpwstr/>
      </vt:variant>
      <vt:variant>
        <vt:lpwstr>_Toc412209515</vt:lpwstr>
      </vt:variant>
      <vt:variant>
        <vt:i4>1835059</vt:i4>
      </vt:variant>
      <vt:variant>
        <vt:i4>14</vt:i4>
      </vt:variant>
      <vt:variant>
        <vt:i4>0</vt:i4>
      </vt:variant>
      <vt:variant>
        <vt:i4>5</vt:i4>
      </vt:variant>
      <vt:variant>
        <vt:lpwstr/>
      </vt:variant>
      <vt:variant>
        <vt:lpwstr>_Toc412209514</vt:lpwstr>
      </vt:variant>
      <vt:variant>
        <vt:i4>1835059</vt:i4>
      </vt:variant>
      <vt:variant>
        <vt:i4>8</vt:i4>
      </vt:variant>
      <vt:variant>
        <vt:i4>0</vt:i4>
      </vt:variant>
      <vt:variant>
        <vt:i4>5</vt:i4>
      </vt:variant>
      <vt:variant>
        <vt:lpwstr/>
      </vt:variant>
      <vt:variant>
        <vt:lpwstr>_Toc412209513</vt:lpwstr>
      </vt:variant>
      <vt:variant>
        <vt:i4>1835059</vt:i4>
      </vt:variant>
      <vt:variant>
        <vt:i4>2</vt:i4>
      </vt:variant>
      <vt:variant>
        <vt:i4>0</vt:i4>
      </vt:variant>
      <vt:variant>
        <vt:i4>5</vt:i4>
      </vt:variant>
      <vt:variant>
        <vt:lpwstr/>
      </vt:variant>
      <vt:variant>
        <vt:lpwstr>_Toc412209512</vt:lpwstr>
      </vt:variant>
      <vt:variant>
        <vt:i4>4063334</vt:i4>
      </vt:variant>
      <vt:variant>
        <vt:i4>0</vt:i4>
      </vt:variant>
      <vt:variant>
        <vt:i4>0</vt:i4>
      </vt:variant>
      <vt:variant>
        <vt:i4>5</vt:i4>
      </vt:variant>
      <vt:variant>
        <vt:lpwstr>http://www.cms.gov/Research-Statistics-Data-and-Systems/Statistics-Trends-and-Reports/NationalHealthExpendData/NationalHealthAccountsProjected.html; Downloads</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2016-12-07T19:41:00Z</dcterms:created>
  <dc:creator>lloren</dc:creator>
  <lastModifiedBy>Valerie Hamilton</lastModifiedBy>
  <lastPrinted>2016-11-30T18:40:00Z</lastPrinted>
  <dcterms:modified xsi:type="dcterms:W3CDTF">2016-12-07T20:32:00Z</dcterms:modified>
  <revision>4</revision>
</coreProperties>
</file>