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DD19" w14:textId="79F864C7" w:rsidR="00D919A6" w:rsidRPr="00D919A6" w:rsidRDefault="00D919A6" w:rsidP="00D919A6">
      <w:pPr>
        <w:rPr>
          <w:rFonts w:ascii="Times New Roman" w:hAnsi="Times New Roman" w:cs="Times New Roman"/>
          <w:b/>
          <w:sz w:val="36"/>
          <w:szCs w:val="32"/>
        </w:rPr>
      </w:pPr>
      <w:r w:rsidRPr="00327AF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B7C518" wp14:editId="0F35EE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1" name="Picture 1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A6">
        <w:rPr>
          <w:rFonts w:ascii="Times New Roman" w:hAnsi="Times New Roman" w:cs="Times New Roman"/>
          <w:b/>
          <w:sz w:val="36"/>
          <w:szCs w:val="32"/>
        </w:rPr>
        <w:t>Massachusetts Department of Public Health</w:t>
      </w:r>
    </w:p>
    <w:p w14:paraId="5662C2FC" w14:textId="5E42A62B" w:rsidR="00D919A6" w:rsidRPr="003B017D" w:rsidRDefault="007D65A9" w:rsidP="003B017D">
      <w:pPr>
        <w:ind w:left="1440"/>
        <w:rPr>
          <w:rFonts w:cs="Times New Roman"/>
          <w:b/>
          <w:bCs/>
          <w:sz w:val="28"/>
          <w:szCs w:val="28"/>
        </w:rPr>
      </w:pPr>
      <w:r w:rsidRPr="003B017D">
        <w:rPr>
          <w:rFonts w:ascii="Times New Roman" w:hAnsi="Times New Roman" w:cs="Times New Roman"/>
          <w:b/>
          <w:sz w:val="28"/>
          <w:szCs w:val="28"/>
        </w:rPr>
        <w:t>Acute Care Hospital</w:t>
      </w:r>
      <w:r w:rsidR="00D919A6" w:rsidRPr="003B0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8D" w:rsidRPr="003B017D">
        <w:rPr>
          <w:rFonts w:ascii="Times New Roman" w:hAnsi="Times New Roman" w:cs="Times New Roman"/>
          <w:b/>
          <w:sz w:val="28"/>
          <w:szCs w:val="28"/>
        </w:rPr>
        <w:t>COVID-19</w:t>
      </w:r>
      <w:r w:rsidR="00836446" w:rsidRPr="003B017D">
        <w:rPr>
          <w:rFonts w:ascii="Times New Roman" w:hAnsi="Times New Roman" w:cs="Times New Roman"/>
          <w:b/>
          <w:sz w:val="28"/>
          <w:szCs w:val="28"/>
        </w:rPr>
        <w:t xml:space="preserve"> Monoclonal Antibody</w:t>
      </w:r>
      <w:r w:rsidR="00D0268D" w:rsidRPr="003B017D">
        <w:rPr>
          <w:rFonts w:ascii="Times New Roman" w:hAnsi="Times New Roman" w:cs="Times New Roman"/>
          <w:b/>
          <w:sz w:val="28"/>
          <w:szCs w:val="28"/>
        </w:rPr>
        <w:t xml:space="preserve"> Therapeutics </w:t>
      </w:r>
      <w:r w:rsidR="00373313" w:rsidRPr="003B017D">
        <w:rPr>
          <w:rFonts w:ascii="Times New Roman" w:hAnsi="Times New Roman" w:cs="Times New Roman"/>
          <w:b/>
          <w:sz w:val="28"/>
          <w:szCs w:val="28"/>
        </w:rPr>
        <w:t>Response Form</w:t>
      </w:r>
      <w:r w:rsidR="00D919A6" w:rsidRPr="003B0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1FD2C3" w14:textId="70B5D167" w:rsidR="00A668E9" w:rsidRDefault="00D90EDF" w:rsidP="00052618">
      <w:pPr>
        <w:pBdr>
          <w:bottom w:val="single" w:sz="6" w:space="1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1C715" wp14:editId="0A2F47F2">
                <wp:simplePos x="0" y="0"/>
                <wp:positionH relativeFrom="column">
                  <wp:posOffset>6350</wp:posOffset>
                </wp:positionH>
                <wp:positionV relativeFrom="paragraph">
                  <wp:posOffset>106680</wp:posOffset>
                </wp:positionV>
                <wp:extent cx="589280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003AE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4pt" to="46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hYzgEAANUDAAAOAAAAZHJzL2Uyb0RvYy54bWysU02P0zAUvCPxHyzfqZOgQjdquoeu4IKg&#10;YhfuXsduLPylZ9Ok/55npw0IWGmFuFixPW/ezPhleztZQ04Sovauo/WqokQ64Xvtjh398vDu1YaS&#10;mLjrufFOdvQsI73dvXyxHUMrGz9400sgSOJiO4aODimFlrEoBml5XPkgHV4qD5Yn3MKR9cBHZLeG&#10;NVX1ho0e+gBeyBjx9G6+pLvCr5QU6ZNSUSZiOoraUlmhrI95Zbstb4/Aw6DFRQb/BxWWa4dNF6o7&#10;njj5DvoPKqsF+OhVWglvmVdKC1k8oJu6+s3N/cCDLF4wnBiWmOL/oxUfTwcguu9oQ4njFp/oPgHX&#10;xyGRvXcOA/RAmpzTGGKL8L07wGUXwwGy6UmBJcro8BVHoMSAxshUUj4vKcspEYGH681Ns6nwMQTe&#10;1TfVurwCm2kyXYCY3ktvSf7oqNEuh8BbfvoQE7ZG6BWSj40jY0df12/XWSXLMmdh5SudjZxRn6VC&#10;oyhgllhGTO4NkBPH4ei/1aU88yEylyhtzFJUFQlPFl2wuUyWsXtu4YIuHb1LS6HVzsPfuqbpKlXN&#10;+Kvr2Wu2/ej7c3mmEgfOTkntMud5OH/dl/Kff+PuBwAAAP//AwBQSwMEFAAGAAgAAAAhAJvucfbZ&#10;AAAABwEAAA8AAABkcnMvZG93bnJldi54bWxMj8FugzAQRO+V8g/WRuqtMc0BAcFEVRE99dK0H+Dg&#10;DZDaa4KdQP6+21N7Ws3MavZtuV+cFTecwuBJwfMmAYHUejNQp+Drs3nKQISoyWjrCRXcMcC+Wj2U&#10;ujB+pg+8HWInuIRCoRX0MY6FlKHt0emw8SMSZyc/OR1ZTp00k5653Fm5TZJUOj0QX+j1iK89tt+H&#10;q1PwHru6bi7n1DZvl2a+y8zWtlXqcb287EBEXOLfMvziMzpUzHT0VzJBWNb8SeSR8gMc59ucjSMb&#10;eQayKuV//uoHAAD//wMAUEsBAi0AFAAGAAgAAAAhALaDOJL+AAAA4QEAABMAAAAAAAAAAAAAAAAA&#10;AAAAAFtDb250ZW50X1R5cGVzXS54bWxQSwECLQAUAAYACAAAACEAOP0h/9YAAACUAQAACwAAAAAA&#10;AAAAAAAAAAAvAQAAX3JlbHMvLnJlbHNQSwECLQAUAAYACAAAACEAuWwoWM4BAADVAwAADgAAAAAA&#10;AAAAAAAAAAAuAgAAZHJzL2Uyb0RvYy54bWxQSwECLQAUAAYACAAAACEAm+5x9tkAAAAHAQAADwAA&#10;AAAAAAAAAAAAAAAoBAAAZHJzL2Rvd25yZXYueG1sUEsFBgAAAAAEAAQA8wAAAC4FAAAAAA==&#10;" strokecolor="black [3040]" strokeweight=".25pt"/>
            </w:pict>
          </mc:Fallback>
        </mc:AlternateContent>
      </w:r>
    </w:p>
    <w:p w14:paraId="270504B7" w14:textId="1D0FC9F9" w:rsidR="00373313" w:rsidRDefault="00373313" w:rsidP="00052618">
      <w:pPr>
        <w:pBdr>
          <w:bottom w:val="single" w:sz="6" w:space="1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reviewing the DPH Allocation Framework, please provide responses to </w:t>
      </w:r>
      <w:r w:rsidR="00B44486">
        <w:rPr>
          <w:rFonts w:ascii="Times New Roman" w:hAnsi="Times New Roman" w:cs="Times New Roman"/>
          <w:sz w:val="24"/>
        </w:rPr>
        <w:t xml:space="preserve">all of </w:t>
      </w:r>
      <w:r>
        <w:rPr>
          <w:rFonts w:ascii="Times New Roman" w:hAnsi="Times New Roman" w:cs="Times New Roman"/>
          <w:sz w:val="24"/>
        </w:rPr>
        <w:t xml:space="preserve">the following questions and return the </w:t>
      </w:r>
      <w:r w:rsidR="00177DEE">
        <w:rPr>
          <w:rFonts w:ascii="Times New Roman" w:hAnsi="Times New Roman" w:cs="Times New Roman"/>
          <w:sz w:val="24"/>
        </w:rPr>
        <w:t>completed R</w:t>
      </w:r>
      <w:r>
        <w:rPr>
          <w:rFonts w:ascii="Times New Roman" w:hAnsi="Times New Roman" w:cs="Times New Roman"/>
          <w:sz w:val="24"/>
        </w:rPr>
        <w:t xml:space="preserve">esponse </w:t>
      </w:r>
      <w:r w:rsidR="00177DE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orm to Katrina Stanziano, </w:t>
      </w:r>
      <w:hyperlink r:id="rId9" w:history="1">
        <w:r w:rsidRPr="0092128F">
          <w:rPr>
            <w:rStyle w:val="Hyperlink"/>
            <w:rFonts w:ascii="Times New Roman" w:hAnsi="Times New Roman" w:cs="Times New Roman"/>
            <w:sz w:val="24"/>
          </w:rPr>
          <w:t>Katrina.Stanziano@mass.gov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6998"/>
      </w:tblGrid>
      <w:tr w:rsidR="00177DEE" w:rsidRPr="00F90034" w14:paraId="590E3B13" w14:textId="77777777" w:rsidTr="00AB3232">
        <w:trPr>
          <w:trHeight w:val="386"/>
        </w:trPr>
        <w:tc>
          <w:tcPr>
            <w:tcW w:w="10368" w:type="dxa"/>
            <w:gridSpan w:val="2"/>
            <w:shd w:val="clear" w:color="auto" w:fill="001C76"/>
            <w:vAlign w:val="center"/>
          </w:tcPr>
          <w:p w14:paraId="06F751EA" w14:textId="77777777" w:rsidR="00177DEE" w:rsidRPr="00F90034" w:rsidRDefault="00177DEE" w:rsidP="00E41218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t>Hospital or Hospital System Information</w:t>
            </w:r>
          </w:p>
        </w:tc>
      </w:tr>
      <w:tr w:rsidR="00177DEE" w:rsidRPr="00F90034" w14:paraId="69792CF9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1FD232B" w14:textId="0EB590D0" w:rsidR="00177DEE" w:rsidRPr="00144E75" w:rsidRDefault="00177DEE" w:rsidP="00E41218">
            <w:pPr>
              <w:rPr>
                <w:rFonts w:ascii="Times New Roman" w:hAnsi="Times New Roman" w:cs="Times New Roman"/>
                <w:b/>
              </w:rPr>
            </w:pPr>
            <w:r w:rsidRPr="00144E75">
              <w:rPr>
                <w:rFonts w:ascii="Times New Roman" w:hAnsi="Times New Roman" w:cs="Times New Roman"/>
                <w:b/>
              </w:rPr>
              <w:t>Hospital Name or Hospital System Name</w:t>
            </w:r>
            <w:r w:rsidR="00EB3CB3" w:rsidRPr="00144E7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373AE53D" w14:textId="77777777" w:rsidR="00177DEE" w:rsidRPr="00F90034" w:rsidRDefault="00177DEE" w:rsidP="00E4121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DEE" w:rsidRPr="00F90034" w14:paraId="7636B11F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8BF4829" w14:textId="6681272B" w:rsidR="00177DEE" w:rsidRPr="00144E75" w:rsidRDefault="00177DEE" w:rsidP="00E41218">
            <w:pPr>
              <w:rPr>
                <w:rFonts w:ascii="Times New Roman" w:hAnsi="Times New Roman" w:cs="Times New Roman"/>
                <w:b/>
              </w:rPr>
            </w:pPr>
            <w:r w:rsidRPr="00144E75">
              <w:rPr>
                <w:rFonts w:ascii="Times New Roman" w:hAnsi="Times New Roman" w:cs="Times New Roman"/>
                <w:b/>
              </w:rPr>
              <w:t>Primary Point of Contact</w:t>
            </w:r>
            <w:r w:rsidR="00EB3CB3" w:rsidRPr="00144E7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0D4048D4" w14:textId="77777777" w:rsidR="00177DEE" w:rsidRPr="00F90034" w:rsidRDefault="00177DEE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355BB7" w:rsidRPr="00F90034" w14:paraId="67CE26FC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6B85273" w14:textId="03C891E3" w:rsidR="00355BB7" w:rsidRPr="00144E75" w:rsidRDefault="00355BB7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144E75">
              <w:rPr>
                <w:rFonts w:ascii="Times New Roman" w:hAnsi="Times New Roman" w:cs="Times New Roman"/>
                <w:b/>
                <w:bCs/>
              </w:rPr>
              <w:t>Primary POC Email</w:t>
            </w:r>
            <w:r w:rsidR="00EB3CB3" w:rsidRPr="00144E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183FEF5B" w14:textId="77777777" w:rsidR="00355BB7" w:rsidRPr="00F90034" w:rsidRDefault="00355BB7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177DEE" w:rsidRPr="00F90034" w14:paraId="5EA85B13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2B35F6BD" w14:textId="40916F35" w:rsidR="00177DEE" w:rsidRPr="00144E75" w:rsidRDefault="00355BB7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144E75">
              <w:rPr>
                <w:rFonts w:ascii="Times New Roman" w:hAnsi="Times New Roman" w:cs="Times New Roman"/>
                <w:b/>
                <w:bCs/>
              </w:rPr>
              <w:t>Primary POC Phone</w:t>
            </w:r>
            <w:r w:rsidR="00EB3CB3" w:rsidRPr="00144E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50476988" w14:textId="77777777" w:rsidR="00177DEE" w:rsidRPr="00F90034" w:rsidRDefault="00177DEE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177DEE" w:rsidRPr="00F90034" w14:paraId="1F03B6D8" w14:textId="77777777" w:rsidTr="00B44486">
        <w:trPr>
          <w:trHeight w:val="260"/>
        </w:trPr>
        <w:tc>
          <w:tcPr>
            <w:tcW w:w="10368" w:type="dxa"/>
            <w:gridSpan w:val="2"/>
            <w:shd w:val="clear" w:color="auto" w:fill="D9D9D9" w:themeFill="background1" w:themeFillShade="D9"/>
            <w:vAlign w:val="center"/>
          </w:tcPr>
          <w:p w14:paraId="481D16E2" w14:textId="12282C5D" w:rsidR="00177DEE" w:rsidRPr="00144E75" w:rsidRDefault="00177DEE" w:rsidP="00E412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DEE" w:rsidRPr="00F90034" w14:paraId="409AD3D1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C8A2EAB" w14:textId="26641182" w:rsidR="00177DEE" w:rsidRPr="00144E75" w:rsidRDefault="00355BB7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144E75">
              <w:rPr>
                <w:rFonts w:ascii="Times New Roman" w:hAnsi="Times New Roman" w:cs="Times New Roman"/>
                <w:b/>
                <w:bCs/>
              </w:rPr>
              <w:t>Secondary Point of Contact</w:t>
            </w:r>
            <w:r w:rsidR="00EB3CB3" w:rsidRPr="00144E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0C2D4ACA" w14:textId="77777777" w:rsidR="00177DEE" w:rsidRPr="00F90034" w:rsidRDefault="00177DEE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177DEE" w:rsidRPr="00F90034" w14:paraId="117DEED7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0EBCC7C1" w14:textId="6800661D" w:rsidR="00177DEE" w:rsidRPr="00144E75" w:rsidRDefault="00355BB7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144E75">
              <w:rPr>
                <w:rFonts w:ascii="Times New Roman" w:hAnsi="Times New Roman" w:cs="Times New Roman"/>
                <w:b/>
                <w:bCs/>
              </w:rPr>
              <w:t>Secondary POC Email</w:t>
            </w:r>
            <w:r w:rsidR="00EB3CB3" w:rsidRPr="00144E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7B47EDE2" w14:textId="77777777" w:rsidR="00177DEE" w:rsidRPr="00F90034" w:rsidRDefault="00177DEE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177DEE" w:rsidRPr="00F90034" w14:paraId="7BFF6CFD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27406BC6" w14:textId="725A6815" w:rsidR="00177DEE" w:rsidRPr="00144E75" w:rsidRDefault="00355BB7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144E75">
              <w:rPr>
                <w:rFonts w:ascii="Times New Roman" w:hAnsi="Times New Roman" w:cs="Times New Roman"/>
                <w:b/>
                <w:bCs/>
              </w:rPr>
              <w:t>Secondary POC Phone</w:t>
            </w:r>
            <w:r w:rsidR="00EB3CB3" w:rsidRPr="00144E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6D735136" w14:textId="77777777" w:rsidR="00177DEE" w:rsidRPr="00F90034" w:rsidRDefault="00177DEE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355BB7" w:rsidRPr="00F90034" w14:paraId="42FA3342" w14:textId="77777777" w:rsidTr="00B44486">
        <w:trPr>
          <w:trHeight w:val="278"/>
        </w:trPr>
        <w:tc>
          <w:tcPr>
            <w:tcW w:w="10368" w:type="dxa"/>
            <w:gridSpan w:val="2"/>
            <w:shd w:val="clear" w:color="auto" w:fill="D9D9D9" w:themeFill="background1" w:themeFillShade="D9"/>
            <w:vAlign w:val="center"/>
          </w:tcPr>
          <w:p w14:paraId="28FE6876" w14:textId="77777777" w:rsidR="00355BB7" w:rsidRPr="00144E75" w:rsidRDefault="00355BB7" w:rsidP="00E412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5BB7" w:rsidRPr="00F90034" w14:paraId="25261773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38D5441" w14:textId="1157F002" w:rsidR="00355BB7" w:rsidRPr="00144E75" w:rsidRDefault="00355BB7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144E75">
              <w:rPr>
                <w:rFonts w:ascii="Times New Roman" w:hAnsi="Times New Roman" w:cs="Times New Roman"/>
                <w:b/>
                <w:bCs/>
              </w:rPr>
              <w:t>Delivery Address</w:t>
            </w:r>
            <w:r w:rsidR="00EB3CB3" w:rsidRPr="00144E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2FE5FCF5" w14:textId="77777777" w:rsidR="00355BB7" w:rsidRPr="00F90034" w:rsidRDefault="00355BB7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355BB7" w:rsidRPr="00F90034" w14:paraId="425D4E38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33D0307A" w14:textId="759F324C" w:rsidR="00355BB7" w:rsidRPr="00144E75" w:rsidRDefault="00355BB7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144E75">
              <w:rPr>
                <w:rFonts w:ascii="Times New Roman" w:hAnsi="Times New Roman" w:cs="Times New Roman"/>
                <w:b/>
                <w:bCs/>
              </w:rPr>
              <w:t>Delivery Instructions</w:t>
            </w:r>
            <w:r w:rsidR="00EB3CB3" w:rsidRPr="00144E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54E077B5" w14:textId="77777777" w:rsidR="00355BB7" w:rsidRPr="00F90034" w:rsidRDefault="00355BB7" w:rsidP="00E41218">
            <w:pPr>
              <w:rPr>
                <w:rFonts w:ascii="Times New Roman" w:hAnsi="Times New Roman" w:cs="Times New Roman"/>
              </w:rPr>
            </w:pPr>
          </w:p>
        </w:tc>
      </w:tr>
      <w:tr w:rsidR="00355BB7" w:rsidRPr="00F90034" w14:paraId="56D69C06" w14:textId="77777777" w:rsidTr="00B44486">
        <w:trPr>
          <w:trHeight w:val="278"/>
        </w:trPr>
        <w:tc>
          <w:tcPr>
            <w:tcW w:w="10368" w:type="dxa"/>
            <w:gridSpan w:val="2"/>
            <w:shd w:val="clear" w:color="auto" w:fill="D9D9D9" w:themeFill="background1" w:themeFillShade="D9"/>
            <w:vAlign w:val="center"/>
          </w:tcPr>
          <w:p w14:paraId="7710B402" w14:textId="77777777" w:rsidR="00355BB7" w:rsidRPr="00F90034" w:rsidRDefault="00355BB7" w:rsidP="00E412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5BB7" w:rsidRPr="00F90034" w14:paraId="269737AE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022C7038" w14:textId="03E21FF8" w:rsidR="00355BB7" w:rsidRPr="00355BB7" w:rsidRDefault="00355BB7" w:rsidP="00E4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              </w:t>
            </w: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7DD9C63E" w14:textId="3A84D966" w:rsidR="00355BB7" w:rsidRPr="00F90034" w:rsidRDefault="00355BB7" w:rsidP="00E4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hospital or hospital system can establish, at least 5 days per week infusion capacity for </w:t>
            </w:r>
            <w:r w:rsidR="00836446">
              <w:rPr>
                <w:rFonts w:ascii="Times New Roman" w:hAnsi="Times New Roman" w:cs="Times New Roman"/>
              </w:rPr>
              <w:t xml:space="preserve">individuals with </w:t>
            </w:r>
            <w:r>
              <w:rPr>
                <w:rFonts w:ascii="Times New Roman" w:hAnsi="Times New Roman" w:cs="Times New Roman"/>
              </w:rPr>
              <w:t>COVID</w:t>
            </w:r>
            <w:r w:rsidR="008E4795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in accordance with the bamlanivimab </w:t>
            </w:r>
            <w:r w:rsidR="00D0268D" w:rsidRPr="00D0268D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="00D0268D" w:rsidRPr="00D0268D">
              <w:rPr>
                <w:rFonts w:ascii="Times New Roman" w:hAnsi="Times New Roman" w:cs="Times New Roman"/>
              </w:rPr>
              <w:t>casirivimab</w:t>
            </w:r>
            <w:proofErr w:type="spellEnd"/>
            <w:r w:rsidR="00D0268D" w:rsidRPr="00D0268D">
              <w:rPr>
                <w:rFonts w:ascii="Times New Roman" w:hAnsi="Times New Roman" w:cs="Times New Roman"/>
              </w:rPr>
              <w:t>/</w:t>
            </w:r>
            <w:proofErr w:type="spellStart"/>
            <w:r w:rsidR="00D0268D" w:rsidRPr="00D0268D">
              <w:rPr>
                <w:rFonts w:ascii="Times New Roman" w:hAnsi="Times New Roman" w:cs="Times New Roman"/>
              </w:rPr>
              <w:t>imdevimab</w:t>
            </w:r>
            <w:proofErr w:type="spellEnd"/>
            <w:r w:rsidR="00D0268D" w:rsidRPr="00D026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EUA</w:t>
            </w:r>
            <w:r w:rsidR="00D0268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3CB3" w:rsidRPr="00F90034" w14:paraId="20655676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0C4985CF" w14:textId="628D1854" w:rsidR="00EB3CB3" w:rsidRPr="00355BB7" w:rsidRDefault="00EB3CB3" w:rsidP="00E4121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              </w:t>
            </w: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7B9F113D" w14:textId="30CF009F" w:rsidR="00EB3CB3" w:rsidRDefault="00EB3CB3" w:rsidP="00E4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hospital or hospital system will i</w:t>
            </w:r>
            <w:r w:rsidRPr="00EB3CB3">
              <w:rPr>
                <w:rFonts w:ascii="Times New Roman" w:hAnsi="Times New Roman" w:cs="Times New Roman"/>
              </w:rPr>
              <w:t xml:space="preserve">mplement the </w:t>
            </w:r>
            <w:r w:rsidR="00AB3232">
              <w:rPr>
                <w:rFonts w:ascii="Times New Roman" w:hAnsi="Times New Roman" w:cs="Times New Roman"/>
              </w:rPr>
              <w:t>DPH A</w:t>
            </w:r>
            <w:r w:rsidRPr="00EB3CB3">
              <w:rPr>
                <w:rFonts w:ascii="Times New Roman" w:hAnsi="Times New Roman" w:cs="Times New Roman"/>
              </w:rPr>
              <w:t xml:space="preserve">llocation </w:t>
            </w:r>
            <w:r w:rsidR="00AB3232">
              <w:rPr>
                <w:rFonts w:ascii="Times New Roman" w:hAnsi="Times New Roman" w:cs="Times New Roman"/>
              </w:rPr>
              <w:t>F</w:t>
            </w:r>
            <w:r w:rsidRPr="00EB3CB3">
              <w:rPr>
                <w:rFonts w:ascii="Times New Roman" w:hAnsi="Times New Roman" w:cs="Times New Roman"/>
              </w:rPr>
              <w:t>ramework that selects patients from among those meeting eligibility criteria.</w:t>
            </w:r>
          </w:p>
        </w:tc>
      </w:tr>
      <w:tr w:rsidR="00355BB7" w:rsidRPr="00F90034" w14:paraId="450540D4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23FE20F" w14:textId="7BC83476" w:rsidR="00355BB7" w:rsidRPr="00355BB7" w:rsidRDefault="005156C5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              </w:t>
            </w: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37D016BE" w14:textId="300797FF" w:rsidR="00355BB7" w:rsidRPr="00F90034" w:rsidRDefault="005156C5" w:rsidP="00E4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hospital or hospital system can establish infusion capacity for </w:t>
            </w:r>
            <w:r w:rsidR="00836446">
              <w:rPr>
                <w:rFonts w:ascii="Times New Roman" w:hAnsi="Times New Roman" w:cs="Times New Roman"/>
              </w:rPr>
              <w:t xml:space="preserve">individuals with </w:t>
            </w:r>
            <w:r>
              <w:rPr>
                <w:rFonts w:ascii="Times New Roman" w:hAnsi="Times New Roman" w:cs="Times New Roman"/>
              </w:rPr>
              <w:t>COVID</w:t>
            </w:r>
            <w:r w:rsidR="00F37C6C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in accordance with all applicable </w:t>
            </w:r>
            <w:r w:rsidR="00256F7C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4795">
              <w:rPr>
                <w:rFonts w:ascii="Times New Roman" w:hAnsi="Times New Roman" w:cs="Times New Roman"/>
              </w:rPr>
              <w:t xml:space="preserve">and federal </w:t>
            </w:r>
            <w:r>
              <w:rPr>
                <w:rFonts w:ascii="Times New Roman" w:hAnsi="Times New Roman" w:cs="Times New Roman"/>
              </w:rPr>
              <w:t>requirements</w:t>
            </w:r>
            <w:r w:rsidR="008E4795">
              <w:rPr>
                <w:rStyle w:val="EndnoteReference"/>
                <w:rFonts w:ascii="Times New Roman" w:hAnsi="Times New Roman" w:cs="Times New Roman"/>
              </w:rPr>
              <w:endnoteReference w:id="1"/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55BB7" w:rsidRPr="00F90034" w14:paraId="16D06C9A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594DBA1" w14:textId="09A72922" w:rsidR="00355BB7" w:rsidRPr="00355BB7" w:rsidRDefault="00256F7C" w:rsidP="00E412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Weekly Total: 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6ABAAECA" w14:textId="23326A78" w:rsidR="00355BB7" w:rsidRPr="00F90034" w:rsidRDefault="00256F7C" w:rsidP="00E4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the total number of infusions my hospital or hospital system can administer each week.  </w:t>
            </w:r>
          </w:p>
        </w:tc>
      </w:tr>
      <w:tr w:rsidR="00256F7C" w:rsidRPr="00F90034" w14:paraId="28F56899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A60E876" w14:textId="720D0166" w:rsidR="00256F7C" w:rsidRPr="00355BB7" w:rsidRDefault="00256F7C" w:rsidP="00E41218">
            <w:pPr>
              <w:rPr>
                <w:rFonts w:ascii="Times New Roman" w:hAnsi="Times New Roman" w:cs="Times New Roman"/>
                <w:b/>
                <w:bCs/>
              </w:rPr>
            </w:pP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              </w:t>
            </w: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22C2DF18" w14:textId="578AA356" w:rsidR="00256F7C" w:rsidRDefault="00256F7C" w:rsidP="00E4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hospital or hospital system has established a central number and point of contact for individuals and clinicians to call for appointments. </w:t>
            </w:r>
          </w:p>
        </w:tc>
      </w:tr>
      <w:tr w:rsidR="00EB3CB3" w:rsidRPr="00F90034" w14:paraId="47872D51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2408F42D" w14:textId="28463011" w:rsidR="00EB3CB3" w:rsidRPr="00355BB7" w:rsidRDefault="00EB3CB3" w:rsidP="00EB3C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Central Number: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068C1826" w14:textId="77777777" w:rsidR="00EB3CB3" w:rsidRDefault="00EB3CB3" w:rsidP="00EB3CB3">
            <w:pPr>
              <w:rPr>
                <w:rFonts w:ascii="Times New Roman" w:hAnsi="Times New Roman" w:cs="Times New Roman"/>
              </w:rPr>
            </w:pPr>
          </w:p>
        </w:tc>
      </w:tr>
      <w:tr w:rsidR="00EB3CB3" w:rsidRPr="00F90034" w14:paraId="4B685796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D9A4662" w14:textId="27AEBF8A" w:rsidR="00EB3CB3" w:rsidRPr="00355BB7" w:rsidRDefault="00EB3CB3" w:rsidP="00EB3C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Point of Contact: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228B0C6C" w14:textId="77777777" w:rsidR="00EB3CB3" w:rsidRDefault="00EB3CB3" w:rsidP="00EB3CB3">
            <w:pPr>
              <w:rPr>
                <w:rFonts w:ascii="Times New Roman" w:hAnsi="Times New Roman" w:cs="Times New Roman"/>
              </w:rPr>
            </w:pPr>
          </w:p>
        </w:tc>
      </w:tr>
      <w:tr w:rsidR="00EB3CB3" w:rsidRPr="00F90034" w14:paraId="73D71D0E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0068776B" w14:textId="28153F12" w:rsidR="00EB3CB3" w:rsidRDefault="00EB3CB3" w:rsidP="00EB3CB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              </w:t>
            </w: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42B9FACB" w14:textId="6EEED1A7" w:rsidR="00EB3CB3" w:rsidRDefault="00EB3CB3" w:rsidP="00EB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hospital or hospital system will </w:t>
            </w:r>
            <w:r w:rsidRPr="00EB3CB3">
              <w:rPr>
                <w:rFonts w:ascii="Times New Roman" w:hAnsi="Times New Roman" w:cs="Times New Roman"/>
              </w:rPr>
              <w:t xml:space="preserve">share information about the central number with testing sites, community health centers, clinicians and others in </w:t>
            </w:r>
            <w:r>
              <w:rPr>
                <w:rFonts w:ascii="Times New Roman" w:hAnsi="Times New Roman" w:cs="Times New Roman"/>
              </w:rPr>
              <w:t>our</w:t>
            </w:r>
            <w:r w:rsidRPr="00EB3CB3">
              <w:rPr>
                <w:rFonts w:ascii="Times New Roman" w:hAnsi="Times New Roman" w:cs="Times New Roman"/>
              </w:rPr>
              <w:t xml:space="preserve"> catchment area.</w:t>
            </w:r>
          </w:p>
        </w:tc>
      </w:tr>
      <w:tr w:rsidR="00EB3CB3" w:rsidRPr="00F90034" w14:paraId="50DE74B3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38A9ECC" w14:textId="54465C29" w:rsidR="00EB3CB3" w:rsidRPr="00355BB7" w:rsidRDefault="00EB3CB3" w:rsidP="00EB3C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              </w:t>
            </w: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57FAF038" w14:textId="5DCB9D38" w:rsidR="00EB3CB3" w:rsidRDefault="00EB3CB3" w:rsidP="00EB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hospital or hospital system will d</w:t>
            </w:r>
            <w:r w:rsidRPr="00EB3CB3">
              <w:rPr>
                <w:rFonts w:ascii="Times New Roman" w:hAnsi="Times New Roman" w:cs="Times New Roman"/>
              </w:rPr>
              <w:t xml:space="preserve">evelop strategies to meet the transportation needs for </w:t>
            </w:r>
            <w:r w:rsidR="00836446" w:rsidRPr="00EB3CB3">
              <w:rPr>
                <w:rFonts w:ascii="Times New Roman" w:hAnsi="Times New Roman" w:cs="Times New Roman"/>
              </w:rPr>
              <w:t xml:space="preserve">individuals </w:t>
            </w:r>
            <w:r w:rsidR="00836446">
              <w:rPr>
                <w:rFonts w:ascii="Times New Roman" w:hAnsi="Times New Roman" w:cs="Times New Roman"/>
              </w:rPr>
              <w:t xml:space="preserve">with </w:t>
            </w:r>
            <w:r w:rsidRPr="00EB3CB3">
              <w:rPr>
                <w:rFonts w:ascii="Times New Roman" w:hAnsi="Times New Roman" w:cs="Times New Roman"/>
              </w:rPr>
              <w:t>COVID</w:t>
            </w:r>
            <w:r w:rsidR="00D0268D">
              <w:rPr>
                <w:rFonts w:ascii="Times New Roman" w:hAnsi="Times New Roman" w:cs="Times New Roman"/>
              </w:rPr>
              <w:t>-19</w:t>
            </w:r>
            <w:r w:rsidRPr="00EB3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who are </w:t>
            </w:r>
            <w:r w:rsidRPr="00EB3CB3">
              <w:rPr>
                <w:rFonts w:ascii="Times New Roman" w:hAnsi="Times New Roman" w:cs="Times New Roman"/>
              </w:rPr>
              <w:t xml:space="preserve">without </w:t>
            </w:r>
            <w:r>
              <w:rPr>
                <w:rFonts w:ascii="Times New Roman" w:hAnsi="Times New Roman" w:cs="Times New Roman"/>
              </w:rPr>
              <w:t>transportation</w:t>
            </w:r>
            <w:r w:rsidRPr="00EB3CB3">
              <w:rPr>
                <w:rFonts w:ascii="Times New Roman" w:hAnsi="Times New Roman" w:cs="Times New Roman"/>
              </w:rPr>
              <w:t xml:space="preserve"> resources.</w:t>
            </w:r>
          </w:p>
        </w:tc>
      </w:tr>
      <w:tr w:rsidR="00EB3CB3" w:rsidRPr="00F90034" w14:paraId="3E5AB0E4" w14:textId="77777777" w:rsidTr="00B44486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8F42715" w14:textId="1526E50F" w:rsidR="00EB3CB3" w:rsidRPr="00355BB7" w:rsidRDefault="00EB3CB3" w:rsidP="00EB3C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              </w:t>
            </w:r>
            <w:r w:rsidRPr="00355B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E1E8FF"/>
            <w:vAlign w:val="center"/>
          </w:tcPr>
          <w:p w14:paraId="698C16FC" w14:textId="110984BB" w:rsidR="00EB3CB3" w:rsidRDefault="00EB3CB3" w:rsidP="00EB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hospital or hospital system will report data on a weekly basis to DPH as directed. </w:t>
            </w:r>
          </w:p>
        </w:tc>
      </w:tr>
    </w:tbl>
    <w:p w14:paraId="082957B4" w14:textId="0DD9C96B" w:rsidR="00373313" w:rsidRPr="00177DEE" w:rsidRDefault="00177DEE" w:rsidP="00052618">
      <w:pPr>
        <w:pBdr>
          <w:bottom w:val="single" w:sz="6" w:space="1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36"/>
          <w:szCs w:val="36"/>
        </w:rPr>
        <w:lastRenderedPageBreak/>
        <w:tab/>
      </w:r>
    </w:p>
    <w:sectPr w:rsidR="00373313" w:rsidRPr="00177DEE" w:rsidSect="00AB3232">
      <w:headerReference w:type="even" r:id="rId10"/>
      <w:headerReference w:type="default" r:id="rId11"/>
      <w:headerReference w:type="first" r:id="rId12"/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F404" w14:textId="77777777" w:rsidR="00273EC0" w:rsidRDefault="00273EC0" w:rsidP="00B740B8">
      <w:r>
        <w:separator/>
      </w:r>
    </w:p>
  </w:endnote>
  <w:endnote w:type="continuationSeparator" w:id="0">
    <w:p w14:paraId="59756AD7" w14:textId="77777777" w:rsidR="00273EC0" w:rsidRDefault="00273EC0" w:rsidP="00B740B8">
      <w:r>
        <w:continuationSeparator/>
      </w:r>
    </w:p>
  </w:endnote>
  <w:endnote w:id="1">
    <w:p w14:paraId="48665C14" w14:textId="5C63C4FC" w:rsidR="008E4795" w:rsidRDefault="008E4795" w:rsidP="008E4795">
      <w:pPr>
        <w:rPr>
          <w:color w:val="1F497D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1F497D"/>
        </w:rPr>
        <w:t>Hospitals</w:t>
      </w:r>
      <w:r w:rsidR="009A2437">
        <w:rPr>
          <w:color w:val="1F497D"/>
        </w:rPr>
        <w:t xml:space="preserve"> accepting</w:t>
      </w:r>
      <w:r>
        <w:rPr>
          <w:color w:val="1F497D"/>
        </w:rPr>
        <w:t xml:space="preserve"> Bamlanivimab</w:t>
      </w:r>
      <w:r w:rsidR="009A2437">
        <w:rPr>
          <w:color w:val="1F497D"/>
        </w:rPr>
        <w:t xml:space="preserve"> from the Commonwealth to be provided to patients</w:t>
      </w:r>
      <w:r>
        <w:rPr>
          <w:color w:val="1F497D"/>
        </w:rPr>
        <w:t xml:space="preserve"> </w:t>
      </w:r>
      <w:r w:rsidR="00E15C0D">
        <w:rPr>
          <w:color w:val="1F497D"/>
        </w:rPr>
        <w:t>u</w:t>
      </w:r>
      <w:r>
        <w:rPr>
          <w:color w:val="1F497D"/>
        </w:rPr>
        <w:t>nder federal and state regulations</w:t>
      </w:r>
      <w:r w:rsidR="009A2437">
        <w:rPr>
          <w:color w:val="1F497D"/>
        </w:rPr>
        <w:t xml:space="preserve"> agree to</w:t>
      </w:r>
      <w:r>
        <w:rPr>
          <w:color w:val="1F497D"/>
        </w:rPr>
        <w:t xml:space="preserve"> the following:</w:t>
      </w:r>
    </w:p>
    <w:p w14:paraId="19E74628" w14:textId="77777777" w:rsidR="008E4795" w:rsidRDefault="008E4795" w:rsidP="008E4795">
      <w:pPr>
        <w:rPr>
          <w:color w:val="1F497D"/>
        </w:rPr>
      </w:pPr>
    </w:p>
    <w:p w14:paraId="587B2CAB" w14:textId="30E8B998" w:rsidR="008E4795" w:rsidRDefault="008E4795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>Provide and obtain a fully informed</w:t>
      </w:r>
      <w:r w:rsidR="00E15C0D">
        <w:rPr>
          <w:color w:val="1F497D"/>
        </w:rPr>
        <w:t xml:space="preserve"> patient</w:t>
      </w:r>
      <w:r>
        <w:rPr>
          <w:color w:val="1F497D"/>
        </w:rPr>
        <w:t xml:space="preserve"> consent for the administration of the med</w:t>
      </w:r>
      <w:r w:rsidR="00E15C0D">
        <w:rPr>
          <w:color w:val="1F497D"/>
        </w:rPr>
        <w:t>ication that</w:t>
      </w:r>
      <w:r>
        <w:rPr>
          <w:color w:val="1F497D"/>
        </w:rPr>
        <w:t xml:space="preserve"> include</w:t>
      </w:r>
      <w:r w:rsidR="00E15C0D">
        <w:rPr>
          <w:color w:val="1F497D"/>
        </w:rPr>
        <w:t>s</w:t>
      </w:r>
      <w:r>
        <w:rPr>
          <w:color w:val="1F497D"/>
        </w:rPr>
        <w:t xml:space="preserve"> its risks and benefits;</w:t>
      </w:r>
    </w:p>
    <w:p w14:paraId="086D888C" w14:textId="224778FC" w:rsidR="008E4795" w:rsidRDefault="008E4795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 xml:space="preserve">Provide competent and trained staff who have experience to administer the </w:t>
      </w:r>
      <w:r w:rsidR="00E15C0D">
        <w:rPr>
          <w:color w:val="1F497D"/>
        </w:rPr>
        <w:t xml:space="preserve">intravenous </w:t>
      </w:r>
      <w:r>
        <w:rPr>
          <w:color w:val="1F497D"/>
        </w:rPr>
        <w:t>medications;</w:t>
      </w:r>
    </w:p>
    <w:p w14:paraId="6D1C0FF7" w14:textId="66E66456" w:rsidR="008E4795" w:rsidRDefault="008E4795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>Have complete physician</w:t>
      </w:r>
      <w:r w:rsidR="00E15C0D">
        <w:rPr>
          <w:color w:val="1F497D"/>
        </w:rPr>
        <w:t>/provider</w:t>
      </w:r>
      <w:r>
        <w:rPr>
          <w:color w:val="1F497D"/>
        </w:rPr>
        <w:t xml:space="preserve"> orders for the </w:t>
      </w:r>
      <w:r w:rsidR="00E15C0D">
        <w:rPr>
          <w:color w:val="1F497D"/>
        </w:rPr>
        <w:t>medication that</w:t>
      </w:r>
      <w:r>
        <w:rPr>
          <w:color w:val="1F497D"/>
        </w:rPr>
        <w:t xml:space="preserve"> include patient name, dose, how to administer over time (</w:t>
      </w:r>
      <w:r w:rsidR="00E15C0D">
        <w:rPr>
          <w:color w:val="1F497D"/>
        </w:rPr>
        <w:t>i.e. route, length of time to administer</w:t>
      </w:r>
      <w:r>
        <w:rPr>
          <w:color w:val="1F497D"/>
        </w:rPr>
        <w:t>).</w:t>
      </w:r>
    </w:p>
    <w:p w14:paraId="689D5DE8" w14:textId="63A15DA6" w:rsidR="008E4795" w:rsidRDefault="00E15C0D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>If the medication arrives at the hospital and</w:t>
      </w:r>
      <w:r w:rsidR="008E4795">
        <w:rPr>
          <w:color w:val="1F497D"/>
        </w:rPr>
        <w:t xml:space="preserve"> must be compounded, </w:t>
      </w:r>
      <w:r>
        <w:rPr>
          <w:color w:val="1F497D"/>
        </w:rPr>
        <w:t xml:space="preserve">there must be </w:t>
      </w:r>
      <w:r w:rsidR="008E4795">
        <w:rPr>
          <w:color w:val="1F497D"/>
        </w:rPr>
        <w:t xml:space="preserve">written policies and procedures for compounding </w:t>
      </w:r>
      <w:r>
        <w:rPr>
          <w:color w:val="1F497D"/>
        </w:rPr>
        <w:t>that</w:t>
      </w:r>
      <w:r w:rsidR="008E4795">
        <w:rPr>
          <w:color w:val="1F497D"/>
        </w:rPr>
        <w:t xml:space="preserve"> follow USP 797 guidance</w:t>
      </w:r>
      <w:r>
        <w:rPr>
          <w:color w:val="1F497D"/>
        </w:rPr>
        <w:t>.</w:t>
      </w:r>
    </w:p>
    <w:p w14:paraId="40928A1D" w14:textId="10433903" w:rsidR="00FA4F5D" w:rsidRDefault="00FA4F5D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>Infusions must be performed as specified in the EUAs (i.e., over one hour and with one hour of post-infusion monitoring</w:t>
      </w:r>
    </w:p>
    <w:p w14:paraId="78286BC3" w14:textId="05E045E0" w:rsidR="008E4795" w:rsidRDefault="00E15C0D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>I</w:t>
      </w:r>
      <w:r w:rsidR="008E4795">
        <w:rPr>
          <w:color w:val="1F497D"/>
        </w:rPr>
        <w:t xml:space="preserve">nfection control </w:t>
      </w:r>
      <w:r>
        <w:rPr>
          <w:color w:val="1F497D"/>
        </w:rPr>
        <w:t xml:space="preserve">policies and procedures that address caring for patients infected with COVID-19 </w:t>
      </w:r>
      <w:r w:rsidR="008E4795">
        <w:rPr>
          <w:color w:val="1F497D"/>
        </w:rPr>
        <w:t>includin</w:t>
      </w:r>
      <w:r>
        <w:rPr>
          <w:color w:val="1F497D"/>
        </w:rPr>
        <w:t>g</w:t>
      </w:r>
      <w:r w:rsidR="00DF10AB">
        <w:rPr>
          <w:color w:val="1F497D"/>
        </w:rPr>
        <w:t xml:space="preserve"> but not limited to</w:t>
      </w:r>
      <w:r>
        <w:rPr>
          <w:color w:val="1F497D"/>
        </w:rPr>
        <w:t xml:space="preserve"> health care personnel</w:t>
      </w:r>
      <w:r w:rsidR="008E4795">
        <w:rPr>
          <w:color w:val="1F497D"/>
        </w:rPr>
        <w:t xml:space="preserve"> wearing proper PPE </w:t>
      </w:r>
      <w:r>
        <w:rPr>
          <w:color w:val="1F497D"/>
        </w:rPr>
        <w:t>during medication</w:t>
      </w:r>
      <w:r w:rsidR="008E4795">
        <w:rPr>
          <w:color w:val="1F497D"/>
        </w:rPr>
        <w:t xml:space="preserve"> initiation and administration</w:t>
      </w:r>
      <w:r>
        <w:rPr>
          <w:color w:val="1F497D"/>
        </w:rPr>
        <w:t>,</w:t>
      </w:r>
      <w:r w:rsidR="00DF10AB">
        <w:rPr>
          <w:color w:val="1F497D"/>
        </w:rPr>
        <w:t xml:space="preserve"> and</w:t>
      </w:r>
      <w:r>
        <w:rPr>
          <w:color w:val="1F497D"/>
        </w:rPr>
        <w:t xml:space="preserve"> social distancing, when possible</w:t>
      </w:r>
      <w:r w:rsidR="008E4795">
        <w:rPr>
          <w:color w:val="1F497D"/>
        </w:rPr>
        <w:t xml:space="preserve">. </w:t>
      </w:r>
      <w:r w:rsidR="00DF10AB">
        <w:rPr>
          <w:color w:val="1F497D"/>
        </w:rPr>
        <w:t>I</w:t>
      </w:r>
      <w:r w:rsidR="008E4795">
        <w:rPr>
          <w:color w:val="1F497D"/>
        </w:rPr>
        <w:t>nfusion</w:t>
      </w:r>
      <w:r w:rsidR="00DF10AB">
        <w:rPr>
          <w:color w:val="1F497D"/>
        </w:rPr>
        <w:t>s</w:t>
      </w:r>
      <w:r w:rsidR="008E4795">
        <w:rPr>
          <w:color w:val="1F497D"/>
        </w:rPr>
        <w:t xml:space="preserve"> should not be given in the same areas where patients with immunocompromised conditions are treated per manufacturer</w:t>
      </w:r>
      <w:r w:rsidR="00DF10AB">
        <w:rPr>
          <w:color w:val="1F497D"/>
        </w:rPr>
        <w:t>’</w:t>
      </w:r>
      <w:r w:rsidR="008E4795">
        <w:rPr>
          <w:color w:val="1F497D"/>
        </w:rPr>
        <w:t xml:space="preserve">s directions for use. </w:t>
      </w:r>
    </w:p>
    <w:p w14:paraId="41BB19EA" w14:textId="5755C77A" w:rsidR="008E4795" w:rsidRDefault="00267E21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>Hospital s</w:t>
      </w:r>
      <w:r w:rsidR="008E4795">
        <w:rPr>
          <w:color w:val="1F497D"/>
        </w:rPr>
        <w:t xml:space="preserve">afety </w:t>
      </w:r>
      <w:r>
        <w:rPr>
          <w:color w:val="1F497D"/>
        </w:rPr>
        <w:t xml:space="preserve">policies and procedures </w:t>
      </w:r>
      <w:r w:rsidR="00DF10AB">
        <w:rPr>
          <w:color w:val="1F497D"/>
        </w:rPr>
        <w:t xml:space="preserve">must </w:t>
      </w:r>
      <w:r w:rsidR="008E4795">
        <w:rPr>
          <w:color w:val="1F497D"/>
        </w:rPr>
        <w:t>include following all manufacturer’s directions for use which inclu</w:t>
      </w:r>
      <w:r w:rsidR="005D03CD">
        <w:rPr>
          <w:color w:val="1F497D"/>
        </w:rPr>
        <w:t>de patient selection criteria (f</w:t>
      </w:r>
      <w:r w:rsidR="008E4795">
        <w:rPr>
          <w:color w:val="1F497D"/>
        </w:rPr>
        <w:t>or example, use in early stages of COVID</w:t>
      </w:r>
      <w:r w:rsidR="00836446">
        <w:rPr>
          <w:color w:val="1F497D"/>
        </w:rPr>
        <w:t>-19</w:t>
      </w:r>
      <w:r w:rsidR="008E4795">
        <w:rPr>
          <w:color w:val="1F497D"/>
        </w:rPr>
        <w:t xml:space="preserve"> illness. Per FDA not authorized for patients who are hospitalized due to COVID</w:t>
      </w:r>
      <w:r w:rsidR="00836446">
        <w:rPr>
          <w:color w:val="1F497D"/>
        </w:rPr>
        <w:t>-19</w:t>
      </w:r>
      <w:r w:rsidR="008E4795">
        <w:rPr>
          <w:color w:val="1F497D"/>
        </w:rPr>
        <w:t xml:space="preserve"> or require oxygen therapy.</w:t>
      </w:r>
    </w:p>
    <w:p w14:paraId="41DE0C6F" w14:textId="00D61C62" w:rsidR="008E4795" w:rsidRDefault="008E4795" w:rsidP="008E4795">
      <w:pPr>
        <w:numPr>
          <w:ilvl w:val="0"/>
          <w:numId w:val="5"/>
        </w:numPr>
        <w:rPr>
          <w:color w:val="1F497D"/>
        </w:rPr>
      </w:pPr>
      <w:r>
        <w:rPr>
          <w:color w:val="1F497D"/>
        </w:rPr>
        <w:t xml:space="preserve">The environment in which the </w:t>
      </w:r>
      <w:r w:rsidR="00DF10AB">
        <w:rPr>
          <w:color w:val="1F497D"/>
        </w:rPr>
        <w:t>medication i</w:t>
      </w:r>
      <w:r>
        <w:rPr>
          <w:color w:val="1F497D"/>
        </w:rPr>
        <w:t>s administered should have immediate access to medications to treat allergic reactions (</w:t>
      </w:r>
      <w:r w:rsidR="00BA164B">
        <w:rPr>
          <w:color w:val="1F497D"/>
        </w:rPr>
        <w:t>i.e.,</w:t>
      </w:r>
      <w:r w:rsidR="00DF10AB">
        <w:rPr>
          <w:color w:val="1F497D"/>
        </w:rPr>
        <w:t xml:space="preserve"> e</w:t>
      </w:r>
      <w:r>
        <w:rPr>
          <w:color w:val="1F497D"/>
        </w:rPr>
        <w:t>pi</w:t>
      </w:r>
      <w:r w:rsidR="00DF10AB">
        <w:rPr>
          <w:color w:val="1F497D"/>
        </w:rPr>
        <w:t>nephrine</w:t>
      </w:r>
      <w:r>
        <w:rPr>
          <w:color w:val="1F497D"/>
        </w:rPr>
        <w:t xml:space="preserve">, Benadryl, </w:t>
      </w:r>
      <w:proofErr w:type="spellStart"/>
      <w:r w:rsidR="00E82075">
        <w:rPr>
          <w:color w:val="1F497D"/>
        </w:rPr>
        <w:t>S</w:t>
      </w:r>
      <w:r>
        <w:rPr>
          <w:color w:val="1F497D"/>
        </w:rPr>
        <w:t>oluc</w:t>
      </w:r>
      <w:proofErr w:type="spellEnd"/>
      <w:r w:rsidR="00E82075">
        <w:rPr>
          <w:color w:val="1F497D"/>
        </w:rPr>
        <w:t xml:space="preserve"> </w:t>
      </w:r>
      <w:proofErr w:type="spellStart"/>
      <w:r w:rsidR="00E82075">
        <w:rPr>
          <w:color w:val="1F497D"/>
        </w:rPr>
        <w:t>Co</w:t>
      </w:r>
      <w:r>
        <w:rPr>
          <w:color w:val="1F497D"/>
        </w:rPr>
        <w:t>rtef</w:t>
      </w:r>
      <w:proofErr w:type="spellEnd"/>
      <w:r>
        <w:rPr>
          <w:color w:val="1F497D"/>
        </w:rPr>
        <w:t xml:space="preserve">), a way to </w:t>
      </w:r>
      <w:r w:rsidR="005D03CD">
        <w:rPr>
          <w:color w:val="1F497D"/>
        </w:rPr>
        <w:t>activate the Emergency Medical S</w:t>
      </w:r>
      <w:r>
        <w:rPr>
          <w:color w:val="1F497D"/>
        </w:rPr>
        <w:t xml:space="preserve">ystem </w:t>
      </w:r>
      <w:r w:rsidR="005D03CD">
        <w:rPr>
          <w:color w:val="1F497D"/>
        </w:rPr>
        <w:t xml:space="preserve">or response </w:t>
      </w:r>
      <w:r>
        <w:rPr>
          <w:color w:val="1F497D"/>
        </w:rPr>
        <w:t>and staff who are competent in use of these medications and treatmen</w:t>
      </w:r>
      <w:r w:rsidR="005D03CD">
        <w:rPr>
          <w:color w:val="1F497D"/>
        </w:rPr>
        <w:t>t of severe allergic reactions </w:t>
      </w:r>
      <w:r>
        <w:rPr>
          <w:color w:val="1F497D"/>
        </w:rPr>
        <w:t xml:space="preserve">and other emergencies. </w:t>
      </w:r>
    </w:p>
    <w:p w14:paraId="520CFEF1" w14:textId="4814E24F" w:rsidR="008E4795" w:rsidRDefault="008E479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4A73" w14:textId="77777777" w:rsidR="00273EC0" w:rsidRDefault="00273EC0" w:rsidP="00B740B8">
      <w:r>
        <w:separator/>
      </w:r>
    </w:p>
  </w:footnote>
  <w:footnote w:type="continuationSeparator" w:id="0">
    <w:p w14:paraId="247130C0" w14:textId="77777777" w:rsidR="00273EC0" w:rsidRDefault="00273EC0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10C1" w14:textId="14B1235D" w:rsidR="00B44486" w:rsidRDefault="00B44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5B09" w14:textId="6AA66F9D" w:rsidR="00B44486" w:rsidRDefault="00B44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F553" w14:textId="1923FD17" w:rsidR="00B44486" w:rsidRDefault="00B44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29"/>
    <w:multiLevelType w:val="hybridMultilevel"/>
    <w:tmpl w:val="340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7FAB"/>
    <w:multiLevelType w:val="hybridMultilevel"/>
    <w:tmpl w:val="C4E649DA"/>
    <w:lvl w:ilvl="0" w:tplc="6DDE4B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BA"/>
    <w:rsid w:val="00017E56"/>
    <w:rsid w:val="00052618"/>
    <w:rsid w:val="00077295"/>
    <w:rsid w:val="000A5789"/>
    <w:rsid w:val="000C2210"/>
    <w:rsid w:val="000F72DC"/>
    <w:rsid w:val="00144E75"/>
    <w:rsid w:val="00156E92"/>
    <w:rsid w:val="00177DEE"/>
    <w:rsid w:val="001818EE"/>
    <w:rsid w:val="001915C1"/>
    <w:rsid w:val="001D304D"/>
    <w:rsid w:val="001F0CF9"/>
    <w:rsid w:val="001F0DE3"/>
    <w:rsid w:val="001F33B2"/>
    <w:rsid w:val="001F3E07"/>
    <w:rsid w:val="001F7C54"/>
    <w:rsid w:val="00205D01"/>
    <w:rsid w:val="00234E17"/>
    <w:rsid w:val="0024472D"/>
    <w:rsid w:val="00256F7C"/>
    <w:rsid w:val="00267E21"/>
    <w:rsid w:val="00273EC0"/>
    <w:rsid w:val="0027479F"/>
    <w:rsid w:val="002849D2"/>
    <w:rsid w:val="00286F19"/>
    <w:rsid w:val="002B6CB8"/>
    <w:rsid w:val="00355BB7"/>
    <w:rsid w:val="00373313"/>
    <w:rsid w:val="00380E92"/>
    <w:rsid w:val="0038212E"/>
    <w:rsid w:val="003B017D"/>
    <w:rsid w:val="003B0DB3"/>
    <w:rsid w:val="003C225A"/>
    <w:rsid w:val="003D3D05"/>
    <w:rsid w:val="004068D5"/>
    <w:rsid w:val="00430FF9"/>
    <w:rsid w:val="00443663"/>
    <w:rsid w:val="00460B70"/>
    <w:rsid w:val="00471894"/>
    <w:rsid w:val="00477200"/>
    <w:rsid w:val="004B4B99"/>
    <w:rsid w:val="004B5B30"/>
    <w:rsid w:val="004C27EF"/>
    <w:rsid w:val="004E2A57"/>
    <w:rsid w:val="004E4E10"/>
    <w:rsid w:val="005156C5"/>
    <w:rsid w:val="005204DA"/>
    <w:rsid w:val="00531933"/>
    <w:rsid w:val="00532FB0"/>
    <w:rsid w:val="005436C0"/>
    <w:rsid w:val="00547042"/>
    <w:rsid w:val="00551692"/>
    <w:rsid w:val="00560DD3"/>
    <w:rsid w:val="005619FC"/>
    <w:rsid w:val="005B441C"/>
    <w:rsid w:val="005C2A33"/>
    <w:rsid w:val="005C37B4"/>
    <w:rsid w:val="005D03CD"/>
    <w:rsid w:val="005D2AD6"/>
    <w:rsid w:val="005D64DB"/>
    <w:rsid w:val="005E22C3"/>
    <w:rsid w:val="005F781C"/>
    <w:rsid w:val="00601FB8"/>
    <w:rsid w:val="00602CD4"/>
    <w:rsid w:val="0060411F"/>
    <w:rsid w:val="00644949"/>
    <w:rsid w:val="00653439"/>
    <w:rsid w:val="00667EAB"/>
    <w:rsid w:val="00684A27"/>
    <w:rsid w:val="00686D4F"/>
    <w:rsid w:val="006945D2"/>
    <w:rsid w:val="006A0E09"/>
    <w:rsid w:val="006F0E68"/>
    <w:rsid w:val="0071436B"/>
    <w:rsid w:val="00730B8D"/>
    <w:rsid w:val="00764914"/>
    <w:rsid w:val="007771B8"/>
    <w:rsid w:val="00793D26"/>
    <w:rsid w:val="00794D00"/>
    <w:rsid w:val="007C7BE0"/>
    <w:rsid w:val="007D33CC"/>
    <w:rsid w:val="007D65A9"/>
    <w:rsid w:val="007D784E"/>
    <w:rsid w:val="007F2599"/>
    <w:rsid w:val="007F6672"/>
    <w:rsid w:val="00807CA9"/>
    <w:rsid w:val="00836446"/>
    <w:rsid w:val="00852AB6"/>
    <w:rsid w:val="00890261"/>
    <w:rsid w:val="008D33E5"/>
    <w:rsid w:val="008E4795"/>
    <w:rsid w:val="008F15FD"/>
    <w:rsid w:val="008F29C0"/>
    <w:rsid w:val="00905819"/>
    <w:rsid w:val="00943FE3"/>
    <w:rsid w:val="0095244A"/>
    <w:rsid w:val="00964F87"/>
    <w:rsid w:val="00974247"/>
    <w:rsid w:val="00995444"/>
    <w:rsid w:val="009964AC"/>
    <w:rsid w:val="009A2437"/>
    <w:rsid w:val="009B6416"/>
    <w:rsid w:val="009C39B7"/>
    <w:rsid w:val="009D40EA"/>
    <w:rsid w:val="009E3441"/>
    <w:rsid w:val="009E3847"/>
    <w:rsid w:val="00A03AB8"/>
    <w:rsid w:val="00A140CC"/>
    <w:rsid w:val="00A20276"/>
    <w:rsid w:val="00A30BDA"/>
    <w:rsid w:val="00A31074"/>
    <w:rsid w:val="00A50832"/>
    <w:rsid w:val="00A52C07"/>
    <w:rsid w:val="00A668E9"/>
    <w:rsid w:val="00A774F4"/>
    <w:rsid w:val="00A935EE"/>
    <w:rsid w:val="00A96028"/>
    <w:rsid w:val="00AB3232"/>
    <w:rsid w:val="00AC0B7D"/>
    <w:rsid w:val="00AC2596"/>
    <w:rsid w:val="00AE2590"/>
    <w:rsid w:val="00B0056A"/>
    <w:rsid w:val="00B201BD"/>
    <w:rsid w:val="00B253E0"/>
    <w:rsid w:val="00B414E1"/>
    <w:rsid w:val="00B44486"/>
    <w:rsid w:val="00B550B0"/>
    <w:rsid w:val="00B740B8"/>
    <w:rsid w:val="00B91105"/>
    <w:rsid w:val="00BA164B"/>
    <w:rsid w:val="00BC025D"/>
    <w:rsid w:val="00BC62BA"/>
    <w:rsid w:val="00C2796E"/>
    <w:rsid w:val="00C32F26"/>
    <w:rsid w:val="00C60A20"/>
    <w:rsid w:val="00C64E2D"/>
    <w:rsid w:val="00C656AF"/>
    <w:rsid w:val="00C7377C"/>
    <w:rsid w:val="00C806D0"/>
    <w:rsid w:val="00CB3C04"/>
    <w:rsid w:val="00CB63B2"/>
    <w:rsid w:val="00D0191A"/>
    <w:rsid w:val="00D0268D"/>
    <w:rsid w:val="00D065AB"/>
    <w:rsid w:val="00D16468"/>
    <w:rsid w:val="00D27361"/>
    <w:rsid w:val="00D3348E"/>
    <w:rsid w:val="00D6020C"/>
    <w:rsid w:val="00D90EDF"/>
    <w:rsid w:val="00D91881"/>
    <w:rsid w:val="00D919A6"/>
    <w:rsid w:val="00DC6017"/>
    <w:rsid w:val="00DE317B"/>
    <w:rsid w:val="00DF10AB"/>
    <w:rsid w:val="00DF2A93"/>
    <w:rsid w:val="00E15C0D"/>
    <w:rsid w:val="00E17BFB"/>
    <w:rsid w:val="00E2306F"/>
    <w:rsid w:val="00E3009B"/>
    <w:rsid w:val="00E30942"/>
    <w:rsid w:val="00E81782"/>
    <w:rsid w:val="00E82075"/>
    <w:rsid w:val="00EA78CB"/>
    <w:rsid w:val="00EB3CB3"/>
    <w:rsid w:val="00EC5A6A"/>
    <w:rsid w:val="00ED5060"/>
    <w:rsid w:val="00EF2A07"/>
    <w:rsid w:val="00F005FD"/>
    <w:rsid w:val="00F37C6C"/>
    <w:rsid w:val="00F54CF8"/>
    <w:rsid w:val="00F628DA"/>
    <w:rsid w:val="00F90034"/>
    <w:rsid w:val="00FA4F5D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188E0"/>
  <w15:docId w15:val="{B7523A69-D6E1-4BED-BFFD-8233D0B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F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7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4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Stanziano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1B62-6224-47B5-B252-00096D37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Milesky, Kerin (DPH)</cp:lastModifiedBy>
  <cp:revision>2</cp:revision>
  <dcterms:created xsi:type="dcterms:W3CDTF">2020-12-02T16:14:00Z</dcterms:created>
  <dcterms:modified xsi:type="dcterms:W3CDTF">2020-12-02T16:14:00Z</dcterms:modified>
</cp:coreProperties>
</file>