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C6BBE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81AC21" wp14:editId="00B5600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FE926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0B200138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381AC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" filled="f" stroked="f">
                <v:textbox>
                  <w:txbxContent>
                    <w:p w14:paraId="097FE926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0B200138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4931D7EA" wp14:editId="18351104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6DA7FB3" wp14:editId="4761C72D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1CDE2008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107F9BBD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0A866A6B" w14:textId="77777777" w:rsidR="006D3F15" w:rsidRPr="00777A22" w:rsidRDefault="00F416BE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61AD4CA8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062B54D" w14:textId="79041016" w:rsidR="00F664CC" w:rsidRPr="005B27F1" w:rsidRDefault="005D6C3B" w:rsidP="005B27F1">
      <w:pPr>
        <w:pStyle w:val="Heading1"/>
      </w:pPr>
      <w:r>
        <w:t>Acut</w:t>
      </w:r>
      <w:r w:rsidR="00D40DD9">
        <w:t>e Inpatient Hospital Bulletin 188</w:t>
      </w:r>
    </w:p>
    <w:p w14:paraId="547AB3E9" w14:textId="59D01ED3" w:rsidR="00F664CC" w:rsidRDefault="005D6C3B" w:rsidP="00B84F5A">
      <w:pPr>
        <w:pStyle w:val="BullsHeading"/>
        <w:spacing w:after="480"/>
        <w:sectPr w:rsidR="00F664CC" w:rsidSect="00496A9F">
          <w:headerReference w:type="default" r:id="rId10"/>
          <w:footerReference w:type="default" r:id="rId11"/>
          <w:type w:val="continuous"/>
          <w:pgSz w:w="12240" w:h="15840" w:code="1"/>
          <w:pgMar w:top="720" w:right="1080" w:bottom="432" w:left="1080" w:header="0" w:footer="34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  <w:r>
        <w:t>February 2022</w:t>
      </w:r>
    </w:p>
    <w:p w14:paraId="0254D467" w14:textId="75176243" w:rsidR="00F664CC" w:rsidRPr="00F664CC" w:rsidRDefault="00F664CC" w:rsidP="00E27CD8">
      <w:r w:rsidRPr="00F664CC">
        <w:rPr>
          <w:b/>
        </w:rPr>
        <w:lastRenderedPageBreak/>
        <w:t>TO</w:t>
      </w:r>
      <w:r w:rsidRPr="00F664CC">
        <w:t>:</w:t>
      </w:r>
      <w:r>
        <w:tab/>
      </w:r>
      <w:r w:rsidR="005D6C3B">
        <w:t>Acute Inpatient Hospital Providers</w:t>
      </w:r>
      <w:r w:rsidRPr="00F664CC">
        <w:t xml:space="preserve"> Participating in MassHealth</w:t>
      </w:r>
    </w:p>
    <w:p w14:paraId="0B653655" w14:textId="1D21A5F8" w:rsidR="00F664CC" w:rsidRPr="00F664CC" w:rsidRDefault="00F664CC" w:rsidP="005D6C3B">
      <w:pPr>
        <w:ind w:left="1440" w:hanging="1080"/>
      </w:pPr>
      <w:r w:rsidRPr="00F664CC">
        <w:rPr>
          <w:b/>
        </w:rPr>
        <w:t>FROM</w:t>
      </w:r>
      <w:r w:rsidRPr="00F664CC">
        <w:t>:</w:t>
      </w:r>
      <w:r>
        <w:tab/>
      </w:r>
      <w:r w:rsidR="00700F64">
        <w:t>Amanda Cassel Kraft</w:t>
      </w:r>
      <w:r w:rsidR="00AA6085">
        <w:t>, Assistant Secretary for MassHealth</w:t>
      </w:r>
      <w:r w:rsidR="005D6C3B">
        <w:t xml:space="preserve"> [signature of Amanda Cassel Kraft]</w:t>
      </w:r>
    </w:p>
    <w:p w14:paraId="44E21639" w14:textId="0DA0865C" w:rsidR="00F664CC" w:rsidRPr="00F664CC" w:rsidRDefault="00F664CC" w:rsidP="00B84F5A">
      <w:pPr>
        <w:pStyle w:val="SubjectLine"/>
        <w:spacing w:after="100"/>
        <w:ind w:left="1440" w:hanging="1080"/>
      </w:pPr>
      <w:r w:rsidRPr="00F664CC">
        <w:t>RE:</w:t>
      </w:r>
      <w:r w:rsidR="00BD2DAF">
        <w:tab/>
      </w:r>
      <w:r w:rsidR="005D6C3B" w:rsidRPr="005D6C3B">
        <w:t>Temporary Modification of Certain Utilization Management Functions in Response to the COVID-19 Pandemic</w:t>
      </w:r>
    </w:p>
    <w:p w14:paraId="523EAC24" w14:textId="43C86BEE" w:rsidR="005D6C3B" w:rsidRDefault="005D6C3B" w:rsidP="005D6C3B">
      <w:pPr>
        <w:pStyle w:val="Heading2"/>
      </w:pPr>
      <w:r w:rsidRPr="002F3F2F">
        <w:t>Background</w:t>
      </w:r>
      <w:r>
        <w:t xml:space="preserve"> and Temporary Modification of Utilization Management Functions</w:t>
      </w:r>
    </w:p>
    <w:p w14:paraId="422DC4C1" w14:textId="77777777" w:rsidR="00B84F5A" w:rsidRDefault="00B84F5A" w:rsidP="00B84F5A">
      <w:pPr>
        <w:pStyle w:val="BodyTextIndent"/>
      </w:pPr>
      <w:r>
        <w:t>T</w:t>
      </w:r>
      <w:r w:rsidRPr="009951F8">
        <w:t>o ensure that certain medical services for which MassHealth pays are medically necessary and provided in the appropriate setting</w:t>
      </w:r>
      <w:r>
        <w:t>, MassHealth operates the utilization management program for acute inpatient hospitals (UMP). Through the UMP, MassHealth, using its utilization-management contractor, conducts preadmission screening, and also regularly reviews a sampling of claims, both on a prepayment and postpayment basis. For additional information, please review the regulations governing the MassHealth UMP, available at 130 CMR 450.207 through 450.209, and 130 CMR 450.237.</w:t>
      </w:r>
    </w:p>
    <w:p w14:paraId="70E1E8DE" w14:textId="77777777" w:rsidR="00B84F5A" w:rsidRDefault="00B84F5A" w:rsidP="00B84F5A">
      <w:pPr>
        <w:pStyle w:val="BodyTextIndent"/>
      </w:pPr>
      <w:r>
        <w:t>In response to the ongoing challenges that the COVID-19 pandemic poses to acute inpatient hospitals, MassHealth is modifying certain aspects of its UMP in the following ways:</w:t>
      </w:r>
    </w:p>
    <w:p w14:paraId="25AF74CD" w14:textId="4207258D" w:rsidR="00B84F5A" w:rsidRDefault="00B84F5A" w:rsidP="00E35359">
      <w:pPr>
        <w:pStyle w:val="BodyTextIndent"/>
        <w:numPr>
          <w:ilvl w:val="0"/>
          <w:numId w:val="11"/>
        </w:numPr>
        <w:spacing w:before="0" w:after="120" w:afterAutospacing="0"/>
        <w:ind w:left="1080"/>
      </w:pPr>
      <w:r>
        <w:t xml:space="preserve">Temporarily </w:t>
      </w:r>
      <w:r w:rsidRPr="00A953F1">
        <w:t xml:space="preserve">ceasing </w:t>
      </w:r>
      <w:r>
        <w:t>the initiation of new post-payment</w:t>
      </w:r>
      <w:r w:rsidRPr="00A953F1">
        <w:t xml:space="preserve"> </w:t>
      </w:r>
      <w:r>
        <w:t xml:space="preserve">utilization </w:t>
      </w:r>
      <w:r w:rsidRPr="00A953F1">
        <w:t>reviews</w:t>
      </w:r>
      <w:r>
        <w:t xml:space="preserve"> until the end of February </w:t>
      </w:r>
      <w:r w:rsidR="00831C02">
        <w:t xml:space="preserve">28, </w:t>
      </w:r>
      <w:r>
        <w:t>2022; and</w:t>
      </w:r>
    </w:p>
    <w:p w14:paraId="5720A261" w14:textId="77777777" w:rsidR="00B84F5A" w:rsidRPr="007915B8" w:rsidRDefault="00B84F5A" w:rsidP="00D40DD9">
      <w:pPr>
        <w:numPr>
          <w:ilvl w:val="0"/>
          <w:numId w:val="11"/>
        </w:numPr>
        <w:spacing w:before="0" w:after="240" w:afterAutospacing="0"/>
        <w:ind w:left="1080"/>
      </w:pPr>
      <w:r>
        <w:t>Extending the deadlines to request reconsideration for any denials from certain prepayment and postpayment review cycles, as follows:</w:t>
      </w:r>
    </w:p>
    <w:p w14:paraId="1A024F23" w14:textId="11912FD9" w:rsidR="00B84F5A" w:rsidRPr="001D7E7C" w:rsidRDefault="000A4FB0" w:rsidP="00E35359">
      <w:pPr>
        <w:pStyle w:val="Heading3"/>
        <w:spacing w:after="100"/>
        <w:ind w:left="720"/>
      </w:pPr>
      <w:r>
        <w:t>Prepayment Cycles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  <w:tblCaption w:val="Prepayment Cycle Table"/>
      </w:tblPr>
      <w:tblGrid>
        <w:gridCol w:w="2425"/>
        <w:gridCol w:w="6300"/>
      </w:tblGrid>
      <w:tr w:rsidR="00B84F5A" w14:paraId="7A438DDB" w14:textId="77777777" w:rsidTr="004A216D">
        <w:trPr>
          <w:tblHeader/>
        </w:trPr>
        <w:tc>
          <w:tcPr>
            <w:tcW w:w="2425" w:type="dxa"/>
            <w:shd w:val="clear" w:color="auto" w:fill="BFBFBF" w:themeFill="background1" w:themeFillShade="BF"/>
          </w:tcPr>
          <w:p w14:paraId="65A2BAC5" w14:textId="77777777" w:rsidR="00B84F5A" w:rsidRDefault="00B84F5A" w:rsidP="00C767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Prepayment Cycle</w:t>
            </w:r>
          </w:p>
        </w:tc>
        <w:tc>
          <w:tcPr>
            <w:tcW w:w="6300" w:type="dxa"/>
            <w:shd w:val="clear" w:color="auto" w:fill="BFBFBF" w:themeFill="background1" w:themeFillShade="BF"/>
          </w:tcPr>
          <w:p w14:paraId="2EE3F53A" w14:textId="77777777" w:rsidR="00B84F5A" w:rsidRDefault="00B84F5A" w:rsidP="00C767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New Due Date for Requests for Reconsideration for Denials from that Prepayment Cycle</w:t>
            </w:r>
          </w:p>
        </w:tc>
      </w:tr>
      <w:tr w:rsidR="00B84F5A" w14:paraId="1198246D" w14:textId="77777777" w:rsidTr="00C76717">
        <w:tc>
          <w:tcPr>
            <w:tcW w:w="2425" w:type="dxa"/>
          </w:tcPr>
          <w:p w14:paraId="0CA5F7F5" w14:textId="77777777" w:rsidR="00B84F5A" w:rsidRPr="007338AF" w:rsidRDefault="00B84F5A" w:rsidP="00C76717">
            <w:pPr>
              <w:jc w:val="center"/>
              <w:rPr>
                <w:sz w:val="22"/>
                <w:szCs w:val="22"/>
              </w:rPr>
            </w:pPr>
            <w:r w:rsidRPr="007338AF">
              <w:rPr>
                <w:sz w:val="22"/>
                <w:szCs w:val="22"/>
              </w:rPr>
              <w:t>781</w:t>
            </w:r>
          </w:p>
        </w:tc>
        <w:tc>
          <w:tcPr>
            <w:tcW w:w="6300" w:type="dxa"/>
          </w:tcPr>
          <w:p w14:paraId="56262CF9" w14:textId="77777777" w:rsidR="00B84F5A" w:rsidRPr="007338AF" w:rsidRDefault="00B84F5A" w:rsidP="00C76717">
            <w:pPr>
              <w:rPr>
                <w:sz w:val="22"/>
                <w:szCs w:val="22"/>
              </w:rPr>
            </w:pPr>
            <w:r w:rsidRPr="007338AF">
              <w:rPr>
                <w:sz w:val="22"/>
                <w:szCs w:val="22"/>
              </w:rPr>
              <w:t>April 8, 2022</w:t>
            </w:r>
          </w:p>
        </w:tc>
      </w:tr>
      <w:tr w:rsidR="00B84F5A" w14:paraId="5A418604" w14:textId="77777777" w:rsidTr="00C76717">
        <w:tc>
          <w:tcPr>
            <w:tcW w:w="2425" w:type="dxa"/>
          </w:tcPr>
          <w:p w14:paraId="14BA2684" w14:textId="77777777" w:rsidR="00B84F5A" w:rsidRPr="007338AF" w:rsidRDefault="00B84F5A" w:rsidP="00C76717">
            <w:pPr>
              <w:jc w:val="center"/>
              <w:rPr>
                <w:sz w:val="22"/>
                <w:szCs w:val="22"/>
              </w:rPr>
            </w:pPr>
            <w:r w:rsidRPr="007338AF">
              <w:rPr>
                <w:sz w:val="22"/>
                <w:szCs w:val="22"/>
              </w:rPr>
              <w:t>783</w:t>
            </w:r>
          </w:p>
        </w:tc>
        <w:tc>
          <w:tcPr>
            <w:tcW w:w="6300" w:type="dxa"/>
          </w:tcPr>
          <w:p w14:paraId="44646347" w14:textId="77777777" w:rsidR="00B84F5A" w:rsidRPr="007338AF" w:rsidRDefault="00B84F5A" w:rsidP="00C76717">
            <w:pPr>
              <w:rPr>
                <w:sz w:val="22"/>
                <w:szCs w:val="22"/>
              </w:rPr>
            </w:pPr>
            <w:r w:rsidRPr="007338AF">
              <w:rPr>
                <w:sz w:val="22"/>
                <w:szCs w:val="22"/>
              </w:rPr>
              <w:t>April 15, 2022</w:t>
            </w:r>
          </w:p>
        </w:tc>
      </w:tr>
      <w:tr w:rsidR="00B84F5A" w14:paraId="7341C1CE" w14:textId="77777777" w:rsidTr="00C76717">
        <w:tc>
          <w:tcPr>
            <w:tcW w:w="2425" w:type="dxa"/>
          </w:tcPr>
          <w:p w14:paraId="1EBF1E86" w14:textId="77777777" w:rsidR="00B84F5A" w:rsidRPr="007338AF" w:rsidRDefault="00B84F5A" w:rsidP="00C76717">
            <w:pPr>
              <w:jc w:val="center"/>
              <w:rPr>
                <w:sz w:val="22"/>
                <w:szCs w:val="22"/>
              </w:rPr>
            </w:pPr>
            <w:r w:rsidRPr="007338AF">
              <w:rPr>
                <w:sz w:val="22"/>
                <w:szCs w:val="22"/>
              </w:rPr>
              <w:t>784</w:t>
            </w:r>
          </w:p>
        </w:tc>
        <w:tc>
          <w:tcPr>
            <w:tcW w:w="6300" w:type="dxa"/>
          </w:tcPr>
          <w:p w14:paraId="2502B0B4" w14:textId="77777777" w:rsidR="00B84F5A" w:rsidRPr="007338AF" w:rsidRDefault="00B84F5A" w:rsidP="00C76717">
            <w:pPr>
              <w:rPr>
                <w:sz w:val="22"/>
                <w:szCs w:val="22"/>
              </w:rPr>
            </w:pPr>
            <w:r w:rsidRPr="007338AF">
              <w:rPr>
                <w:sz w:val="22"/>
                <w:szCs w:val="22"/>
              </w:rPr>
              <w:t>April 22, 2022</w:t>
            </w:r>
          </w:p>
        </w:tc>
      </w:tr>
      <w:tr w:rsidR="00B84F5A" w14:paraId="65F60FC5" w14:textId="77777777" w:rsidTr="00C76717">
        <w:tc>
          <w:tcPr>
            <w:tcW w:w="2425" w:type="dxa"/>
          </w:tcPr>
          <w:p w14:paraId="3CB4E290" w14:textId="77777777" w:rsidR="00B84F5A" w:rsidRPr="007338AF" w:rsidRDefault="00B84F5A" w:rsidP="00C76717">
            <w:pPr>
              <w:jc w:val="center"/>
              <w:rPr>
                <w:sz w:val="22"/>
                <w:szCs w:val="22"/>
              </w:rPr>
            </w:pPr>
            <w:r w:rsidRPr="007338AF">
              <w:rPr>
                <w:sz w:val="22"/>
                <w:szCs w:val="22"/>
              </w:rPr>
              <w:t>785</w:t>
            </w:r>
          </w:p>
        </w:tc>
        <w:tc>
          <w:tcPr>
            <w:tcW w:w="6300" w:type="dxa"/>
          </w:tcPr>
          <w:p w14:paraId="0264895B" w14:textId="77777777" w:rsidR="00B84F5A" w:rsidRPr="007338AF" w:rsidRDefault="00B84F5A" w:rsidP="00C76717">
            <w:pPr>
              <w:rPr>
                <w:sz w:val="22"/>
                <w:szCs w:val="22"/>
              </w:rPr>
            </w:pPr>
            <w:r w:rsidRPr="007338AF">
              <w:rPr>
                <w:sz w:val="22"/>
                <w:szCs w:val="22"/>
              </w:rPr>
              <w:t>April 29, 2022</w:t>
            </w:r>
          </w:p>
        </w:tc>
      </w:tr>
    </w:tbl>
    <w:p w14:paraId="2BC7DCC0" w14:textId="6ABB3E3A" w:rsidR="00B84F5A" w:rsidRDefault="00B84F5A" w:rsidP="00B84F5A">
      <w:pPr>
        <w:ind w:left="1080"/>
        <w:rPr>
          <w:b/>
          <w:bCs/>
        </w:rPr>
      </w:pPr>
    </w:p>
    <w:p w14:paraId="792A66EB" w14:textId="75F70AE0" w:rsidR="00B84F5A" w:rsidRDefault="00B84F5A" w:rsidP="00B84F5A">
      <w:pPr>
        <w:spacing w:before="0" w:after="200" w:afterAutospacing="0" w:line="276" w:lineRule="auto"/>
        <w:ind w:left="0"/>
        <w:rPr>
          <w:b/>
          <w:bCs/>
        </w:rPr>
      </w:pPr>
      <w:r>
        <w:rPr>
          <w:b/>
          <w:bCs/>
        </w:rPr>
        <w:br w:type="page"/>
      </w:r>
    </w:p>
    <w:p w14:paraId="2D6C769C" w14:textId="3EB76E27" w:rsidR="00B84F5A" w:rsidRPr="007915B8" w:rsidRDefault="000A4FB0" w:rsidP="00D40DD9">
      <w:pPr>
        <w:pStyle w:val="Heading3"/>
        <w:ind w:left="720"/>
      </w:pPr>
      <w:r>
        <w:lastRenderedPageBreak/>
        <w:t>Postpayment Cycle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  <w:tblCaption w:val="Postpayment Cycle Table "/>
      </w:tblPr>
      <w:tblGrid>
        <w:gridCol w:w="2425"/>
        <w:gridCol w:w="6300"/>
      </w:tblGrid>
      <w:tr w:rsidR="00B84F5A" w14:paraId="0C5734C7" w14:textId="77777777" w:rsidTr="004A216D">
        <w:trPr>
          <w:tblHeader/>
        </w:trPr>
        <w:tc>
          <w:tcPr>
            <w:tcW w:w="2425" w:type="dxa"/>
            <w:shd w:val="clear" w:color="auto" w:fill="BFBFBF" w:themeFill="background1" w:themeFillShade="BF"/>
          </w:tcPr>
          <w:p w14:paraId="350F15BD" w14:textId="77777777" w:rsidR="00B84F5A" w:rsidRDefault="00B84F5A" w:rsidP="00C767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Postpayment Cycle</w:t>
            </w:r>
          </w:p>
        </w:tc>
        <w:tc>
          <w:tcPr>
            <w:tcW w:w="6300" w:type="dxa"/>
            <w:shd w:val="clear" w:color="auto" w:fill="BFBFBF" w:themeFill="background1" w:themeFillShade="BF"/>
          </w:tcPr>
          <w:p w14:paraId="1EC1D00D" w14:textId="77777777" w:rsidR="00B84F5A" w:rsidRDefault="00B84F5A" w:rsidP="00C7671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New Due Date for Requests for Reconsideration for Denials from that Postpayment Cycle</w:t>
            </w:r>
          </w:p>
        </w:tc>
      </w:tr>
      <w:tr w:rsidR="00B84F5A" w14:paraId="07982EBF" w14:textId="77777777" w:rsidTr="00C76717">
        <w:tc>
          <w:tcPr>
            <w:tcW w:w="2425" w:type="dxa"/>
          </w:tcPr>
          <w:p w14:paraId="089076A9" w14:textId="77777777" w:rsidR="00B84F5A" w:rsidRPr="007338AF" w:rsidRDefault="00B84F5A" w:rsidP="00C76717">
            <w:pPr>
              <w:jc w:val="center"/>
              <w:rPr>
                <w:sz w:val="22"/>
                <w:szCs w:val="22"/>
              </w:rPr>
            </w:pPr>
            <w:r w:rsidRPr="007338AF">
              <w:rPr>
                <w:sz w:val="22"/>
                <w:szCs w:val="22"/>
              </w:rPr>
              <w:t>78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300" w:type="dxa"/>
          </w:tcPr>
          <w:p w14:paraId="2924E5FF" w14:textId="77777777" w:rsidR="00B84F5A" w:rsidRPr="007338AF" w:rsidRDefault="00B84F5A" w:rsidP="00C76717">
            <w:pPr>
              <w:rPr>
                <w:sz w:val="22"/>
                <w:szCs w:val="22"/>
              </w:rPr>
            </w:pPr>
            <w:r w:rsidRPr="007338AF">
              <w:rPr>
                <w:sz w:val="22"/>
                <w:szCs w:val="22"/>
              </w:rPr>
              <w:t>April 8, 2022</w:t>
            </w:r>
          </w:p>
        </w:tc>
      </w:tr>
    </w:tbl>
    <w:p w14:paraId="74461752" w14:textId="77777777" w:rsidR="00B84F5A" w:rsidRDefault="00B84F5A" w:rsidP="00B84F5A">
      <w:pPr>
        <w:pStyle w:val="BodyTextIndent"/>
        <w:spacing w:before="0" w:after="0" w:afterAutospacing="0"/>
      </w:pPr>
    </w:p>
    <w:p w14:paraId="3FF99EFF" w14:textId="77777777" w:rsidR="00B84F5A" w:rsidRDefault="00B84F5A" w:rsidP="00B84F5A">
      <w:pPr>
        <w:pStyle w:val="BodyTextIndent"/>
        <w:spacing w:before="0" w:after="0" w:afterAutospacing="0"/>
      </w:pPr>
      <w:r>
        <w:t xml:space="preserve">At the direction of MassHealth, the UMP contractor has communicated or will communicate these temporary modifications to its UMP to participating hospitals via its electronic messaging system. </w:t>
      </w:r>
    </w:p>
    <w:p w14:paraId="40F4D486" w14:textId="19EDE623" w:rsidR="00F664CC" w:rsidRPr="009901A7" w:rsidRDefault="00F664CC" w:rsidP="00E27CD8">
      <w:pPr>
        <w:pStyle w:val="Heading2"/>
      </w:pPr>
      <w:r w:rsidRPr="009901A7">
        <w:t>MassHealth Website</w:t>
      </w:r>
    </w:p>
    <w:p w14:paraId="0B89FA9D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2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47601C05" w14:textId="77777777" w:rsidR="00F664CC" w:rsidRPr="009901A7" w:rsidRDefault="00F416BE" w:rsidP="00E27CD8">
      <w:hyperlink r:id="rId13" w:history="1">
        <w:r w:rsidR="00C358D3" w:rsidRPr="00715A8E">
          <w:rPr>
            <w:rStyle w:val="Hyperlink"/>
          </w:rPr>
          <w:t>S</w:t>
        </w:r>
        <w:r w:rsidR="00F664CC" w:rsidRPr="00715A8E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4D1FD47E" w14:textId="0374264C" w:rsidR="00F664CC" w:rsidRPr="009901A7" w:rsidRDefault="00F664CC" w:rsidP="00E27CD8">
      <w:pPr>
        <w:pStyle w:val="Heading2"/>
      </w:pPr>
      <w:r w:rsidRPr="009901A7">
        <w:t>Questions</w:t>
      </w:r>
    </w:p>
    <w:p w14:paraId="5927B618" w14:textId="77777777" w:rsidR="00CC1E11" w:rsidRPr="00F664CC" w:rsidRDefault="00F664CC" w:rsidP="00E27CD8">
      <w:r w:rsidRPr="009901A7">
        <w:t xml:space="preserve">If you have any questions about the information in this bulletin, please contact the MassHealth Customer Service Center at (800) 841-2900, email your inquiry to </w:t>
      </w:r>
      <w:hyperlink r:id="rId14" w:history="1">
        <w:r w:rsidRPr="009901A7">
          <w:rPr>
            <w:rStyle w:val="Hyperlink"/>
          </w:rPr>
          <w:t>providersupport@mahealth.net</w:t>
        </w:r>
      </w:hyperlink>
      <w:r w:rsidRPr="009901A7">
        <w:t>, or fax your inquiry to (617) 988</w:t>
      </w:r>
      <w:r w:rsidRPr="009901A7">
        <w:noBreakHyphen/>
        <w:t>8974.</w:t>
      </w:r>
      <w:bookmarkStart w:id="0" w:name="_GoBack"/>
      <w:bookmarkEnd w:id="0"/>
    </w:p>
    <w:sectPr w:rsidR="00CC1E11" w:rsidRPr="00F664CC" w:rsidSect="00496A9F">
      <w:type w:val="continuous"/>
      <w:pgSz w:w="12240" w:h="15840" w:code="1"/>
      <w:pgMar w:top="144" w:right="1080" w:bottom="432" w:left="1080" w:header="0" w:footer="340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EA867C" w14:textId="77777777" w:rsidR="00816FDA" w:rsidRDefault="00816FDA" w:rsidP="00E27CD8">
      <w:r>
        <w:separator/>
      </w:r>
    </w:p>
  </w:endnote>
  <w:endnote w:type="continuationSeparator" w:id="0">
    <w:p w14:paraId="3BE8B137" w14:textId="77777777" w:rsidR="00816FDA" w:rsidRDefault="00816FDA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FD16D1" w14:textId="77777777" w:rsidR="00CC1E11" w:rsidRPr="00CC1E11" w:rsidRDefault="00CC1E11" w:rsidP="00F562CE">
    <w:pPr>
      <w:ind w:left="5400" w:firstLine="360"/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E79D96" w14:textId="77777777" w:rsidR="00816FDA" w:rsidRDefault="00816FDA" w:rsidP="00E27CD8">
      <w:r>
        <w:separator/>
      </w:r>
    </w:p>
  </w:footnote>
  <w:footnote w:type="continuationSeparator" w:id="0">
    <w:p w14:paraId="4D104D34" w14:textId="77777777" w:rsidR="00816FDA" w:rsidRDefault="00816FDA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0257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42396A98" w14:textId="1C6B99BE" w:rsidR="00AD204A" w:rsidRPr="00F664CC" w:rsidRDefault="00496A9F" w:rsidP="00AD204A">
    <w:pPr>
      <w:pStyle w:val="BullsHeading"/>
    </w:pPr>
    <w:r>
      <w:t>Acut</w:t>
    </w:r>
    <w:r w:rsidR="00D40DD9">
      <w:t>e Inpatient Hospital Bulletin 188</w:t>
    </w:r>
  </w:p>
  <w:p w14:paraId="2FBB1D84" w14:textId="4AF711D6" w:rsidR="00AD204A" w:rsidRDefault="00496A9F" w:rsidP="00AD204A">
    <w:pPr>
      <w:pStyle w:val="BullsHeading"/>
    </w:pPr>
    <w:r>
      <w:t>February 2022</w:t>
    </w:r>
  </w:p>
  <w:p w14:paraId="386811B1" w14:textId="77777777" w:rsidR="00E33508" w:rsidRDefault="00E33508" w:rsidP="003E2878">
    <w:pPr>
      <w:pStyle w:val="BullsHeading"/>
      <w:spacing w:after="480"/>
    </w:pPr>
    <w:r>
      <w:t xml:space="preserve">Page </w:t>
    </w:r>
    <w:r>
      <w:rPr>
        <w:b w:val="0"/>
      </w:rPr>
      <w:fldChar w:fldCharType="begin"/>
    </w:r>
    <w:r>
      <w:instrText xml:space="preserve"> PAGE  \* Arabic  \* MERGEFORMAT </w:instrText>
    </w:r>
    <w:r>
      <w:rPr>
        <w:b w:val="0"/>
      </w:rPr>
      <w:fldChar w:fldCharType="separate"/>
    </w:r>
    <w:r w:rsidR="00F416BE">
      <w:rPr>
        <w:noProof/>
      </w:rPr>
      <w:t>2</w:t>
    </w:r>
    <w:r>
      <w:rPr>
        <w:b w:val="0"/>
      </w:rPr>
      <w:fldChar w:fldCharType="end"/>
    </w:r>
    <w:r>
      <w:t xml:space="preserve"> of </w:t>
    </w:r>
    <w:fldSimple w:instr=" NUMPAGES  \* Arabic  \* MERGEFORMAT ">
      <w:r w:rsidR="00F416BE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22136F6"/>
    <w:multiLevelType w:val="hybridMultilevel"/>
    <w:tmpl w:val="550AE514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whney, Monica (EHS)">
    <w15:presenceInfo w15:providerId="AD" w15:userId="S::monica.sawhney@mass.gov::77cb6393-c0d4-4946-a177-a644bb7c85f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A4FB0"/>
    <w:rsid w:val="000D3DB5"/>
    <w:rsid w:val="00150BCC"/>
    <w:rsid w:val="001554E7"/>
    <w:rsid w:val="001634DD"/>
    <w:rsid w:val="00221556"/>
    <w:rsid w:val="0028720F"/>
    <w:rsid w:val="002F2993"/>
    <w:rsid w:val="00392CA0"/>
    <w:rsid w:val="003A7588"/>
    <w:rsid w:val="003E2878"/>
    <w:rsid w:val="00496A9F"/>
    <w:rsid w:val="004972ED"/>
    <w:rsid w:val="004A216D"/>
    <w:rsid w:val="004A7718"/>
    <w:rsid w:val="004F4B9A"/>
    <w:rsid w:val="005068BD"/>
    <w:rsid w:val="00507CFF"/>
    <w:rsid w:val="005651E8"/>
    <w:rsid w:val="0058634E"/>
    <w:rsid w:val="0059142C"/>
    <w:rsid w:val="005B27F1"/>
    <w:rsid w:val="005D21CB"/>
    <w:rsid w:val="005D6C3B"/>
    <w:rsid w:val="005E4B62"/>
    <w:rsid w:val="005F2B69"/>
    <w:rsid w:val="00661BEF"/>
    <w:rsid w:val="006941BF"/>
    <w:rsid w:val="006C70F9"/>
    <w:rsid w:val="006D3F15"/>
    <w:rsid w:val="00700F64"/>
    <w:rsid w:val="00706438"/>
    <w:rsid w:val="00715A8E"/>
    <w:rsid w:val="00777A22"/>
    <w:rsid w:val="00795E06"/>
    <w:rsid w:val="007D0671"/>
    <w:rsid w:val="007F7DBF"/>
    <w:rsid w:val="00816FDA"/>
    <w:rsid w:val="008201CC"/>
    <w:rsid w:val="00831C02"/>
    <w:rsid w:val="00836D85"/>
    <w:rsid w:val="00863041"/>
    <w:rsid w:val="008B6E51"/>
    <w:rsid w:val="009133D1"/>
    <w:rsid w:val="00914588"/>
    <w:rsid w:val="00922F04"/>
    <w:rsid w:val="00982839"/>
    <w:rsid w:val="00A772C1"/>
    <w:rsid w:val="00A81A76"/>
    <w:rsid w:val="00A95FC1"/>
    <w:rsid w:val="00AA6085"/>
    <w:rsid w:val="00AD204A"/>
    <w:rsid w:val="00AD6899"/>
    <w:rsid w:val="00B73653"/>
    <w:rsid w:val="00B84F5A"/>
    <w:rsid w:val="00BC3755"/>
    <w:rsid w:val="00BD2DAF"/>
    <w:rsid w:val="00C024A2"/>
    <w:rsid w:val="00C128BA"/>
    <w:rsid w:val="00C24B7E"/>
    <w:rsid w:val="00C358D3"/>
    <w:rsid w:val="00CC1E11"/>
    <w:rsid w:val="00CD456D"/>
    <w:rsid w:val="00D40DD9"/>
    <w:rsid w:val="00E01D80"/>
    <w:rsid w:val="00E27CD8"/>
    <w:rsid w:val="00E33508"/>
    <w:rsid w:val="00E35359"/>
    <w:rsid w:val="00ED497C"/>
    <w:rsid w:val="00EF5E59"/>
    <w:rsid w:val="00EF7C09"/>
    <w:rsid w:val="00F416BE"/>
    <w:rsid w:val="00F562CE"/>
    <w:rsid w:val="00F60574"/>
    <w:rsid w:val="00F664CC"/>
    <w:rsid w:val="00F73D6F"/>
    <w:rsid w:val="00F74F30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99DF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table" w:styleId="TableGrid">
    <w:name w:val="Table Grid"/>
    <w:basedOn w:val="TableNormal"/>
    <w:rsid w:val="00B84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31C02"/>
    <w:pPr>
      <w:spacing w:after="0" w:line="240" w:lineRule="auto"/>
    </w:pPr>
    <w:rPr>
      <w:rFonts w:ascii="Georgia" w:eastAsia="Times New Roman" w:hAnsi="Georgia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table" w:styleId="TableGrid">
    <w:name w:val="Table Grid"/>
    <w:basedOn w:val="TableNormal"/>
    <w:rsid w:val="00B84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31C02"/>
    <w:pPr>
      <w:spacing w:after="0" w:line="240" w:lineRule="auto"/>
    </w:pPr>
    <w:rPr>
      <w:rFonts w:ascii="Georgia" w:eastAsia="Times New Roman" w:hAnsi="Georg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ass.gov/forms/email-notifications-for-provider-bulletins-and-transmittal-letter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ass.gov/masshealth-provider-bulletins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mailto:providersupport@mahealth.ne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2790.dotx</Template>
  <TotalTime>57</TotalTime>
  <Pages>2</Pages>
  <Words>347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MassHeatlh Publication</dc:creator>
  <cp:lastModifiedBy>D. DeLeo</cp:lastModifiedBy>
  <cp:revision>21</cp:revision>
  <dcterms:created xsi:type="dcterms:W3CDTF">2021-07-02T15:52:00Z</dcterms:created>
  <dcterms:modified xsi:type="dcterms:W3CDTF">2022-02-23T16:02:00Z</dcterms:modified>
</cp:coreProperties>
</file>