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6BBE" w14:textId="386A461A" w:rsidR="00F664CC" w:rsidRPr="00E27CD8" w:rsidRDefault="00F664CC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1CFE660C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MassHealth logo" title="MassHealth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672C8E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0BF5A95F" w:rsidR="00F664CC" w:rsidRPr="005B27F1" w:rsidRDefault="002C5BA9" w:rsidP="005B27F1">
      <w:pPr>
        <w:pStyle w:val="Heading1"/>
      </w:pPr>
      <w:r>
        <w:t>Acute Inpatient Hospital B</w:t>
      </w:r>
      <w:r w:rsidR="00F664CC" w:rsidRPr="005B27F1">
        <w:t xml:space="preserve">ulletin </w:t>
      </w:r>
      <w:r w:rsidR="00905077">
        <w:t>191</w:t>
      </w:r>
    </w:p>
    <w:p w14:paraId="75D236DE" w14:textId="3CA2B182" w:rsidR="00F664CC" w:rsidRPr="00150BCC" w:rsidRDefault="002C5BA9" w:rsidP="00150BCC">
      <w:pPr>
        <w:pStyle w:val="BullsHeading"/>
      </w:pPr>
      <w:r>
        <w:t>March 2022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9"/>
          <w:foot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081B0339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2C5BA9">
        <w:t xml:space="preserve">Acute Inpatient Hospitals </w:t>
      </w:r>
      <w:r w:rsidRPr="00F664CC">
        <w:t>Participating in MassHealth</w:t>
      </w:r>
    </w:p>
    <w:p w14:paraId="0B653655" w14:textId="20D49621" w:rsidR="00F664CC" w:rsidRPr="00F664CC" w:rsidRDefault="00F664CC" w:rsidP="008856D5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700F64">
        <w:t>Amanda Cassel Kraft</w:t>
      </w:r>
      <w:r w:rsidR="00AA6085">
        <w:t>, Assistant Secretary for MassHealth</w:t>
      </w:r>
      <w:r w:rsidR="008856D5">
        <w:t xml:space="preserve"> </w:t>
      </w:r>
      <w:r w:rsidR="00672C8E">
        <w:t>[signature of Amanda Cassel Kraft]</w:t>
      </w:r>
    </w:p>
    <w:p w14:paraId="2CB6A506" w14:textId="77777777" w:rsidR="002C5BA9" w:rsidRPr="00F664CC" w:rsidRDefault="00F664CC" w:rsidP="002C5BA9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2C5BA9" w:rsidRPr="005D6C3B">
        <w:t>Temporary Modification of Certain Utilization Management Functions in Response to the COVID-19 Pandemic</w:t>
      </w:r>
    </w:p>
    <w:p w14:paraId="307B7425" w14:textId="71822FDB" w:rsidR="00F664CC" w:rsidRPr="00C92F13" w:rsidRDefault="002C5BA9" w:rsidP="00C92F13">
      <w:pPr>
        <w:pStyle w:val="Heading2"/>
      </w:pPr>
      <w:r w:rsidRPr="00C92F13">
        <w:t>Background</w:t>
      </w:r>
      <w:r w:rsidR="0022781D" w:rsidRPr="00C92F13">
        <w:t xml:space="preserve"> and Temporary Modification of Utilization Management Functions</w:t>
      </w:r>
    </w:p>
    <w:p w14:paraId="297BC0BE" w14:textId="24B13659" w:rsidR="0022781D" w:rsidRDefault="0022781D" w:rsidP="002C5BA9">
      <w:pPr>
        <w:pStyle w:val="BodyTextIndent"/>
        <w:spacing w:before="0" w:after="120" w:afterAutospacing="0"/>
      </w:pPr>
      <w:r>
        <w:t xml:space="preserve">To ensure that certain </w:t>
      </w:r>
      <w:bookmarkStart w:id="0" w:name="_Hlk98316693"/>
      <w:r>
        <w:t>medical services for which MassHealth pays are medically necessary and provided in the appropriate setting</w:t>
      </w:r>
      <w:bookmarkEnd w:id="0"/>
      <w:r>
        <w:t xml:space="preserve">, MassHealth operates the utilization management </w:t>
      </w:r>
      <w:r w:rsidR="00C92F13">
        <w:t xml:space="preserve">(UM) </w:t>
      </w:r>
      <w:r>
        <w:t>program for acute inpatient hospitals. Through the UM</w:t>
      </w:r>
      <w:r w:rsidR="00C92F13">
        <w:t xml:space="preserve"> program</w:t>
      </w:r>
      <w:r>
        <w:t xml:space="preserve">, MassHealth, using its </w:t>
      </w:r>
      <w:r w:rsidR="001F5234">
        <w:t xml:space="preserve">UM </w:t>
      </w:r>
      <w:r>
        <w:t>contractor, conducts preadmission screening, and also regularly reviews a sampling of claims, both on a prepayment and postpayment basis. For additional information, please review the regulations governing the MassHealth UM</w:t>
      </w:r>
      <w:r w:rsidR="00C92F13">
        <w:t xml:space="preserve"> program</w:t>
      </w:r>
      <w:r>
        <w:t xml:space="preserve">, available at 130 CMR 450.207 through 450.209, and </w:t>
      </w:r>
      <w:r w:rsidR="001F5234">
        <w:t xml:space="preserve">at </w:t>
      </w:r>
      <w:r>
        <w:t>130 CMR 450.237.</w:t>
      </w:r>
    </w:p>
    <w:p w14:paraId="18626C67" w14:textId="06F13C61" w:rsidR="002C5BA9" w:rsidRDefault="002C5BA9" w:rsidP="002C5BA9">
      <w:pPr>
        <w:pStyle w:val="BodyTextIndent"/>
        <w:spacing w:before="0" w:after="120" w:afterAutospacing="0"/>
      </w:pPr>
      <w:r>
        <w:t>Through Acute Inpatient Hospital Bulletin 188, MassHealth modified certain aspect</w:t>
      </w:r>
      <w:r w:rsidR="005D2217">
        <w:t>s</w:t>
      </w:r>
      <w:r>
        <w:t xml:space="preserve"> of </w:t>
      </w:r>
      <w:r w:rsidR="0022781D">
        <w:t xml:space="preserve">its </w:t>
      </w:r>
      <w:r>
        <w:t>UM</w:t>
      </w:r>
      <w:r w:rsidR="00C92F13">
        <w:t xml:space="preserve"> program</w:t>
      </w:r>
      <w:r>
        <w:t xml:space="preserve"> in response to the ongoing challenges caused by COVID-19. Specifically, through that bulletin, MassHealth temporarily ceased the initiation of new postpayment utilization reviews until </w:t>
      </w:r>
      <w:proofErr w:type="gramStart"/>
      <w:r>
        <w:t>February 28, 2022, and</w:t>
      </w:r>
      <w:proofErr w:type="gramEnd"/>
      <w:r>
        <w:t xml:space="preserve"> extended the deadlines for providers to submit requests for reconsideration for any details from certain prepayment and postpayment review cycles.</w:t>
      </w:r>
    </w:p>
    <w:p w14:paraId="12E5572E" w14:textId="2AE9A438" w:rsidR="002C5BA9" w:rsidRDefault="002C5BA9" w:rsidP="002C5BA9">
      <w:pPr>
        <w:pStyle w:val="BodyTextIndent"/>
        <w:spacing w:before="0" w:after="120" w:afterAutospacing="0"/>
      </w:pPr>
      <w:r>
        <w:t>Through this bulletin, MassHealth is</w:t>
      </w:r>
    </w:p>
    <w:p w14:paraId="034E3630" w14:textId="604DAF44" w:rsidR="002C5BA9" w:rsidRDefault="002C5BA9" w:rsidP="00364FB4">
      <w:pPr>
        <w:numPr>
          <w:ilvl w:val="0"/>
          <w:numId w:val="11"/>
        </w:numPr>
        <w:spacing w:before="0" w:after="120" w:afterAutospacing="0"/>
        <w:ind w:left="1080"/>
      </w:pPr>
      <w:r>
        <w:t>confirming that, in accordance with Acute Inpatient Hospital Bulletin 188, MassHealth resumed postpayment</w:t>
      </w:r>
      <w:r w:rsidRPr="00A953F1">
        <w:t xml:space="preserve"> </w:t>
      </w:r>
      <w:r>
        <w:t xml:space="preserve">utilization </w:t>
      </w:r>
      <w:r w:rsidRPr="00A953F1">
        <w:t>reviews</w:t>
      </w:r>
      <w:r>
        <w:t xml:space="preserve"> beginning February 28, 2022</w:t>
      </w:r>
      <w:r w:rsidR="00364FB4">
        <w:t>; and</w:t>
      </w:r>
    </w:p>
    <w:p w14:paraId="6A8184EF" w14:textId="390ACB77" w:rsidR="002C5BA9" w:rsidRPr="007915B8" w:rsidRDefault="002C5BA9" w:rsidP="002C5BA9">
      <w:pPr>
        <w:numPr>
          <w:ilvl w:val="0"/>
          <w:numId w:val="11"/>
        </w:numPr>
        <w:spacing w:before="0" w:after="240" w:afterAutospacing="0"/>
        <w:ind w:left="1080"/>
      </w:pPr>
      <w:r>
        <w:t xml:space="preserve">extending the deadlines </w:t>
      </w:r>
      <w:r w:rsidR="002A1A2E">
        <w:t>to</w:t>
      </w:r>
      <w:r>
        <w:t xml:space="preserve"> request reconsideration for </w:t>
      </w:r>
      <w:r w:rsidR="002A1A2E">
        <w:t xml:space="preserve">any </w:t>
      </w:r>
      <w:r>
        <w:t xml:space="preserve">denials from certain prepayment and postpayment review cycles, as </w:t>
      </w:r>
      <w:r w:rsidR="00364FB4">
        <w:t xml:space="preserve">set out in the </w:t>
      </w:r>
      <w:r>
        <w:t>follow</w:t>
      </w:r>
      <w:r w:rsidR="00364FB4">
        <w:t>ing table</w:t>
      </w:r>
      <w:r>
        <w:t>s</w:t>
      </w:r>
      <w:r w:rsidR="00364FB4">
        <w:t>.</w:t>
      </w:r>
    </w:p>
    <w:p w14:paraId="05D5B932" w14:textId="77777777" w:rsidR="002C5BA9" w:rsidRPr="001D7E7C" w:rsidRDefault="002C5BA9" w:rsidP="00C92F13">
      <w:pPr>
        <w:pStyle w:val="Heading2"/>
      </w:pPr>
      <w:r>
        <w:t>Prepayment Cycles</w:t>
      </w:r>
    </w:p>
    <w:tbl>
      <w:tblPr>
        <w:tblStyle w:val="TableGrid"/>
        <w:tblW w:w="0" w:type="auto"/>
        <w:tblInd w:w="720" w:type="dxa"/>
        <w:tblCellMar>
          <w:top w:w="29" w:type="dxa"/>
          <w:bottom w:w="86" w:type="dxa"/>
        </w:tblCellMar>
        <w:tblLook w:val="04A0" w:firstRow="1" w:lastRow="0" w:firstColumn="1" w:lastColumn="0" w:noHBand="0" w:noVBand="1"/>
        <w:tblCaption w:val="Prepayment Cycle Table"/>
      </w:tblPr>
      <w:tblGrid>
        <w:gridCol w:w="2171"/>
        <w:gridCol w:w="6824"/>
      </w:tblGrid>
      <w:tr w:rsidR="00C92F13" w14:paraId="63640948" w14:textId="5EC6BCEC" w:rsidTr="00C92F13">
        <w:trPr>
          <w:tblHeader/>
        </w:trPr>
        <w:tc>
          <w:tcPr>
            <w:tcW w:w="2171" w:type="dxa"/>
            <w:shd w:val="clear" w:color="auto" w:fill="BFBFBF" w:themeFill="background1" w:themeFillShade="BF"/>
          </w:tcPr>
          <w:p w14:paraId="732E5AA6" w14:textId="77777777" w:rsidR="00C92F13" w:rsidRDefault="00C92F13" w:rsidP="00BA5143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" w:name="_Hlk98400635"/>
            <w:bookmarkStart w:id="2" w:name="_Hlk98400667"/>
            <w:r>
              <w:rPr>
                <w:b/>
                <w:bCs/>
                <w:sz w:val="22"/>
                <w:szCs w:val="22"/>
              </w:rPr>
              <w:t>Prepayment Cycle</w:t>
            </w:r>
          </w:p>
        </w:tc>
        <w:tc>
          <w:tcPr>
            <w:tcW w:w="6824" w:type="dxa"/>
            <w:shd w:val="clear" w:color="auto" w:fill="BFBFBF" w:themeFill="background1" w:themeFillShade="BF"/>
          </w:tcPr>
          <w:p w14:paraId="545887F1" w14:textId="77777777" w:rsidR="00C92F13" w:rsidRDefault="00C92F13" w:rsidP="00BA514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New Due Date for Requests for Reconsideration for Denials from that Prepayment Cycle</w:t>
            </w:r>
          </w:p>
        </w:tc>
      </w:tr>
      <w:bookmarkEnd w:id="2"/>
      <w:tr w:rsidR="00C92F13" w14:paraId="40D83A35" w14:textId="0A16B68B" w:rsidTr="00430FFE">
        <w:trPr>
          <w:trHeight w:val="432"/>
        </w:trPr>
        <w:tc>
          <w:tcPr>
            <w:tcW w:w="2171" w:type="dxa"/>
            <w:vAlign w:val="center"/>
          </w:tcPr>
          <w:p w14:paraId="0FC4FC1B" w14:textId="77777777" w:rsidR="00C92F13" w:rsidRPr="002F6D84" w:rsidRDefault="00C92F13" w:rsidP="00BA5143">
            <w:pPr>
              <w:jc w:val="center"/>
              <w:rPr>
                <w:sz w:val="22"/>
                <w:szCs w:val="22"/>
              </w:rPr>
            </w:pPr>
            <w:r w:rsidRPr="002F6D84">
              <w:rPr>
                <w:sz w:val="22"/>
                <w:szCs w:val="22"/>
              </w:rPr>
              <w:t>786</w:t>
            </w:r>
          </w:p>
        </w:tc>
        <w:tc>
          <w:tcPr>
            <w:tcW w:w="6824" w:type="dxa"/>
            <w:vAlign w:val="center"/>
          </w:tcPr>
          <w:p w14:paraId="13084F55" w14:textId="77777777" w:rsidR="00C92F13" w:rsidRPr="002F6D84" w:rsidRDefault="00C92F13" w:rsidP="00BA5143">
            <w:pPr>
              <w:jc w:val="center"/>
              <w:rPr>
                <w:sz w:val="22"/>
                <w:szCs w:val="22"/>
              </w:rPr>
            </w:pPr>
            <w:r w:rsidRPr="002F6D84">
              <w:rPr>
                <w:sz w:val="22"/>
                <w:szCs w:val="22"/>
              </w:rPr>
              <w:t>April 2</w:t>
            </w:r>
            <w:r>
              <w:rPr>
                <w:sz w:val="22"/>
                <w:szCs w:val="22"/>
              </w:rPr>
              <w:t>6</w:t>
            </w:r>
            <w:r w:rsidRPr="002F6D84">
              <w:rPr>
                <w:sz w:val="22"/>
                <w:szCs w:val="22"/>
              </w:rPr>
              <w:t>, 2022</w:t>
            </w:r>
          </w:p>
        </w:tc>
      </w:tr>
      <w:tr w:rsidR="00C92F13" w14:paraId="4BF19239" w14:textId="6CADFB55" w:rsidTr="00430FFE">
        <w:trPr>
          <w:trHeight w:val="432"/>
        </w:trPr>
        <w:tc>
          <w:tcPr>
            <w:tcW w:w="2171" w:type="dxa"/>
            <w:vAlign w:val="center"/>
          </w:tcPr>
          <w:p w14:paraId="423DE449" w14:textId="77777777" w:rsidR="00C92F13" w:rsidRPr="002F6D84" w:rsidRDefault="00C92F13" w:rsidP="00BA5143">
            <w:pPr>
              <w:jc w:val="center"/>
              <w:rPr>
                <w:sz w:val="22"/>
                <w:szCs w:val="22"/>
              </w:rPr>
            </w:pPr>
            <w:r w:rsidRPr="002F6D84">
              <w:rPr>
                <w:sz w:val="22"/>
                <w:szCs w:val="22"/>
              </w:rPr>
              <w:t>788</w:t>
            </w:r>
          </w:p>
        </w:tc>
        <w:tc>
          <w:tcPr>
            <w:tcW w:w="6824" w:type="dxa"/>
            <w:vAlign w:val="center"/>
          </w:tcPr>
          <w:p w14:paraId="5B6BA6F9" w14:textId="77777777" w:rsidR="00C92F13" w:rsidRPr="002F6D84" w:rsidRDefault="00C92F13" w:rsidP="00BA5143">
            <w:pPr>
              <w:jc w:val="center"/>
              <w:rPr>
                <w:sz w:val="22"/>
                <w:szCs w:val="22"/>
              </w:rPr>
            </w:pPr>
            <w:r w:rsidRPr="002F6D84">
              <w:rPr>
                <w:sz w:val="22"/>
                <w:szCs w:val="22"/>
              </w:rPr>
              <w:t>April 2</w:t>
            </w:r>
            <w:r>
              <w:rPr>
                <w:sz w:val="22"/>
                <w:szCs w:val="22"/>
              </w:rPr>
              <w:t>6</w:t>
            </w:r>
            <w:r w:rsidRPr="002F6D84">
              <w:rPr>
                <w:sz w:val="22"/>
                <w:szCs w:val="22"/>
              </w:rPr>
              <w:t>, 2022</w:t>
            </w:r>
          </w:p>
        </w:tc>
      </w:tr>
      <w:tr w:rsidR="00C92F13" w14:paraId="23A85B3E" w14:textId="4CE8A6D9" w:rsidTr="00430FFE">
        <w:trPr>
          <w:trHeight w:val="432"/>
        </w:trPr>
        <w:tc>
          <w:tcPr>
            <w:tcW w:w="2171" w:type="dxa"/>
            <w:vAlign w:val="center"/>
          </w:tcPr>
          <w:p w14:paraId="0D83608A" w14:textId="77777777" w:rsidR="00C92F13" w:rsidRPr="002F6D84" w:rsidRDefault="00C92F13" w:rsidP="00BA5143">
            <w:pPr>
              <w:jc w:val="center"/>
              <w:rPr>
                <w:sz w:val="22"/>
                <w:szCs w:val="22"/>
              </w:rPr>
            </w:pPr>
            <w:r w:rsidRPr="002F6D84">
              <w:rPr>
                <w:sz w:val="22"/>
                <w:szCs w:val="22"/>
              </w:rPr>
              <w:t>789</w:t>
            </w:r>
          </w:p>
        </w:tc>
        <w:tc>
          <w:tcPr>
            <w:tcW w:w="6824" w:type="dxa"/>
            <w:vAlign w:val="center"/>
          </w:tcPr>
          <w:p w14:paraId="041B3AB8" w14:textId="77777777" w:rsidR="00C92F13" w:rsidRPr="002F6D84" w:rsidRDefault="00C92F13" w:rsidP="00BA5143">
            <w:pPr>
              <w:jc w:val="center"/>
              <w:rPr>
                <w:sz w:val="22"/>
                <w:szCs w:val="22"/>
              </w:rPr>
            </w:pPr>
            <w:r w:rsidRPr="002F6D84">
              <w:rPr>
                <w:sz w:val="22"/>
                <w:szCs w:val="22"/>
              </w:rPr>
              <w:t>May 2, 2022</w:t>
            </w:r>
          </w:p>
        </w:tc>
      </w:tr>
      <w:tr w:rsidR="00C92F13" w14:paraId="31AD3D1C" w14:textId="355DF933" w:rsidTr="00430FFE">
        <w:trPr>
          <w:trHeight w:val="432"/>
        </w:trPr>
        <w:tc>
          <w:tcPr>
            <w:tcW w:w="2171" w:type="dxa"/>
            <w:vAlign w:val="center"/>
          </w:tcPr>
          <w:p w14:paraId="0CC12E6C" w14:textId="77777777" w:rsidR="00C92F13" w:rsidRPr="002F6D84" w:rsidRDefault="00C92F13" w:rsidP="00BA5143">
            <w:pPr>
              <w:jc w:val="center"/>
              <w:rPr>
                <w:sz w:val="22"/>
                <w:szCs w:val="22"/>
              </w:rPr>
            </w:pPr>
            <w:r w:rsidRPr="002F6D84">
              <w:rPr>
                <w:sz w:val="22"/>
                <w:szCs w:val="22"/>
              </w:rPr>
              <w:t>790</w:t>
            </w:r>
          </w:p>
        </w:tc>
        <w:tc>
          <w:tcPr>
            <w:tcW w:w="6824" w:type="dxa"/>
            <w:vAlign w:val="center"/>
          </w:tcPr>
          <w:p w14:paraId="6A1E90FE" w14:textId="77777777" w:rsidR="00C92F13" w:rsidRPr="002F6D84" w:rsidRDefault="00C92F13" w:rsidP="00BA5143">
            <w:pPr>
              <w:jc w:val="center"/>
              <w:rPr>
                <w:sz w:val="22"/>
                <w:szCs w:val="22"/>
              </w:rPr>
            </w:pPr>
            <w:r w:rsidRPr="002F6D84">
              <w:rPr>
                <w:sz w:val="22"/>
                <w:szCs w:val="22"/>
              </w:rPr>
              <w:t>May 3, 2022</w:t>
            </w:r>
          </w:p>
        </w:tc>
      </w:tr>
      <w:tr w:rsidR="00C92F13" w14:paraId="69C98E46" w14:textId="0BE3C30E" w:rsidTr="00430FFE">
        <w:trPr>
          <w:trHeight w:val="432"/>
        </w:trPr>
        <w:tc>
          <w:tcPr>
            <w:tcW w:w="2171" w:type="dxa"/>
            <w:vAlign w:val="center"/>
          </w:tcPr>
          <w:p w14:paraId="5E0E3708" w14:textId="77777777" w:rsidR="00C92F13" w:rsidRPr="002F6D84" w:rsidRDefault="00C92F13" w:rsidP="00BA5143">
            <w:pPr>
              <w:jc w:val="center"/>
              <w:rPr>
                <w:sz w:val="22"/>
                <w:szCs w:val="22"/>
              </w:rPr>
            </w:pPr>
            <w:r w:rsidRPr="002F6D84">
              <w:rPr>
                <w:sz w:val="22"/>
                <w:szCs w:val="22"/>
              </w:rPr>
              <w:t>791</w:t>
            </w:r>
          </w:p>
        </w:tc>
        <w:tc>
          <w:tcPr>
            <w:tcW w:w="6824" w:type="dxa"/>
            <w:vAlign w:val="center"/>
          </w:tcPr>
          <w:p w14:paraId="62622245" w14:textId="77777777" w:rsidR="00C92F13" w:rsidRPr="002F6D84" w:rsidRDefault="00C92F13" w:rsidP="00BA5143">
            <w:pPr>
              <w:jc w:val="center"/>
              <w:rPr>
                <w:sz w:val="22"/>
                <w:szCs w:val="22"/>
              </w:rPr>
            </w:pPr>
            <w:r w:rsidRPr="002F6D84">
              <w:rPr>
                <w:sz w:val="22"/>
                <w:szCs w:val="22"/>
              </w:rPr>
              <w:t>May 3, 2022</w:t>
            </w:r>
          </w:p>
        </w:tc>
      </w:tr>
      <w:tr w:rsidR="00C92F13" w14:paraId="4D444B68" w14:textId="1CD1CEC3" w:rsidTr="00430FFE">
        <w:trPr>
          <w:trHeight w:val="432"/>
        </w:trPr>
        <w:tc>
          <w:tcPr>
            <w:tcW w:w="2171" w:type="dxa"/>
            <w:vAlign w:val="center"/>
          </w:tcPr>
          <w:p w14:paraId="74641221" w14:textId="77777777" w:rsidR="00C92F13" w:rsidRPr="002F6D84" w:rsidRDefault="00C92F13" w:rsidP="00BA5143">
            <w:pPr>
              <w:jc w:val="center"/>
              <w:rPr>
                <w:sz w:val="22"/>
                <w:szCs w:val="22"/>
              </w:rPr>
            </w:pPr>
            <w:r w:rsidRPr="002F6D84">
              <w:rPr>
                <w:sz w:val="22"/>
                <w:szCs w:val="22"/>
              </w:rPr>
              <w:lastRenderedPageBreak/>
              <w:t>792</w:t>
            </w:r>
          </w:p>
        </w:tc>
        <w:tc>
          <w:tcPr>
            <w:tcW w:w="6824" w:type="dxa"/>
            <w:vAlign w:val="center"/>
          </w:tcPr>
          <w:p w14:paraId="3E18821C" w14:textId="77777777" w:rsidR="00C92F13" w:rsidRPr="002F6D84" w:rsidRDefault="00C92F13" w:rsidP="00BA5143">
            <w:pPr>
              <w:jc w:val="center"/>
              <w:rPr>
                <w:sz w:val="22"/>
                <w:szCs w:val="22"/>
              </w:rPr>
            </w:pPr>
            <w:r w:rsidRPr="002F6D84">
              <w:rPr>
                <w:sz w:val="22"/>
                <w:szCs w:val="22"/>
              </w:rPr>
              <w:t>May 8, 2022</w:t>
            </w:r>
          </w:p>
        </w:tc>
      </w:tr>
      <w:tr w:rsidR="00C92F13" w14:paraId="75248041" w14:textId="6B2963B7" w:rsidTr="00430FFE">
        <w:trPr>
          <w:trHeight w:val="432"/>
        </w:trPr>
        <w:tc>
          <w:tcPr>
            <w:tcW w:w="2171" w:type="dxa"/>
            <w:vAlign w:val="center"/>
          </w:tcPr>
          <w:p w14:paraId="500DA973" w14:textId="77777777" w:rsidR="00C92F13" w:rsidRPr="002F6D84" w:rsidRDefault="00C92F13" w:rsidP="00BA5143">
            <w:pPr>
              <w:jc w:val="center"/>
              <w:rPr>
                <w:sz w:val="22"/>
                <w:szCs w:val="22"/>
              </w:rPr>
            </w:pPr>
            <w:r w:rsidRPr="002F6D84">
              <w:rPr>
                <w:sz w:val="22"/>
                <w:szCs w:val="22"/>
              </w:rPr>
              <w:t>793</w:t>
            </w:r>
          </w:p>
        </w:tc>
        <w:tc>
          <w:tcPr>
            <w:tcW w:w="6824" w:type="dxa"/>
            <w:vAlign w:val="center"/>
          </w:tcPr>
          <w:p w14:paraId="372A845C" w14:textId="77777777" w:rsidR="00C92F13" w:rsidRPr="002F6D84" w:rsidRDefault="00C92F13" w:rsidP="00BA5143">
            <w:pPr>
              <w:jc w:val="center"/>
              <w:rPr>
                <w:sz w:val="22"/>
                <w:szCs w:val="22"/>
              </w:rPr>
            </w:pPr>
            <w:r w:rsidRPr="002F6D84">
              <w:rPr>
                <w:sz w:val="22"/>
                <w:szCs w:val="22"/>
              </w:rPr>
              <w:t>May 15, 2022</w:t>
            </w:r>
          </w:p>
        </w:tc>
      </w:tr>
      <w:bookmarkEnd w:id="1"/>
    </w:tbl>
    <w:p w14:paraId="14593EB8" w14:textId="77777777" w:rsidR="002C5BA9" w:rsidRDefault="002C5BA9" w:rsidP="002C5BA9">
      <w:pPr>
        <w:ind w:left="1080"/>
        <w:rPr>
          <w:b/>
          <w:bCs/>
        </w:rPr>
      </w:pPr>
    </w:p>
    <w:p w14:paraId="42EC402B" w14:textId="4E97CB32" w:rsidR="002C5BA9" w:rsidRPr="00C92F13" w:rsidRDefault="002C5BA9" w:rsidP="00C92F13">
      <w:pPr>
        <w:pStyle w:val="Heading2"/>
      </w:pPr>
      <w:proofErr w:type="spellStart"/>
      <w:r w:rsidRPr="00C92F13">
        <w:t>Postpayment</w:t>
      </w:r>
      <w:proofErr w:type="spellEnd"/>
      <w:r w:rsidRPr="00C92F13">
        <w:t xml:space="preserve"> Cycles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Caption w:val="Postpayment Cycle Table "/>
      </w:tblPr>
      <w:tblGrid>
        <w:gridCol w:w="2425"/>
        <w:gridCol w:w="6300"/>
      </w:tblGrid>
      <w:tr w:rsidR="002C5BA9" w14:paraId="3E2195CA" w14:textId="77777777" w:rsidTr="00430FFE">
        <w:trPr>
          <w:cantSplit/>
          <w:trHeight w:val="432"/>
        </w:trPr>
        <w:tc>
          <w:tcPr>
            <w:tcW w:w="2425" w:type="dxa"/>
            <w:shd w:val="clear" w:color="auto" w:fill="BFBFBF" w:themeFill="background1" w:themeFillShade="BF"/>
          </w:tcPr>
          <w:p w14:paraId="7C6678E0" w14:textId="73BA1007" w:rsidR="002C5BA9" w:rsidRDefault="002C5BA9" w:rsidP="00BA5143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3" w:name="_Hlk98400636"/>
            <w:proofErr w:type="spellStart"/>
            <w:r>
              <w:rPr>
                <w:b/>
                <w:bCs/>
                <w:sz w:val="22"/>
                <w:szCs w:val="22"/>
              </w:rPr>
              <w:t>Postpayment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Cycle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02381F9E" w14:textId="77777777" w:rsidR="002C5BA9" w:rsidRDefault="002C5BA9" w:rsidP="00BA514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New Due Date for Requests for Reconsideration for Denials from that Postpayment Cycle</w:t>
            </w:r>
          </w:p>
        </w:tc>
      </w:tr>
      <w:tr w:rsidR="002C5BA9" w14:paraId="7DE40126" w14:textId="77777777" w:rsidTr="00430FFE">
        <w:trPr>
          <w:cantSplit/>
          <w:trHeight w:val="432"/>
        </w:trPr>
        <w:tc>
          <w:tcPr>
            <w:tcW w:w="2425" w:type="dxa"/>
          </w:tcPr>
          <w:p w14:paraId="297C325D" w14:textId="77777777" w:rsidR="002C5BA9" w:rsidRPr="002F6D84" w:rsidRDefault="002C5BA9" w:rsidP="00BA5143">
            <w:pPr>
              <w:jc w:val="center"/>
              <w:rPr>
                <w:sz w:val="22"/>
                <w:szCs w:val="22"/>
              </w:rPr>
            </w:pPr>
            <w:r w:rsidRPr="002F6D84">
              <w:rPr>
                <w:sz w:val="22"/>
                <w:szCs w:val="22"/>
              </w:rPr>
              <w:t>787</w:t>
            </w:r>
          </w:p>
        </w:tc>
        <w:tc>
          <w:tcPr>
            <w:tcW w:w="6300" w:type="dxa"/>
          </w:tcPr>
          <w:p w14:paraId="1CA4EB4F" w14:textId="77777777" w:rsidR="002C5BA9" w:rsidRPr="002F6D84" w:rsidRDefault="002C5BA9" w:rsidP="00BA5143">
            <w:pPr>
              <w:jc w:val="center"/>
              <w:rPr>
                <w:sz w:val="22"/>
                <w:szCs w:val="22"/>
              </w:rPr>
            </w:pPr>
            <w:r w:rsidRPr="002F6D84">
              <w:rPr>
                <w:sz w:val="22"/>
                <w:szCs w:val="22"/>
              </w:rPr>
              <w:t>April 26, 2022</w:t>
            </w:r>
          </w:p>
        </w:tc>
      </w:tr>
      <w:bookmarkEnd w:id="3"/>
    </w:tbl>
    <w:p w14:paraId="2F0D0BA3" w14:textId="77777777" w:rsidR="002C5BA9" w:rsidRDefault="002C5BA9" w:rsidP="002C5BA9">
      <w:pPr>
        <w:pStyle w:val="BodyTextIndent"/>
        <w:spacing w:before="0" w:after="0" w:afterAutospacing="0"/>
      </w:pPr>
    </w:p>
    <w:p w14:paraId="2284375F" w14:textId="017CB221" w:rsidR="002C5BA9" w:rsidRDefault="002C5BA9" w:rsidP="002C5BA9">
      <w:pPr>
        <w:pStyle w:val="BodyTextIndent"/>
        <w:spacing w:before="0" w:after="0" w:afterAutospacing="0"/>
      </w:pPr>
      <w:r>
        <w:t>At the direction of MassHealth, the UM</w:t>
      </w:r>
      <w:r w:rsidR="00A8282D">
        <w:t xml:space="preserve"> program</w:t>
      </w:r>
      <w:r>
        <w:t xml:space="preserve"> contractor has communicated or will communicate these updated policies to participating hospitals via its electronic messaging system. </w:t>
      </w:r>
    </w:p>
    <w:p w14:paraId="40F4D486" w14:textId="77777777" w:rsidR="00F664CC" w:rsidRPr="009901A7" w:rsidRDefault="00F664CC" w:rsidP="00C92F13">
      <w:pPr>
        <w:pStyle w:val="Heading2"/>
      </w:pPr>
      <w:r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2C5BA9">
      <w:pPr>
        <w:spacing w:after="120" w:afterAutospacing="0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1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672C8E" w:rsidP="002C5BA9">
      <w:pPr>
        <w:spacing w:after="120" w:afterAutospacing="0"/>
      </w:pPr>
      <w:hyperlink r:id="rId12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D1FD47E" w14:textId="77777777" w:rsidR="00F664CC" w:rsidRPr="009901A7" w:rsidRDefault="00F664CC" w:rsidP="00C92F13">
      <w:pPr>
        <w:pStyle w:val="Heading2"/>
      </w:pPr>
      <w:r w:rsidRPr="009901A7">
        <w:t>Questions</w:t>
      </w:r>
      <w:r w:rsidR="001554E7">
        <w:t xml:space="preserve"> </w:t>
      </w:r>
    </w:p>
    <w:p w14:paraId="5927B618" w14:textId="77777777" w:rsidR="00CC1E11" w:rsidRPr="00F664CC" w:rsidRDefault="00F664CC" w:rsidP="00E27CD8">
      <w:r w:rsidRPr="009901A7">
        <w:t xml:space="preserve">If you have any questions about the information in this bulletin, please contact the MassHealth Customer Service Center at (800) 841-2900, email your inquiry to </w:t>
      </w:r>
      <w:hyperlink r:id="rId13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sectPr w:rsidR="00CC1E11" w:rsidRPr="00F664CC" w:rsidSect="00C92F13">
      <w:type w:val="continuous"/>
      <w:pgSz w:w="12240" w:h="15840" w:code="1"/>
      <w:pgMar w:top="245" w:right="1080" w:bottom="1080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676C2" w14:textId="77777777" w:rsidR="001E60B7" w:rsidRDefault="001E60B7" w:rsidP="00E27CD8">
      <w:r>
        <w:separator/>
      </w:r>
    </w:p>
  </w:endnote>
  <w:endnote w:type="continuationSeparator" w:id="0">
    <w:p w14:paraId="15AD2019" w14:textId="77777777" w:rsidR="001E60B7" w:rsidRDefault="001E60B7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D16D1" w14:textId="77777777" w:rsidR="00CC1E11" w:rsidRPr="00CC1E11" w:rsidRDefault="00CC1E11" w:rsidP="00E27CD8">
    <w:pPr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44D2C" w14:textId="77777777" w:rsidR="001E60B7" w:rsidRDefault="001E60B7" w:rsidP="00E27CD8">
      <w:r>
        <w:separator/>
      </w:r>
    </w:p>
  </w:footnote>
  <w:footnote w:type="continuationSeparator" w:id="0">
    <w:p w14:paraId="72847D21" w14:textId="77777777" w:rsidR="001E60B7" w:rsidRDefault="001E60B7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419DBC4E" w:rsidR="00AD204A" w:rsidRPr="00F664CC" w:rsidRDefault="002C5BA9" w:rsidP="00AD204A">
    <w:pPr>
      <w:pStyle w:val="BullsHeading"/>
    </w:pPr>
    <w:r>
      <w:t xml:space="preserve">Acute Inpatient Hospital </w:t>
    </w:r>
    <w:r w:rsidR="00AD204A" w:rsidRPr="00F664CC">
      <w:t xml:space="preserve">Bulletin </w:t>
    </w:r>
    <w:r w:rsidR="00905077">
      <w:t>191</w:t>
    </w:r>
  </w:p>
  <w:p w14:paraId="2FBB1D84" w14:textId="4010B1B4" w:rsidR="00AD204A" w:rsidRDefault="002C5BA9" w:rsidP="00AD204A">
    <w:pPr>
      <w:pStyle w:val="BullsHeading"/>
    </w:pPr>
    <w:r>
      <w:t>March 2022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715A8E">
      <w:rPr>
        <w:noProof/>
      </w:rPr>
      <w:t>2</w:t>
    </w:r>
    <w:r>
      <w:rPr>
        <w:b w:val="0"/>
      </w:rPr>
      <w:fldChar w:fldCharType="end"/>
    </w:r>
    <w:r>
      <w:t xml:space="preserve"> of </w:t>
    </w:r>
    <w:r w:rsidR="00672C8E">
      <w:fldChar w:fldCharType="begin"/>
    </w:r>
    <w:r w:rsidR="00672C8E">
      <w:instrText xml:space="preserve"> NUMPAGES  \* Arabic  \* MERGEFORMAT </w:instrText>
    </w:r>
    <w:r w:rsidR="00672C8E">
      <w:fldChar w:fldCharType="separate"/>
    </w:r>
    <w:r w:rsidR="00715A8E">
      <w:rPr>
        <w:noProof/>
      </w:rPr>
      <w:t>2</w:t>
    </w:r>
    <w:r w:rsidR="00672C8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22136F6"/>
    <w:multiLevelType w:val="hybridMultilevel"/>
    <w:tmpl w:val="550AE51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77517"/>
    <w:rsid w:val="000A6955"/>
    <w:rsid w:val="000D3DB5"/>
    <w:rsid w:val="000D7A54"/>
    <w:rsid w:val="00150BCC"/>
    <w:rsid w:val="001554E7"/>
    <w:rsid w:val="001634DD"/>
    <w:rsid w:val="001E60B7"/>
    <w:rsid w:val="001F5234"/>
    <w:rsid w:val="00221556"/>
    <w:rsid w:val="0022781D"/>
    <w:rsid w:val="0028720F"/>
    <w:rsid w:val="002A1A2E"/>
    <w:rsid w:val="002A5C4D"/>
    <w:rsid w:val="002C5BA9"/>
    <w:rsid w:val="002F2993"/>
    <w:rsid w:val="00364FB4"/>
    <w:rsid w:val="003A7588"/>
    <w:rsid w:val="003E2878"/>
    <w:rsid w:val="00430FFE"/>
    <w:rsid w:val="00467DEF"/>
    <w:rsid w:val="004972ED"/>
    <w:rsid w:val="004A7718"/>
    <w:rsid w:val="004F4B9A"/>
    <w:rsid w:val="004F73C9"/>
    <w:rsid w:val="005068BD"/>
    <w:rsid w:val="00507CFF"/>
    <w:rsid w:val="00583086"/>
    <w:rsid w:val="0058634E"/>
    <w:rsid w:val="0059142C"/>
    <w:rsid w:val="005B27F1"/>
    <w:rsid w:val="005D2217"/>
    <w:rsid w:val="005E4B62"/>
    <w:rsid w:val="005F2B69"/>
    <w:rsid w:val="00672C8E"/>
    <w:rsid w:val="006941BF"/>
    <w:rsid w:val="006C70F9"/>
    <w:rsid w:val="006D3F15"/>
    <w:rsid w:val="00700F64"/>
    <w:rsid w:val="00706438"/>
    <w:rsid w:val="00715A8E"/>
    <w:rsid w:val="00777A22"/>
    <w:rsid w:val="00777CE7"/>
    <w:rsid w:val="00795E06"/>
    <w:rsid w:val="007D0671"/>
    <w:rsid w:val="007F7DBF"/>
    <w:rsid w:val="008201CC"/>
    <w:rsid w:val="00836D85"/>
    <w:rsid w:val="00842F68"/>
    <w:rsid w:val="0086255C"/>
    <w:rsid w:val="00863041"/>
    <w:rsid w:val="008856D5"/>
    <w:rsid w:val="008B6E51"/>
    <w:rsid w:val="00905077"/>
    <w:rsid w:val="00914588"/>
    <w:rsid w:val="00922F04"/>
    <w:rsid w:val="00982839"/>
    <w:rsid w:val="00995D3F"/>
    <w:rsid w:val="00A772C1"/>
    <w:rsid w:val="00A81A76"/>
    <w:rsid w:val="00A8282D"/>
    <w:rsid w:val="00A95FC1"/>
    <w:rsid w:val="00AA6085"/>
    <w:rsid w:val="00AD204A"/>
    <w:rsid w:val="00AD6899"/>
    <w:rsid w:val="00B73653"/>
    <w:rsid w:val="00BC3755"/>
    <w:rsid w:val="00BD2DAF"/>
    <w:rsid w:val="00BD7DD7"/>
    <w:rsid w:val="00C024A2"/>
    <w:rsid w:val="00C21DCF"/>
    <w:rsid w:val="00C358D3"/>
    <w:rsid w:val="00C92F13"/>
    <w:rsid w:val="00CC1E11"/>
    <w:rsid w:val="00CC25DA"/>
    <w:rsid w:val="00CD456D"/>
    <w:rsid w:val="00E01D80"/>
    <w:rsid w:val="00E27CD8"/>
    <w:rsid w:val="00E33508"/>
    <w:rsid w:val="00ED497C"/>
    <w:rsid w:val="00EF5E59"/>
    <w:rsid w:val="00F60574"/>
    <w:rsid w:val="00F664CC"/>
    <w:rsid w:val="00F73D6F"/>
    <w:rsid w:val="00F74F30"/>
    <w:rsid w:val="00F76F21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2F13"/>
    <w:pPr>
      <w:spacing w:before="240" w:after="120" w:afterAutospacing="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92F13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rsid w:val="002C5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D2217"/>
    <w:pPr>
      <w:spacing w:after="0" w:line="240" w:lineRule="auto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mailto:providersupport@maheal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ass.gov/forms/email-notifications-for-provider-bulletins-and-transmittal-lett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masshealth-provider-bulletin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16</TotalTime>
  <Pages>2</Pages>
  <Words>407</Words>
  <Characters>2837</Characters>
  <Application>Microsoft Office Word</Application>
  <DocSecurity>0</DocSecurity>
  <Lines>81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AIH-191</vt:lpstr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AIH-191</dc:title>
  <dc:creator>MassHeatlh</dc:creator>
  <cp:lastModifiedBy>Crystal, Malcolm (EHS)</cp:lastModifiedBy>
  <cp:revision>12</cp:revision>
  <cp:lastPrinted>2022-03-17T13:10:00Z</cp:lastPrinted>
  <dcterms:created xsi:type="dcterms:W3CDTF">2022-03-14T16:58:00Z</dcterms:created>
  <dcterms:modified xsi:type="dcterms:W3CDTF">2022-03-17T13:11:00Z</dcterms:modified>
</cp:coreProperties>
</file>