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D344D9" w:rsidRPr="00D60950" w:rsidRDefault="00D344D9" w:rsidP="004A1517">
      <w:pPr>
        <w:overflowPunct/>
        <w:autoSpaceDE/>
        <w:autoSpaceDN/>
        <w:adjustRightInd/>
        <w:jc w:val="center"/>
        <w:rPr>
          <w:b/>
          <w:sz w:val="36"/>
          <w:szCs w:val="36"/>
        </w:rPr>
        <w:sectPr w:rsidR="00D344D9" w:rsidRPr="00D60950">
          <w:type w:val="continuous"/>
          <w:pgSz w:w="12240" w:h="15840"/>
          <w:pgMar w:top="900" w:right="900" w:bottom="1440" w:left="1080" w:header="720" w:footer="720" w:gutter="0"/>
          <w:cols w:space="720"/>
        </w:sectPr>
      </w:pPr>
      <w:r w:rsidRPr="00FE24F9">
        <w:rPr>
          <w:b/>
          <w:sz w:val="36"/>
          <w:szCs w:val="36"/>
          <w:u w:val="single"/>
        </w:rPr>
        <w:t>ADDENDUM</w:t>
      </w:r>
      <w:r w:rsidR="006212F3">
        <w:rPr>
          <w:b/>
          <w:sz w:val="36"/>
          <w:szCs w:val="36"/>
          <w:u w:val="single"/>
        </w:rPr>
        <w:t xml:space="preserve"> #1</w:t>
      </w:r>
      <w:r w:rsidR="006212F3">
        <w:rPr>
          <w:b/>
          <w:sz w:val="36"/>
          <w:szCs w:val="36"/>
        </w:rPr>
        <w:t xml:space="preserve"> </w:t>
      </w:r>
      <w:r w:rsidR="007F59DA">
        <w:rPr>
          <w:b/>
          <w:sz w:val="36"/>
          <w:szCs w:val="36"/>
        </w:rPr>
        <w:t>to</w:t>
      </w:r>
      <w:r w:rsidRPr="006212F3">
        <w:rPr>
          <w:b/>
          <w:sz w:val="36"/>
          <w:szCs w:val="36"/>
        </w:rPr>
        <w:t xml:space="preserve"> </w:t>
      </w:r>
      <w:r w:rsidR="004A1517">
        <w:rPr>
          <w:b/>
          <w:sz w:val="36"/>
          <w:szCs w:val="36"/>
        </w:rPr>
        <w:t>Public Housing Notice 2019-14</w:t>
      </w:r>
    </w:p>
    <w:p w:rsidR="00D344D9" w:rsidRDefault="00D344D9" w:rsidP="00D344D9">
      <w:pPr>
        <w:textAlignment w:val="baseline"/>
        <w:rPr>
          <w:sz w:val="24"/>
          <w:szCs w:val="24"/>
        </w:rPr>
      </w:pPr>
    </w:p>
    <w:p w:rsidR="00D344D9" w:rsidRDefault="00D344D9" w:rsidP="00D344D9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Local Housing Authority Executive Directors</w:t>
      </w:r>
    </w:p>
    <w:p w:rsidR="00D344D9" w:rsidRDefault="00D344D9" w:rsidP="00D344D9">
      <w:pPr>
        <w:textAlignment w:val="baseline"/>
        <w:rPr>
          <w:sz w:val="24"/>
          <w:szCs w:val="24"/>
        </w:rPr>
      </w:pPr>
    </w:p>
    <w:p w:rsidR="00D344D9" w:rsidRDefault="00D344D9" w:rsidP="00D344D9">
      <w:pPr>
        <w:ind w:left="1440" w:hanging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6212F3">
        <w:rPr>
          <w:sz w:val="24"/>
          <w:szCs w:val="24"/>
        </w:rPr>
        <w:t>Amy Stitely</w:t>
      </w:r>
      <w:r>
        <w:rPr>
          <w:sz w:val="24"/>
          <w:szCs w:val="24"/>
        </w:rPr>
        <w:t>, Associate Direc</w:t>
      </w:r>
      <w:r w:rsidR="006212F3">
        <w:rPr>
          <w:sz w:val="24"/>
          <w:szCs w:val="24"/>
        </w:rPr>
        <w:t xml:space="preserve">tor, </w:t>
      </w:r>
      <w:proofErr w:type="gramStart"/>
      <w:r w:rsidR="006212F3">
        <w:rPr>
          <w:sz w:val="24"/>
          <w:szCs w:val="24"/>
        </w:rPr>
        <w:t>Division</w:t>
      </w:r>
      <w:proofErr w:type="gramEnd"/>
      <w:r w:rsidR="006212F3">
        <w:rPr>
          <w:sz w:val="24"/>
          <w:szCs w:val="24"/>
        </w:rPr>
        <w:t xml:space="preserve"> of Public Housing</w:t>
      </w:r>
    </w:p>
    <w:p w:rsidR="00D344D9" w:rsidRDefault="00D344D9" w:rsidP="00D344D9">
      <w:pPr>
        <w:ind w:left="1440" w:hanging="1440"/>
        <w:textAlignment w:val="baseline"/>
        <w:rPr>
          <w:sz w:val="24"/>
          <w:szCs w:val="24"/>
        </w:rPr>
      </w:pPr>
    </w:p>
    <w:p w:rsidR="00D344D9" w:rsidRPr="006212F3" w:rsidRDefault="00D344D9" w:rsidP="00D344D9">
      <w:pPr>
        <w:ind w:left="1440" w:hanging="1440"/>
        <w:textAlignment w:val="baseline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Pr="006212F3">
        <w:rPr>
          <w:b/>
          <w:sz w:val="24"/>
          <w:szCs w:val="24"/>
          <w:u w:val="single"/>
        </w:rPr>
        <w:t xml:space="preserve">ADDENDUM #1 </w:t>
      </w:r>
      <w:r w:rsidR="004A1517">
        <w:rPr>
          <w:b/>
          <w:sz w:val="24"/>
          <w:szCs w:val="24"/>
          <w:u w:val="single"/>
        </w:rPr>
        <w:t>–</w:t>
      </w:r>
      <w:r w:rsidRPr="006212F3">
        <w:rPr>
          <w:b/>
          <w:sz w:val="24"/>
          <w:szCs w:val="24"/>
          <w:u w:val="single"/>
        </w:rPr>
        <w:t xml:space="preserve"> </w:t>
      </w:r>
      <w:r w:rsidR="004A1517">
        <w:rPr>
          <w:b/>
          <w:sz w:val="24"/>
          <w:u w:val="single"/>
        </w:rPr>
        <w:t>Public Housing Innovations (PHI) Notice of Funding Availability</w:t>
      </w:r>
    </w:p>
    <w:p w:rsidR="00D344D9" w:rsidRDefault="00D344D9" w:rsidP="00D344D9">
      <w:pPr>
        <w:ind w:left="1440" w:hanging="1440"/>
        <w:textAlignment w:val="baseline"/>
        <w:rPr>
          <w:sz w:val="24"/>
          <w:szCs w:val="24"/>
        </w:rPr>
      </w:pPr>
    </w:p>
    <w:p w:rsidR="00D344D9" w:rsidRPr="00C367DA" w:rsidRDefault="00D344D9" w:rsidP="00D344D9">
      <w:pPr>
        <w:ind w:left="1440" w:hanging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="004A1517">
        <w:rPr>
          <w:sz w:val="24"/>
          <w:szCs w:val="24"/>
        </w:rPr>
        <w:t>June 26</w:t>
      </w:r>
      <w:r w:rsidR="006212F3">
        <w:rPr>
          <w:sz w:val="24"/>
          <w:szCs w:val="24"/>
        </w:rPr>
        <w:t>, 2019</w:t>
      </w:r>
      <w:bookmarkStart w:id="0" w:name="_GoBack"/>
      <w:bookmarkEnd w:id="0"/>
    </w:p>
    <w:p w:rsidR="00D344D9" w:rsidRDefault="00D344D9" w:rsidP="00D344D9">
      <w:pPr>
        <w:pBdr>
          <w:bottom w:val="single" w:sz="4" w:space="1" w:color="auto"/>
        </w:pBdr>
        <w:jc w:val="center"/>
        <w:textAlignment w:val="baseline"/>
        <w:rPr>
          <w:b/>
          <w:sz w:val="28"/>
          <w:szCs w:val="28"/>
        </w:rPr>
      </w:pPr>
    </w:p>
    <w:p w:rsidR="00D344D9" w:rsidRDefault="00D344D9" w:rsidP="00D344D9">
      <w:pPr>
        <w:jc w:val="center"/>
        <w:textAlignment w:val="baseline"/>
        <w:rPr>
          <w:b/>
          <w:sz w:val="28"/>
          <w:szCs w:val="28"/>
        </w:rPr>
      </w:pPr>
    </w:p>
    <w:p w:rsidR="006212F3" w:rsidRPr="004A1517" w:rsidRDefault="004A1517" w:rsidP="006212F3">
      <w:pPr>
        <w:jc w:val="center"/>
        <w:textAlignment w:val="baseline"/>
        <w:rPr>
          <w:b/>
          <w:sz w:val="32"/>
          <w:szCs w:val="32"/>
          <w:u w:val="single"/>
        </w:rPr>
      </w:pPr>
      <w:r w:rsidRPr="004A1517">
        <w:rPr>
          <w:b/>
          <w:sz w:val="32"/>
          <w:szCs w:val="32"/>
          <w:u w:val="single"/>
        </w:rPr>
        <w:t>Notice of Funding Availability - Public Housing Innovations</w:t>
      </w:r>
    </w:p>
    <w:p w:rsidR="004A1517" w:rsidRDefault="004A1517" w:rsidP="006212F3">
      <w:pPr>
        <w:jc w:val="center"/>
        <w:textAlignment w:val="baseline"/>
        <w:rPr>
          <w:b/>
          <w:sz w:val="32"/>
          <w:szCs w:val="32"/>
        </w:rPr>
      </w:pPr>
    </w:p>
    <w:p w:rsidR="004A1517" w:rsidRDefault="004A1517" w:rsidP="004A1517">
      <w:pPr>
        <w:pStyle w:val="ListParagraph"/>
        <w:numPr>
          <w:ilvl w:val="0"/>
          <w:numId w:val="2"/>
        </w:numPr>
        <w:jc w:val="center"/>
        <w:textAlignment w:val="baseline"/>
        <w:rPr>
          <w:b/>
          <w:sz w:val="32"/>
          <w:szCs w:val="32"/>
        </w:rPr>
      </w:pPr>
      <w:r w:rsidRPr="004A1517">
        <w:rPr>
          <w:b/>
          <w:sz w:val="32"/>
          <w:szCs w:val="32"/>
        </w:rPr>
        <w:t>Partnership to Expand Housing Opportunities (PEHO) Round 2</w:t>
      </w:r>
    </w:p>
    <w:p w:rsidR="004A1517" w:rsidRPr="004A1517" w:rsidRDefault="004A1517" w:rsidP="004A1517">
      <w:pPr>
        <w:pStyle w:val="ListParagraph"/>
        <w:numPr>
          <w:ilvl w:val="0"/>
          <w:numId w:val="2"/>
        </w:numPr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Gateway Cities Revitalization</w:t>
      </w:r>
    </w:p>
    <w:p w:rsidR="00D344D9" w:rsidRDefault="00D344D9" w:rsidP="00D344D9">
      <w:pPr>
        <w:jc w:val="center"/>
        <w:textAlignment w:val="baseline"/>
        <w:rPr>
          <w:b/>
          <w:smallCaps/>
          <w:sz w:val="28"/>
          <w:szCs w:val="28"/>
        </w:rPr>
      </w:pPr>
    </w:p>
    <w:p w:rsidR="00D344D9" w:rsidRPr="006212F3" w:rsidRDefault="00D344D9" w:rsidP="00D344D9">
      <w:pPr>
        <w:jc w:val="center"/>
        <w:textAlignment w:val="baseline"/>
        <w:rPr>
          <w:b/>
          <w:smallCaps/>
          <w:sz w:val="32"/>
          <w:szCs w:val="32"/>
        </w:rPr>
      </w:pPr>
      <w:r w:rsidRPr="006212F3">
        <w:rPr>
          <w:b/>
          <w:smallCaps/>
          <w:sz w:val="32"/>
          <w:szCs w:val="32"/>
        </w:rPr>
        <w:t>Addendum #1</w:t>
      </w:r>
      <w:r w:rsidR="007F59DA">
        <w:rPr>
          <w:b/>
          <w:smallCaps/>
          <w:sz w:val="32"/>
          <w:szCs w:val="32"/>
        </w:rPr>
        <w:t xml:space="preserve"> - New Time for </w:t>
      </w:r>
      <w:r w:rsidR="004A1517">
        <w:rPr>
          <w:b/>
          <w:smallCaps/>
          <w:sz w:val="32"/>
          <w:szCs w:val="32"/>
        </w:rPr>
        <w:t>Bidder’s Conference</w:t>
      </w:r>
    </w:p>
    <w:p w:rsidR="00D344D9" w:rsidRPr="00E52B29" w:rsidRDefault="00D344D9" w:rsidP="00D344D9">
      <w:pPr>
        <w:jc w:val="both"/>
        <w:textAlignment w:val="baseline"/>
        <w:rPr>
          <w:sz w:val="22"/>
          <w:szCs w:val="22"/>
        </w:rPr>
      </w:pPr>
    </w:p>
    <w:p w:rsidR="00D344D9" w:rsidRDefault="00D344D9" w:rsidP="00D34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44D9" w:rsidRPr="007F59DA" w:rsidRDefault="00D344D9" w:rsidP="00D344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75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A1517">
        <w:rPr>
          <w:rFonts w:ascii="Times New Roman" w:hAnsi="Times New Roman" w:cs="Times New Roman"/>
          <w:b/>
          <w:sz w:val="24"/>
          <w:szCs w:val="24"/>
        </w:rPr>
        <w:t>time for the Bidder’s Conference</w:t>
      </w:r>
      <w:r w:rsidRPr="0022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17">
        <w:rPr>
          <w:rFonts w:ascii="Times New Roman" w:hAnsi="Times New Roman" w:cs="Times New Roman"/>
          <w:b/>
          <w:sz w:val="24"/>
          <w:szCs w:val="24"/>
        </w:rPr>
        <w:t>has been moved one hour – from Wednesday, July 10, 2</w:t>
      </w:r>
      <w:r w:rsidR="006212F3">
        <w:rPr>
          <w:rFonts w:ascii="Times New Roman" w:hAnsi="Times New Roman" w:cs="Times New Roman"/>
          <w:b/>
          <w:sz w:val="24"/>
          <w:szCs w:val="24"/>
        </w:rPr>
        <w:t>019</w:t>
      </w:r>
      <w:r w:rsidRPr="0022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2F3">
        <w:rPr>
          <w:rFonts w:ascii="Times New Roman" w:hAnsi="Times New Roman" w:cs="Times New Roman"/>
          <w:b/>
          <w:sz w:val="24"/>
          <w:szCs w:val="24"/>
        </w:rPr>
        <w:t xml:space="preserve">at 10:00 A.M. </w:t>
      </w:r>
      <w:r w:rsidR="004A1517">
        <w:rPr>
          <w:rFonts w:ascii="Times New Roman" w:hAnsi="Times New Roman" w:cs="Times New Roman"/>
          <w:b/>
          <w:sz w:val="24"/>
          <w:szCs w:val="24"/>
        </w:rPr>
        <w:t>to the new time of 11:00 A.M. on the same date.</w:t>
      </w:r>
      <w:r>
        <w:rPr>
          <w:rFonts w:ascii="Times New Roman" w:hAnsi="Times New Roman" w:cs="Times New Roman"/>
          <w:sz w:val="24"/>
          <w:szCs w:val="24"/>
        </w:rPr>
        <w:t xml:space="preserve">  The location will be Conference Room </w:t>
      </w:r>
      <w:r w:rsidR="006212F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on the 2</w:t>
      </w:r>
      <w:r w:rsidRPr="0022275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 at 100 Cambridge Street, Boston MA.  All parties interested in attending </w:t>
      </w:r>
      <w:r w:rsidR="004A1517">
        <w:rPr>
          <w:rFonts w:ascii="Times New Roman" w:hAnsi="Times New Roman" w:cs="Times New Roman"/>
          <w:sz w:val="24"/>
          <w:szCs w:val="24"/>
        </w:rPr>
        <w:t xml:space="preserve">who have not already done so </w:t>
      </w:r>
      <w:r>
        <w:rPr>
          <w:rFonts w:ascii="Times New Roman" w:hAnsi="Times New Roman" w:cs="Times New Roman"/>
          <w:sz w:val="24"/>
          <w:szCs w:val="24"/>
        </w:rPr>
        <w:t xml:space="preserve">should send their name, address, email and </w:t>
      </w:r>
      <w:r w:rsidRPr="00222759">
        <w:rPr>
          <w:rFonts w:ascii="Times New Roman" w:hAnsi="Times New Roman" w:cs="Times New Roman"/>
          <w:sz w:val="24"/>
          <w:szCs w:val="24"/>
        </w:rPr>
        <w:t xml:space="preserve">phone contact information to Paul McPartland, DHCD Asset Management Coordinator, at </w:t>
      </w:r>
      <w:hyperlink r:id="rId8" w:history="1">
        <w:r w:rsidR="006212F3" w:rsidRPr="005B1828">
          <w:rPr>
            <w:rStyle w:val="Hyperlink"/>
            <w:rFonts w:ascii="Times New Roman" w:hAnsi="Times New Roman" w:cs="Times New Roman"/>
            <w:sz w:val="24"/>
            <w:szCs w:val="24"/>
          </w:rPr>
          <w:t>paul.mcpartland@mass.gov</w:t>
        </w:r>
      </w:hyperlink>
      <w:r w:rsidR="006212F3" w:rsidRPr="007F59D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7F59D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7F59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Submission of written questions in advance of the </w:t>
      </w:r>
      <w:r w:rsidR="007F59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 &amp; A session</w:t>
      </w:r>
      <w:r w:rsidRPr="007F59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is strongly encouraged, and should also be done by email to Mr. McPartland, but is not required.</w:t>
      </w:r>
    </w:p>
    <w:p w:rsidR="00570B8B" w:rsidRDefault="00570B8B">
      <w:pPr>
        <w:rPr>
          <w:sz w:val="24"/>
        </w:rPr>
      </w:pPr>
    </w:p>
    <w:sectPr w:rsidR="00570B8B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871"/>
    <w:multiLevelType w:val="hybridMultilevel"/>
    <w:tmpl w:val="EBA60006"/>
    <w:lvl w:ilvl="0" w:tplc="9B5CC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61AA7"/>
    <w:multiLevelType w:val="hybridMultilevel"/>
    <w:tmpl w:val="B9768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64706"/>
    <w:rsid w:val="00073F69"/>
    <w:rsid w:val="0012159A"/>
    <w:rsid w:val="001374D4"/>
    <w:rsid w:val="00197EF7"/>
    <w:rsid w:val="001A743A"/>
    <w:rsid w:val="00200180"/>
    <w:rsid w:val="00316B0E"/>
    <w:rsid w:val="004210F1"/>
    <w:rsid w:val="004A1517"/>
    <w:rsid w:val="00533399"/>
    <w:rsid w:val="00570B8B"/>
    <w:rsid w:val="005871B0"/>
    <w:rsid w:val="005D3A23"/>
    <w:rsid w:val="005F15BF"/>
    <w:rsid w:val="006212F3"/>
    <w:rsid w:val="006219FB"/>
    <w:rsid w:val="006C29DC"/>
    <w:rsid w:val="00735AA3"/>
    <w:rsid w:val="007F59DA"/>
    <w:rsid w:val="00972014"/>
    <w:rsid w:val="00C33D03"/>
    <w:rsid w:val="00D344D9"/>
    <w:rsid w:val="00D3706E"/>
    <w:rsid w:val="00D67D53"/>
    <w:rsid w:val="00F60ED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11BEF3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44D9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4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mcpartland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McPartland, Paul (OCD)</dc:creator>
  <cp:lastModifiedBy>McPartland, Paul (OCD)</cp:lastModifiedBy>
  <cp:revision>3</cp:revision>
  <cp:lastPrinted>2015-02-11T17:48:00Z</cp:lastPrinted>
  <dcterms:created xsi:type="dcterms:W3CDTF">2019-06-26T12:42:00Z</dcterms:created>
  <dcterms:modified xsi:type="dcterms:W3CDTF">2019-06-26T12:50:00Z</dcterms:modified>
</cp:coreProperties>
</file>