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5F15BF">
        <w:rPr>
          <w:rFonts w:ascii="CG Times" w:hAnsi="CG Times"/>
          <w:sz w:val="16"/>
          <w:szCs w:val="16"/>
        </w:rPr>
        <w:t>anelle Chan</w:t>
      </w:r>
      <w:r w:rsidR="00FD5CF2">
        <w:rPr>
          <w:rFonts w:ascii="CG Times" w:hAnsi="CG Times"/>
          <w:sz w:val="16"/>
          <w:szCs w:val="16"/>
        </w:rPr>
        <w:t xml:space="preserve">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1CC" w:rsidRDefault="00451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4511CC" w:rsidRDefault="004511C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A24225" w:rsidRDefault="00F6697E" w:rsidP="00F669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ADDENDUM #4</w:t>
      </w:r>
      <w:r w:rsidR="00A24225" w:rsidRPr="00F6697E">
        <w:rPr>
          <w:b/>
          <w:bCs/>
          <w:sz w:val="32"/>
          <w:szCs w:val="32"/>
        </w:rPr>
        <w:t xml:space="preserve"> to Public Housing Notice 2019-14</w:t>
      </w:r>
      <w:r>
        <w:rPr>
          <w:b/>
          <w:bCs/>
          <w:sz w:val="32"/>
          <w:szCs w:val="32"/>
        </w:rPr>
        <w:t xml:space="preserve"> </w:t>
      </w:r>
    </w:p>
    <w:p w:rsidR="00F6697E" w:rsidRPr="00F6697E" w:rsidRDefault="00F6697E" w:rsidP="00F6697E">
      <w:pPr>
        <w:jc w:val="center"/>
        <w:rPr>
          <w:sz w:val="32"/>
          <w:szCs w:val="32"/>
        </w:rPr>
      </w:pPr>
    </w:p>
    <w:p w:rsidR="00A24225" w:rsidRPr="00A24225" w:rsidRDefault="00A24225" w:rsidP="00A24225">
      <w:pPr>
        <w:rPr>
          <w:sz w:val="24"/>
        </w:rPr>
      </w:pPr>
      <w:r w:rsidRPr="00A24225">
        <w:rPr>
          <w:sz w:val="24"/>
        </w:rPr>
        <w:t xml:space="preserve">To: </w:t>
      </w:r>
      <w:r w:rsidR="00F6697E">
        <w:rPr>
          <w:sz w:val="24"/>
        </w:rPr>
        <w:tab/>
      </w:r>
      <w:r w:rsidR="00F6697E">
        <w:rPr>
          <w:sz w:val="24"/>
        </w:rPr>
        <w:tab/>
      </w:r>
      <w:r w:rsidRPr="00A24225">
        <w:rPr>
          <w:sz w:val="24"/>
        </w:rPr>
        <w:t xml:space="preserve">All Local Housing Authority Executive Directors </w:t>
      </w:r>
    </w:p>
    <w:p w:rsidR="00A24225" w:rsidRPr="00A24225" w:rsidRDefault="00A24225" w:rsidP="00A24225">
      <w:pPr>
        <w:rPr>
          <w:sz w:val="24"/>
        </w:rPr>
      </w:pPr>
      <w:r w:rsidRPr="00A24225">
        <w:rPr>
          <w:sz w:val="24"/>
        </w:rPr>
        <w:t>From:</w:t>
      </w:r>
      <w:r w:rsidR="00F6697E">
        <w:rPr>
          <w:sz w:val="24"/>
        </w:rPr>
        <w:tab/>
      </w:r>
      <w:r w:rsidR="00F6697E">
        <w:rPr>
          <w:sz w:val="24"/>
        </w:rPr>
        <w:tab/>
      </w:r>
      <w:r w:rsidRPr="00A24225">
        <w:rPr>
          <w:sz w:val="24"/>
        </w:rPr>
        <w:t xml:space="preserve">Amy Stitely, Associate Director, Division of Public Housing </w:t>
      </w:r>
    </w:p>
    <w:p w:rsidR="00A24225" w:rsidRPr="00FC4F24" w:rsidRDefault="00A24225" w:rsidP="00334612">
      <w:pPr>
        <w:ind w:left="1440" w:hanging="1440"/>
        <w:rPr>
          <w:sz w:val="24"/>
        </w:rPr>
      </w:pPr>
      <w:r w:rsidRPr="00A24225">
        <w:rPr>
          <w:sz w:val="24"/>
        </w:rPr>
        <w:t xml:space="preserve">Subject: </w:t>
      </w:r>
      <w:r w:rsidR="00F6697E">
        <w:rPr>
          <w:sz w:val="24"/>
        </w:rPr>
        <w:tab/>
      </w:r>
      <w:r w:rsidR="00FC4F24" w:rsidRPr="00FC4F24">
        <w:rPr>
          <w:b/>
          <w:bCs/>
          <w:sz w:val="24"/>
        </w:rPr>
        <w:t>DEADLINE EXTENSION –</w:t>
      </w:r>
      <w:r w:rsidR="00334612">
        <w:rPr>
          <w:b/>
          <w:bCs/>
          <w:sz w:val="24"/>
        </w:rPr>
        <w:t xml:space="preserve"> Public Housing Innovations </w:t>
      </w:r>
      <w:r w:rsidRPr="00FC4F24">
        <w:rPr>
          <w:b/>
          <w:bCs/>
          <w:sz w:val="24"/>
        </w:rPr>
        <w:t>Notice of Funding Availability</w:t>
      </w:r>
      <w:r w:rsidRPr="00FC4F24">
        <w:rPr>
          <w:bCs/>
          <w:sz w:val="24"/>
        </w:rPr>
        <w:t xml:space="preserve"> </w:t>
      </w:r>
    </w:p>
    <w:p w:rsidR="00A24225" w:rsidRDefault="00A24225" w:rsidP="00F6697E">
      <w:pPr>
        <w:pBdr>
          <w:bottom w:val="single" w:sz="4" w:space="1" w:color="auto"/>
        </w:pBdr>
        <w:rPr>
          <w:sz w:val="24"/>
        </w:rPr>
      </w:pPr>
      <w:r w:rsidRPr="00A24225">
        <w:rPr>
          <w:sz w:val="24"/>
        </w:rPr>
        <w:t xml:space="preserve">Date: </w:t>
      </w:r>
      <w:r w:rsidR="00F6697E">
        <w:rPr>
          <w:sz w:val="24"/>
        </w:rPr>
        <w:tab/>
      </w:r>
      <w:r w:rsidR="00F6697E">
        <w:rPr>
          <w:sz w:val="24"/>
        </w:rPr>
        <w:tab/>
      </w:r>
      <w:r w:rsidRPr="00A24225">
        <w:rPr>
          <w:sz w:val="24"/>
        </w:rPr>
        <w:t xml:space="preserve">August 20, 2019 </w:t>
      </w:r>
    </w:p>
    <w:p w:rsidR="00F6697E" w:rsidRPr="00A24225" w:rsidRDefault="00F6697E" w:rsidP="00A24225">
      <w:pPr>
        <w:rPr>
          <w:sz w:val="24"/>
        </w:rPr>
      </w:pPr>
    </w:p>
    <w:p w:rsidR="00A24225" w:rsidRDefault="00A24225" w:rsidP="00F6697E">
      <w:pPr>
        <w:jc w:val="center"/>
        <w:rPr>
          <w:b/>
          <w:bCs/>
          <w:sz w:val="28"/>
          <w:szCs w:val="28"/>
          <w:u w:val="single"/>
        </w:rPr>
      </w:pPr>
      <w:r w:rsidRPr="00F6697E">
        <w:rPr>
          <w:b/>
          <w:bCs/>
          <w:sz w:val="28"/>
          <w:szCs w:val="28"/>
          <w:u w:val="single"/>
        </w:rPr>
        <w:t>Notice of Funding Availability - Public Housing Innovations</w:t>
      </w:r>
    </w:p>
    <w:p w:rsidR="00F6697E" w:rsidRPr="00F6697E" w:rsidRDefault="00F6697E" w:rsidP="00F6697E">
      <w:pPr>
        <w:jc w:val="center"/>
        <w:rPr>
          <w:sz w:val="28"/>
          <w:szCs w:val="28"/>
          <w:u w:val="single"/>
        </w:rPr>
      </w:pPr>
    </w:p>
    <w:p w:rsidR="00334612" w:rsidRDefault="00A24225" w:rsidP="00F6697E">
      <w:pPr>
        <w:jc w:val="center"/>
        <w:rPr>
          <w:b/>
          <w:bCs/>
          <w:sz w:val="28"/>
          <w:szCs w:val="28"/>
        </w:rPr>
      </w:pPr>
      <w:r w:rsidRPr="00F6697E">
        <w:rPr>
          <w:b/>
          <w:bCs/>
          <w:sz w:val="28"/>
          <w:szCs w:val="28"/>
        </w:rPr>
        <w:t xml:space="preserve">Partnership to Expand Housing Opportunities (PEHO) Round </w:t>
      </w:r>
      <w:r w:rsidR="00FC4F24">
        <w:rPr>
          <w:b/>
          <w:bCs/>
          <w:sz w:val="28"/>
          <w:szCs w:val="28"/>
        </w:rPr>
        <w:t>II</w:t>
      </w:r>
      <w:r w:rsidR="00334612">
        <w:rPr>
          <w:b/>
          <w:bCs/>
          <w:sz w:val="28"/>
          <w:szCs w:val="28"/>
        </w:rPr>
        <w:t xml:space="preserve"> </w:t>
      </w:r>
    </w:p>
    <w:p w:rsidR="00A24225" w:rsidRPr="00F6697E" w:rsidRDefault="00334612" w:rsidP="00F6697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&amp; Gateway Cities Revitalization Programs</w:t>
      </w:r>
    </w:p>
    <w:p w:rsidR="00A24225" w:rsidRPr="00A24225" w:rsidRDefault="00A24225" w:rsidP="00A24225">
      <w:pPr>
        <w:rPr>
          <w:sz w:val="24"/>
        </w:rPr>
      </w:pPr>
    </w:p>
    <w:p w:rsidR="00F6697E" w:rsidRPr="00CF5D11" w:rsidRDefault="00191764" w:rsidP="00CF5D11">
      <w:pPr>
        <w:pStyle w:val="ListParagraph"/>
        <w:numPr>
          <w:ilvl w:val="0"/>
          <w:numId w:val="1"/>
        </w:numPr>
        <w:rPr>
          <w:sz w:val="24"/>
        </w:rPr>
      </w:pPr>
      <w:r w:rsidRPr="00191764">
        <w:rPr>
          <w:b/>
          <w:sz w:val="24"/>
          <w:u w:val="single"/>
        </w:rPr>
        <w:t>EXTENSION OF DEADLINE FOR RESPONSES TO</w:t>
      </w:r>
      <w:r w:rsidR="00F6697E" w:rsidRPr="00191764">
        <w:rPr>
          <w:b/>
          <w:sz w:val="24"/>
          <w:u w:val="single"/>
        </w:rPr>
        <w:t xml:space="preserve"> NOFA</w:t>
      </w:r>
      <w:r w:rsidR="00334612" w:rsidRPr="00191764">
        <w:rPr>
          <w:b/>
          <w:sz w:val="24"/>
          <w:u w:val="single"/>
        </w:rPr>
        <w:t xml:space="preserve"> </w:t>
      </w:r>
      <w:r w:rsidRPr="00191764">
        <w:rPr>
          <w:b/>
          <w:sz w:val="24"/>
          <w:u w:val="single"/>
        </w:rPr>
        <w:t>TO FEBRUARY</w:t>
      </w:r>
      <w:r w:rsidR="00334612" w:rsidRPr="00191764">
        <w:rPr>
          <w:b/>
          <w:sz w:val="24"/>
          <w:u w:val="single"/>
        </w:rPr>
        <w:t xml:space="preserve"> 12, 2020</w:t>
      </w:r>
      <w:r w:rsidR="00F6697E" w:rsidRPr="00191764">
        <w:rPr>
          <w:b/>
          <w:sz w:val="24"/>
          <w:u w:val="single"/>
        </w:rPr>
        <w:t>:</w:t>
      </w:r>
      <w:r w:rsidR="00F6697E" w:rsidRPr="00CF5D11">
        <w:rPr>
          <w:b/>
          <w:sz w:val="24"/>
        </w:rPr>
        <w:t xml:space="preserve">  </w:t>
      </w:r>
      <w:r w:rsidR="00334612" w:rsidRPr="00334612">
        <w:rPr>
          <w:sz w:val="24"/>
        </w:rPr>
        <w:t xml:space="preserve">DHCD has extended the deadline for responses </w:t>
      </w:r>
      <w:r w:rsidR="00CF5D11" w:rsidRPr="00334612">
        <w:rPr>
          <w:sz w:val="24"/>
        </w:rPr>
        <w:t>to the Notice of Funding Availability (NOFA</w:t>
      </w:r>
      <w:r w:rsidR="00CF5D11">
        <w:rPr>
          <w:sz w:val="24"/>
        </w:rPr>
        <w:t xml:space="preserve">) for </w:t>
      </w:r>
      <w:r w:rsidR="00334612">
        <w:rPr>
          <w:sz w:val="24"/>
        </w:rPr>
        <w:t xml:space="preserve">Public Housing Innovations.  </w:t>
      </w:r>
      <w:r w:rsidR="00334612" w:rsidRPr="00334612">
        <w:rPr>
          <w:b/>
          <w:sz w:val="24"/>
        </w:rPr>
        <w:t xml:space="preserve">The deadline for responses to both programs announced in the NOFA – </w:t>
      </w:r>
      <w:r w:rsidR="00CF5D11" w:rsidRPr="00334612">
        <w:rPr>
          <w:b/>
          <w:sz w:val="24"/>
        </w:rPr>
        <w:t>Partnership to Expand Housing Opportunities (PEHO) Round II</w:t>
      </w:r>
      <w:r w:rsidR="00334612" w:rsidRPr="00334612">
        <w:rPr>
          <w:b/>
          <w:sz w:val="24"/>
        </w:rPr>
        <w:t xml:space="preserve">, and the Gateway Cities Revitalization program – has been extended </w:t>
      </w:r>
      <w:r w:rsidR="00CF5D11" w:rsidRPr="00334612">
        <w:rPr>
          <w:b/>
          <w:sz w:val="24"/>
        </w:rPr>
        <w:t>from December 11, 2019, to February 12, 2020</w:t>
      </w:r>
      <w:r w:rsidR="00CF5D11" w:rsidRPr="00334612">
        <w:rPr>
          <w:sz w:val="24"/>
        </w:rPr>
        <w:t xml:space="preserve">.  </w:t>
      </w:r>
      <w:r w:rsidR="00334612" w:rsidRPr="00334612">
        <w:rPr>
          <w:sz w:val="24"/>
        </w:rPr>
        <w:t>Applications can be submitted prior to the new deadline, but no awards will be made in either program until after February 12, 2020.</w:t>
      </w:r>
    </w:p>
    <w:p w:rsidR="00F6697E" w:rsidRPr="00F76D0C" w:rsidRDefault="00191764" w:rsidP="00F76D0C">
      <w:pPr>
        <w:pStyle w:val="ListParagraph"/>
        <w:numPr>
          <w:ilvl w:val="0"/>
          <w:numId w:val="1"/>
        </w:numPr>
        <w:rPr>
          <w:b/>
          <w:sz w:val="24"/>
        </w:rPr>
      </w:pPr>
      <w:r w:rsidRPr="00191764">
        <w:rPr>
          <w:b/>
          <w:sz w:val="24"/>
          <w:u w:val="single"/>
        </w:rPr>
        <w:t>ADDITIONAL DOCUMENTS</w:t>
      </w:r>
      <w:r w:rsidR="00F6697E" w:rsidRPr="00191764">
        <w:rPr>
          <w:b/>
          <w:sz w:val="24"/>
          <w:u w:val="single"/>
        </w:rPr>
        <w:t>:</w:t>
      </w:r>
      <w:r w:rsidR="00F6697E" w:rsidRPr="00F6697E">
        <w:rPr>
          <w:b/>
          <w:sz w:val="24"/>
        </w:rPr>
        <w:t xml:space="preserve"> </w:t>
      </w:r>
      <w:r w:rsidR="00334612">
        <w:rPr>
          <w:sz w:val="24"/>
        </w:rPr>
        <w:t>Two additional documents are issued with this addendum</w:t>
      </w:r>
      <w:r w:rsidR="00F76D0C">
        <w:rPr>
          <w:sz w:val="24"/>
        </w:rPr>
        <w:t xml:space="preserve"> for reference with the </w:t>
      </w:r>
      <w:r w:rsidR="00F76D0C" w:rsidRPr="00F76D0C">
        <w:rPr>
          <w:sz w:val="24"/>
        </w:rPr>
        <w:t>Partnership to Expand Housing Opportunities (PEHO) Round II</w:t>
      </w:r>
      <w:r w:rsidR="00F76D0C">
        <w:rPr>
          <w:sz w:val="24"/>
        </w:rPr>
        <w:t xml:space="preserve"> NOFA:</w:t>
      </w:r>
    </w:p>
    <w:p w:rsidR="00F76D0C" w:rsidRPr="00F76D0C" w:rsidRDefault="00F76D0C" w:rsidP="00F76D0C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 xml:space="preserve">Memorandum Titled “Procurement, </w:t>
      </w:r>
      <w:r w:rsidRPr="00F76D0C">
        <w:rPr>
          <w:b/>
          <w:sz w:val="24"/>
        </w:rPr>
        <w:t>Leasing and Contracting Issues in Connection with PEHO II NOFA and RFP</w:t>
      </w:r>
      <w:r>
        <w:rPr>
          <w:b/>
          <w:sz w:val="24"/>
        </w:rPr>
        <w:t xml:space="preserve">”: </w:t>
      </w:r>
      <w:r w:rsidRPr="00F76D0C">
        <w:rPr>
          <w:sz w:val="24"/>
        </w:rPr>
        <w:t xml:space="preserve"> this memo addresses several key procurement issues to be considered</w:t>
      </w:r>
      <w:r>
        <w:rPr>
          <w:b/>
          <w:sz w:val="24"/>
        </w:rPr>
        <w:t xml:space="preserve"> </w:t>
      </w:r>
      <w:r w:rsidRPr="00F76D0C">
        <w:rPr>
          <w:sz w:val="24"/>
        </w:rPr>
        <w:t>by all PEHO II applicants.</w:t>
      </w:r>
      <w:r>
        <w:rPr>
          <w:b/>
          <w:sz w:val="24"/>
        </w:rPr>
        <w:t xml:space="preserve"> </w:t>
      </w:r>
    </w:p>
    <w:p w:rsidR="00F76D0C" w:rsidRPr="00F6697E" w:rsidRDefault="005C7986" w:rsidP="00F76D0C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 xml:space="preserve">Template Land </w:t>
      </w:r>
      <w:r w:rsidR="00F76D0C">
        <w:rPr>
          <w:b/>
          <w:sz w:val="24"/>
        </w:rPr>
        <w:t>Disposition</w:t>
      </w:r>
      <w:r>
        <w:rPr>
          <w:b/>
          <w:sz w:val="24"/>
        </w:rPr>
        <w:t xml:space="preserve">/Development Agreement: </w:t>
      </w:r>
      <w:r w:rsidRPr="005C7986">
        <w:rPr>
          <w:sz w:val="24"/>
        </w:rPr>
        <w:t xml:space="preserve">An </w:t>
      </w:r>
      <w:r>
        <w:rPr>
          <w:sz w:val="24"/>
        </w:rPr>
        <w:t>LHA should attach this document to any RFP it issues seeking a developer partner for the PEHO II program.  LHAs should use this document, or a document that includes key elements of this agreement identified in bold type, when they enter into a formal agreement with their selected developer partner.</w:t>
      </w:r>
    </w:p>
    <w:p w:rsidR="00A24225" w:rsidRPr="005C7986" w:rsidRDefault="00A24225" w:rsidP="00F6697E">
      <w:pPr>
        <w:pStyle w:val="ListParagraph"/>
        <w:numPr>
          <w:ilvl w:val="0"/>
          <w:numId w:val="1"/>
        </w:numPr>
        <w:rPr>
          <w:sz w:val="24"/>
        </w:rPr>
      </w:pPr>
      <w:r w:rsidRPr="00191764">
        <w:rPr>
          <w:b/>
          <w:bCs/>
          <w:sz w:val="24"/>
          <w:u w:val="single"/>
        </w:rPr>
        <w:t>UPDATE TO Q&amp;A</w:t>
      </w:r>
      <w:r w:rsidR="00F6697E" w:rsidRPr="00191764">
        <w:rPr>
          <w:b/>
          <w:bCs/>
          <w:sz w:val="24"/>
          <w:u w:val="single"/>
        </w:rPr>
        <w:t>:</w:t>
      </w:r>
      <w:r w:rsidR="005C7986">
        <w:rPr>
          <w:b/>
          <w:bCs/>
          <w:sz w:val="24"/>
        </w:rPr>
        <w:t xml:space="preserve">  </w:t>
      </w:r>
      <w:r w:rsidR="005C7986" w:rsidRPr="005C7986">
        <w:rPr>
          <w:bCs/>
          <w:sz w:val="24"/>
        </w:rPr>
        <w:t>DHCD h</w:t>
      </w:r>
      <w:r w:rsidR="005C7986">
        <w:rPr>
          <w:bCs/>
          <w:sz w:val="24"/>
        </w:rPr>
        <w:t>as issued the following answer to a question received regarding the PEHO II program.</w:t>
      </w:r>
    </w:p>
    <w:p w:rsidR="005452AD" w:rsidRDefault="005C7986" w:rsidP="005C7986">
      <w:pPr>
        <w:pStyle w:val="ListParagraph"/>
        <w:ind w:left="1440"/>
        <w:rPr>
          <w:bCs/>
          <w:sz w:val="24"/>
        </w:rPr>
      </w:pPr>
      <w:r>
        <w:rPr>
          <w:b/>
          <w:bCs/>
          <w:sz w:val="24"/>
        </w:rPr>
        <w:t xml:space="preserve">Q: </w:t>
      </w:r>
      <w:r w:rsidR="004511CC">
        <w:rPr>
          <w:b/>
          <w:bCs/>
          <w:sz w:val="24"/>
        </w:rPr>
        <w:t xml:space="preserve"> </w:t>
      </w:r>
      <w:r w:rsidR="004511CC">
        <w:rPr>
          <w:bCs/>
          <w:sz w:val="24"/>
        </w:rPr>
        <w:t xml:space="preserve">The NOFA says (p.8) the “Public housing and market-rate units must be integrated with the development.”  </w:t>
      </w:r>
      <w:r>
        <w:rPr>
          <w:b/>
          <w:bCs/>
          <w:sz w:val="24"/>
        </w:rPr>
        <w:t xml:space="preserve"> </w:t>
      </w:r>
      <w:r w:rsidR="00191764">
        <w:rPr>
          <w:bCs/>
          <w:sz w:val="24"/>
        </w:rPr>
        <w:t>We are considering redeveloping our c. 667 elderly site</w:t>
      </w:r>
      <w:r w:rsidR="005452AD">
        <w:rPr>
          <w:bCs/>
          <w:sz w:val="24"/>
        </w:rPr>
        <w:t>s</w:t>
      </w:r>
      <w:r w:rsidR="00191764">
        <w:rPr>
          <w:bCs/>
          <w:sz w:val="24"/>
        </w:rPr>
        <w:t xml:space="preserve">, and would like to add a substantial number of units </w:t>
      </w:r>
      <w:r w:rsidR="005452AD">
        <w:rPr>
          <w:bCs/>
          <w:sz w:val="24"/>
        </w:rPr>
        <w:t>that are NOT age-restricted</w:t>
      </w:r>
      <w:r w:rsidR="005452AD">
        <w:rPr>
          <w:bCs/>
          <w:sz w:val="24"/>
        </w:rPr>
        <w:t xml:space="preserve"> </w:t>
      </w:r>
      <w:r w:rsidR="00191764">
        <w:rPr>
          <w:bCs/>
          <w:sz w:val="24"/>
        </w:rPr>
        <w:t>to the site</w:t>
      </w:r>
      <w:r w:rsidR="005452AD">
        <w:rPr>
          <w:bCs/>
          <w:sz w:val="24"/>
        </w:rPr>
        <w:t>s</w:t>
      </w:r>
      <w:r w:rsidR="00191764">
        <w:rPr>
          <w:bCs/>
          <w:sz w:val="24"/>
        </w:rPr>
        <w:t xml:space="preserve">.  We are concerned that </w:t>
      </w:r>
      <w:r w:rsidR="005452AD">
        <w:rPr>
          <w:bCs/>
          <w:sz w:val="24"/>
        </w:rPr>
        <w:t xml:space="preserve">this could run afoul of </w:t>
      </w:r>
      <w:r w:rsidR="00191764">
        <w:rPr>
          <w:bCs/>
          <w:sz w:val="24"/>
        </w:rPr>
        <w:t>f</w:t>
      </w:r>
      <w:r w:rsidRPr="005C7986">
        <w:rPr>
          <w:bCs/>
          <w:sz w:val="24"/>
        </w:rPr>
        <w:t xml:space="preserve">air housing laws </w:t>
      </w:r>
      <w:r w:rsidR="005452AD">
        <w:rPr>
          <w:bCs/>
          <w:sz w:val="24"/>
        </w:rPr>
        <w:t xml:space="preserve">that </w:t>
      </w:r>
      <w:r w:rsidRPr="005C7986">
        <w:rPr>
          <w:bCs/>
          <w:sz w:val="24"/>
        </w:rPr>
        <w:t xml:space="preserve">require a </w:t>
      </w:r>
      <w:r w:rsidR="005452AD">
        <w:rPr>
          <w:bCs/>
          <w:sz w:val="24"/>
        </w:rPr>
        <w:t xml:space="preserve">high percentage of the units in a development to be </w:t>
      </w:r>
      <w:r w:rsidRPr="005C7986">
        <w:rPr>
          <w:bCs/>
          <w:sz w:val="24"/>
        </w:rPr>
        <w:t>age-restricted i</w:t>
      </w:r>
      <w:r w:rsidR="005452AD">
        <w:rPr>
          <w:bCs/>
          <w:sz w:val="24"/>
        </w:rPr>
        <w:t>f ANY</w:t>
      </w:r>
      <w:r w:rsidRPr="005C7986">
        <w:rPr>
          <w:bCs/>
          <w:sz w:val="24"/>
        </w:rPr>
        <w:t xml:space="preserve"> of the units are age-restricted.  </w:t>
      </w:r>
      <w:r w:rsidR="005452AD">
        <w:rPr>
          <w:bCs/>
          <w:sz w:val="24"/>
        </w:rPr>
        <w:t xml:space="preserve">If we subdivide a site and develop part of it for replacement c. 667 housing and the rest as </w:t>
      </w:r>
      <w:r w:rsidR="005452AD">
        <w:rPr>
          <w:bCs/>
          <w:sz w:val="24"/>
        </w:rPr>
        <w:lastRenderedPageBreak/>
        <w:t>non-age-restricted market rate housing, would that be acceptable to DHCD, g</w:t>
      </w:r>
      <w:r w:rsidRPr="005C7986">
        <w:rPr>
          <w:bCs/>
          <w:sz w:val="24"/>
        </w:rPr>
        <w:t xml:space="preserve">iven </w:t>
      </w:r>
      <w:r w:rsidR="005452AD">
        <w:rPr>
          <w:bCs/>
          <w:sz w:val="24"/>
        </w:rPr>
        <w:t>your</w:t>
      </w:r>
      <w:r w:rsidRPr="005C7986">
        <w:rPr>
          <w:bCs/>
          <w:sz w:val="24"/>
        </w:rPr>
        <w:t xml:space="preserve"> priority for integration</w:t>
      </w:r>
      <w:r w:rsidR="005452AD">
        <w:rPr>
          <w:bCs/>
          <w:sz w:val="24"/>
        </w:rPr>
        <w:t xml:space="preserve"> of the public housing and market rate units?</w:t>
      </w:r>
    </w:p>
    <w:p w:rsidR="005452AD" w:rsidRDefault="005452AD" w:rsidP="005C7986">
      <w:pPr>
        <w:pStyle w:val="ListParagraph"/>
        <w:ind w:left="1440"/>
        <w:rPr>
          <w:bCs/>
          <w:sz w:val="24"/>
        </w:rPr>
      </w:pPr>
    </w:p>
    <w:p w:rsidR="005C7986" w:rsidRPr="005C7986" w:rsidRDefault="005452AD" w:rsidP="005C7986">
      <w:pPr>
        <w:pStyle w:val="ListParagraph"/>
        <w:ind w:left="1440"/>
        <w:rPr>
          <w:sz w:val="24"/>
        </w:rPr>
      </w:pPr>
      <w:r w:rsidRPr="005452AD">
        <w:rPr>
          <w:b/>
          <w:bCs/>
          <w:sz w:val="24"/>
        </w:rPr>
        <w:t>A:</w:t>
      </w:r>
      <w:bookmarkStart w:id="0" w:name="_GoBack"/>
      <w:bookmarkEnd w:id="0"/>
      <w:r>
        <w:rPr>
          <w:bCs/>
          <w:sz w:val="24"/>
        </w:rPr>
        <w:t xml:space="preserve">  </w:t>
      </w:r>
      <w:r w:rsidR="005C7986" w:rsidRPr="005C7986">
        <w:rPr>
          <w:bCs/>
          <w:sz w:val="24"/>
        </w:rPr>
        <w:t xml:space="preserve"> </w:t>
      </w:r>
      <w:r>
        <w:rPr>
          <w:bCs/>
          <w:sz w:val="24"/>
        </w:rPr>
        <w:t>While all applicants must consult their legal counsel to ensure compliance with all</w:t>
      </w:r>
      <w:r w:rsidR="001C00F8">
        <w:rPr>
          <w:bCs/>
          <w:sz w:val="24"/>
        </w:rPr>
        <w:t xml:space="preserve"> federal and state</w:t>
      </w:r>
      <w:r>
        <w:rPr>
          <w:bCs/>
          <w:sz w:val="24"/>
        </w:rPr>
        <w:t xml:space="preserve"> Fair Housing laws</w:t>
      </w:r>
      <w:r w:rsidR="001C00F8">
        <w:rPr>
          <w:bCs/>
          <w:sz w:val="24"/>
        </w:rPr>
        <w:t xml:space="preserve"> pertaining to permissible age-restricted housing</w:t>
      </w:r>
      <w:r>
        <w:rPr>
          <w:bCs/>
          <w:sz w:val="24"/>
        </w:rPr>
        <w:t xml:space="preserve">, for the purposes of the NOFA, DHCD will </w:t>
      </w:r>
      <w:r w:rsidR="001C00F8">
        <w:rPr>
          <w:bCs/>
          <w:sz w:val="24"/>
        </w:rPr>
        <w:t>consider</w:t>
      </w:r>
      <w:r>
        <w:rPr>
          <w:bCs/>
          <w:sz w:val="24"/>
        </w:rPr>
        <w:t xml:space="preserve"> proposals that subdivide a lot to create separate sites for c. 667 replacement units and non-age restricted market rate units.</w:t>
      </w:r>
    </w:p>
    <w:p w:rsidR="005452AD" w:rsidRDefault="005452AD" w:rsidP="00A24225">
      <w:pPr>
        <w:rPr>
          <w:sz w:val="24"/>
        </w:rPr>
      </w:pPr>
    </w:p>
    <w:p w:rsidR="00743A4B" w:rsidRDefault="00743A4B" w:rsidP="00743A4B">
      <w:pPr>
        <w:rPr>
          <w:sz w:val="24"/>
        </w:rPr>
      </w:pPr>
      <w:r>
        <w:rPr>
          <w:b/>
          <w:sz w:val="24"/>
        </w:rPr>
        <w:t>GENERAL NOTICE</w:t>
      </w:r>
      <w:r>
        <w:rPr>
          <w:sz w:val="24"/>
        </w:rPr>
        <w:t xml:space="preserve">:  Prospective applicants should review the original NOFA, all addenda and all related attachments to the NOFA before drafting their applications for funding. </w:t>
      </w:r>
      <w:r w:rsidRPr="00D300F5">
        <w:rPr>
          <w:b/>
          <w:sz w:val="24"/>
        </w:rPr>
        <w:t xml:space="preserve">All documents can be found at:  </w:t>
      </w:r>
      <w:hyperlink r:id="rId7" w:history="1">
        <w:r w:rsidRPr="00D300F5">
          <w:rPr>
            <w:rStyle w:val="Hyperlink"/>
            <w:b/>
            <w:sz w:val="24"/>
          </w:rPr>
          <w:t>https://www.mass.gov/service-details/public-housing-admin-notices</w:t>
        </w:r>
      </w:hyperlink>
      <w:r w:rsidRPr="00D300F5">
        <w:rPr>
          <w:b/>
          <w:sz w:val="24"/>
        </w:rPr>
        <w:t xml:space="preserve"> under the heading “2019-14 Public Housing Innovations (PHI).</w:t>
      </w:r>
    </w:p>
    <w:p w:rsidR="00743A4B" w:rsidRDefault="00743A4B" w:rsidP="00743A4B">
      <w:pPr>
        <w:rPr>
          <w:sz w:val="24"/>
        </w:rPr>
      </w:pPr>
    </w:p>
    <w:p w:rsidR="00743A4B" w:rsidRDefault="00743A4B" w:rsidP="00743A4B">
      <w:pPr>
        <w:rPr>
          <w:sz w:val="24"/>
        </w:rPr>
      </w:pPr>
      <w:r>
        <w:rPr>
          <w:sz w:val="24"/>
        </w:rPr>
        <w:t xml:space="preserve">If you have additional questions about the NOFA, please submit them via email to </w:t>
      </w:r>
      <w:hyperlink r:id="rId8" w:history="1">
        <w:r>
          <w:rPr>
            <w:rStyle w:val="Hyperlink"/>
            <w:sz w:val="24"/>
          </w:rPr>
          <w:t>ben.stone@mass.gov</w:t>
        </w:r>
      </w:hyperlink>
      <w:r>
        <w:rPr>
          <w:sz w:val="24"/>
        </w:rPr>
        <w:t xml:space="preserve"> and </w:t>
      </w:r>
      <w:hyperlink r:id="rId9" w:history="1">
        <w:r>
          <w:rPr>
            <w:rStyle w:val="Hyperlink"/>
            <w:sz w:val="24"/>
          </w:rPr>
          <w:t>paul.mcpartland@mass.gov</w:t>
        </w:r>
      </w:hyperlink>
      <w:r>
        <w:rPr>
          <w:sz w:val="24"/>
        </w:rPr>
        <w:t xml:space="preserve">. </w:t>
      </w:r>
    </w:p>
    <w:p w:rsidR="00A24225" w:rsidRDefault="00A24225">
      <w:pPr>
        <w:rPr>
          <w:sz w:val="24"/>
        </w:rPr>
      </w:pPr>
    </w:p>
    <w:sectPr w:rsidR="00A24225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83F9E"/>
    <w:multiLevelType w:val="hybridMultilevel"/>
    <w:tmpl w:val="109EDC96"/>
    <w:lvl w:ilvl="0" w:tplc="4D7C2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ld5bn6D2QpUDSpEuzVMm9/n9L5nEPJDhimY+vJE7OXCUOcZQGSAbA5aIyCt+VdmHtbaNaMkr6haJWCBf+oMA==" w:salt="pNIyCCqlA8karOnKAxTym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64706"/>
    <w:rsid w:val="0012159A"/>
    <w:rsid w:val="001374D4"/>
    <w:rsid w:val="00191764"/>
    <w:rsid w:val="00197EF7"/>
    <w:rsid w:val="001A743A"/>
    <w:rsid w:val="001C00F8"/>
    <w:rsid w:val="00200180"/>
    <w:rsid w:val="00316B0E"/>
    <w:rsid w:val="00334612"/>
    <w:rsid w:val="004210F1"/>
    <w:rsid w:val="004511CC"/>
    <w:rsid w:val="00533399"/>
    <w:rsid w:val="005452AD"/>
    <w:rsid w:val="00570B8B"/>
    <w:rsid w:val="005871B0"/>
    <w:rsid w:val="005C7986"/>
    <w:rsid w:val="005D3A23"/>
    <w:rsid w:val="005F15BF"/>
    <w:rsid w:val="006219FB"/>
    <w:rsid w:val="006C29DC"/>
    <w:rsid w:val="006E5186"/>
    <w:rsid w:val="00735AA3"/>
    <w:rsid w:val="00743A4B"/>
    <w:rsid w:val="00972014"/>
    <w:rsid w:val="00A24225"/>
    <w:rsid w:val="00C33D03"/>
    <w:rsid w:val="00CF5D11"/>
    <w:rsid w:val="00D300F5"/>
    <w:rsid w:val="00D3706E"/>
    <w:rsid w:val="00D67D53"/>
    <w:rsid w:val="00F60ED4"/>
    <w:rsid w:val="00F6697E"/>
    <w:rsid w:val="00F76D0C"/>
    <w:rsid w:val="00FC4F2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DBDDE1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697E"/>
    <w:pPr>
      <w:ind w:left="720"/>
      <w:contextualSpacing/>
    </w:pPr>
  </w:style>
  <w:style w:type="character" w:styleId="Hyperlink">
    <w:name w:val="Hyperlink"/>
    <w:basedOn w:val="DefaultParagraphFont"/>
    <w:unhideWhenUsed/>
    <w:rsid w:val="006E5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stone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service-details/public-housing-admin-not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.mcpartland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538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McPartland, Paul (OCD)</dc:creator>
  <cp:lastModifiedBy>McPartland, Paul (OCD)</cp:lastModifiedBy>
  <cp:revision>3</cp:revision>
  <cp:lastPrinted>2015-02-11T17:48:00Z</cp:lastPrinted>
  <dcterms:created xsi:type="dcterms:W3CDTF">2019-09-16T21:33:00Z</dcterms:created>
  <dcterms:modified xsi:type="dcterms:W3CDTF">2019-09-17T19:11:00Z</dcterms:modified>
</cp:coreProperties>
</file>