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649090FC" w:rsidR="006D06D9" w:rsidRPr="00951305" w:rsidRDefault="00CD2041" w:rsidP="000F315B">
      <w:pPr>
        <w:pStyle w:val="ExecOffice"/>
        <w:framePr w:w="6926" w:wrap="notBeside" w:vAnchor="page" w:x="2884" w:y="711"/>
        <w:rPr>
          <w:sz w:val="24"/>
          <w:szCs w:val="18"/>
        </w:rPr>
      </w:pPr>
      <w:r>
        <w:rPr>
          <w:sz w:val="24"/>
          <w:szCs w:val="18"/>
        </w:rPr>
        <w:t>Bureau of Infectious Disease and Laboratory Sciences</w:t>
      </w:r>
    </w:p>
    <w:p w14:paraId="10BFC7A4" w14:textId="2D612E9F" w:rsidR="0017749A" w:rsidRPr="0017749A" w:rsidRDefault="004A79A3" w:rsidP="000F315B">
      <w:pPr>
        <w:pStyle w:val="ExecOffice"/>
        <w:framePr w:w="6926" w:wrap="notBeside" w:vAnchor="page" w:x="2884" w:y="711"/>
        <w:rPr>
          <w:sz w:val="24"/>
          <w:szCs w:val="18"/>
        </w:rPr>
      </w:pPr>
      <w:r>
        <w:rPr>
          <w:sz w:val="24"/>
          <w:szCs w:val="18"/>
        </w:rPr>
        <w:t>305 South Street, Jamaica Plain, MA  02130</w:t>
      </w:r>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5FE8F9F0" w:rsidR="00802852" w:rsidRPr="00D544FA" w:rsidRDefault="00C077CB" w:rsidP="0072610D">
      <w:pPr>
        <w:rPr>
          <w:rFonts w:ascii="Arial" w:hAnsi="Arial" w:cs="Arial"/>
          <w:b/>
          <w:bCs/>
          <w:sz w:val="20"/>
        </w:rPr>
      </w:pPr>
      <w:r>
        <w:rPr>
          <w:noProof/>
        </w:rPr>
        <mc:AlternateContent>
          <mc:Choice Requires="wps">
            <w:drawing>
              <wp:anchor distT="0" distB="0" distL="114300" distR="114300" simplePos="0" relativeHeight="251659264" behindDoc="1" locked="0" layoutInCell="1" allowOverlap="1" wp14:anchorId="3FD70A40" wp14:editId="6749CCC7">
                <wp:simplePos x="0" y="0"/>
                <wp:positionH relativeFrom="column">
                  <wp:posOffset>1339850</wp:posOffset>
                </wp:positionH>
                <wp:positionV relativeFrom="paragraph">
                  <wp:posOffset>10160</wp:posOffset>
                </wp:positionV>
                <wp:extent cx="2886075" cy="1057275"/>
                <wp:effectExtent l="4445" t="127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057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D29B0" w14:textId="77777777" w:rsidR="00C077CB" w:rsidRPr="00C36976" w:rsidRDefault="00C077CB" w:rsidP="00C077CB">
                            <w:pPr>
                              <w:pStyle w:val="ExecOffice"/>
                              <w:rPr>
                                <w:sz w:val="22"/>
                                <w:szCs w:val="22"/>
                              </w:rPr>
                            </w:pPr>
                            <w:r>
                              <w:rPr>
                                <w:sz w:val="22"/>
                                <w:szCs w:val="22"/>
                              </w:rPr>
                              <w:t>Division of STD Prevention</w:t>
                            </w:r>
                          </w:p>
                          <w:p w14:paraId="12E51710" w14:textId="77777777" w:rsidR="00C077CB" w:rsidRPr="00C36976" w:rsidRDefault="00C077CB" w:rsidP="00C077CB">
                            <w:pPr>
                              <w:pStyle w:val="ExecOffice"/>
                              <w:rPr>
                                <w:sz w:val="22"/>
                                <w:szCs w:val="22"/>
                              </w:rPr>
                            </w:pPr>
                            <w:r w:rsidRPr="00C36976">
                              <w:rPr>
                                <w:sz w:val="22"/>
                                <w:szCs w:val="22"/>
                              </w:rPr>
                              <w:t>Tel</w:t>
                            </w:r>
                            <w:proofErr w:type="gramStart"/>
                            <w:r w:rsidRPr="00C36976">
                              <w:rPr>
                                <w:sz w:val="22"/>
                                <w:szCs w:val="22"/>
                              </w:rPr>
                              <w:t>:  (</w:t>
                            </w:r>
                            <w:proofErr w:type="gramEnd"/>
                            <w:r w:rsidRPr="00C36976">
                              <w:rPr>
                                <w:sz w:val="22"/>
                                <w:szCs w:val="22"/>
                              </w:rPr>
                              <w:t>617) 983-6</w:t>
                            </w:r>
                            <w:r>
                              <w:rPr>
                                <w:sz w:val="22"/>
                                <w:szCs w:val="22"/>
                              </w:rPr>
                              <w:t>940</w:t>
                            </w:r>
                            <w:r w:rsidRPr="00C36976">
                              <w:rPr>
                                <w:sz w:val="22"/>
                                <w:szCs w:val="22"/>
                              </w:rPr>
                              <w:t xml:space="preserve"> </w:t>
                            </w:r>
                          </w:p>
                          <w:p w14:paraId="79B27748" w14:textId="77777777" w:rsidR="00C077CB" w:rsidRDefault="00C077CB" w:rsidP="00C077CB">
                            <w:pPr>
                              <w:pStyle w:val="ExecOffice"/>
                              <w:rPr>
                                <w:sz w:val="22"/>
                                <w:szCs w:val="22"/>
                              </w:rPr>
                            </w:pPr>
                            <w:r w:rsidRPr="00C36976">
                              <w:rPr>
                                <w:sz w:val="22"/>
                                <w:szCs w:val="22"/>
                              </w:rPr>
                              <w:t xml:space="preserve">Fax: (617) </w:t>
                            </w:r>
                            <w:r>
                              <w:rPr>
                                <w:sz w:val="22"/>
                                <w:szCs w:val="22"/>
                              </w:rPr>
                              <w:t>887</w:t>
                            </w:r>
                            <w:r w:rsidRPr="00C36976">
                              <w:rPr>
                                <w:sz w:val="22"/>
                                <w:szCs w:val="22"/>
                              </w:rPr>
                              <w:t>-</w:t>
                            </w:r>
                            <w:r>
                              <w:rPr>
                                <w:sz w:val="22"/>
                                <w:szCs w:val="22"/>
                              </w:rPr>
                              <w:t>8790</w:t>
                            </w:r>
                          </w:p>
                          <w:p w14:paraId="4E970762" w14:textId="77777777" w:rsidR="00C077CB" w:rsidRDefault="00C077CB" w:rsidP="00C077CB">
                            <w:pPr>
                              <w:pStyle w:val="ExecOffice"/>
                              <w:rPr>
                                <w:rStyle w:val="Strong"/>
                                <w:b w:val="0"/>
                                <w:sz w:val="22"/>
                                <w:szCs w:val="22"/>
                              </w:rPr>
                            </w:pPr>
                            <w:r w:rsidRPr="00C36976">
                              <w:rPr>
                                <w:sz w:val="22"/>
                                <w:szCs w:val="22"/>
                              </w:rPr>
                              <w:t xml:space="preserve"> </w:t>
                            </w:r>
                            <w:hyperlink r:id="rId11" w:history="1">
                              <w:r w:rsidRPr="00947474">
                                <w:rPr>
                                  <w:rStyle w:val="Hyperlink"/>
                                  <w:sz w:val="22"/>
                                  <w:szCs w:val="22"/>
                                </w:rPr>
                                <w:t>www.mass.gov/dph/cdc/std</w:t>
                              </w:r>
                            </w:hyperlink>
                          </w:p>
                          <w:p w14:paraId="130308C1" w14:textId="77777777" w:rsidR="00C077CB" w:rsidRDefault="00C077CB" w:rsidP="00C077C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70A40" id="_x0000_t202" coordsize="21600,21600" o:spt="202" path="m,l,21600r21600,l21600,xe">
                <v:stroke joinstyle="miter"/>
                <v:path gradientshapeok="t" o:connecttype="rect"/>
              </v:shapetype>
              <v:shape id="Text Box 7" o:spid="_x0000_s1026" type="#_x0000_t202" style="position:absolute;margin-left:105.5pt;margin-top:.8pt;width:227.25pt;height:8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" stroked="f">
                <v:textbox>
                  <w:txbxContent>
                    <w:p w14:paraId="4C6D29B0" w14:textId="77777777" w:rsidR="00C077CB" w:rsidRPr="00C36976" w:rsidRDefault="00C077CB" w:rsidP="00C077CB">
                      <w:pPr>
                        <w:pStyle w:val="ExecOffice"/>
                        <w:rPr>
                          <w:sz w:val="22"/>
                          <w:szCs w:val="22"/>
                        </w:rPr>
                      </w:pPr>
                      <w:r>
                        <w:rPr>
                          <w:sz w:val="22"/>
                          <w:szCs w:val="22"/>
                        </w:rPr>
                        <w:t>Division of STD Prevention</w:t>
                      </w:r>
                    </w:p>
                    <w:p w14:paraId="12E51710" w14:textId="77777777" w:rsidR="00C077CB" w:rsidRPr="00C36976" w:rsidRDefault="00C077CB" w:rsidP="00C077CB">
                      <w:pPr>
                        <w:pStyle w:val="ExecOffice"/>
                        <w:rPr>
                          <w:sz w:val="22"/>
                          <w:szCs w:val="22"/>
                        </w:rPr>
                      </w:pPr>
                      <w:r w:rsidRPr="00C36976">
                        <w:rPr>
                          <w:sz w:val="22"/>
                          <w:szCs w:val="22"/>
                        </w:rPr>
                        <w:t>Tel</w:t>
                      </w:r>
                      <w:proofErr w:type="gramStart"/>
                      <w:r w:rsidRPr="00C36976">
                        <w:rPr>
                          <w:sz w:val="22"/>
                          <w:szCs w:val="22"/>
                        </w:rPr>
                        <w:t>:  (</w:t>
                      </w:r>
                      <w:proofErr w:type="gramEnd"/>
                      <w:r w:rsidRPr="00C36976">
                        <w:rPr>
                          <w:sz w:val="22"/>
                          <w:szCs w:val="22"/>
                        </w:rPr>
                        <w:t>617) 983-6</w:t>
                      </w:r>
                      <w:r>
                        <w:rPr>
                          <w:sz w:val="22"/>
                          <w:szCs w:val="22"/>
                        </w:rPr>
                        <w:t>940</w:t>
                      </w:r>
                      <w:r w:rsidRPr="00C36976">
                        <w:rPr>
                          <w:sz w:val="22"/>
                          <w:szCs w:val="22"/>
                        </w:rPr>
                        <w:t xml:space="preserve"> </w:t>
                      </w:r>
                    </w:p>
                    <w:p w14:paraId="79B27748" w14:textId="77777777" w:rsidR="00C077CB" w:rsidRDefault="00C077CB" w:rsidP="00C077CB">
                      <w:pPr>
                        <w:pStyle w:val="ExecOffice"/>
                        <w:rPr>
                          <w:sz w:val="22"/>
                          <w:szCs w:val="22"/>
                        </w:rPr>
                      </w:pPr>
                      <w:r w:rsidRPr="00C36976">
                        <w:rPr>
                          <w:sz w:val="22"/>
                          <w:szCs w:val="22"/>
                        </w:rPr>
                        <w:t xml:space="preserve">Fax: (617) </w:t>
                      </w:r>
                      <w:r>
                        <w:rPr>
                          <w:sz w:val="22"/>
                          <w:szCs w:val="22"/>
                        </w:rPr>
                        <w:t>887</w:t>
                      </w:r>
                      <w:r w:rsidRPr="00C36976">
                        <w:rPr>
                          <w:sz w:val="22"/>
                          <w:szCs w:val="22"/>
                        </w:rPr>
                        <w:t>-</w:t>
                      </w:r>
                      <w:r>
                        <w:rPr>
                          <w:sz w:val="22"/>
                          <w:szCs w:val="22"/>
                        </w:rPr>
                        <w:t>8790</w:t>
                      </w:r>
                    </w:p>
                    <w:p w14:paraId="4E970762" w14:textId="77777777" w:rsidR="00C077CB" w:rsidRDefault="00C077CB" w:rsidP="00C077CB">
                      <w:pPr>
                        <w:pStyle w:val="ExecOffice"/>
                        <w:rPr>
                          <w:rStyle w:val="Strong"/>
                          <w:b w:val="0"/>
                          <w:sz w:val="22"/>
                          <w:szCs w:val="22"/>
                        </w:rPr>
                      </w:pPr>
                      <w:r w:rsidRPr="00C36976">
                        <w:rPr>
                          <w:sz w:val="22"/>
                          <w:szCs w:val="22"/>
                        </w:rPr>
                        <w:t xml:space="preserve"> </w:t>
                      </w:r>
                      <w:hyperlink r:id="rId12" w:history="1">
                        <w:r w:rsidRPr="00947474">
                          <w:rPr>
                            <w:rStyle w:val="Hyperlink"/>
                            <w:sz w:val="22"/>
                            <w:szCs w:val="22"/>
                          </w:rPr>
                          <w:t>www.mass.gov/dph/cdc/std</w:t>
                        </w:r>
                      </w:hyperlink>
                    </w:p>
                    <w:p w14:paraId="130308C1" w14:textId="77777777" w:rsidR="00C077CB" w:rsidRDefault="00C077CB" w:rsidP="00C077CB">
                      <w:pPr>
                        <w:jc w:val="center"/>
                      </w:pPr>
                    </w:p>
                  </w:txbxContent>
                </v:textbox>
              </v:shape>
            </w:pict>
          </mc:Fallback>
        </mc:AlternateContent>
      </w:r>
      <w:r w:rsidR="00E814A1" w:rsidRPr="00D544FA">
        <w:rPr>
          <w:rFonts w:ascii="Arial" w:hAnsi="Arial" w:cs="Arial"/>
          <w:b/>
          <w:bCs/>
          <w:sz w:val="20"/>
        </w:rPr>
        <w:t>Maura T. Healey</w:t>
      </w:r>
    </w:p>
    <w:p w14:paraId="25BE71A6" w14:textId="0AE1B5C2" w:rsidR="0088305B" w:rsidRPr="00D544FA" w:rsidRDefault="00802852" w:rsidP="000C2E20">
      <w:pPr>
        <w:spacing w:line="360" w:lineRule="auto"/>
        <w:rPr>
          <w:rFonts w:ascii="Arial" w:hAnsi="Arial" w:cs="Arial"/>
          <w:sz w:val="20"/>
        </w:rPr>
      </w:pPr>
      <w:r w:rsidRPr="00D544FA">
        <w:rPr>
          <w:rFonts w:ascii="Arial" w:hAnsi="Arial" w:cs="Arial"/>
          <w:sz w:val="20"/>
        </w:rPr>
        <w:t>Governor</w:t>
      </w:r>
    </w:p>
    <w:p w14:paraId="19D02B02" w14:textId="77777777" w:rsidR="00951305" w:rsidRPr="00D544FA" w:rsidRDefault="0088305B" w:rsidP="0072610D">
      <w:pPr>
        <w:rPr>
          <w:rFonts w:ascii="Arial" w:hAnsi="Arial" w:cs="Arial"/>
          <w:sz w:val="20"/>
        </w:rPr>
      </w:pPr>
      <w:r w:rsidRPr="00D544FA">
        <w:rPr>
          <w:rFonts w:ascii="Arial" w:hAnsi="Arial" w:cs="Arial"/>
          <w:b/>
          <w:bCs/>
          <w:sz w:val="20"/>
        </w:rPr>
        <w:t>Kimberley Driscoll</w:t>
      </w:r>
    </w:p>
    <w:p w14:paraId="45EA865C" w14:textId="587A1E4B" w:rsidR="00FC6B42" w:rsidRPr="00D544FA" w:rsidRDefault="0088305B" w:rsidP="0072610D">
      <w:pPr>
        <w:rPr>
          <w:rFonts w:ascii="Arial" w:hAnsi="Arial" w:cs="Arial"/>
          <w:sz w:val="20"/>
        </w:rPr>
      </w:pPr>
      <w:r w:rsidRPr="00D544FA">
        <w:rPr>
          <w:rFonts w:ascii="Arial" w:hAnsi="Arial" w:cs="Arial"/>
          <w:sz w:val="20"/>
        </w:rPr>
        <w:t>Lieutenant Governor</w:t>
      </w:r>
      <w:r w:rsidR="00237280" w:rsidRPr="00D544FA">
        <w:rPr>
          <w:rFonts w:ascii="Arial" w:hAnsi="Arial" w:cs="Arial"/>
          <w:b/>
          <w:bCs/>
          <w:sz w:val="20"/>
        </w:rPr>
        <w:t xml:space="preserve"> </w:t>
      </w:r>
    </w:p>
    <w:p w14:paraId="723AD3B1" w14:textId="1073E412" w:rsidR="007D1D51" w:rsidRPr="00D544FA" w:rsidRDefault="00802852" w:rsidP="00D17C27">
      <w:pPr>
        <w:jc w:val="right"/>
        <w:rPr>
          <w:rFonts w:ascii="Arial" w:hAnsi="Arial" w:cs="Arial"/>
          <w:sz w:val="20"/>
        </w:rPr>
      </w:pPr>
      <w:r w:rsidRPr="00D544FA">
        <w:rPr>
          <w:rFonts w:ascii="Arial" w:hAnsi="Arial" w:cs="Arial"/>
          <w:b/>
          <w:bCs/>
          <w:sz w:val="20"/>
        </w:rPr>
        <w:t>Kiame Mahaniah, MD</w:t>
      </w:r>
      <w:r w:rsidR="00382F51">
        <w:rPr>
          <w:rFonts w:ascii="Arial" w:hAnsi="Arial" w:cs="Arial"/>
          <w:b/>
          <w:bCs/>
          <w:sz w:val="20"/>
        </w:rPr>
        <w:t>, MBA</w:t>
      </w:r>
    </w:p>
    <w:p w14:paraId="51314366" w14:textId="498AF08B" w:rsidR="00033154" w:rsidRPr="00D544FA" w:rsidRDefault="00237280" w:rsidP="00D17C27">
      <w:pPr>
        <w:spacing w:line="360" w:lineRule="auto"/>
        <w:jc w:val="right"/>
        <w:rPr>
          <w:rFonts w:ascii="Arial" w:hAnsi="Arial" w:cs="Arial"/>
          <w:sz w:val="20"/>
        </w:rPr>
      </w:pPr>
      <w:r w:rsidRPr="00D544FA">
        <w:rPr>
          <w:rFonts w:ascii="Arial" w:hAnsi="Arial" w:cs="Arial"/>
          <w:sz w:val="20"/>
        </w:rPr>
        <w:t>Secretary</w:t>
      </w:r>
    </w:p>
    <w:p w14:paraId="49013D2D" w14:textId="509F30C9" w:rsidR="00951305" w:rsidRPr="00D544FA" w:rsidRDefault="00951305" w:rsidP="00D17C27">
      <w:pPr>
        <w:jc w:val="right"/>
        <w:rPr>
          <w:rFonts w:ascii="Arial" w:hAnsi="Arial" w:cs="Arial"/>
          <w:b/>
          <w:bCs/>
          <w:sz w:val="20"/>
        </w:rPr>
      </w:pPr>
      <w:r w:rsidRPr="00D544FA">
        <w:rPr>
          <w:rFonts w:ascii="Arial" w:hAnsi="Arial" w:cs="Arial"/>
          <w:b/>
          <w:bCs/>
          <w:sz w:val="20"/>
        </w:rPr>
        <w:t>Robert Goldstein, MD, PhD</w:t>
      </w:r>
    </w:p>
    <w:p w14:paraId="5EA03CA8" w14:textId="7173ADCA" w:rsidR="00802852" w:rsidRPr="00D544FA" w:rsidRDefault="00951305" w:rsidP="00D17C27">
      <w:pPr>
        <w:jc w:val="right"/>
        <w:rPr>
          <w:rFonts w:ascii="Arial" w:hAnsi="Arial" w:cs="Arial"/>
          <w:sz w:val="20"/>
        </w:rPr>
        <w:sectPr w:rsidR="00802852" w:rsidRPr="00D544FA" w:rsidSect="00802852">
          <w:type w:val="continuous"/>
          <w:pgSz w:w="12240" w:h="15840"/>
          <w:pgMar w:top="1440" w:right="1440" w:bottom="1440" w:left="1440" w:header="720" w:footer="720" w:gutter="0"/>
          <w:cols w:num="2" w:space="720"/>
        </w:sectPr>
      </w:pPr>
      <w:r w:rsidRPr="00D544FA">
        <w:rPr>
          <w:rFonts w:ascii="Arial" w:hAnsi="Arial" w:cs="Arial"/>
          <w:sz w:val="20"/>
        </w:rPr>
        <w:t>Commissione</w:t>
      </w:r>
      <w:r w:rsidR="00D10DDE" w:rsidRPr="00D544FA">
        <w:rPr>
          <w:rFonts w:ascii="Arial" w:hAnsi="Arial" w:cs="Arial"/>
          <w:sz w:val="20"/>
        </w:rPr>
        <w:t>r</w:t>
      </w:r>
    </w:p>
    <w:p w14:paraId="76751140" w14:textId="77777777" w:rsidR="00D10DDE" w:rsidRDefault="00D10DDE" w:rsidP="0072610D"/>
    <w:p w14:paraId="6AF69AF5" w14:textId="77777777" w:rsidR="005D1EB4" w:rsidRDefault="005D1EB4" w:rsidP="005D1EB4">
      <w:pPr>
        <w:jc w:val="center"/>
        <w:rPr>
          <w:rFonts w:ascii="Arial" w:hAnsi="Arial" w:cs="Arial"/>
          <w:b/>
          <w:bCs/>
          <w:noProof/>
          <w:sz w:val="22"/>
          <w:szCs w:val="22"/>
        </w:rPr>
      </w:pPr>
    </w:p>
    <w:p w14:paraId="35BF9136" w14:textId="521E2ECF" w:rsidR="005D1EB4" w:rsidRDefault="005D1EB4" w:rsidP="005D1EB4">
      <w:pPr>
        <w:jc w:val="center"/>
        <w:rPr>
          <w:rFonts w:ascii="Arial" w:hAnsi="Arial" w:cs="Arial"/>
          <w:b/>
          <w:bCs/>
          <w:sz w:val="22"/>
          <w:szCs w:val="22"/>
        </w:rPr>
      </w:pPr>
      <w:r w:rsidRPr="7F80B41E">
        <w:rPr>
          <w:rFonts w:ascii="Arial" w:hAnsi="Arial" w:cs="Arial"/>
          <w:b/>
          <w:bCs/>
          <w:noProof/>
          <w:sz w:val="22"/>
          <w:szCs w:val="22"/>
        </w:rPr>
        <w:t>ADDITIONAL CASES OF</w:t>
      </w:r>
      <w:r w:rsidRPr="7F80B41E">
        <w:rPr>
          <w:rFonts w:ascii="Arial" w:hAnsi="Arial" w:cs="Arial"/>
          <w:b/>
          <w:bCs/>
          <w:sz w:val="22"/>
          <w:szCs w:val="22"/>
        </w:rPr>
        <w:t xml:space="preserve"> CEFTRIAXONE-NON-SUSCEPTIBLE GONORRHEA</w:t>
      </w:r>
    </w:p>
    <w:p w14:paraId="113294CB" w14:textId="77777777" w:rsidR="005D1EB4" w:rsidRDefault="005D1EB4" w:rsidP="005D1EB4">
      <w:pPr>
        <w:jc w:val="center"/>
        <w:rPr>
          <w:rFonts w:ascii="Arial" w:hAnsi="Arial" w:cs="Arial"/>
          <w:b/>
          <w:bCs/>
          <w:sz w:val="22"/>
          <w:szCs w:val="22"/>
        </w:rPr>
      </w:pPr>
      <w:r w:rsidRPr="7F80B41E">
        <w:rPr>
          <w:rFonts w:ascii="Arial" w:hAnsi="Arial" w:cs="Arial"/>
          <w:b/>
          <w:bCs/>
          <w:sz w:val="22"/>
          <w:szCs w:val="22"/>
        </w:rPr>
        <w:t>IN MASSACHUSETTS</w:t>
      </w:r>
    </w:p>
    <w:p w14:paraId="5C82F0DB" w14:textId="77777777" w:rsidR="005D1EB4" w:rsidRPr="002A3AFA" w:rsidRDefault="005D1EB4" w:rsidP="005D1EB4">
      <w:pPr>
        <w:jc w:val="center"/>
        <w:rPr>
          <w:rFonts w:ascii="Arial" w:hAnsi="Arial" w:cs="Arial"/>
          <w:b/>
          <w:bCs/>
          <w:sz w:val="22"/>
          <w:szCs w:val="22"/>
        </w:rPr>
      </w:pPr>
      <w:r>
        <w:rPr>
          <w:rFonts w:ascii="Arial" w:hAnsi="Arial" w:cs="Arial"/>
          <w:b/>
          <w:bCs/>
          <w:sz w:val="22"/>
          <w:szCs w:val="22"/>
        </w:rPr>
        <w:t>September 25</w:t>
      </w:r>
      <w:r w:rsidRPr="7F80B41E">
        <w:rPr>
          <w:rFonts w:ascii="Arial" w:hAnsi="Arial" w:cs="Arial"/>
          <w:b/>
          <w:bCs/>
          <w:sz w:val="22"/>
          <w:szCs w:val="22"/>
        </w:rPr>
        <w:t>, 2025</w:t>
      </w:r>
    </w:p>
    <w:p w14:paraId="265EFBD8" w14:textId="77777777" w:rsidR="005D1EB4" w:rsidRDefault="005D1EB4" w:rsidP="005D1EB4">
      <w:pPr>
        <w:jc w:val="center"/>
        <w:rPr>
          <w:rFonts w:ascii="Arial" w:hAnsi="Arial" w:cs="Arial"/>
          <w:b/>
          <w:bCs/>
          <w:sz w:val="22"/>
          <w:szCs w:val="22"/>
        </w:rPr>
      </w:pPr>
    </w:p>
    <w:p w14:paraId="24F051BB" w14:textId="77777777" w:rsidR="005D1EB4" w:rsidRDefault="005D1EB4" w:rsidP="005D1EB4">
      <w:pPr>
        <w:spacing w:after="120"/>
        <w:ind w:left="360" w:right="14" w:hanging="360"/>
        <w:rPr>
          <w:rFonts w:ascii="Arial" w:eastAsia="Arial" w:hAnsi="Arial" w:cs="Arial"/>
          <w:b/>
          <w:bCs/>
          <w:sz w:val="28"/>
          <w:szCs w:val="28"/>
        </w:rPr>
      </w:pPr>
      <w:r w:rsidRPr="7F80B41E">
        <w:rPr>
          <w:rFonts w:ascii="Arial" w:eastAsia="Arial" w:hAnsi="Arial" w:cs="Arial"/>
          <w:b/>
          <w:bCs/>
          <w:sz w:val="28"/>
          <w:szCs w:val="28"/>
        </w:rPr>
        <w:t>HIGHLIGHTS</w:t>
      </w:r>
    </w:p>
    <w:p w14:paraId="327C389E" w14:textId="77777777" w:rsidR="005D1EB4" w:rsidRDefault="005D1EB4" w:rsidP="005D1EB4">
      <w:pPr>
        <w:pStyle w:val="ListParagraph"/>
        <w:numPr>
          <w:ilvl w:val="0"/>
          <w:numId w:val="3"/>
        </w:numPr>
        <w:ind w:left="360" w:right="14"/>
        <w:rPr>
          <w:rFonts w:ascii="Arial" w:eastAsia="Arial" w:hAnsi="Arial" w:cs="Arial"/>
          <w:sz w:val="22"/>
          <w:szCs w:val="22"/>
        </w:rPr>
      </w:pPr>
      <w:r>
        <w:rPr>
          <w:rFonts w:ascii="Arial" w:eastAsia="Arial" w:hAnsi="Arial" w:cs="Arial"/>
          <w:sz w:val="22"/>
          <w:szCs w:val="22"/>
        </w:rPr>
        <w:t>Two additional confirmed</w:t>
      </w:r>
      <w:r w:rsidRPr="7F80B41E">
        <w:rPr>
          <w:rFonts w:ascii="Arial" w:eastAsia="Arial" w:hAnsi="Arial" w:cs="Arial"/>
          <w:sz w:val="22"/>
          <w:szCs w:val="22"/>
        </w:rPr>
        <w:t xml:space="preserve"> cases of ceftriaxone non-susceptible gonorrhea have been identified in Massachusetts in 2025. </w:t>
      </w:r>
    </w:p>
    <w:p w14:paraId="6294DC63" w14:textId="77777777" w:rsidR="005D1EB4" w:rsidRDefault="005D1EB4" w:rsidP="005D1EB4">
      <w:pPr>
        <w:pStyle w:val="ListParagraph"/>
        <w:numPr>
          <w:ilvl w:val="0"/>
          <w:numId w:val="3"/>
        </w:numPr>
        <w:ind w:left="360" w:right="14"/>
        <w:rPr>
          <w:rFonts w:ascii="Arial" w:eastAsia="Arial" w:hAnsi="Arial" w:cs="Arial"/>
          <w:sz w:val="22"/>
          <w:szCs w:val="22"/>
        </w:rPr>
      </w:pPr>
      <w:r w:rsidRPr="7F80B41E">
        <w:rPr>
          <w:rFonts w:ascii="Arial" w:eastAsia="Arial" w:hAnsi="Arial" w:cs="Arial"/>
          <w:sz w:val="22"/>
          <w:szCs w:val="22"/>
        </w:rPr>
        <w:t xml:space="preserve">Because </w:t>
      </w:r>
      <w:proofErr w:type="gramStart"/>
      <w:r w:rsidRPr="7F80B41E">
        <w:rPr>
          <w:rFonts w:ascii="Arial" w:eastAsia="Arial" w:hAnsi="Arial" w:cs="Arial"/>
          <w:sz w:val="22"/>
          <w:szCs w:val="22"/>
        </w:rPr>
        <w:t>the vast majority of</w:t>
      </w:r>
      <w:proofErr w:type="gramEnd"/>
      <w:r w:rsidRPr="7F80B41E">
        <w:rPr>
          <w:rFonts w:ascii="Arial" w:eastAsia="Arial" w:hAnsi="Arial" w:cs="Arial"/>
          <w:sz w:val="22"/>
          <w:szCs w:val="22"/>
        </w:rPr>
        <w:t xml:space="preserve"> cases in Massachusetts are cephalosporin-susceptible, single-dose ceftriaxone 500 mg IM remains the recommended first-line treatment for mucosal gonorrhea infections. </w:t>
      </w:r>
    </w:p>
    <w:p w14:paraId="03D7BDC0" w14:textId="77777777" w:rsidR="005D1EB4" w:rsidRDefault="005D1EB4" w:rsidP="005D1EB4">
      <w:pPr>
        <w:pStyle w:val="ListParagraph"/>
        <w:numPr>
          <w:ilvl w:val="0"/>
          <w:numId w:val="3"/>
        </w:numPr>
        <w:ind w:left="360" w:right="14"/>
        <w:rPr>
          <w:rFonts w:ascii="Arial" w:eastAsia="Arial" w:hAnsi="Arial" w:cs="Arial"/>
          <w:sz w:val="22"/>
          <w:szCs w:val="22"/>
        </w:rPr>
      </w:pPr>
      <w:r w:rsidRPr="7F80B41E">
        <w:rPr>
          <w:rFonts w:ascii="Arial" w:eastAsia="Arial" w:hAnsi="Arial" w:cs="Arial"/>
          <w:sz w:val="22"/>
          <w:szCs w:val="22"/>
        </w:rPr>
        <w:t xml:space="preserve">Massachusetts Department of Public Health (DPH) urges clinicians to remain vigilant for further cases of </w:t>
      </w:r>
      <w:proofErr w:type="gramStart"/>
      <w:r w:rsidRPr="7F80B41E">
        <w:rPr>
          <w:rFonts w:ascii="Arial" w:eastAsia="Arial" w:hAnsi="Arial" w:cs="Arial"/>
          <w:sz w:val="22"/>
          <w:szCs w:val="22"/>
        </w:rPr>
        <w:t>drug non-susceptible</w:t>
      </w:r>
      <w:proofErr w:type="gramEnd"/>
      <w:r w:rsidRPr="7F80B41E">
        <w:rPr>
          <w:rFonts w:ascii="Arial" w:eastAsia="Arial" w:hAnsi="Arial" w:cs="Arial"/>
          <w:sz w:val="22"/>
          <w:szCs w:val="22"/>
        </w:rPr>
        <w:t xml:space="preserve"> gonorrhea by:</w:t>
      </w:r>
    </w:p>
    <w:p w14:paraId="069724ED" w14:textId="77777777" w:rsidR="005D1EB4" w:rsidRDefault="005D1EB4" w:rsidP="005D1EB4">
      <w:pPr>
        <w:pStyle w:val="ListParagraph"/>
        <w:numPr>
          <w:ilvl w:val="0"/>
          <w:numId w:val="7"/>
        </w:numPr>
        <w:ind w:right="14"/>
        <w:rPr>
          <w:rFonts w:ascii="Arial" w:eastAsia="Arial" w:hAnsi="Arial" w:cs="Arial"/>
          <w:sz w:val="22"/>
          <w:szCs w:val="22"/>
        </w:rPr>
      </w:pPr>
      <w:r w:rsidRPr="7F80B41E">
        <w:rPr>
          <w:rFonts w:ascii="Arial" w:eastAsia="Arial" w:hAnsi="Arial" w:cs="Arial"/>
          <w:sz w:val="22"/>
          <w:szCs w:val="22"/>
        </w:rPr>
        <w:t xml:space="preserve">Continuing to perform </w:t>
      </w:r>
      <w:hyperlink r:id="rId13" w:history="1">
        <w:r w:rsidRPr="7F80B41E">
          <w:rPr>
            <w:rStyle w:val="Hyperlink"/>
            <w:rFonts w:ascii="Arial" w:eastAsia="Arial" w:hAnsi="Arial" w:cs="Arial"/>
            <w:sz w:val="22"/>
            <w:szCs w:val="22"/>
          </w:rPr>
          <w:t>gonococcal culture</w:t>
        </w:r>
      </w:hyperlink>
      <w:r w:rsidRPr="7F80B41E">
        <w:rPr>
          <w:rFonts w:ascii="Arial" w:eastAsia="Arial" w:hAnsi="Arial" w:cs="Arial"/>
          <w:sz w:val="22"/>
          <w:szCs w:val="22"/>
        </w:rPr>
        <w:t xml:space="preserve"> from sites of suspected infection, in addition to routine nucleic acid amplification testing (NAAT). </w:t>
      </w:r>
    </w:p>
    <w:p w14:paraId="6F705815" w14:textId="77777777" w:rsidR="005D1EB4" w:rsidRDefault="005D1EB4" w:rsidP="005D1EB4">
      <w:pPr>
        <w:pStyle w:val="ListParagraph"/>
        <w:numPr>
          <w:ilvl w:val="0"/>
          <w:numId w:val="7"/>
        </w:numPr>
        <w:ind w:right="14"/>
        <w:rPr>
          <w:rFonts w:ascii="Arial" w:eastAsia="Arial" w:hAnsi="Arial" w:cs="Arial"/>
          <w:sz w:val="22"/>
          <w:szCs w:val="22"/>
        </w:rPr>
      </w:pPr>
      <w:r w:rsidRPr="7F80B41E">
        <w:rPr>
          <w:rFonts w:ascii="Arial" w:eastAsia="Arial" w:hAnsi="Arial" w:cs="Arial"/>
          <w:sz w:val="22"/>
          <w:szCs w:val="22"/>
        </w:rPr>
        <w:t xml:space="preserve">Obtaining risk history, including international travel history. </w:t>
      </w:r>
    </w:p>
    <w:p w14:paraId="43F0227A" w14:textId="77777777" w:rsidR="005D1EB4" w:rsidRDefault="005D1EB4" w:rsidP="005D1EB4">
      <w:pPr>
        <w:pStyle w:val="ListParagraph"/>
        <w:numPr>
          <w:ilvl w:val="0"/>
          <w:numId w:val="7"/>
        </w:numPr>
        <w:ind w:right="14"/>
        <w:rPr>
          <w:rFonts w:ascii="Arial" w:eastAsia="Arial" w:hAnsi="Arial" w:cs="Arial"/>
          <w:sz w:val="22"/>
          <w:szCs w:val="22"/>
        </w:rPr>
      </w:pPr>
      <w:r w:rsidRPr="7F80B41E">
        <w:rPr>
          <w:rFonts w:ascii="Arial" w:eastAsia="Arial" w:hAnsi="Arial" w:cs="Arial"/>
          <w:sz w:val="22"/>
          <w:szCs w:val="22"/>
        </w:rPr>
        <w:t xml:space="preserve">Performing test of cure using NAAT or culture, 28 days after initial treatment, at all previously positive mucosal sites. </w:t>
      </w:r>
    </w:p>
    <w:p w14:paraId="6E677E1B" w14:textId="77777777" w:rsidR="005D1EB4" w:rsidRDefault="005D1EB4" w:rsidP="005D1EB4">
      <w:pPr>
        <w:pStyle w:val="ListParagraph"/>
        <w:numPr>
          <w:ilvl w:val="0"/>
          <w:numId w:val="7"/>
        </w:numPr>
        <w:ind w:right="14"/>
        <w:rPr>
          <w:rFonts w:ascii="Arial" w:eastAsia="Arial" w:hAnsi="Arial" w:cs="Arial"/>
          <w:sz w:val="22"/>
          <w:szCs w:val="22"/>
        </w:rPr>
      </w:pPr>
      <w:r w:rsidRPr="7F80B41E">
        <w:rPr>
          <w:rFonts w:ascii="Arial" w:eastAsia="Arial" w:hAnsi="Arial" w:cs="Arial"/>
          <w:sz w:val="22"/>
          <w:szCs w:val="22"/>
        </w:rPr>
        <w:t xml:space="preserve">Performing test of reinfection with NAAT 3 months after initial treatment for patients previously treated for gonorrhea. </w:t>
      </w:r>
    </w:p>
    <w:p w14:paraId="135DBF35" w14:textId="77777777" w:rsidR="005D1EB4" w:rsidRPr="00DC33A2" w:rsidRDefault="005D1EB4" w:rsidP="005D1EB4">
      <w:pPr>
        <w:pStyle w:val="ListParagraph"/>
        <w:numPr>
          <w:ilvl w:val="0"/>
          <w:numId w:val="2"/>
        </w:numPr>
        <w:ind w:left="360"/>
        <w:rPr>
          <w:rFonts w:ascii="Arial" w:eastAsia="Arial" w:hAnsi="Arial" w:cs="Arial"/>
          <w:sz w:val="22"/>
          <w:szCs w:val="22"/>
        </w:rPr>
      </w:pPr>
      <w:r w:rsidRPr="00DC33A2">
        <w:rPr>
          <w:rFonts w:ascii="Arial" w:eastAsia="Arial" w:hAnsi="Arial" w:cs="Arial"/>
          <w:sz w:val="22"/>
          <w:szCs w:val="22"/>
        </w:rPr>
        <w:t>When drug non-susceptible gonorrhea is suspected, seek infectious disease consultation and notify public health via the MDPH Division of STD Prevention (DSTDP) Reporting and Partner Services Line at 617-983-6999.</w:t>
      </w:r>
    </w:p>
    <w:p w14:paraId="0E7D0F3A" w14:textId="77777777" w:rsidR="005D1EB4" w:rsidRPr="00F846EE" w:rsidRDefault="005D1EB4" w:rsidP="005D1EB4">
      <w:pPr>
        <w:pStyle w:val="ListParagraph"/>
        <w:spacing w:after="120"/>
        <w:ind w:left="0" w:right="-360"/>
        <w:rPr>
          <w:rFonts w:ascii="Arial" w:hAnsi="Arial" w:cs="Arial"/>
          <w:b/>
          <w:bCs/>
          <w:sz w:val="22"/>
          <w:szCs w:val="22"/>
        </w:rPr>
      </w:pPr>
    </w:p>
    <w:p w14:paraId="6EBDD5AC" w14:textId="77777777" w:rsidR="005D1EB4" w:rsidRDefault="005D1EB4" w:rsidP="005D1EB4">
      <w:pPr>
        <w:spacing w:after="120"/>
        <w:ind w:left="-360" w:right="-360"/>
        <w:rPr>
          <w:rFonts w:ascii="Arial" w:hAnsi="Arial" w:cs="Arial"/>
          <w:b/>
          <w:bCs/>
          <w:sz w:val="22"/>
          <w:szCs w:val="22"/>
        </w:rPr>
      </w:pPr>
      <w:r>
        <w:rPr>
          <w:rFonts w:ascii="Arial" w:hAnsi="Arial" w:cs="Arial"/>
          <w:b/>
          <w:bCs/>
          <w:sz w:val="22"/>
          <w:szCs w:val="22"/>
        </w:rPr>
        <w:t>Background</w:t>
      </w:r>
    </w:p>
    <w:p w14:paraId="03BB0AC5" w14:textId="77777777" w:rsidR="005D1EB4" w:rsidRDefault="005D1EB4" w:rsidP="005D1EB4">
      <w:pPr>
        <w:spacing w:after="120"/>
        <w:ind w:left="-360" w:right="-360"/>
        <w:rPr>
          <w:rFonts w:ascii="Arial" w:hAnsi="Arial" w:cs="Arial"/>
          <w:sz w:val="22"/>
          <w:szCs w:val="22"/>
        </w:rPr>
      </w:pPr>
      <w:r w:rsidRPr="6387631F">
        <w:rPr>
          <w:rFonts w:ascii="Arial" w:hAnsi="Arial" w:cs="Arial"/>
          <w:sz w:val="22"/>
          <w:szCs w:val="22"/>
        </w:rPr>
        <w:t xml:space="preserve">Two cases of multidrug-non-susceptible </w:t>
      </w:r>
      <w:r w:rsidRPr="6387631F">
        <w:rPr>
          <w:rFonts w:ascii="Arial" w:hAnsi="Arial" w:cs="Arial"/>
          <w:i/>
          <w:iCs/>
          <w:sz w:val="22"/>
          <w:szCs w:val="22"/>
        </w:rPr>
        <w:t>Neisseria gonorrhoeae</w:t>
      </w:r>
      <w:r w:rsidRPr="6387631F">
        <w:rPr>
          <w:rFonts w:ascii="Arial" w:hAnsi="Arial" w:cs="Arial"/>
          <w:sz w:val="22"/>
          <w:szCs w:val="22"/>
        </w:rPr>
        <w:t xml:space="preserve"> with reduced susceptibility to ceftriaxone and cefixime have been identified in Massachusetts residents in 2025. Although antibiotics were effective at clearing infections for these cases, combined close clinical and public health follow-up were required to document cure and lack of further transmission. Sequence typing identified two different unrelated strains previously reported as circulating in Asia-Pacific countries, which have since been identified in multiple countries worldwide.</w:t>
      </w:r>
    </w:p>
    <w:p w14:paraId="3998CE9B" w14:textId="77777777" w:rsidR="005D1EB4" w:rsidRDefault="005D1EB4" w:rsidP="005D1EB4">
      <w:pPr>
        <w:spacing w:after="120"/>
        <w:ind w:left="-360" w:right="-360"/>
        <w:rPr>
          <w:rFonts w:ascii="Arial" w:hAnsi="Arial" w:cs="Arial"/>
          <w:sz w:val="22"/>
          <w:szCs w:val="22"/>
        </w:rPr>
      </w:pPr>
      <w:r w:rsidRPr="7F80B41E">
        <w:rPr>
          <w:rFonts w:ascii="Arial" w:hAnsi="Arial" w:cs="Arial"/>
          <w:sz w:val="22"/>
          <w:szCs w:val="22"/>
        </w:rPr>
        <w:t xml:space="preserve">The cases initially presented to different gynecology offices, one with persistent vaginal discharge, and the other with labial pain thought to be secondary to abscess. Acquisition occurred from partners with recent history of travel outside the United States. In both cases, diagnosing clinicians ordered genital culture as well as NAAT, which both grew and tested positive for </w:t>
      </w:r>
      <w:r w:rsidRPr="7F80B41E">
        <w:rPr>
          <w:rFonts w:ascii="Arial" w:hAnsi="Arial" w:cs="Arial"/>
          <w:i/>
          <w:iCs/>
          <w:sz w:val="22"/>
          <w:szCs w:val="22"/>
        </w:rPr>
        <w:t>Neisseria gonorrhoeae</w:t>
      </w:r>
      <w:r w:rsidRPr="7F80B41E">
        <w:rPr>
          <w:rFonts w:ascii="Arial" w:hAnsi="Arial" w:cs="Arial"/>
          <w:sz w:val="22"/>
          <w:szCs w:val="22"/>
        </w:rPr>
        <w:t xml:space="preserve">. The patients were successfully treated, in one case with ceftriaxone 500 mg IM, and in the other case who had a history of cephalosporin allergy, with gentamicin 240 mg IM and azithromycin 2 g PO. Both </w:t>
      </w:r>
      <w:r w:rsidRPr="7F80B41E">
        <w:rPr>
          <w:rFonts w:ascii="Arial" w:hAnsi="Arial" w:cs="Arial"/>
          <w:i/>
          <w:iCs/>
          <w:sz w:val="22"/>
          <w:szCs w:val="22"/>
        </w:rPr>
        <w:t>N. gonorrhoeae</w:t>
      </w:r>
      <w:r w:rsidRPr="7F80B41E">
        <w:rPr>
          <w:rFonts w:ascii="Arial" w:hAnsi="Arial" w:cs="Arial"/>
          <w:sz w:val="22"/>
          <w:szCs w:val="22"/>
        </w:rPr>
        <w:t xml:space="preserve"> isolates were routinely transferred from the diagnosing microbiology laboratories to the Massachusetts State Public Health Laboratory for surveillance susceptibility testing, which resulted in </w:t>
      </w:r>
      <w:r w:rsidRPr="7F80B41E">
        <w:rPr>
          <w:rFonts w:ascii="Arial" w:hAnsi="Arial" w:cs="Arial"/>
          <w:sz w:val="22"/>
          <w:szCs w:val="22"/>
        </w:rPr>
        <w:lastRenderedPageBreak/>
        <w:t xml:space="preserve">the identification of isolates with </w:t>
      </w:r>
      <w:r w:rsidRPr="7F80B41E">
        <w:rPr>
          <w:rFonts w:ascii="Arial" w:hAnsi="Arial" w:cs="Arial"/>
          <w:i/>
          <w:iCs/>
          <w:sz w:val="22"/>
          <w:szCs w:val="22"/>
        </w:rPr>
        <w:t>in vitro</w:t>
      </w:r>
      <w:r w:rsidRPr="7F80B41E">
        <w:rPr>
          <w:rFonts w:ascii="Arial" w:hAnsi="Arial" w:cs="Arial"/>
          <w:sz w:val="22"/>
          <w:szCs w:val="22"/>
        </w:rPr>
        <w:t xml:space="preserve"> reduced ceftriaxone susceptibility and quinolone resistance, but normal susceptibility to aminoglycosides and macrolides. Public health and clinical outreach ensued to make sure both patients were clinically improved and documented to have </w:t>
      </w:r>
      <w:proofErr w:type="gramStart"/>
      <w:r w:rsidRPr="7F80B41E">
        <w:rPr>
          <w:rFonts w:ascii="Arial" w:hAnsi="Arial" w:cs="Arial"/>
          <w:sz w:val="22"/>
          <w:szCs w:val="22"/>
        </w:rPr>
        <w:t>test of cure</w:t>
      </w:r>
      <w:proofErr w:type="gramEnd"/>
      <w:r w:rsidRPr="7F80B41E">
        <w:rPr>
          <w:rFonts w:ascii="Arial" w:hAnsi="Arial" w:cs="Arial"/>
          <w:sz w:val="22"/>
          <w:szCs w:val="22"/>
        </w:rPr>
        <w:t xml:space="preserve">. Retroactive contact tracing identified a third asymptomatic case (partner of the case who had presented with vaginal discharge) for whom initial NAAT at the pharyngeal site was positive but never grew on culture. This third case was treated with ceftriaxone 500 mg IM x 1 dose and cefixime 800 mg PO daily for 3 days and had a negative pharyngeal NAAT 3 weeks following treatment. Subsequent sequence typing at the State Lab on the two isolates indicated </w:t>
      </w:r>
      <w:proofErr w:type="spellStart"/>
      <w:r w:rsidRPr="7F80B41E">
        <w:rPr>
          <w:rFonts w:ascii="Arial" w:hAnsi="Arial" w:cs="Arial"/>
          <w:sz w:val="22"/>
          <w:szCs w:val="22"/>
        </w:rPr>
        <w:t>multilocus</w:t>
      </w:r>
      <w:proofErr w:type="spellEnd"/>
      <w:r w:rsidRPr="7F80B41E">
        <w:rPr>
          <w:rFonts w:ascii="Arial" w:hAnsi="Arial" w:cs="Arial"/>
          <w:sz w:val="22"/>
          <w:szCs w:val="22"/>
        </w:rPr>
        <w:t xml:space="preserve"> sequence types (MLST) 8123 and 17523, confirming the two cases were unrelated.</w:t>
      </w:r>
    </w:p>
    <w:p w14:paraId="363ADC23" w14:textId="77777777" w:rsidR="005D1EB4" w:rsidRDefault="005D1EB4" w:rsidP="005D1EB4">
      <w:pPr>
        <w:spacing w:after="120"/>
        <w:ind w:left="-360" w:right="-360"/>
        <w:rPr>
          <w:rFonts w:ascii="Arial" w:hAnsi="Arial" w:cs="Arial"/>
          <w:sz w:val="22"/>
          <w:szCs w:val="22"/>
        </w:rPr>
      </w:pPr>
      <w:r w:rsidRPr="7F80B41E">
        <w:rPr>
          <w:rFonts w:ascii="Arial" w:hAnsi="Arial" w:cs="Arial"/>
          <w:sz w:val="22"/>
          <w:szCs w:val="22"/>
        </w:rPr>
        <w:t xml:space="preserve">Gonorrhea is the second-most-reported sexually transmitted infection (STI) in the United States. In Massachusetts, laboratory-confirmed case counts have more than quintupled from a nadir of 1,917 in 2009, to a peak of 9,779 in 2023. Proportional increases have been observed in reports of uncomplicated </w:t>
      </w:r>
      <w:proofErr w:type="gramStart"/>
      <w:r w:rsidRPr="7F80B41E">
        <w:rPr>
          <w:rFonts w:ascii="Arial" w:hAnsi="Arial" w:cs="Arial"/>
          <w:sz w:val="22"/>
          <w:szCs w:val="22"/>
        </w:rPr>
        <w:t>disease</w:t>
      </w:r>
      <w:proofErr w:type="gramEnd"/>
      <w:r w:rsidRPr="7F80B41E">
        <w:rPr>
          <w:rFonts w:ascii="Arial" w:hAnsi="Arial" w:cs="Arial"/>
          <w:sz w:val="22"/>
          <w:szCs w:val="22"/>
        </w:rPr>
        <w:t xml:space="preserve"> such as asymptomatic carriage, urethritis, cervicitis, pharyngitis, and proctitis. Complicated locally invasive disease such as penile, labial, and pharyngeal abscess, epididymitis, pelvic inflammatory disease, and gonococcal conjunctivitis including ophthalmia neonatorum; and disseminated gonococcal infection including endocarditis and meningitis, have also been reported. In 2023, following identification of a novel strain of multidrug-non-susceptible </w:t>
      </w:r>
      <w:r w:rsidRPr="7F80B41E">
        <w:rPr>
          <w:rFonts w:ascii="Arial" w:hAnsi="Arial" w:cs="Arial"/>
          <w:i/>
          <w:iCs/>
          <w:sz w:val="22"/>
          <w:szCs w:val="22"/>
        </w:rPr>
        <w:t xml:space="preserve">N. gonorrhoeae </w:t>
      </w:r>
      <w:r w:rsidRPr="7F80B41E">
        <w:rPr>
          <w:rFonts w:ascii="Arial" w:hAnsi="Arial" w:cs="Arial"/>
          <w:sz w:val="22"/>
          <w:szCs w:val="22"/>
        </w:rPr>
        <w:t xml:space="preserve">with reduced susceptibility to ceftriaxone, cefixime, and azithromycin, and resistance to ciprofloxacin, penicillin, and tetracycline, Massachusetts DPH issued a </w:t>
      </w:r>
      <w:hyperlink r:id="rId14">
        <w:r w:rsidRPr="7F80B41E">
          <w:rPr>
            <w:rStyle w:val="Hyperlink"/>
            <w:rFonts w:ascii="Arial" w:hAnsi="Arial" w:cs="Arial"/>
            <w:sz w:val="22"/>
            <w:szCs w:val="22"/>
          </w:rPr>
          <w:t>Clinical Alert</w:t>
        </w:r>
      </w:hyperlink>
      <w:r w:rsidRPr="7F80B41E">
        <w:rPr>
          <w:rFonts w:ascii="Arial" w:hAnsi="Arial" w:cs="Arial"/>
          <w:sz w:val="22"/>
          <w:szCs w:val="22"/>
        </w:rPr>
        <w:t xml:space="preserve"> calling for culture of suspected gonorrhea cases. </w:t>
      </w:r>
      <w:hyperlink r:id="rId15">
        <w:r w:rsidRPr="7F80B41E">
          <w:rPr>
            <w:rStyle w:val="Hyperlink"/>
            <w:rFonts w:ascii="Arial" w:hAnsi="Arial" w:cs="Arial"/>
            <w:sz w:val="22"/>
            <w:szCs w:val="22"/>
          </w:rPr>
          <w:t xml:space="preserve">Results of </w:t>
        </w:r>
        <w:r w:rsidRPr="7F80B41E">
          <w:rPr>
            <w:rStyle w:val="Hyperlink"/>
            <w:rFonts w:ascii="Arial" w:hAnsi="Arial" w:cs="Arial"/>
            <w:i/>
            <w:iCs/>
            <w:sz w:val="22"/>
            <w:szCs w:val="22"/>
          </w:rPr>
          <w:t>N. gonorrhoeae</w:t>
        </w:r>
        <w:r w:rsidRPr="7F80B41E">
          <w:rPr>
            <w:rStyle w:val="Hyperlink"/>
            <w:rFonts w:ascii="Arial" w:hAnsi="Arial" w:cs="Arial"/>
            <w:sz w:val="22"/>
            <w:szCs w:val="22"/>
          </w:rPr>
          <w:t xml:space="preserve"> antibiotic susceptibility testing in Massachusetts</w:t>
        </w:r>
      </w:hyperlink>
      <w:r w:rsidRPr="7F80B41E">
        <w:rPr>
          <w:rFonts w:ascii="Arial" w:hAnsi="Arial" w:cs="Arial"/>
          <w:sz w:val="22"/>
          <w:szCs w:val="22"/>
        </w:rPr>
        <w:t xml:space="preserve"> of 548 isolates in 2023 and 271 isolates in 2024 did not detect further cephalosporin-non-susceptible cases, until these </w:t>
      </w:r>
      <w:r>
        <w:rPr>
          <w:rFonts w:ascii="Arial" w:hAnsi="Arial" w:cs="Arial"/>
          <w:sz w:val="22"/>
          <w:szCs w:val="22"/>
        </w:rPr>
        <w:t xml:space="preserve">two confirmed </w:t>
      </w:r>
      <w:r w:rsidRPr="7F80B41E">
        <w:rPr>
          <w:rFonts w:ascii="Arial" w:hAnsi="Arial" w:cs="Arial"/>
          <w:sz w:val="22"/>
          <w:szCs w:val="22"/>
        </w:rPr>
        <w:t>cases in 2025.</w:t>
      </w:r>
    </w:p>
    <w:p w14:paraId="0B1BFDAA" w14:textId="77777777" w:rsidR="005D1EB4" w:rsidRDefault="005D1EB4" w:rsidP="005D1EB4">
      <w:pPr>
        <w:spacing w:after="120"/>
        <w:ind w:left="-360" w:right="-360"/>
        <w:rPr>
          <w:rFonts w:ascii="Arial" w:hAnsi="Arial" w:cs="Arial"/>
          <w:sz w:val="22"/>
          <w:szCs w:val="22"/>
        </w:rPr>
      </w:pPr>
    </w:p>
    <w:p w14:paraId="4BDF1928" w14:textId="77777777" w:rsidR="005D1EB4" w:rsidRPr="002A3AFA" w:rsidRDefault="005D1EB4" w:rsidP="005D1EB4">
      <w:pPr>
        <w:spacing w:before="100" w:after="120"/>
        <w:ind w:left="-360" w:right="14"/>
        <w:textAlignment w:val="baseline"/>
        <w:rPr>
          <w:rFonts w:ascii="Arial" w:eastAsia="Arial" w:hAnsi="Arial" w:cs="Arial"/>
          <w:sz w:val="22"/>
          <w:szCs w:val="22"/>
        </w:rPr>
      </w:pPr>
      <w:r w:rsidRPr="7F80B41E">
        <w:rPr>
          <w:rFonts w:ascii="Arial" w:eastAsia="Arial" w:hAnsi="Arial" w:cs="Arial"/>
          <w:b/>
          <w:bCs/>
          <w:sz w:val="22"/>
          <w:szCs w:val="22"/>
        </w:rPr>
        <w:t>BEST PRACTICES FOR CLINICIANS</w:t>
      </w:r>
    </w:p>
    <w:p w14:paraId="48D4E86D" w14:textId="77777777" w:rsidR="005D1EB4" w:rsidRPr="002A3AFA" w:rsidRDefault="005D1EB4" w:rsidP="005D1EB4">
      <w:pPr>
        <w:spacing w:before="100" w:after="120"/>
        <w:ind w:left="-360" w:right="14"/>
        <w:textAlignment w:val="baseline"/>
        <w:rPr>
          <w:rFonts w:ascii="Arial" w:eastAsia="Arial" w:hAnsi="Arial" w:cs="Arial"/>
          <w:sz w:val="22"/>
          <w:szCs w:val="22"/>
        </w:rPr>
      </w:pPr>
      <w:r w:rsidRPr="7F80B41E">
        <w:rPr>
          <w:rFonts w:ascii="Arial" w:eastAsia="Arial" w:hAnsi="Arial" w:cs="Arial"/>
          <w:sz w:val="22"/>
          <w:szCs w:val="22"/>
        </w:rPr>
        <w:t xml:space="preserve">Because </w:t>
      </w:r>
      <w:proofErr w:type="gramStart"/>
      <w:r w:rsidRPr="7F80B41E">
        <w:rPr>
          <w:rFonts w:ascii="Arial" w:eastAsia="Arial" w:hAnsi="Arial" w:cs="Arial"/>
          <w:sz w:val="22"/>
          <w:szCs w:val="22"/>
        </w:rPr>
        <w:t>the vast majority of</w:t>
      </w:r>
      <w:proofErr w:type="gramEnd"/>
      <w:r w:rsidRPr="7F80B41E">
        <w:rPr>
          <w:rFonts w:ascii="Arial" w:eastAsia="Arial" w:hAnsi="Arial" w:cs="Arial"/>
          <w:sz w:val="22"/>
          <w:szCs w:val="22"/>
        </w:rPr>
        <w:t xml:space="preserve"> cases in Massachusetts are cephalosporin-susceptible, single-dose ceftriaxone 500 mg IM remains the recommended first-line treatment for mucosal (conjunctival, pharyngeal, urethral, cervical, vaginal, and rectal) gonorrhea infections in persons weighing &lt;150 kg, (1 gram IM is recommended for persons weighing ≥150 kg), per 2020-21 CDC guidelines. Alternative regimens are reserved for those with cephalosporin </w:t>
      </w:r>
      <w:proofErr w:type="gramStart"/>
      <w:r w:rsidRPr="7F80B41E">
        <w:rPr>
          <w:rFonts w:ascii="Arial" w:eastAsia="Arial" w:hAnsi="Arial" w:cs="Arial"/>
          <w:sz w:val="22"/>
          <w:szCs w:val="22"/>
        </w:rPr>
        <w:t>allergy</w:t>
      </w:r>
      <w:proofErr w:type="gramEnd"/>
      <w:r w:rsidRPr="7F80B41E">
        <w:rPr>
          <w:rFonts w:ascii="Arial" w:eastAsia="Arial" w:hAnsi="Arial" w:cs="Arial"/>
          <w:sz w:val="22"/>
          <w:szCs w:val="22"/>
        </w:rPr>
        <w:t>.</w:t>
      </w:r>
    </w:p>
    <w:p w14:paraId="2AE56FB8" w14:textId="77777777" w:rsidR="005D1EB4" w:rsidRPr="002A3AFA" w:rsidRDefault="005D1EB4" w:rsidP="005D1EB4">
      <w:pPr>
        <w:spacing w:after="120"/>
        <w:ind w:left="-360" w:right="-360"/>
        <w:textAlignment w:val="baseline"/>
        <w:rPr>
          <w:rFonts w:ascii="Arial" w:eastAsia="Arial" w:hAnsi="Arial" w:cs="Arial"/>
          <w:sz w:val="22"/>
          <w:szCs w:val="22"/>
        </w:rPr>
      </w:pPr>
      <w:r w:rsidRPr="7F80B41E">
        <w:rPr>
          <w:rFonts w:ascii="Arial" w:eastAsia="Arial" w:hAnsi="Arial" w:cs="Arial"/>
          <w:sz w:val="22"/>
          <w:szCs w:val="22"/>
        </w:rPr>
        <w:t xml:space="preserve">Massachusetts Department of Public Health (DPH) recommends these best practices to ensure prompt identification of </w:t>
      </w:r>
      <w:proofErr w:type="gramStart"/>
      <w:r w:rsidRPr="7F80B41E">
        <w:rPr>
          <w:rFonts w:ascii="Arial" w:eastAsia="Arial" w:hAnsi="Arial" w:cs="Arial"/>
          <w:sz w:val="22"/>
          <w:szCs w:val="22"/>
        </w:rPr>
        <w:t>suspect</w:t>
      </w:r>
      <w:proofErr w:type="gramEnd"/>
      <w:r w:rsidRPr="7F80B41E">
        <w:rPr>
          <w:rFonts w:ascii="Arial" w:eastAsia="Arial" w:hAnsi="Arial" w:cs="Arial"/>
          <w:sz w:val="22"/>
          <w:szCs w:val="22"/>
        </w:rPr>
        <w:t xml:space="preserve"> drug non-susceptible gonorrhea cases.</w:t>
      </w:r>
    </w:p>
    <w:p w14:paraId="3EFBC2AE" w14:textId="77777777" w:rsidR="005D1EB4" w:rsidRPr="002A3AFA" w:rsidRDefault="005D1EB4" w:rsidP="005D1EB4">
      <w:pPr>
        <w:pStyle w:val="ListParagraph"/>
        <w:numPr>
          <w:ilvl w:val="0"/>
          <w:numId w:val="1"/>
        </w:numPr>
        <w:ind w:left="360" w:right="14"/>
        <w:textAlignment w:val="baseline"/>
        <w:rPr>
          <w:rFonts w:ascii="Arial" w:eastAsia="Arial" w:hAnsi="Arial" w:cs="Arial"/>
          <w:sz w:val="22"/>
          <w:szCs w:val="22"/>
        </w:rPr>
      </w:pPr>
      <w:r w:rsidRPr="7F80B41E">
        <w:rPr>
          <w:rFonts w:ascii="Arial" w:eastAsia="Arial" w:hAnsi="Arial" w:cs="Arial"/>
          <w:sz w:val="22"/>
          <w:szCs w:val="22"/>
        </w:rPr>
        <w:t xml:space="preserve">For all patients suspected to have gonorrhea, continue to perform </w:t>
      </w:r>
      <w:hyperlink r:id="rId16" w:history="1">
        <w:r w:rsidRPr="7F80B41E">
          <w:rPr>
            <w:rStyle w:val="Hyperlink"/>
            <w:rFonts w:ascii="Arial" w:eastAsia="Arial" w:hAnsi="Arial" w:cs="Arial"/>
            <w:sz w:val="22"/>
            <w:szCs w:val="22"/>
          </w:rPr>
          <w:t>gonococcal culture</w:t>
        </w:r>
      </w:hyperlink>
      <w:r w:rsidRPr="7F80B41E">
        <w:rPr>
          <w:rFonts w:ascii="Arial" w:eastAsia="Arial" w:hAnsi="Arial" w:cs="Arial"/>
          <w:sz w:val="22"/>
          <w:szCs w:val="22"/>
        </w:rPr>
        <w:t xml:space="preserve"> from sites of suspected infection, in addition to routine nucleic acid amplification testing (NAAT). Clinicians should consult with local clinical microbiology laboratories to determine how best to optimize gonococcal culture, for example by using non-nutritive swab transport systems (e.g. Amies agar gel) and rapidly having samples transported for plating for culture at a laboratory. </w:t>
      </w:r>
    </w:p>
    <w:p w14:paraId="5B686912" w14:textId="77777777" w:rsidR="005D1EB4" w:rsidRPr="002A3AFA" w:rsidRDefault="005D1EB4" w:rsidP="005D1EB4">
      <w:pPr>
        <w:pStyle w:val="ListParagraph"/>
        <w:numPr>
          <w:ilvl w:val="0"/>
          <w:numId w:val="1"/>
        </w:numPr>
        <w:ind w:left="360" w:right="14"/>
        <w:textAlignment w:val="baseline"/>
        <w:rPr>
          <w:rFonts w:ascii="Arial" w:eastAsia="Arial" w:hAnsi="Arial" w:cs="Arial"/>
          <w:sz w:val="22"/>
          <w:szCs w:val="22"/>
        </w:rPr>
      </w:pPr>
      <w:r w:rsidRPr="7F80B41E">
        <w:rPr>
          <w:rFonts w:ascii="Arial" w:eastAsia="Arial" w:hAnsi="Arial" w:cs="Arial"/>
          <w:sz w:val="22"/>
          <w:szCs w:val="22"/>
        </w:rPr>
        <w:t>For all gonorrhea cases, obtain risk history, including travel history. History of recent antibiotic exposure or travel outside of the United States should raise suspicion for drug-non-susceptible gonorrhea.</w:t>
      </w:r>
    </w:p>
    <w:p w14:paraId="4F93CBE7" w14:textId="77777777" w:rsidR="005D1EB4" w:rsidRPr="002A3AFA" w:rsidRDefault="005D1EB4" w:rsidP="005D1EB4">
      <w:pPr>
        <w:pStyle w:val="ListParagraph"/>
        <w:numPr>
          <w:ilvl w:val="0"/>
          <w:numId w:val="1"/>
        </w:numPr>
        <w:ind w:left="360" w:right="14"/>
        <w:textAlignment w:val="baseline"/>
        <w:rPr>
          <w:rFonts w:ascii="Arial" w:eastAsia="Arial" w:hAnsi="Arial" w:cs="Arial"/>
          <w:sz w:val="22"/>
          <w:szCs w:val="22"/>
        </w:rPr>
      </w:pPr>
      <w:r w:rsidRPr="7F80B41E">
        <w:rPr>
          <w:rFonts w:ascii="Arial" w:eastAsia="Arial" w:hAnsi="Arial" w:cs="Arial"/>
          <w:sz w:val="22"/>
          <w:szCs w:val="22"/>
        </w:rPr>
        <w:t>For all gonorrhea cases, perform test of cure using NAAT or culture, 28 days after initial treatment, at all previously positive mucosal sites. Identification of persistent positivity on either NAAT or culture, particularly from the pharynx, should raise suspicion for drug-non-susceptible gonorrhea. Culture and clinical susceptibility testing should be explicitly ordered, if not already done.</w:t>
      </w:r>
    </w:p>
    <w:p w14:paraId="74023A20" w14:textId="77777777" w:rsidR="005D1EB4" w:rsidRPr="002A3AFA" w:rsidRDefault="005D1EB4" w:rsidP="005D1EB4">
      <w:pPr>
        <w:pStyle w:val="ListParagraph"/>
        <w:numPr>
          <w:ilvl w:val="0"/>
          <w:numId w:val="1"/>
        </w:numPr>
        <w:ind w:left="360" w:right="14"/>
        <w:textAlignment w:val="baseline"/>
        <w:rPr>
          <w:rFonts w:ascii="Arial" w:eastAsia="Arial" w:hAnsi="Arial" w:cs="Arial"/>
          <w:sz w:val="22"/>
          <w:szCs w:val="22"/>
        </w:rPr>
      </w:pPr>
      <w:r w:rsidRPr="7F80B41E">
        <w:rPr>
          <w:rFonts w:ascii="Arial" w:eastAsia="Arial" w:hAnsi="Arial" w:cs="Arial"/>
          <w:sz w:val="22"/>
          <w:szCs w:val="22"/>
        </w:rPr>
        <w:t xml:space="preserve">When drug non-susceptible gonorrhea is suspected, infectious disease consultation should be sought, and public health should be notified via the MDPH Division of STD Prevention </w:t>
      </w:r>
      <w:r w:rsidRPr="7F80B41E">
        <w:rPr>
          <w:rFonts w:ascii="Arial" w:eastAsia="Arial" w:hAnsi="Arial" w:cs="Arial"/>
          <w:sz w:val="22"/>
          <w:szCs w:val="22"/>
        </w:rPr>
        <w:lastRenderedPageBreak/>
        <w:t>(DSTDP) Reporting and Partner Services Line at 617-983-6999. Clinical consultation is also available upon request through the MDPH DSTDP.</w:t>
      </w:r>
    </w:p>
    <w:p w14:paraId="147CDC55" w14:textId="77777777" w:rsidR="005D1EB4" w:rsidRPr="002A3AFA" w:rsidRDefault="005D1EB4" w:rsidP="005D1EB4">
      <w:pPr>
        <w:pStyle w:val="ListParagraph"/>
        <w:numPr>
          <w:ilvl w:val="0"/>
          <w:numId w:val="1"/>
        </w:numPr>
        <w:ind w:left="360" w:right="14"/>
        <w:textAlignment w:val="baseline"/>
        <w:rPr>
          <w:rFonts w:ascii="Arial" w:eastAsia="Arial" w:hAnsi="Arial" w:cs="Arial"/>
          <w:sz w:val="22"/>
          <w:szCs w:val="22"/>
        </w:rPr>
      </w:pPr>
      <w:r w:rsidRPr="7F80B41E">
        <w:rPr>
          <w:rFonts w:ascii="Arial" w:eastAsia="Arial" w:hAnsi="Arial" w:cs="Arial"/>
          <w:sz w:val="22"/>
          <w:szCs w:val="22"/>
        </w:rPr>
        <w:t xml:space="preserve">Perform test of reinfection with NAAT 3 months after initial treatment for patients previously treated for gonorrhea. Scheduling the follow-up visit for test of reinfection at the time of treatment is encouraged. If retesting at 3 months is not possible, clinicians should retest whenever </w:t>
      </w:r>
      <w:proofErr w:type="gramStart"/>
      <w:r w:rsidRPr="7F80B41E">
        <w:rPr>
          <w:rFonts w:ascii="Arial" w:eastAsia="Arial" w:hAnsi="Arial" w:cs="Arial"/>
          <w:sz w:val="22"/>
          <w:szCs w:val="22"/>
        </w:rPr>
        <w:t>persons next</w:t>
      </w:r>
      <w:proofErr w:type="gramEnd"/>
      <w:r w:rsidRPr="7F80B41E">
        <w:rPr>
          <w:rFonts w:ascii="Arial" w:eastAsia="Arial" w:hAnsi="Arial" w:cs="Arial"/>
          <w:sz w:val="22"/>
          <w:szCs w:val="22"/>
        </w:rPr>
        <w:t xml:space="preserve"> seek medical care &lt;12 months after initial treatment.</w:t>
      </w:r>
    </w:p>
    <w:p w14:paraId="151D625A" w14:textId="77777777" w:rsidR="005D1EB4" w:rsidRPr="002A3AFA" w:rsidRDefault="005D1EB4" w:rsidP="005D1EB4">
      <w:pPr>
        <w:spacing w:after="120"/>
        <w:ind w:left="-360" w:right="-360"/>
        <w:textAlignment w:val="baseline"/>
        <w:rPr>
          <w:rFonts w:ascii="Arial" w:hAnsi="Arial" w:cs="Arial"/>
          <w:b/>
          <w:bCs/>
          <w:sz w:val="22"/>
          <w:szCs w:val="22"/>
        </w:rPr>
      </w:pPr>
    </w:p>
    <w:p w14:paraId="2352D663" w14:textId="77777777" w:rsidR="005D1EB4" w:rsidRPr="002A3AFA" w:rsidRDefault="005D1EB4" w:rsidP="005D1EB4">
      <w:pPr>
        <w:spacing w:after="120"/>
        <w:ind w:left="-360" w:right="-360"/>
        <w:textAlignment w:val="baseline"/>
        <w:rPr>
          <w:rFonts w:ascii="Arial" w:hAnsi="Arial" w:cs="Arial"/>
          <w:sz w:val="22"/>
          <w:szCs w:val="22"/>
        </w:rPr>
      </w:pPr>
      <w:r w:rsidRPr="7F80B41E">
        <w:rPr>
          <w:rFonts w:ascii="Arial" w:hAnsi="Arial" w:cs="Arial"/>
          <w:b/>
          <w:bCs/>
          <w:sz w:val="22"/>
          <w:szCs w:val="22"/>
        </w:rPr>
        <w:t>Patient Counseling and Information for Partners</w:t>
      </w:r>
    </w:p>
    <w:p w14:paraId="3BF75694" w14:textId="77777777" w:rsidR="005D1EB4" w:rsidRPr="00157B12" w:rsidRDefault="005D1EB4" w:rsidP="005D1EB4">
      <w:pPr>
        <w:pStyle w:val="ListParagraph"/>
        <w:numPr>
          <w:ilvl w:val="0"/>
          <w:numId w:val="5"/>
        </w:numPr>
        <w:spacing w:after="120"/>
        <w:ind w:right="-360"/>
        <w:contextualSpacing w:val="0"/>
        <w:textAlignment w:val="baseline"/>
        <w:rPr>
          <w:rFonts w:ascii="Arial" w:hAnsi="Arial" w:cs="Arial"/>
          <w:sz w:val="22"/>
          <w:szCs w:val="22"/>
        </w:rPr>
      </w:pPr>
      <w:r w:rsidRPr="00157B12">
        <w:rPr>
          <w:rFonts w:ascii="Arial" w:hAnsi="Arial" w:cs="Arial"/>
          <w:sz w:val="22"/>
          <w:szCs w:val="22"/>
        </w:rPr>
        <w:t>Recent sex partners (i.e., persons having sexual exposure to an infected patient &lt;60 days preceding onset of symptoms or gonorrhea diagnosis) should be referred for evaluation and testing at all exposed mucosal sites, and presumptive treatment if symptomatic.</w:t>
      </w:r>
    </w:p>
    <w:p w14:paraId="1AC1319A" w14:textId="77777777" w:rsidR="005D1EB4" w:rsidRPr="00157B12" w:rsidRDefault="005D1EB4" w:rsidP="005D1EB4">
      <w:pPr>
        <w:pStyle w:val="ListParagraph"/>
        <w:numPr>
          <w:ilvl w:val="0"/>
          <w:numId w:val="5"/>
        </w:numPr>
        <w:spacing w:after="120"/>
        <w:ind w:right="-360"/>
        <w:contextualSpacing w:val="0"/>
        <w:textAlignment w:val="baseline"/>
        <w:rPr>
          <w:rFonts w:ascii="Arial" w:hAnsi="Arial" w:cs="Arial"/>
          <w:sz w:val="22"/>
          <w:szCs w:val="22"/>
        </w:rPr>
      </w:pPr>
      <w:r w:rsidRPr="00157B12">
        <w:rPr>
          <w:rFonts w:ascii="Arial" w:hAnsi="Arial" w:cs="Arial"/>
          <w:sz w:val="22"/>
          <w:szCs w:val="22"/>
        </w:rPr>
        <w:t xml:space="preserve">If contact with drug non-susceptible gonorrhea is suspected, infectious disease and public health should be </w:t>
      </w:r>
      <w:r>
        <w:rPr>
          <w:rFonts w:ascii="Arial" w:hAnsi="Arial" w:cs="Arial"/>
          <w:sz w:val="22"/>
          <w:szCs w:val="22"/>
        </w:rPr>
        <w:t>consulted</w:t>
      </w:r>
      <w:r w:rsidRPr="00157B12">
        <w:rPr>
          <w:rFonts w:ascii="Arial" w:hAnsi="Arial" w:cs="Arial"/>
          <w:sz w:val="22"/>
          <w:szCs w:val="22"/>
        </w:rPr>
        <w:t>.</w:t>
      </w:r>
    </w:p>
    <w:p w14:paraId="00989F84" w14:textId="77777777" w:rsidR="005D1EB4" w:rsidRPr="00157B12" w:rsidRDefault="005D1EB4" w:rsidP="005D1EB4">
      <w:pPr>
        <w:pStyle w:val="ListParagraph"/>
        <w:numPr>
          <w:ilvl w:val="0"/>
          <w:numId w:val="5"/>
        </w:numPr>
        <w:spacing w:after="120"/>
        <w:ind w:right="-360"/>
        <w:contextualSpacing w:val="0"/>
        <w:textAlignment w:val="baseline"/>
        <w:rPr>
          <w:rFonts w:ascii="Arial" w:hAnsi="Arial" w:cs="Arial"/>
          <w:sz w:val="22"/>
          <w:szCs w:val="22"/>
        </w:rPr>
      </w:pPr>
      <w:r w:rsidRPr="00157B12">
        <w:rPr>
          <w:rFonts w:ascii="Arial" w:hAnsi="Arial" w:cs="Arial"/>
          <w:sz w:val="22"/>
          <w:szCs w:val="22"/>
        </w:rPr>
        <w:t>If the patient’s last potential sexual exposure was &gt;60 days before onset of symptoms or diagnosis, the most recent sex partner should be tested and treated if symptomatic.</w:t>
      </w:r>
    </w:p>
    <w:p w14:paraId="7A2C31C3" w14:textId="77777777" w:rsidR="005D1EB4" w:rsidRPr="00346460" w:rsidRDefault="005D1EB4" w:rsidP="005D1EB4">
      <w:pPr>
        <w:pStyle w:val="ListParagraph"/>
        <w:numPr>
          <w:ilvl w:val="0"/>
          <w:numId w:val="5"/>
        </w:numPr>
        <w:spacing w:after="120"/>
        <w:ind w:right="-360"/>
        <w:contextualSpacing w:val="0"/>
        <w:textAlignment w:val="baseline"/>
        <w:rPr>
          <w:rFonts w:ascii="Arial" w:hAnsi="Arial" w:cs="Arial"/>
          <w:b/>
          <w:bCs/>
          <w:sz w:val="22"/>
          <w:szCs w:val="22"/>
        </w:rPr>
      </w:pPr>
      <w:r w:rsidRPr="00346460">
        <w:rPr>
          <w:rFonts w:ascii="Arial" w:hAnsi="Arial" w:cs="Arial"/>
          <w:sz w:val="22"/>
          <w:szCs w:val="22"/>
        </w:rPr>
        <w:t>To avoid reinfection, sex partners should be instructed to abstain from sexual intercourse for 7 days after they and their sex partners have completed treatment and after resolution of symptoms.</w:t>
      </w:r>
    </w:p>
    <w:p w14:paraId="0C7E097E" w14:textId="77777777" w:rsidR="005D1EB4" w:rsidRPr="002A3AFA" w:rsidRDefault="005D1EB4" w:rsidP="005D1EB4">
      <w:pPr>
        <w:spacing w:after="120"/>
        <w:ind w:left="-360" w:right="-360"/>
        <w:textAlignment w:val="baseline"/>
        <w:rPr>
          <w:rFonts w:ascii="Arial" w:hAnsi="Arial" w:cs="Arial"/>
          <w:b/>
          <w:bCs/>
          <w:sz w:val="22"/>
          <w:szCs w:val="22"/>
        </w:rPr>
      </w:pPr>
      <w:r w:rsidRPr="002A3AFA">
        <w:rPr>
          <w:rFonts w:ascii="Arial" w:hAnsi="Arial" w:cs="Arial"/>
          <w:b/>
          <w:bCs/>
          <w:sz w:val="22"/>
          <w:szCs w:val="22"/>
        </w:rPr>
        <w:t>Reporting</w:t>
      </w:r>
    </w:p>
    <w:p w14:paraId="5A3EEB55" w14:textId="77777777" w:rsidR="005D1EB4" w:rsidRPr="002A3AFA" w:rsidRDefault="005D1EB4" w:rsidP="005D1EB4">
      <w:pPr>
        <w:spacing w:after="120"/>
        <w:ind w:left="-360" w:right="-360"/>
        <w:textAlignment w:val="baseline"/>
        <w:rPr>
          <w:rFonts w:ascii="Arial" w:hAnsi="Arial" w:cs="Arial"/>
          <w:sz w:val="22"/>
          <w:szCs w:val="22"/>
        </w:rPr>
      </w:pPr>
      <w:r w:rsidRPr="002A3AFA">
        <w:rPr>
          <w:rFonts w:ascii="Arial" w:hAnsi="Arial" w:cs="Arial"/>
          <w:sz w:val="22"/>
          <w:szCs w:val="22"/>
        </w:rPr>
        <w:t xml:space="preserve">Health care providers, laboratories, and </w:t>
      </w:r>
      <w:proofErr w:type="gramStart"/>
      <w:r w:rsidRPr="002A3AFA">
        <w:rPr>
          <w:rFonts w:ascii="Arial" w:hAnsi="Arial" w:cs="Arial"/>
          <w:sz w:val="22"/>
          <w:szCs w:val="22"/>
        </w:rPr>
        <w:t>others</w:t>
      </w:r>
      <w:proofErr w:type="gramEnd"/>
      <w:r w:rsidRPr="002A3AFA">
        <w:rPr>
          <w:rFonts w:ascii="Arial" w:hAnsi="Arial" w:cs="Arial"/>
          <w:sz w:val="22"/>
          <w:szCs w:val="22"/>
        </w:rPr>
        <w:t xml:space="preserve"> as required by regulation, must report all gonorrhea cases to the MDPH within 24 hours. Laboratories must send </w:t>
      </w:r>
      <w:r w:rsidRPr="002A3AFA">
        <w:rPr>
          <w:rFonts w:ascii="Arial" w:hAnsi="Arial" w:cs="Arial"/>
          <w:i/>
          <w:iCs/>
          <w:sz w:val="22"/>
          <w:szCs w:val="22"/>
        </w:rPr>
        <w:t>N. gonorrhoeae</w:t>
      </w:r>
      <w:r w:rsidRPr="002A3AFA">
        <w:rPr>
          <w:rFonts w:ascii="Arial" w:hAnsi="Arial" w:cs="Arial"/>
          <w:sz w:val="22"/>
          <w:szCs w:val="22"/>
        </w:rPr>
        <w:t xml:space="preserve"> isolates to the State Public Health Laboratory for further examination.</w:t>
      </w:r>
      <w:r w:rsidRPr="002A3AFA">
        <w:rPr>
          <w:rStyle w:val="EndnoteReference"/>
          <w:rFonts w:ascii="Arial" w:hAnsi="Arial" w:cs="Arial"/>
          <w:sz w:val="22"/>
          <w:szCs w:val="22"/>
        </w:rPr>
        <w:endnoteReference w:id="1"/>
      </w:r>
    </w:p>
    <w:p w14:paraId="3AD6FD70" w14:textId="77777777" w:rsidR="005D1EB4" w:rsidRPr="002A3AFA" w:rsidRDefault="005D1EB4" w:rsidP="005D1EB4">
      <w:pPr>
        <w:spacing w:after="120"/>
        <w:ind w:left="-360" w:right="-360"/>
        <w:textAlignment w:val="baseline"/>
        <w:rPr>
          <w:rFonts w:ascii="Arial" w:hAnsi="Arial" w:cs="Arial"/>
          <w:sz w:val="22"/>
          <w:szCs w:val="22"/>
        </w:rPr>
      </w:pPr>
      <w:hyperlink r:id="rId17" w:history="1">
        <w:r w:rsidRPr="004B0E26">
          <w:rPr>
            <w:rStyle w:val="Hyperlink"/>
            <w:rFonts w:ascii="Arial" w:hAnsi="Arial" w:cs="Arial"/>
            <w:sz w:val="22"/>
            <w:szCs w:val="22"/>
          </w:rPr>
          <w:t>MDPH Gonorrhea Reporting Forms</w:t>
        </w:r>
      </w:hyperlink>
      <w:r w:rsidRPr="002A3AFA">
        <w:rPr>
          <w:rFonts w:ascii="Arial" w:hAnsi="Arial" w:cs="Arial"/>
          <w:sz w:val="22"/>
          <w:szCs w:val="22"/>
        </w:rPr>
        <w:t xml:space="preserve"> are required for all gonorrhea cases</w:t>
      </w:r>
      <w:r w:rsidRPr="00486265">
        <w:rPr>
          <w:rFonts w:ascii="Arial" w:hAnsi="Arial" w:cs="Arial"/>
          <w:sz w:val="22"/>
          <w:szCs w:val="22"/>
        </w:rPr>
        <w:t xml:space="preserve">, and provide details on clinical characteristics and treatment which are not automatically reported, unless your clinical organization participates in </w:t>
      </w:r>
      <w:hyperlink r:id="rId18">
        <w:r w:rsidRPr="00486265">
          <w:rPr>
            <w:rStyle w:val="Hyperlink"/>
            <w:rFonts w:ascii="Arial" w:hAnsi="Arial" w:cs="Arial"/>
            <w:sz w:val="22"/>
            <w:szCs w:val="22"/>
          </w:rPr>
          <w:t>ESP</w:t>
        </w:r>
      </w:hyperlink>
      <w:r w:rsidRPr="00486265">
        <w:rPr>
          <w:rFonts w:ascii="Arial" w:hAnsi="Arial" w:cs="Arial"/>
          <w:sz w:val="22"/>
          <w:szCs w:val="22"/>
        </w:rPr>
        <w:t>.</w:t>
      </w:r>
    </w:p>
    <w:p w14:paraId="64C57831" w14:textId="77777777" w:rsidR="005D1EB4" w:rsidRPr="00F67F64" w:rsidRDefault="005D1EB4" w:rsidP="005D1EB4">
      <w:pPr>
        <w:spacing w:before="240" w:after="120"/>
        <w:ind w:left="-360"/>
        <w:rPr>
          <w:rFonts w:ascii="Arial" w:hAnsi="Arial" w:cs="Arial"/>
          <w:b/>
          <w:bCs/>
          <w:sz w:val="22"/>
          <w:szCs w:val="22"/>
          <w:u w:val="single"/>
        </w:rPr>
      </w:pPr>
      <w:r>
        <w:rPr>
          <w:rFonts w:ascii="Arial" w:hAnsi="Arial" w:cs="Arial"/>
          <w:b/>
          <w:bCs/>
          <w:sz w:val="22"/>
          <w:szCs w:val="22"/>
        </w:rPr>
        <w:t>Continue to c</w:t>
      </w:r>
      <w:r w:rsidRPr="004A4212">
        <w:rPr>
          <w:rFonts w:ascii="Arial" w:hAnsi="Arial" w:cs="Arial"/>
          <w:b/>
          <w:bCs/>
          <w:sz w:val="22"/>
          <w:szCs w:val="22"/>
        </w:rPr>
        <w:t xml:space="preserve">ontact the </w:t>
      </w:r>
      <w:hyperlink r:id="rId19">
        <w:r w:rsidRPr="004A4212">
          <w:rPr>
            <w:rStyle w:val="Hyperlink"/>
            <w:rFonts w:ascii="Arial" w:hAnsi="Arial" w:cs="Arial"/>
            <w:b/>
            <w:bCs/>
            <w:sz w:val="22"/>
            <w:szCs w:val="22"/>
          </w:rPr>
          <w:t>DPH Division of STD Prevention</w:t>
        </w:r>
      </w:hyperlink>
      <w:r w:rsidRPr="004A4212">
        <w:rPr>
          <w:rFonts w:ascii="Arial" w:hAnsi="Arial" w:cs="Arial"/>
          <w:b/>
          <w:bCs/>
          <w:sz w:val="22"/>
          <w:szCs w:val="22"/>
        </w:rPr>
        <w:t xml:space="preserve"> for:</w:t>
      </w:r>
    </w:p>
    <w:p w14:paraId="06A0ED16" w14:textId="77777777" w:rsidR="005D1EB4" w:rsidRPr="00A037EC" w:rsidRDefault="005D1EB4" w:rsidP="005D1EB4">
      <w:pPr>
        <w:pStyle w:val="ListParagraph"/>
        <w:numPr>
          <w:ilvl w:val="0"/>
          <w:numId w:val="6"/>
        </w:numPr>
        <w:tabs>
          <w:tab w:val="left" w:pos="360"/>
        </w:tabs>
        <w:spacing w:after="120"/>
        <w:ind w:left="360"/>
        <w:contextualSpacing w:val="0"/>
        <w:rPr>
          <w:rFonts w:ascii="Arial" w:hAnsi="Arial" w:cs="Arial"/>
          <w:sz w:val="22"/>
          <w:szCs w:val="22"/>
        </w:rPr>
      </w:pPr>
      <w:r w:rsidRPr="004A4212">
        <w:rPr>
          <w:rFonts w:ascii="Arial" w:hAnsi="Arial" w:cs="Arial"/>
          <w:b/>
          <w:bCs/>
          <w:sz w:val="22"/>
          <w:szCs w:val="22"/>
        </w:rPr>
        <w:t>Clinical consultation on complex cases</w:t>
      </w:r>
      <w:r w:rsidRPr="004A4212">
        <w:rPr>
          <w:rFonts w:ascii="Arial" w:hAnsi="Arial" w:cs="Arial"/>
          <w:sz w:val="22"/>
          <w:szCs w:val="22"/>
        </w:rPr>
        <w:t xml:space="preserve">, available through the DPH Division of STD Prevention Clinical Team or the </w:t>
      </w:r>
      <w:hyperlink r:id="rId20">
        <w:r w:rsidRPr="004A4212">
          <w:rPr>
            <w:rStyle w:val="Hyperlink"/>
            <w:rFonts w:ascii="Arial" w:hAnsi="Arial" w:cs="Arial"/>
            <w:sz w:val="22"/>
            <w:szCs w:val="22"/>
          </w:rPr>
          <w:t>STD Clinical Consultation Network</w:t>
        </w:r>
      </w:hyperlink>
      <w:r w:rsidRPr="004A4212">
        <w:rPr>
          <w:rFonts w:ascii="Arial" w:hAnsi="Arial" w:cs="Arial"/>
          <w:sz w:val="22"/>
          <w:szCs w:val="22"/>
        </w:rPr>
        <w:t xml:space="preserve">. CDC </w:t>
      </w:r>
      <w:r>
        <w:rPr>
          <w:rFonts w:ascii="Arial" w:hAnsi="Arial" w:cs="Arial"/>
          <w:sz w:val="22"/>
          <w:szCs w:val="22"/>
        </w:rPr>
        <w:t>gonorrhea</w:t>
      </w:r>
      <w:r w:rsidRPr="004A4212">
        <w:rPr>
          <w:rFonts w:ascii="Arial" w:hAnsi="Arial" w:cs="Arial"/>
          <w:sz w:val="22"/>
          <w:szCs w:val="22"/>
        </w:rPr>
        <w:t xml:space="preserve"> treatment and partner management guidelines are available </w:t>
      </w:r>
      <w:r>
        <w:rPr>
          <w:rFonts w:ascii="Arial" w:hAnsi="Arial" w:cs="Arial"/>
          <w:sz w:val="22"/>
          <w:szCs w:val="22"/>
        </w:rPr>
        <w:t xml:space="preserve">as an </w:t>
      </w:r>
      <w:hyperlink r:id="rId21">
        <w:r w:rsidRPr="004A4212">
          <w:rPr>
            <w:rStyle w:val="Hyperlink"/>
            <w:rFonts w:ascii="Arial" w:hAnsi="Arial" w:cs="Arial"/>
            <w:sz w:val="22"/>
            <w:szCs w:val="22"/>
          </w:rPr>
          <w:t>app for Apple and Android devices</w:t>
        </w:r>
      </w:hyperlink>
      <w:r w:rsidRPr="004A4212">
        <w:rPr>
          <w:rFonts w:ascii="Arial" w:hAnsi="Arial" w:cs="Arial"/>
          <w:sz w:val="22"/>
          <w:szCs w:val="22"/>
        </w:rPr>
        <w:t>.</w:t>
      </w:r>
    </w:p>
    <w:p w14:paraId="66B40D14" w14:textId="77777777" w:rsidR="005D1EB4" w:rsidRDefault="005D1EB4" w:rsidP="005D1EB4">
      <w:pPr>
        <w:pStyle w:val="ListParagraph"/>
        <w:numPr>
          <w:ilvl w:val="0"/>
          <w:numId w:val="4"/>
        </w:numPr>
        <w:ind w:left="360" w:right="-360"/>
        <w:textAlignment w:val="baseline"/>
        <w:rPr>
          <w:rFonts w:ascii="Arial" w:hAnsi="Arial" w:cs="Arial"/>
          <w:sz w:val="22"/>
          <w:szCs w:val="22"/>
        </w:rPr>
      </w:pPr>
      <w:r w:rsidRPr="002A3AFA">
        <w:rPr>
          <w:rFonts w:ascii="Arial" w:hAnsi="Arial" w:cs="Arial"/>
          <w:b/>
          <w:bCs/>
          <w:sz w:val="22"/>
          <w:szCs w:val="22"/>
        </w:rPr>
        <w:t>Partner services</w:t>
      </w:r>
      <w:r w:rsidRPr="002A3AFA">
        <w:rPr>
          <w:rFonts w:ascii="Arial" w:hAnsi="Arial" w:cs="Arial"/>
          <w:sz w:val="22"/>
          <w:szCs w:val="22"/>
        </w:rPr>
        <w:t xml:space="preserve"> – </w:t>
      </w:r>
      <w:r w:rsidRPr="004A4212">
        <w:rPr>
          <w:rFonts w:ascii="Arial" w:hAnsi="Arial" w:cs="Arial"/>
          <w:sz w:val="22"/>
          <w:szCs w:val="22"/>
        </w:rPr>
        <w:t>contact tracing, exposure notification, and prevention counseling</w:t>
      </w:r>
      <w:r>
        <w:rPr>
          <w:rFonts w:ascii="Arial" w:hAnsi="Arial" w:cs="Arial"/>
          <w:sz w:val="22"/>
          <w:szCs w:val="22"/>
        </w:rPr>
        <w:t xml:space="preserve"> --</w:t>
      </w:r>
      <w:r w:rsidRPr="004A4212">
        <w:rPr>
          <w:rFonts w:ascii="Arial" w:hAnsi="Arial" w:cs="Arial"/>
          <w:sz w:val="22"/>
          <w:szCs w:val="22"/>
        </w:rPr>
        <w:t xml:space="preserve"> are automatically performed for new HIV infection, infectious syphilis cases, and cases of ceftriaxone non-susceptible gonorrhea. </w:t>
      </w:r>
      <w:r w:rsidRPr="004A4212">
        <w:rPr>
          <w:rFonts w:ascii="Arial" w:hAnsi="Arial" w:cs="Arial"/>
          <w:bCs/>
          <w:sz w:val="22"/>
          <w:szCs w:val="22"/>
        </w:rPr>
        <w:t>Record searches</w:t>
      </w:r>
      <w:r w:rsidRPr="004A4212">
        <w:rPr>
          <w:rFonts w:ascii="Arial" w:hAnsi="Arial" w:cs="Arial"/>
          <w:sz w:val="22"/>
          <w:szCs w:val="22"/>
        </w:rPr>
        <w:t xml:space="preserve"> on prior syphilis test titers and treatment history documented in public health surveillance systems under U.S. jurisdiction are also available. </w:t>
      </w:r>
      <w:proofErr w:type="spellStart"/>
      <w:r w:rsidRPr="004A4212">
        <w:rPr>
          <w:rFonts w:ascii="Arial" w:hAnsi="Arial" w:cs="Arial"/>
          <w:sz w:val="22"/>
          <w:szCs w:val="22"/>
        </w:rPr>
        <w:t>Bicillin</w:t>
      </w:r>
      <w:proofErr w:type="spellEnd"/>
      <w:r w:rsidRPr="004A4212">
        <w:rPr>
          <w:rFonts w:ascii="Arial" w:hAnsi="Arial" w:cs="Arial"/>
          <w:sz w:val="22"/>
          <w:szCs w:val="22"/>
        </w:rPr>
        <w:t xml:space="preserve"> L-A® is also available, if you are unable to obtain the medication to treat patients with infectious syphilis or their contacts. </w:t>
      </w:r>
      <w:r w:rsidRPr="002A3AFA">
        <w:rPr>
          <w:rFonts w:ascii="Arial" w:hAnsi="Arial" w:cs="Arial"/>
          <w:sz w:val="22"/>
          <w:szCs w:val="22"/>
        </w:rPr>
        <w:t xml:space="preserve">For more information, please call the </w:t>
      </w:r>
      <w:hyperlink r:id="rId22" w:history="1">
        <w:r w:rsidRPr="006000FA">
          <w:rPr>
            <w:rStyle w:val="Hyperlink"/>
            <w:rFonts w:ascii="Arial" w:hAnsi="Arial" w:cs="Arial"/>
            <w:sz w:val="22"/>
            <w:szCs w:val="22"/>
          </w:rPr>
          <w:t>MDPH Reporting and Partner Services</w:t>
        </w:r>
      </w:hyperlink>
      <w:r w:rsidRPr="002A3AFA">
        <w:rPr>
          <w:rFonts w:ascii="Arial" w:hAnsi="Arial" w:cs="Arial"/>
          <w:sz w:val="22"/>
          <w:szCs w:val="22"/>
        </w:rPr>
        <w:t xml:space="preserve"> Line at 617-983-6999</w:t>
      </w:r>
      <w:r>
        <w:rPr>
          <w:rFonts w:ascii="Arial" w:hAnsi="Arial" w:cs="Arial"/>
          <w:sz w:val="22"/>
          <w:szCs w:val="22"/>
        </w:rPr>
        <w:t>.</w:t>
      </w:r>
      <w:r w:rsidRPr="002A3AFA">
        <w:rPr>
          <w:rFonts w:ascii="Arial" w:hAnsi="Arial" w:cs="Arial"/>
          <w:sz w:val="22"/>
          <w:szCs w:val="22"/>
        </w:rPr>
        <w:t xml:space="preserve"> </w:t>
      </w:r>
    </w:p>
    <w:p w14:paraId="246698ED" w14:textId="77777777" w:rsidR="005D1EB4" w:rsidRDefault="005D1EB4" w:rsidP="005D1EB4">
      <w:pPr>
        <w:ind w:right="-360"/>
        <w:textAlignment w:val="baseline"/>
        <w:rPr>
          <w:rFonts w:ascii="Arial" w:hAnsi="Arial" w:cs="Arial"/>
          <w:sz w:val="22"/>
          <w:szCs w:val="22"/>
        </w:rPr>
      </w:pPr>
    </w:p>
    <w:p w14:paraId="0F057BB7" w14:textId="77777777" w:rsidR="005D1EB4" w:rsidRDefault="005D1EB4" w:rsidP="005D1EB4">
      <w:pPr>
        <w:ind w:right="-360"/>
        <w:textAlignment w:val="baseline"/>
        <w:rPr>
          <w:rFonts w:ascii="Arial" w:hAnsi="Arial" w:cs="Arial"/>
          <w:sz w:val="22"/>
          <w:szCs w:val="22"/>
        </w:rPr>
      </w:pPr>
    </w:p>
    <w:p w14:paraId="6067D71F" w14:textId="77777777" w:rsidR="005D1EB4" w:rsidRPr="003C7AC6" w:rsidRDefault="005D1EB4" w:rsidP="005D1EB4">
      <w:pPr>
        <w:ind w:right="-360"/>
        <w:textAlignment w:val="baseline"/>
        <w:rPr>
          <w:rFonts w:ascii="Arial" w:hAnsi="Arial" w:cs="Arial"/>
          <w:sz w:val="22"/>
          <w:szCs w:val="22"/>
        </w:rPr>
      </w:pPr>
    </w:p>
    <w:p w14:paraId="0AB4B095" w14:textId="77777777" w:rsidR="005D1EB4" w:rsidRPr="002A3AFA" w:rsidRDefault="005D1EB4" w:rsidP="005D1EB4">
      <w:pPr>
        <w:ind w:left="-360" w:right="-360"/>
        <w:rPr>
          <w:rFonts w:ascii="Arial" w:hAnsi="Arial" w:cs="Arial"/>
          <w:sz w:val="22"/>
          <w:szCs w:val="22"/>
        </w:rPr>
      </w:pP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FFF7B" w14:textId="77777777" w:rsidR="0042309D" w:rsidRDefault="0042309D" w:rsidP="005D1EB4">
      <w:r>
        <w:separator/>
      </w:r>
    </w:p>
  </w:endnote>
  <w:endnote w:type="continuationSeparator" w:id="0">
    <w:p w14:paraId="4D8A19C9" w14:textId="77777777" w:rsidR="0042309D" w:rsidRDefault="0042309D" w:rsidP="005D1EB4">
      <w:r>
        <w:continuationSeparator/>
      </w:r>
    </w:p>
  </w:endnote>
  <w:endnote w:id="1">
    <w:p w14:paraId="50E70252" w14:textId="77777777" w:rsidR="005D1EB4" w:rsidRPr="001334DD" w:rsidRDefault="005D1EB4" w:rsidP="005D1EB4">
      <w:pPr>
        <w:pStyle w:val="EndnoteText"/>
        <w:ind w:left="-360"/>
        <w:rPr>
          <w:sz w:val="18"/>
          <w:szCs w:val="18"/>
        </w:rPr>
      </w:pPr>
      <w:r w:rsidRPr="001334DD">
        <w:rPr>
          <w:rStyle w:val="EndnoteReference"/>
          <w:sz w:val="18"/>
          <w:szCs w:val="18"/>
        </w:rPr>
        <w:endnoteRef/>
      </w:r>
      <w:r w:rsidRPr="001334DD">
        <w:rPr>
          <w:sz w:val="18"/>
          <w:szCs w:val="18"/>
        </w:rPr>
        <w:t xml:space="preserve"> Massachusetts: 105 CMR 300.00: Reportable diseases, surveillance, and isolation and quarantine requirements </w:t>
      </w:r>
      <w:hyperlink r:id="rId1" w:history="1">
        <w:r w:rsidRPr="001334DD">
          <w:rPr>
            <w:rStyle w:val="Hyperlink"/>
            <w:sz w:val="18"/>
            <w:szCs w:val="18"/>
          </w:rPr>
          <w:t>https://www.mass.gov/regulations/105-CMR-30000-reportable-diseases-surveillance-and-isolation-and-quarantine-requirements</w:t>
        </w:r>
      </w:hyperlink>
      <w:r w:rsidRPr="001334DD">
        <w:rPr>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1CB10" w14:textId="77777777" w:rsidR="0042309D" w:rsidRDefault="0042309D" w:rsidP="005D1EB4">
      <w:r>
        <w:separator/>
      </w:r>
    </w:p>
  </w:footnote>
  <w:footnote w:type="continuationSeparator" w:id="0">
    <w:p w14:paraId="12A366E1" w14:textId="77777777" w:rsidR="0042309D" w:rsidRDefault="0042309D" w:rsidP="005D1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95E"/>
    <w:multiLevelType w:val="hybridMultilevel"/>
    <w:tmpl w:val="BE4E4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C3483D"/>
    <w:multiLevelType w:val="hybridMultilevel"/>
    <w:tmpl w:val="0ACC9B3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D013ED6"/>
    <w:multiLevelType w:val="hybridMultilevel"/>
    <w:tmpl w:val="BC280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24E6A"/>
    <w:multiLevelType w:val="hybridMultilevel"/>
    <w:tmpl w:val="B3240C46"/>
    <w:lvl w:ilvl="0" w:tplc="04090001">
      <w:start w:val="1"/>
      <w:numFmt w:val="bullet"/>
      <w:lvlText w:val=""/>
      <w:lvlJc w:val="left"/>
      <w:pPr>
        <w:ind w:left="720" w:hanging="360"/>
      </w:pPr>
      <w:rPr>
        <w:rFonts w:ascii="Symbol" w:hAnsi="Symbol" w:hint="default"/>
      </w:rPr>
    </w:lvl>
    <w:lvl w:ilvl="1" w:tplc="863AF78E">
      <w:start w:val="1"/>
      <w:numFmt w:val="bullet"/>
      <w:lvlText w:val="o"/>
      <w:lvlJc w:val="left"/>
      <w:pPr>
        <w:ind w:left="1440" w:hanging="360"/>
      </w:pPr>
      <w:rPr>
        <w:rFonts w:ascii="Courier New" w:hAnsi="Courier New" w:hint="default"/>
      </w:rPr>
    </w:lvl>
    <w:lvl w:ilvl="2" w:tplc="9D183942">
      <w:start w:val="1"/>
      <w:numFmt w:val="bullet"/>
      <w:lvlText w:val=""/>
      <w:lvlJc w:val="left"/>
      <w:pPr>
        <w:ind w:left="2160" w:hanging="360"/>
      </w:pPr>
      <w:rPr>
        <w:rFonts w:ascii="Wingdings" w:hAnsi="Wingdings" w:hint="default"/>
      </w:rPr>
    </w:lvl>
    <w:lvl w:ilvl="3" w:tplc="F0046014">
      <w:start w:val="1"/>
      <w:numFmt w:val="bullet"/>
      <w:lvlText w:val=""/>
      <w:lvlJc w:val="left"/>
      <w:pPr>
        <w:ind w:left="2880" w:hanging="360"/>
      </w:pPr>
      <w:rPr>
        <w:rFonts w:ascii="Symbol" w:hAnsi="Symbol" w:hint="default"/>
      </w:rPr>
    </w:lvl>
    <w:lvl w:ilvl="4" w:tplc="76D065F0">
      <w:start w:val="1"/>
      <w:numFmt w:val="bullet"/>
      <w:lvlText w:val="o"/>
      <w:lvlJc w:val="left"/>
      <w:pPr>
        <w:ind w:left="3600" w:hanging="360"/>
      </w:pPr>
      <w:rPr>
        <w:rFonts w:ascii="Courier New" w:hAnsi="Courier New" w:hint="default"/>
      </w:rPr>
    </w:lvl>
    <w:lvl w:ilvl="5" w:tplc="1118310E">
      <w:start w:val="1"/>
      <w:numFmt w:val="bullet"/>
      <w:lvlText w:val=""/>
      <w:lvlJc w:val="left"/>
      <w:pPr>
        <w:ind w:left="4320" w:hanging="360"/>
      </w:pPr>
      <w:rPr>
        <w:rFonts w:ascii="Wingdings" w:hAnsi="Wingdings" w:hint="default"/>
      </w:rPr>
    </w:lvl>
    <w:lvl w:ilvl="6" w:tplc="30BAC664">
      <w:start w:val="1"/>
      <w:numFmt w:val="bullet"/>
      <w:lvlText w:val=""/>
      <w:lvlJc w:val="left"/>
      <w:pPr>
        <w:ind w:left="5040" w:hanging="360"/>
      </w:pPr>
      <w:rPr>
        <w:rFonts w:ascii="Symbol" w:hAnsi="Symbol" w:hint="default"/>
      </w:rPr>
    </w:lvl>
    <w:lvl w:ilvl="7" w:tplc="817E2772">
      <w:start w:val="1"/>
      <w:numFmt w:val="bullet"/>
      <w:lvlText w:val="o"/>
      <w:lvlJc w:val="left"/>
      <w:pPr>
        <w:ind w:left="5760" w:hanging="360"/>
      </w:pPr>
      <w:rPr>
        <w:rFonts w:ascii="Courier New" w:hAnsi="Courier New" w:hint="default"/>
      </w:rPr>
    </w:lvl>
    <w:lvl w:ilvl="8" w:tplc="86945F42">
      <w:start w:val="1"/>
      <w:numFmt w:val="bullet"/>
      <w:lvlText w:val=""/>
      <w:lvlJc w:val="left"/>
      <w:pPr>
        <w:ind w:left="6480" w:hanging="360"/>
      </w:pPr>
      <w:rPr>
        <w:rFonts w:ascii="Wingdings" w:hAnsi="Wingdings" w:hint="default"/>
      </w:rPr>
    </w:lvl>
  </w:abstractNum>
  <w:abstractNum w:abstractNumId="4" w15:restartNumberingAfterBreak="0">
    <w:nsid w:val="410557FF"/>
    <w:multiLevelType w:val="hybridMultilevel"/>
    <w:tmpl w:val="9390752A"/>
    <w:lvl w:ilvl="0" w:tplc="2C44B652">
      <w:start w:val="1"/>
      <w:numFmt w:val="bullet"/>
      <w:lvlText w:val="·"/>
      <w:lvlJc w:val="left"/>
      <w:pPr>
        <w:ind w:left="720" w:hanging="360"/>
      </w:pPr>
      <w:rPr>
        <w:rFonts w:ascii="Symbol" w:hAnsi="Symbol" w:hint="default"/>
      </w:rPr>
    </w:lvl>
    <w:lvl w:ilvl="1" w:tplc="07022950">
      <w:start w:val="1"/>
      <w:numFmt w:val="bullet"/>
      <w:lvlText w:val="o"/>
      <w:lvlJc w:val="left"/>
      <w:pPr>
        <w:ind w:left="1440" w:hanging="360"/>
      </w:pPr>
      <w:rPr>
        <w:rFonts w:ascii="Courier New" w:hAnsi="Courier New" w:hint="default"/>
      </w:rPr>
    </w:lvl>
    <w:lvl w:ilvl="2" w:tplc="33360AA4">
      <w:start w:val="1"/>
      <w:numFmt w:val="bullet"/>
      <w:lvlText w:val=""/>
      <w:lvlJc w:val="left"/>
      <w:pPr>
        <w:ind w:left="2160" w:hanging="360"/>
      </w:pPr>
      <w:rPr>
        <w:rFonts w:ascii="Wingdings" w:hAnsi="Wingdings" w:hint="default"/>
      </w:rPr>
    </w:lvl>
    <w:lvl w:ilvl="3" w:tplc="88C2E198">
      <w:start w:val="1"/>
      <w:numFmt w:val="bullet"/>
      <w:lvlText w:val=""/>
      <w:lvlJc w:val="left"/>
      <w:pPr>
        <w:ind w:left="2880" w:hanging="360"/>
      </w:pPr>
      <w:rPr>
        <w:rFonts w:ascii="Symbol" w:hAnsi="Symbol" w:hint="default"/>
      </w:rPr>
    </w:lvl>
    <w:lvl w:ilvl="4" w:tplc="2BE8B910">
      <w:start w:val="1"/>
      <w:numFmt w:val="bullet"/>
      <w:lvlText w:val="o"/>
      <w:lvlJc w:val="left"/>
      <w:pPr>
        <w:ind w:left="3600" w:hanging="360"/>
      </w:pPr>
      <w:rPr>
        <w:rFonts w:ascii="Courier New" w:hAnsi="Courier New" w:hint="default"/>
      </w:rPr>
    </w:lvl>
    <w:lvl w:ilvl="5" w:tplc="463AA6B4">
      <w:start w:val="1"/>
      <w:numFmt w:val="bullet"/>
      <w:lvlText w:val=""/>
      <w:lvlJc w:val="left"/>
      <w:pPr>
        <w:ind w:left="4320" w:hanging="360"/>
      </w:pPr>
      <w:rPr>
        <w:rFonts w:ascii="Wingdings" w:hAnsi="Wingdings" w:hint="default"/>
      </w:rPr>
    </w:lvl>
    <w:lvl w:ilvl="6" w:tplc="BF500130">
      <w:start w:val="1"/>
      <w:numFmt w:val="bullet"/>
      <w:lvlText w:val=""/>
      <w:lvlJc w:val="left"/>
      <w:pPr>
        <w:ind w:left="5040" w:hanging="360"/>
      </w:pPr>
      <w:rPr>
        <w:rFonts w:ascii="Symbol" w:hAnsi="Symbol" w:hint="default"/>
      </w:rPr>
    </w:lvl>
    <w:lvl w:ilvl="7" w:tplc="C9E2929E">
      <w:start w:val="1"/>
      <w:numFmt w:val="bullet"/>
      <w:lvlText w:val="o"/>
      <w:lvlJc w:val="left"/>
      <w:pPr>
        <w:ind w:left="5760" w:hanging="360"/>
      </w:pPr>
      <w:rPr>
        <w:rFonts w:ascii="Courier New" w:hAnsi="Courier New" w:hint="default"/>
      </w:rPr>
    </w:lvl>
    <w:lvl w:ilvl="8" w:tplc="5AE0B350">
      <w:start w:val="1"/>
      <w:numFmt w:val="bullet"/>
      <w:lvlText w:val=""/>
      <w:lvlJc w:val="left"/>
      <w:pPr>
        <w:ind w:left="6480" w:hanging="360"/>
      </w:pPr>
      <w:rPr>
        <w:rFonts w:ascii="Wingdings" w:hAnsi="Wingdings" w:hint="default"/>
      </w:rPr>
    </w:lvl>
  </w:abstractNum>
  <w:abstractNum w:abstractNumId="5" w15:restartNumberingAfterBreak="0">
    <w:nsid w:val="478B8DB3"/>
    <w:multiLevelType w:val="hybridMultilevel"/>
    <w:tmpl w:val="46EE82C0"/>
    <w:lvl w:ilvl="0" w:tplc="A0BA6A36">
      <w:start w:val="1"/>
      <w:numFmt w:val="bullet"/>
      <w:lvlText w:val="·"/>
      <w:lvlJc w:val="left"/>
      <w:pPr>
        <w:ind w:left="720" w:hanging="360"/>
      </w:pPr>
      <w:rPr>
        <w:rFonts w:ascii="Symbol" w:hAnsi="Symbol" w:hint="default"/>
      </w:rPr>
    </w:lvl>
    <w:lvl w:ilvl="1" w:tplc="216C7BC2">
      <w:start w:val="1"/>
      <w:numFmt w:val="bullet"/>
      <w:lvlText w:val="o"/>
      <w:lvlJc w:val="left"/>
      <w:pPr>
        <w:ind w:left="1440" w:hanging="360"/>
      </w:pPr>
      <w:rPr>
        <w:rFonts w:ascii="Courier New" w:hAnsi="Courier New" w:hint="default"/>
      </w:rPr>
    </w:lvl>
    <w:lvl w:ilvl="2" w:tplc="2438EF40">
      <w:start w:val="1"/>
      <w:numFmt w:val="bullet"/>
      <w:lvlText w:val=""/>
      <w:lvlJc w:val="left"/>
      <w:pPr>
        <w:ind w:left="2160" w:hanging="360"/>
      </w:pPr>
      <w:rPr>
        <w:rFonts w:ascii="Wingdings" w:hAnsi="Wingdings" w:hint="default"/>
      </w:rPr>
    </w:lvl>
    <w:lvl w:ilvl="3" w:tplc="18A0F3D0">
      <w:start w:val="1"/>
      <w:numFmt w:val="bullet"/>
      <w:lvlText w:val=""/>
      <w:lvlJc w:val="left"/>
      <w:pPr>
        <w:ind w:left="2880" w:hanging="360"/>
      </w:pPr>
      <w:rPr>
        <w:rFonts w:ascii="Symbol" w:hAnsi="Symbol" w:hint="default"/>
      </w:rPr>
    </w:lvl>
    <w:lvl w:ilvl="4" w:tplc="013CDB42">
      <w:start w:val="1"/>
      <w:numFmt w:val="bullet"/>
      <w:lvlText w:val="o"/>
      <w:lvlJc w:val="left"/>
      <w:pPr>
        <w:ind w:left="3600" w:hanging="360"/>
      </w:pPr>
      <w:rPr>
        <w:rFonts w:ascii="Courier New" w:hAnsi="Courier New" w:hint="default"/>
      </w:rPr>
    </w:lvl>
    <w:lvl w:ilvl="5" w:tplc="F2788A0A">
      <w:start w:val="1"/>
      <w:numFmt w:val="bullet"/>
      <w:lvlText w:val=""/>
      <w:lvlJc w:val="left"/>
      <w:pPr>
        <w:ind w:left="4320" w:hanging="360"/>
      </w:pPr>
      <w:rPr>
        <w:rFonts w:ascii="Wingdings" w:hAnsi="Wingdings" w:hint="default"/>
      </w:rPr>
    </w:lvl>
    <w:lvl w:ilvl="6" w:tplc="3B848C8E">
      <w:start w:val="1"/>
      <w:numFmt w:val="bullet"/>
      <w:lvlText w:val=""/>
      <w:lvlJc w:val="left"/>
      <w:pPr>
        <w:ind w:left="5040" w:hanging="360"/>
      </w:pPr>
      <w:rPr>
        <w:rFonts w:ascii="Symbol" w:hAnsi="Symbol" w:hint="default"/>
      </w:rPr>
    </w:lvl>
    <w:lvl w:ilvl="7" w:tplc="A5CAAAD4">
      <w:start w:val="1"/>
      <w:numFmt w:val="bullet"/>
      <w:lvlText w:val="o"/>
      <w:lvlJc w:val="left"/>
      <w:pPr>
        <w:ind w:left="5760" w:hanging="360"/>
      </w:pPr>
      <w:rPr>
        <w:rFonts w:ascii="Courier New" w:hAnsi="Courier New" w:hint="default"/>
      </w:rPr>
    </w:lvl>
    <w:lvl w:ilvl="8" w:tplc="3342BECE">
      <w:start w:val="1"/>
      <w:numFmt w:val="bullet"/>
      <w:lvlText w:val=""/>
      <w:lvlJc w:val="left"/>
      <w:pPr>
        <w:ind w:left="6480" w:hanging="360"/>
      </w:pPr>
      <w:rPr>
        <w:rFonts w:ascii="Wingdings" w:hAnsi="Wingdings" w:hint="default"/>
      </w:rPr>
    </w:lvl>
  </w:abstractNum>
  <w:abstractNum w:abstractNumId="6" w15:restartNumberingAfterBreak="0">
    <w:nsid w:val="47A378C8"/>
    <w:multiLevelType w:val="hybridMultilevel"/>
    <w:tmpl w:val="CF9E5F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7518225">
    <w:abstractNumId w:val="5"/>
  </w:num>
  <w:num w:numId="2" w16cid:durableId="1765882921">
    <w:abstractNumId w:val="3"/>
  </w:num>
  <w:num w:numId="3" w16cid:durableId="2101562680">
    <w:abstractNumId w:val="4"/>
  </w:num>
  <w:num w:numId="4" w16cid:durableId="938638980">
    <w:abstractNumId w:val="2"/>
  </w:num>
  <w:num w:numId="5" w16cid:durableId="806238922">
    <w:abstractNumId w:val="0"/>
  </w:num>
  <w:num w:numId="6" w16cid:durableId="883324919">
    <w:abstractNumId w:val="1"/>
  </w:num>
  <w:num w:numId="7" w16cid:durableId="18849786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C2E20"/>
    <w:rsid w:val="000F315B"/>
    <w:rsid w:val="001125C0"/>
    <w:rsid w:val="0015268B"/>
    <w:rsid w:val="0015709E"/>
    <w:rsid w:val="0017749A"/>
    <w:rsid w:val="00177C77"/>
    <w:rsid w:val="001A7E66"/>
    <w:rsid w:val="001B6693"/>
    <w:rsid w:val="001C11ED"/>
    <w:rsid w:val="001D799F"/>
    <w:rsid w:val="0021698C"/>
    <w:rsid w:val="00237280"/>
    <w:rsid w:val="00260D54"/>
    <w:rsid w:val="00276957"/>
    <w:rsid w:val="00276DCC"/>
    <w:rsid w:val="002A132F"/>
    <w:rsid w:val="002B5A45"/>
    <w:rsid w:val="002D1C21"/>
    <w:rsid w:val="00301022"/>
    <w:rsid w:val="00357A68"/>
    <w:rsid w:val="00375EAD"/>
    <w:rsid w:val="00382F51"/>
    <w:rsid w:val="00385812"/>
    <w:rsid w:val="00392D0B"/>
    <w:rsid w:val="003A7AFC"/>
    <w:rsid w:val="003C60EF"/>
    <w:rsid w:val="0042309D"/>
    <w:rsid w:val="004813AC"/>
    <w:rsid w:val="004A79A3"/>
    <w:rsid w:val="004B37A0"/>
    <w:rsid w:val="004B5CFB"/>
    <w:rsid w:val="004D6B39"/>
    <w:rsid w:val="004E0C3F"/>
    <w:rsid w:val="00511DB0"/>
    <w:rsid w:val="00512956"/>
    <w:rsid w:val="00530145"/>
    <w:rsid w:val="005448AA"/>
    <w:rsid w:val="00572A6E"/>
    <w:rsid w:val="005D1EB4"/>
    <w:rsid w:val="00631B96"/>
    <w:rsid w:val="006D06D9"/>
    <w:rsid w:val="006D77A6"/>
    <w:rsid w:val="00702109"/>
    <w:rsid w:val="0071333F"/>
    <w:rsid w:val="007210FB"/>
    <w:rsid w:val="0072610D"/>
    <w:rsid w:val="007359C3"/>
    <w:rsid w:val="00757006"/>
    <w:rsid w:val="00771FEB"/>
    <w:rsid w:val="007B3F4B"/>
    <w:rsid w:val="007B7347"/>
    <w:rsid w:val="007D10F3"/>
    <w:rsid w:val="007D1D51"/>
    <w:rsid w:val="007E06B4"/>
    <w:rsid w:val="007F3CDB"/>
    <w:rsid w:val="00802852"/>
    <w:rsid w:val="00844B07"/>
    <w:rsid w:val="00850407"/>
    <w:rsid w:val="0088305B"/>
    <w:rsid w:val="00951305"/>
    <w:rsid w:val="009730E5"/>
    <w:rsid w:val="009908FF"/>
    <w:rsid w:val="00995505"/>
    <w:rsid w:val="009C4428"/>
    <w:rsid w:val="009D48CD"/>
    <w:rsid w:val="00A5547C"/>
    <w:rsid w:val="00A65101"/>
    <w:rsid w:val="00B403BF"/>
    <w:rsid w:val="00B608D9"/>
    <w:rsid w:val="00BA15C5"/>
    <w:rsid w:val="00BA4055"/>
    <w:rsid w:val="00BA7FB6"/>
    <w:rsid w:val="00C077CB"/>
    <w:rsid w:val="00C20BFE"/>
    <w:rsid w:val="00C46D29"/>
    <w:rsid w:val="00CC1778"/>
    <w:rsid w:val="00CD2041"/>
    <w:rsid w:val="00CE575B"/>
    <w:rsid w:val="00CF3DE8"/>
    <w:rsid w:val="00D0493F"/>
    <w:rsid w:val="00D10DDE"/>
    <w:rsid w:val="00D17C27"/>
    <w:rsid w:val="00D544FA"/>
    <w:rsid w:val="00D56F91"/>
    <w:rsid w:val="00D709C2"/>
    <w:rsid w:val="00D76119"/>
    <w:rsid w:val="00D8671C"/>
    <w:rsid w:val="00D91390"/>
    <w:rsid w:val="00DA57C3"/>
    <w:rsid w:val="00DC3855"/>
    <w:rsid w:val="00E242A8"/>
    <w:rsid w:val="00E274B8"/>
    <w:rsid w:val="00E72707"/>
    <w:rsid w:val="00E814A1"/>
    <w:rsid w:val="00EF0780"/>
    <w:rsid w:val="00F0586E"/>
    <w:rsid w:val="00F4302A"/>
    <w:rsid w:val="00F43932"/>
    <w:rsid w:val="00F60F7B"/>
    <w:rsid w:val="00FA575E"/>
    <w:rsid w:val="00FC6B42"/>
    <w:rsid w:val="00FF1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character" w:styleId="UnresolvedMention">
    <w:name w:val="Unresolved Mention"/>
    <w:basedOn w:val="DefaultParagraphFont"/>
    <w:uiPriority w:val="99"/>
    <w:semiHidden/>
    <w:unhideWhenUsed/>
    <w:rsid w:val="00D544FA"/>
    <w:rPr>
      <w:color w:val="605E5C"/>
      <w:shd w:val="clear" w:color="auto" w:fill="E1DFDD"/>
    </w:rPr>
  </w:style>
  <w:style w:type="character" w:styleId="Strong">
    <w:name w:val="Strong"/>
    <w:qFormat/>
    <w:rsid w:val="00C077CB"/>
    <w:rPr>
      <w:b/>
      <w:bCs/>
    </w:rPr>
  </w:style>
  <w:style w:type="paragraph" w:styleId="ListParagraph">
    <w:name w:val="List Paragraph"/>
    <w:basedOn w:val="Normal"/>
    <w:uiPriority w:val="34"/>
    <w:qFormat/>
    <w:rsid w:val="005D1EB4"/>
    <w:pPr>
      <w:ind w:left="720"/>
      <w:contextualSpacing/>
    </w:pPr>
  </w:style>
  <w:style w:type="paragraph" w:styleId="EndnoteText">
    <w:name w:val="endnote text"/>
    <w:basedOn w:val="Normal"/>
    <w:link w:val="EndnoteTextChar"/>
    <w:uiPriority w:val="99"/>
    <w:unhideWhenUsed/>
    <w:rsid w:val="005D1EB4"/>
    <w:rPr>
      <w:sz w:val="20"/>
    </w:rPr>
  </w:style>
  <w:style w:type="character" w:customStyle="1" w:styleId="EndnoteTextChar">
    <w:name w:val="Endnote Text Char"/>
    <w:basedOn w:val="DefaultParagraphFont"/>
    <w:link w:val="EndnoteText"/>
    <w:uiPriority w:val="99"/>
    <w:rsid w:val="005D1EB4"/>
  </w:style>
  <w:style w:type="character" w:styleId="EndnoteReference">
    <w:name w:val="endnote reference"/>
    <w:uiPriority w:val="99"/>
    <w:unhideWhenUsed/>
    <w:rsid w:val="005D1E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info-details/mdph-recommended-steps-for-collecting-gonorrhea-culture" TargetMode="External"/><Relationship Id="rId18" Type="http://schemas.openxmlformats.org/officeDocument/2006/relationships/hyperlink" Target="https://www.mass.gov/info-details/introduction-to-esp-reporting-for-infectious-diseases" TargetMode="External"/><Relationship Id="rId3" Type="http://schemas.openxmlformats.org/officeDocument/2006/relationships/customXml" Target="../customXml/item3.xml"/><Relationship Id="rId21" Type="http://schemas.openxmlformats.org/officeDocument/2006/relationships/hyperlink" Target="https://www.cdc.gov/std/treatment-guidelines/provider-resources.htm" TargetMode="External"/><Relationship Id="rId7" Type="http://schemas.openxmlformats.org/officeDocument/2006/relationships/webSettings" Target="webSettings.xml"/><Relationship Id="rId12" Type="http://schemas.openxmlformats.org/officeDocument/2006/relationships/hyperlink" Target="http://www.mass.gov/dph/cdc/std" TargetMode="External"/><Relationship Id="rId17" Type="http://schemas.openxmlformats.org/officeDocument/2006/relationships/hyperlink" Target="https://infectious-disease-reporting.dph.mass.gov/process-definition/gonorrhea-brf/start-form" TargetMode="External"/><Relationship Id="rId2" Type="http://schemas.openxmlformats.org/officeDocument/2006/relationships/customXml" Target="../customXml/item2.xml"/><Relationship Id="rId16" Type="http://schemas.openxmlformats.org/officeDocument/2006/relationships/hyperlink" Target="https://www.mass.gov/info-details/mdph-recommended-steps-for-collecting-gonorrhea-culture" TargetMode="External"/><Relationship Id="rId20" Type="http://schemas.openxmlformats.org/officeDocument/2006/relationships/hyperlink" Target="https://www.stdccn.org/render/Publi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dph/cdc/std"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mass.gov/doc/results-of-neisseria-gonorrhoeae-antibiotic-susceptibility-testing-in-massachusetts-january-19-2023-december-31-2024/download"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mass.gov/sexually-transmitted-diseases-st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doc/clinical-alert-on-non-susceptible-gonorrhea-january-19-2023/download" TargetMode="External"/><Relationship Id="rId22" Type="http://schemas.openxmlformats.org/officeDocument/2006/relationships/hyperlink" Target="https://www.mass.gov/info-details/partner-services-program-information-for-healthcare-providers"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www.mass.gov/regulations/105-CMR-30000-reportable-diseases-surveillance-and-isolation-and-quarantine-require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2</TotalTime>
  <Pages>3</Pages>
  <Words>1593</Words>
  <Characters>9082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CASES OF CEFTRIAXONE-NON-SUSCEPTIBLE GONORRHEA</dc:title>
  <dc:subject/>
  <dc:creator>MDPH</dc:creator>
  <cp:keywords>CTGC</cp:keywords>
  <cp:lastModifiedBy>Yeaple, Jennifer (DPH)</cp:lastModifiedBy>
  <cp:revision>2</cp:revision>
  <cp:lastPrinted>2015-01-29T14:50:00Z</cp:lastPrinted>
  <dcterms:created xsi:type="dcterms:W3CDTF">2025-10-03T17:40:00Z</dcterms:created>
  <dcterms:modified xsi:type="dcterms:W3CDTF">2025-10-03T17:40:00Z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