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53429C">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53429C">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53429C"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9A5B2D" w:rsidRDefault="007802E3" w:rsidP="004B6AAF">
      <w:pPr>
        <w:rPr>
          <w:rFonts w:ascii="Bookman Old Style" w:hAnsi="Bookman Old Style"/>
          <w:b/>
          <w:color w:val="303BA2"/>
          <w:sz w:val="14"/>
          <w:szCs w:val="16"/>
        </w:rPr>
      </w:pPr>
    </w:p>
    <w:p w:rsidR="00FC1F58" w:rsidRPr="009A5B2D" w:rsidRDefault="00FC1F58" w:rsidP="00FC1F58">
      <w:pPr>
        <w:ind w:left="-110" w:hanging="220"/>
        <w:rPr>
          <w:rFonts w:ascii="Bookman" w:hAnsi="Bookman"/>
          <w:b/>
          <w:color w:val="333399"/>
          <w:sz w:val="14"/>
          <w:szCs w:val="16"/>
        </w:rPr>
      </w:pPr>
    </w:p>
    <w:p w:rsidR="00AE0DA5" w:rsidRPr="009A5B2D" w:rsidRDefault="00AE0DA5" w:rsidP="00962923">
      <w:pPr>
        <w:tabs>
          <w:tab w:val="left" w:pos="1440"/>
          <w:tab w:val="center" w:pos="4925"/>
        </w:tabs>
        <w:rPr>
          <w:rFonts w:ascii="Times New Roman" w:hAnsi="Times New Roman" w:cs="Times New Roman"/>
          <w:szCs w:val="24"/>
        </w:rPr>
      </w:pPr>
    </w:p>
    <w:p w:rsidR="00574DC9" w:rsidRPr="00C601C2" w:rsidRDefault="00574DC9" w:rsidP="00574DC9">
      <w:pPr>
        <w:spacing w:before="120" w:after="120"/>
        <w:jc w:val="center"/>
        <w:rPr>
          <w:rFonts w:ascii="Times New Roman" w:hAnsi="Times New Roman" w:cs="Times New Roman"/>
          <w:b/>
          <w:sz w:val="24"/>
        </w:rPr>
      </w:pPr>
      <w:r w:rsidRPr="00C601C2">
        <w:rPr>
          <w:rFonts w:ascii="Times New Roman" w:hAnsi="Times New Roman" w:cs="Times New Roman"/>
          <w:b/>
          <w:sz w:val="24"/>
        </w:rPr>
        <w:t xml:space="preserve">Administrative Bulletin </w:t>
      </w:r>
      <w:r w:rsidR="009A5B2D" w:rsidRPr="00C601C2">
        <w:rPr>
          <w:rFonts w:ascii="Times New Roman" w:hAnsi="Times New Roman" w:cs="Times New Roman"/>
          <w:b/>
          <w:sz w:val="24"/>
        </w:rPr>
        <w:t>17-19</w:t>
      </w:r>
    </w:p>
    <w:p w:rsidR="00574DC9" w:rsidRPr="00C601C2" w:rsidRDefault="000D3CCD" w:rsidP="00574DC9">
      <w:pPr>
        <w:jc w:val="center"/>
        <w:rPr>
          <w:rFonts w:ascii="Times New Roman" w:hAnsi="Times New Roman" w:cs="Times New Roman"/>
          <w:b/>
          <w:sz w:val="24"/>
        </w:rPr>
      </w:pPr>
      <w:r w:rsidRPr="00C601C2">
        <w:rPr>
          <w:rFonts w:ascii="Times New Roman" w:eastAsia="Calibri" w:hAnsi="Times New Roman" w:cs="Times New Roman"/>
          <w:b/>
          <w:sz w:val="24"/>
          <w:szCs w:val="22"/>
        </w:rPr>
        <w:t>101 CMR 343.00:  Hospice Services</w:t>
      </w:r>
    </w:p>
    <w:p w:rsidR="00574DC9" w:rsidRDefault="00574DC9" w:rsidP="00574DC9">
      <w:pPr>
        <w:jc w:val="center"/>
        <w:rPr>
          <w:rFonts w:ascii="Times New Roman" w:hAnsi="Times New Roman" w:cs="Times New Roman"/>
          <w:b/>
        </w:rPr>
      </w:pPr>
    </w:p>
    <w:p w:rsidR="00574DC9" w:rsidRPr="00C601C2" w:rsidRDefault="000D3CCD" w:rsidP="00574DC9">
      <w:pPr>
        <w:jc w:val="center"/>
        <w:rPr>
          <w:rFonts w:ascii="Times New Roman" w:hAnsi="Times New Roman" w:cs="Times New Roman"/>
          <w:sz w:val="24"/>
        </w:rPr>
      </w:pPr>
      <w:r w:rsidRPr="00C601C2">
        <w:rPr>
          <w:rFonts w:ascii="Times New Roman" w:hAnsi="Times New Roman" w:cs="Times New Roman"/>
          <w:sz w:val="24"/>
        </w:rPr>
        <w:t>Effective October 1, 2017</w:t>
      </w:r>
    </w:p>
    <w:p w:rsidR="00574DC9" w:rsidRPr="009F51EA" w:rsidRDefault="00574DC9" w:rsidP="00574DC9">
      <w:pPr>
        <w:jc w:val="center"/>
        <w:rPr>
          <w:rFonts w:ascii="Times New Roman" w:hAnsi="Times New Roman" w:cs="Times New Roman"/>
          <w:b/>
        </w:rPr>
      </w:pPr>
    </w:p>
    <w:p w:rsidR="00574DC9" w:rsidRPr="00C601C2" w:rsidRDefault="000D3CCD" w:rsidP="00574DC9">
      <w:pPr>
        <w:jc w:val="center"/>
        <w:rPr>
          <w:rFonts w:ascii="Times New Roman" w:hAnsi="Times New Roman" w:cs="Times New Roman"/>
          <w:b/>
          <w:sz w:val="24"/>
        </w:rPr>
      </w:pPr>
      <w:r w:rsidRPr="00C601C2">
        <w:rPr>
          <w:rFonts w:ascii="Times New Roman" w:hAnsi="Times New Roman" w:cs="Times New Roman"/>
          <w:b/>
          <w:sz w:val="24"/>
          <w:szCs w:val="22"/>
        </w:rPr>
        <w:t>Updates to the Hospice Rates</w:t>
      </w:r>
    </w:p>
    <w:p w:rsidR="00574DC9" w:rsidRPr="009A5B2D" w:rsidRDefault="00574DC9" w:rsidP="00574DC9">
      <w:pPr>
        <w:jc w:val="center"/>
        <w:rPr>
          <w:rFonts w:ascii="Times New Roman" w:hAnsi="Times New Roman" w:cs="Times New Roman"/>
          <w:sz w:val="18"/>
        </w:rPr>
      </w:pPr>
    </w:p>
    <w:p w:rsidR="00574DC9" w:rsidRPr="009A5B2D" w:rsidRDefault="00574DC9" w:rsidP="00574DC9">
      <w:pPr>
        <w:rPr>
          <w:rFonts w:ascii="Times New Roman" w:hAnsi="Times New Roman" w:cs="Times New Roman"/>
          <w:sz w:val="18"/>
        </w:rPr>
      </w:pPr>
    </w:p>
    <w:p w:rsidR="009A5B2D" w:rsidRPr="009A5B2D" w:rsidRDefault="009A5B2D" w:rsidP="009A5B2D">
      <w:pPr>
        <w:autoSpaceDE w:val="0"/>
        <w:autoSpaceDN w:val="0"/>
        <w:adjustRightInd w:val="0"/>
        <w:rPr>
          <w:rFonts w:ascii="Times New Roman" w:hAnsi="Times New Roman" w:cs="Times New Roman"/>
          <w:color w:val="000000"/>
          <w:sz w:val="20"/>
          <w:szCs w:val="24"/>
        </w:rPr>
      </w:pPr>
    </w:p>
    <w:p w:rsidR="009A5B2D" w:rsidRPr="009A5B2D" w:rsidRDefault="009A5B2D" w:rsidP="009A5B2D">
      <w:pPr>
        <w:autoSpaceDE w:val="0"/>
        <w:autoSpaceDN w:val="0"/>
        <w:adjustRightInd w:val="0"/>
        <w:rPr>
          <w:rFonts w:ascii="Times New Roman" w:hAnsi="Times New Roman" w:cs="Times New Roman"/>
          <w:color w:val="000000"/>
          <w:sz w:val="24"/>
          <w:szCs w:val="24"/>
        </w:rPr>
      </w:pPr>
      <w:r w:rsidRPr="009A5B2D">
        <w:rPr>
          <w:rFonts w:ascii="Times New Roman" w:hAnsi="Times New Roman" w:cs="Times New Roman"/>
          <w:color w:val="000000"/>
          <w:sz w:val="24"/>
          <w:szCs w:val="24"/>
        </w:rPr>
        <w:t>Pursuant to 101 CMR 343.00, the Executive Office of Health and Human Services (EOHHS) has updated the hospice per diem and per hour rates for MassHealth hospice providers to coincide with the Medicaid hospice rates established by the Centers for Medicare &amp; Medicaid Services (CMS). In accordance with 101 CMR 343.01(</w:t>
      </w:r>
      <w:r w:rsidR="000D3CCD">
        <w:rPr>
          <w:rFonts w:ascii="Times New Roman" w:hAnsi="Times New Roman" w:cs="Times New Roman"/>
          <w:color w:val="000000"/>
          <w:sz w:val="24"/>
          <w:szCs w:val="24"/>
        </w:rPr>
        <w:t>4</w:t>
      </w:r>
      <w:r w:rsidRPr="009A5B2D">
        <w:rPr>
          <w:rFonts w:ascii="Times New Roman" w:hAnsi="Times New Roman" w:cs="Times New Roman"/>
          <w:color w:val="000000"/>
          <w:sz w:val="24"/>
          <w:szCs w:val="24"/>
        </w:rPr>
        <w:t>) and 343.04(3)</w:t>
      </w:r>
      <w:r w:rsidR="000D3CCD">
        <w:rPr>
          <w:rFonts w:ascii="Times New Roman" w:hAnsi="Times New Roman" w:cs="Times New Roman"/>
          <w:color w:val="000000"/>
          <w:sz w:val="24"/>
          <w:szCs w:val="24"/>
        </w:rPr>
        <w:t>(b)</w:t>
      </w:r>
      <w:r w:rsidRPr="009A5B2D">
        <w:rPr>
          <w:rFonts w:ascii="Times New Roman" w:hAnsi="Times New Roman" w:cs="Times New Roman"/>
          <w:color w:val="000000"/>
          <w:sz w:val="24"/>
          <w:szCs w:val="24"/>
        </w:rPr>
        <w:t xml:space="preserve">, this </w:t>
      </w:r>
      <w:r w:rsidR="00C93BD7">
        <w:rPr>
          <w:rFonts w:ascii="Times New Roman" w:hAnsi="Times New Roman" w:cs="Times New Roman"/>
          <w:color w:val="000000"/>
          <w:sz w:val="24"/>
          <w:szCs w:val="24"/>
        </w:rPr>
        <w:t>a</w:t>
      </w:r>
      <w:r w:rsidRPr="009A5B2D">
        <w:rPr>
          <w:rFonts w:ascii="Times New Roman" w:hAnsi="Times New Roman" w:cs="Times New Roman"/>
          <w:color w:val="000000"/>
          <w:sz w:val="24"/>
          <w:szCs w:val="24"/>
        </w:rPr>
        <w:t xml:space="preserve">dministrative </w:t>
      </w:r>
      <w:r w:rsidR="00C93BD7">
        <w:rPr>
          <w:rFonts w:ascii="Times New Roman" w:hAnsi="Times New Roman" w:cs="Times New Roman"/>
          <w:color w:val="000000"/>
          <w:sz w:val="24"/>
          <w:szCs w:val="24"/>
        </w:rPr>
        <w:t>b</w:t>
      </w:r>
      <w:r w:rsidRPr="009A5B2D">
        <w:rPr>
          <w:rFonts w:ascii="Times New Roman" w:hAnsi="Times New Roman" w:cs="Times New Roman"/>
          <w:color w:val="000000"/>
          <w:sz w:val="24"/>
          <w:szCs w:val="24"/>
        </w:rPr>
        <w:t xml:space="preserve">ulletin announces the MassHealth hospice rates effective October 1, 2017 in accordance with CMS established rates for hospice services. </w:t>
      </w:r>
    </w:p>
    <w:p w:rsidR="009A5B2D" w:rsidRPr="009A5B2D" w:rsidRDefault="009A5B2D" w:rsidP="009A5B2D">
      <w:pPr>
        <w:autoSpaceDE w:val="0"/>
        <w:autoSpaceDN w:val="0"/>
        <w:adjustRightInd w:val="0"/>
        <w:rPr>
          <w:rFonts w:ascii="Times New Roman" w:hAnsi="Times New Roman" w:cs="Times New Roman"/>
          <w:color w:val="000000"/>
          <w:sz w:val="20"/>
          <w:szCs w:val="24"/>
        </w:rPr>
      </w:pPr>
    </w:p>
    <w:p w:rsidR="009A5B2D" w:rsidRPr="009A5B2D" w:rsidRDefault="009A5B2D" w:rsidP="009A5B2D">
      <w:pPr>
        <w:autoSpaceDE w:val="0"/>
        <w:autoSpaceDN w:val="0"/>
        <w:adjustRightInd w:val="0"/>
        <w:rPr>
          <w:rFonts w:ascii="Times New Roman" w:hAnsi="Times New Roman" w:cs="Times New Roman"/>
          <w:color w:val="000000"/>
          <w:sz w:val="24"/>
          <w:szCs w:val="24"/>
        </w:rPr>
      </w:pPr>
      <w:r w:rsidRPr="009A5B2D">
        <w:rPr>
          <w:rFonts w:ascii="Times New Roman" w:hAnsi="Times New Roman" w:cs="Times New Roman"/>
          <w:color w:val="000000"/>
          <w:sz w:val="24"/>
          <w:szCs w:val="24"/>
        </w:rPr>
        <w:t xml:space="preserve">In 2014, CMS instituted a two-rate system for the Medicaid national components for compliance and noncompliance with federal quality reporting standards. Hospice providers that fail to submit required quality data in a given year will incur a 2 percentage point reduction to the market basket percentage increase. </w:t>
      </w:r>
    </w:p>
    <w:p w:rsidR="009A5B2D" w:rsidRPr="009A5B2D" w:rsidRDefault="009A5B2D" w:rsidP="009A5B2D">
      <w:pPr>
        <w:autoSpaceDE w:val="0"/>
        <w:autoSpaceDN w:val="0"/>
        <w:adjustRightInd w:val="0"/>
        <w:ind w:firstLine="720"/>
        <w:rPr>
          <w:rFonts w:ascii="Times New Roman" w:hAnsi="Times New Roman" w:cs="Times New Roman"/>
          <w:color w:val="000000"/>
          <w:sz w:val="20"/>
          <w:szCs w:val="24"/>
        </w:rPr>
      </w:pPr>
    </w:p>
    <w:p w:rsidR="009A5B2D" w:rsidRPr="009A5B2D" w:rsidRDefault="009A5B2D" w:rsidP="009A5B2D">
      <w:pPr>
        <w:autoSpaceDE w:val="0"/>
        <w:autoSpaceDN w:val="0"/>
        <w:adjustRightInd w:val="0"/>
        <w:rPr>
          <w:rFonts w:ascii="Times New Roman" w:hAnsi="Times New Roman" w:cs="Times New Roman"/>
          <w:color w:val="000000"/>
          <w:sz w:val="24"/>
          <w:szCs w:val="24"/>
        </w:rPr>
      </w:pPr>
      <w:r w:rsidRPr="009A5B2D">
        <w:rPr>
          <w:rFonts w:ascii="Times New Roman" w:hAnsi="Times New Roman" w:cs="Times New Roman"/>
          <w:color w:val="000000"/>
          <w:sz w:val="24"/>
          <w:szCs w:val="24"/>
        </w:rPr>
        <w:t xml:space="preserve">The hospice per diem and per hour rates by county are as follows: </w:t>
      </w:r>
    </w:p>
    <w:p w:rsidR="009A5B2D" w:rsidRPr="009A5B2D" w:rsidRDefault="009A5B2D" w:rsidP="009A5B2D">
      <w:pPr>
        <w:tabs>
          <w:tab w:val="left" w:pos="1440"/>
          <w:tab w:val="center" w:pos="4925"/>
        </w:tabs>
        <w:jc w:val="center"/>
        <w:rPr>
          <w:rFonts w:ascii="Times New Roman" w:hAnsi="Times New Roman" w:cs="Times New Roman"/>
          <w:color w:val="000000"/>
          <w:szCs w:val="22"/>
        </w:rPr>
      </w:pPr>
    </w:p>
    <w:p w:rsidR="009A5B2D" w:rsidRPr="009A5B2D" w:rsidRDefault="009A5B2D" w:rsidP="009A5B2D">
      <w:pPr>
        <w:tabs>
          <w:tab w:val="left" w:pos="1440"/>
          <w:tab w:val="center" w:pos="4925"/>
        </w:tabs>
        <w:jc w:val="center"/>
        <w:rPr>
          <w:rFonts w:ascii="Times New Roman" w:hAnsi="Times New Roman" w:cs="Times New Roman"/>
          <w:color w:val="000000"/>
          <w:szCs w:val="22"/>
          <w:u w:val="single"/>
        </w:rPr>
      </w:pPr>
      <w:r w:rsidRPr="009A5B2D">
        <w:rPr>
          <w:rFonts w:ascii="Times New Roman" w:hAnsi="Times New Roman" w:cs="Times New Roman"/>
          <w:color w:val="000000"/>
          <w:szCs w:val="22"/>
          <w:u w:val="single"/>
        </w:rPr>
        <w:t>Hospice Rates Effective October 1, 2017</w:t>
      </w:r>
    </w:p>
    <w:p w:rsidR="009A5B2D" w:rsidRPr="009A5B2D" w:rsidRDefault="009A5B2D" w:rsidP="009A5B2D">
      <w:pPr>
        <w:tabs>
          <w:tab w:val="left" w:pos="1440"/>
          <w:tab w:val="center" w:pos="4925"/>
        </w:tabs>
        <w:rPr>
          <w:rFonts w:ascii="Times New Roman" w:hAnsi="Times New Roman" w:cs="Times New Roman"/>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top w:val="nil"/>
              <w:left w:val="nil"/>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Barnstable County</w:t>
            </w:r>
          </w:p>
        </w:tc>
        <w:tc>
          <w:tcPr>
            <w:tcW w:w="1710" w:type="dxa"/>
            <w:tcBorders>
              <w:top w:val="nil"/>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top w:val="nil"/>
              <w:bottom w:val="single" w:sz="4" w:space="0" w:color="auto"/>
              <w:right w:val="nil"/>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left w:val="nil"/>
              <w:bottom w:val="nil"/>
              <w:right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left w:val="nil"/>
              <w:bottom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bottom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$229.20</w:t>
            </w:r>
          </w:p>
        </w:tc>
        <w:tc>
          <w:tcPr>
            <w:tcW w:w="2070" w:type="dxa"/>
            <w:tcBorders>
              <w:bottom w:val="nil"/>
              <w:right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$224.67</w:t>
            </w:r>
          </w:p>
        </w:tc>
      </w:tr>
      <w:tr w:rsidR="009A5B2D" w:rsidRPr="009A5B2D" w:rsidTr="004D79EA">
        <w:tc>
          <w:tcPr>
            <w:tcW w:w="3078" w:type="dxa"/>
            <w:tcBorders>
              <w:top w:val="nil"/>
              <w:left w:val="nil"/>
              <w:bottom w:val="nil"/>
              <w:right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top w:val="nil"/>
              <w:left w:val="nil"/>
              <w:bottom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nil"/>
              <w:bottom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$180.02</w:t>
            </w:r>
          </w:p>
        </w:tc>
        <w:tc>
          <w:tcPr>
            <w:tcW w:w="2070" w:type="dxa"/>
            <w:tcBorders>
              <w:top w:val="nil"/>
              <w:bottom w:val="nil"/>
              <w:right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$176.44</w:t>
            </w:r>
          </w:p>
        </w:tc>
      </w:tr>
      <w:tr w:rsidR="009A5B2D" w:rsidRPr="009A5B2D" w:rsidTr="004D79EA">
        <w:tc>
          <w:tcPr>
            <w:tcW w:w="3078" w:type="dxa"/>
            <w:tcBorders>
              <w:top w:val="nil"/>
              <w:left w:val="nil"/>
              <w:bottom w:val="nil"/>
              <w:right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top w:val="nil"/>
              <w:left w:val="nil"/>
              <w:bottom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nil"/>
              <w:bottom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$48.34</w:t>
            </w:r>
          </w:p>
        </w:tc>
        <w:tc>
          <w:tcPr>
            <w:tcW w:w="2070" w:type="dxa"/>
            <w:tcBorders>
              <w:top w:val="nil"/>
              <w:bottom w:val="nil"/>
              <w:right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$47.36</w:t>
            </w:r>
          </w:p>
        </w:tc>
      </w:tr>
      <w:tr w:rsidR="009A5B2D" w:rsidRPr="009A5B2D" w:rsidTr="004D79EA">
        <w:tc>
          <w:tcPr>
            <w:tcW w:w="3078" w:type="dxa"/>
            <w:tcBorders>
              <w:top w:val="nil"/>
              <w:left w:val="nil"/>
              <w:bottom w:val="nil"/>
              <w:right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top w:val="nil"/>
              <w:left w:val="nil"/>
              <w:bottom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top w:val="nil"/>
              <w:bottom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$48.33</w:t>
            </w:r>
          </w:p>
        </w:tc>
        <w:tc>
          <w:tcPr>
            <w:tcW w:w="2070" w:type="dxa"/>
            <w:tcBorders>
              <w:top w:val="nil"/>
              <w:bottom w:val="nil"/>
              <w:right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$47.37</w:t>
            </w:r>
          </w:p>
        </w:tc>
      </w:tr>
      <w:tr w:rsidR="009A5B2D" w:rsidRPr="009A5B2D" w:rsidTr="004D79EA">
        <w:tc>
          <w:tcPr>
            <w:tcW w:w="3078" w:type="dxa"/>
            <w:tcBorders>
              <w:top w:val="nil"/>
              <w:left w:val="nil"/>
              <w:bottom w:val="nil"/>
              <w:right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top w:val="nil"/>
              <w:left w:val="nil"/>
              <w:bottom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nil"/>
              <w:bottom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$208.73</w:t>
            </w:r>
          </w:p>
        </w:tc>
        <w:tc>
          <w:tcPr>
            <w:tcW w:w="2070" w:type="dxa"/>
            <w:tcBorders>
              <w:top w:val="nil"/>
              <w:bottom w:val="nil"/>
              <w:right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$204.59</w:t>
            </w:r>
          </w:p>
        </w:tc>
      </w:tr>
      <w:tr w:rsidR="009A5B2D" w:rsidRPr="009A5B2D" w:rsidTr="004D79EA">
        <w:tc>
          <w:tcPr>
            <w:tcW w:w="3078" w:type="dxa"/>
            <w:tcBorders>
              <w:top w:val="nil"/>
              <w:left w:val="nil"/>
              <w:bottom w:val="nil"/>
              <w:right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top w:val="nil"/>
              <w:left w:val="nil"/>
              <w:bottom w:val="nil"/>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nil"/>
              <w:bottom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$873.34</w:t>
            </w:r>
          </w:p>
        </w:tc>
        <w:tc>
          <w:tcPr>
            <w:tcW w:w="2070" w:type="dxa"/>
            <w:tcBorders>
              <w:top w:val="nil"/>
              <w:bottom w:val="nil"/>
              <w:right w:val="nil"/>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$856.05</w:t>
            </w:r>
          </w:p>
        </w:tc>
      </w:tr>
    </w:tbl>
    <w:p w:rsidR="009A5B2D" w:rsidRPr="009A5B2D" w:rsidRDefault="009A5B2D" w:rsidP="009A5B2D">
      <w:pPr>
        <w:rPr>
          <w:rFonts w:ascii="Times New Roman" w:hAnsi="Times New Roman" w:cs="Times New Roman"/>
          <w:sz w:val="18"/>
        </w:rPr>
      </w:pPr>
    </w:p>
    <w:p w:rsidR="009A5B2D" w:rsidRPr="009A5B2D" w:rsidRDefault="009A5B2D" w:rsidP="009A5B2D">
      <w:pPr>
        <w:jc w:val="cente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Berkshire County</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$201.35</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$197.37</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$158.14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$155.00</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$42.46</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$41.61</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$42.45</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$41.61</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$188.05</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$184.32</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$773.39</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$758.08</w:t>
            </w:r>
          </w:p>
        </w:tc>
      </w:tr>
    </w:tbl>
    <w:p w:rsidR="009A5B2D" w:rsidRPr="009A5B2D" w:rsidRDefault="009A5B2D" w:rsidP="009A5B2D">
      <w:pPr>
        <w:rPr>
          <w:rFonts w:ascii="Times New Roman" w:hAnsi="Times New Roman" w:cs="Times New Roman"/>
        </w:rPr>
      </w:pPr>
    </w:p>
    <w:p w:rsidR="009A5B2D" w:rsidRDefault="009A5B2D" w:rsidP="009A5B2D">
      <w:pPr>
        <w:rPr>
          <w:rFonts w:ascii="Times New Roman" w:hAnsi="Times New Roman" w:cs="Times New Roman"/>
        </w:rPr>
      </w:pPr>
    </w:p>
    <w:p w:rsidR="009A5B2D" w:rsidRDefault="009A5B2D" w:rsidP="009A5B2D">
      <w:pPr>
        <w:rPr>
          <w:rFonts w:ascii="Times New Roman" w:hAnsi="Times New Roman" w:cs="Times New Roman"/>
        </w:rPr>
      </w:pPr>
    </w:p>
    <w:p w:rsidR="009A5B2D" w:rsidRDefault="009A5B2D" w:rsidP="009A5B2D">
      <w:pP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tabs>
                <w:tab w:val="center" w:pos="1971"/>
              </w:tabs>
              <w:jc w:val="center"/>
              <w:rPr>
                <w:rFonts w:ascii="Times New Roman" w:hAnsi="Times New Roman" w:cs="Times New Roman"/>
                <w:sz w:val="20"/>
              </w:rPr>
            </w:pPr>
            <w:r w:rsidRPr="009A5B2D">
              <w:rPr>
                <w:rFonts w:ascii="Times New Roman" w:hAnsi="Times New Roman" w:cs="Times New Roman"/>
                <w:sz w:val="20"/>
              </w:rPr>
              <w:t>Bristol County</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$200.70</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$196.73</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$157.63</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$154.50</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$42.33</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$41.47</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$42.32</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$41.48</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$187.57</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$183.85</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$771.06</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$755.79</w:t>
            </w:r>
          </w:p>
        </w:tc>
      </w:tr>
    </w:tbl>
    <w:p w:rsidR="009A5B2D" w:rsidRPr="009A5B2D" w:rsidRDefault="009A5B2D" w:rsidP="009A5B2D">
      <w:pPr>
        <w:rPr>
          <w:rFonts w:ascii="Times New Roman" w:hAnsi="Times New Roman" w:cs="Times New Roman"/>
        </w:rPr>
      </w:pPr>
    </w:p>
    <w:p w:rsidR="009A5B2D" w:rsidRPr="009A5B2D" w:rsidRDefault="009A5B2D" w:rsidP="009A5B2D">
      <w:pP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Essex and Middlesex Counties</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$206.44</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$202.36</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$162.14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$158.92</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$43.54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$42.66</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$43.53</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$42.67</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$191.83</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$188.03</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$791.67</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$776.00</w:t>
            </w:r>
          </w:p>
        </w:tc>
      </w:tr>
    </w:tbl>
    <w:p w:rsidR="009A5B2D" w:rsidRPr="009A5B2D" w:rsidRDefault="009A5B2D" w:rsidP="009A5B2D">
      <w:pPr>
        <w:rPr>
          <w:rFonts w:ascii="Times New Roman" w:hAnsi="Times New Roman" w:cs="Times New Roman"/>
        </w:rPr>
      </w:pPr>
    </w:p>
    <w:p w:rsidR="009A5B2D" w:rsidRPr="009A5B2D" w:rsidRDefault="009A5B2D" w:rsidP="009A5B2D">
      <w:pP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Hampden and Hampshire Counties</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$193.26</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$189.44</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$151.79</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$148.77</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$40.76</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$39.94</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$40.75</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$39.94</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$182.05</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$178.43</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left w:val="nil"/>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$744.36</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$729.62</w:t>
            </w:r>
          </w:p>
        </w:tc>
      </w:tr>
    </w:tbl>
    <w:p w:rsidR="009A5B2D" w:rsidRPr="009A5B2D" w:rsidRDefault="009A5B2D" w:rsidP="009A5B2D">
      <w:pPr>
        <w:rPr>
          <w:rFonts w:ascii="Times New Roman" w:hAnsi="Times New Roman" w:cs="Times New Roman"/>
        </w:rPr>
      </w:pPr>
    </w:p>
    <w:p w:rsidR="009A5B2D" w:rsidRPr="009A5B2D" w:rsidRDefault="009A5B2D" w:rsidP="009A5B2D">
      <w:pP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Norfolk, Plymouth and Suffolk Counties</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$233.96</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$229.34</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$183.76</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$180.11</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$49.34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$48.35</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$49.33</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$48.35</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$212.26</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$208.05</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$890.43</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$872.80</w:t>
            </w:r>
          </w:p>
        </w:tc>
      </w:tr>
    </w:tbl>
    <w:p w:rsidR="009A5B2D" w:rsidRPr="009A5B2D" w:rsidRDefault="009A5B2D" w:rsidP="009A5B2D">
      <w:pPr>
        <w:rPr>
          <w:rFonts w:ascii="Times New Roman" w:hAnsi="Times New Roman" w:cs="Times New Roman"/>
        </w:rPr>
      </w:pPr>
    </w:p>
    <w:p w:rsidR="009A5B2D" w:rsidRPr="009A5B2D" w:rsidRDefault="009A5B2D" w:rsidP="009A5B2D">
      <w:pP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Worcester County</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$212.38</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$208.19</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$166.81</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$163.50</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$44.79</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$43.89</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$44.78</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$43.89</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$196.24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$192.35</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$812.99</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$796.90</w:t>
            </w:r>
          </w:p>
        </w:tc>
      </w:tr>
    </w:tbl>
    <w:p w:rsidR="009A5B2D" w:rsidRPr="009A5B2D" w:rsidRDefault="009A5B2D" w:rsidP="009A5B2D">
      <w:pPr>
        <w:rPr>
          <w:rFonts w:ascii="Times New Roman" w:hAnsi="Times New Roman" w:cs="Times New Roman"/>
        </w:rPr>
      </w:pPr>
    </w:p>
    <w:p w:rsidR="009A5B2D" w:rsidRPr="009A5B2D" w:rsidRDefault="009A5B2D" w:rsidP="009A5B2D">
      <w:pPr>
        <w:rPr>
          <w:rFonts w:ascii="Times New Roman" w:hAnsi="Times New Roman" w:cs="Times New Roman"/>
        </w:rPr>
      </w:pPr>
    </w:p>
    <w:tbl>
      <w:tblPr>
        <w:tblW w:w="0" w:type="auto"/>
        <w:tblLayout w:type="fixed"/>
        <w:tblLook w:val="04A0" w:firstRow="1" w:lastRow="0" w:firstColumn="1" w:lastColumn="0" w:noHBand="0" w:noVBand="1"/>
      </w:tblPr>
      <w:tblGrid>
        <w:gridCol w:w="3078"/>
        <w:gridCol w:w="1080"/>
        <w:gridCol w:w="1710"/>
        <w:gridCol w:w="2070"/>
      </w:tblGrid>
      <w:tr w:rsidR="009A5B2D" w:rsidRPr="009A5B2D" w:rsidTr="004D79EA">
        <w:tc>
          <w:tcPr>
            <w:tcW w:w="4158" w:type="dxa"/>
            <w:gridSpan w:val="2"/>
            <w:tcBorders>
              <w:bottom w:val="single" w:sz="4" w:space="0" w:color="auto"/>
              <w:right w:val="single" w:sz="4" w:space="0" w:color="auto"/>
            </w:tcBorders>
            <w:shd w:val="clear" w:color="auto" w:fill="auto"/>
          </w:tcPr>
          <w:p w:rsidR="009A5B2D" w:rsidRPr="009A5B2D" w:rsidRDefault="009A5B2D" w:rsidP="004D79EA">
            <w:pPr>
              <w:jc w:val="center"/>
              <w:rPr>
                <w:rFonts w:ascii="Times New Roman" w:hAnsi="Times New Roman" w:cs="Times New Roman"/>
                <w:sz w:val="20"/>
              </w:rPr>
            </w:pPr>
            <w:r w:rsidRPr="009A5B2D">
              <w:rPr>
                <w:rFonts w:ascii="Times New Roman" w:hAnsi="Times New Roman" w:cs="Times New Roman"/>
                <w:sz w:val="20"/>
              </w:rPr>
              <w:t>Rural: Dukes, Franklin, and Nantucket</w:t>
            </w:r>
            <w:r w:rsidR="00C93BD7">
              <w:rPr>
                <w:rFonts w:ascii="Times New Roman" w:hAnsi="Times New Roman" w:cs="Times New Roman"/>
                <w:sz w:val="20"/>
              </w:rPr>
              <w:t xml:space="preserve"> Counties</w:t>
            </w:r>
          </w:p>
        </w:tc>
        <w:tc>
          <w:tcPr>
            <w:tcW w:w="1710" w:type="dxa"/>
            <w:tcBorders>
              <w:left w:val="single" w:sz="4" w:space="0" w:color="auto"/>
              <w:bottom w:val="single" w:sz="4" w:space="0" w:color="auto"/>
              <w:right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Compliant Rate</w:t>
            </w:r>
          </w:p>
        </w:tc>
        <w:tc>
          <w:tcPr>
            <w:tcW w:w="2070" w:type="dxa"/>
            <w:tcBorders>
              <w:left w:val="single" w:sz="4" w:space="0" w:color="auto"/>
              <w:bottom w:val="single" w:sz="4" w:space="0" w:color="auto"/>
            </w:tcBorders>
            <w:shd w:val="clear" w:color="auto" w:fill="auto"/>
          </w:tcPr>
          <w:p w:rsidR="009A5B2D" w:rsidRPr="009A5B2D" w:rsidRDefault="009A5B2D" w:rsidP="009A5B2D">
            <w:pPr>
              <w:rPr>
                <w:rFonts w:ascii="Times New Roman" w:hAnsi="Times New Roman" w:cs="Times New Roman"/>
                <w:sz w:val="20"/>
              </w:rPr>
            </w:pPr>
            <w:r w:rsidRPr="009A5B2D">
              <w:rPr>
                <w:rFonts w:ascii="Times New Roman" w:hAnsi="Times New Roman" w:cs="Times New Roman"/>
                <w:sz w:val="20"/>
              </w:rPr>
              <w:t xml:space="preserve">Non-Compliant Rate </w:t>
            </w:r>
          </w:p>
        </w:tc>
      </w:tr>
      <w:tr w:rsidR="009A5B2D" w:rsidRPr="009A5B2D" w:rsidTr="004D79EA">
        <w:tc>
          <w:tcPr>
            <w:tcW w:w="3078" w:type="dxa"/>
            <w:tcBorders>
              <w:top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(1-60 days)</w:t>
            </w:r>
          </w:p>
        </w:tc>
        <w:tc>
          <w:tcPr>
            <w:tcW w:w="1080" w:type="dxa"/>
            <w:tcBorders>
              <w:top w:val="single" w:sz="4" w:space="0" w:color="auto"/>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top w:val="single" w:sz="4" w:space="0" w:color="auto"/>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$204.12</w:t>
            </w:r>
          </w:p>
        </w:tc>
        <w:tc>
          <w:tcPr>
            <w:tcW w:w="2070" w:type="dxa"/>
            <w:tcBorders>
              <w:top w:val="single" w:sz="4" w:space="0" w:color="auto"/>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$200.09</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Routine Home Care (61+ days)</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$160.32</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$157.14</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Service Intensity Add-on </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$43.05</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$42.18</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 xml:space="preserve">Continuous Home Care </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Hour</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$43.04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$42.19</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Inpatient Respite</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$190.11</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$186.34</w:t>
            </w:r>
          </w:p>
        </w:tc>
      </w:tr>
      <w:tr w:rsidR="009A5B2D" w:rsidRPr="009A5B2D" w:rsidTr="004D79EA">
        <w:tc>
          <w:tcPr>
            <w:tcW w:w="3078" w:type="dxa"/>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General Inpatient</w:t>
            </w:r>
          </w:p>
        </w:tc>
        <w:tc>
          <w:tcPr>
            <w:tcW w:w="1080" w:type="dxa"/>
            <w:tcBorders>
              <w:right w:val="single" w:sz="4" w:space="0" w:color="auto"/>
            </w:tcBorders>
            <w:shd w:val="clear" w:color="auto" w:fill="auto"/>
            <w:vAlign w:val="bottom"/>
          </w:tcPr>
          <w:p w:rsidR="009A5B2D" w:rsidRPr="009A5B2D" w:rsidRDefault="009A5B2D" w:rsidP="009A5B2D">
            <w:pPr>
              <w:rPr>
                <w:rFonts w:ascii="Times New Roman" w:hAnsi="Times New Roman" w:cs="Times New Roman"/>
                <w:color w:val="000000"/>
                <w:sz w:val="20"/>
              </w:rPr>
            </w:pPr>
            <w:r w:rsidRPr="009A5B2D">
              <w:rPr>
                <w:rFonts w:ascii="Times New Roman" w:hAnsi="Times New Roman" w:cs="Times New Roman"/>
                <w:color w:val="000000"/>
                <w:sz w:val="20"/>
              </w:rPr>
              <w:t>Per Diem</w:t>
            </w:r>
          </w:p>
        </w:tc>
        <w:tc>
          <w:tcPr>
            <w:tcW w:w="1710" w:type="dxa"/>
            <w:tcBorders>
              <w:left w:val="single" w:sz="4" w:space="0" w:color="auto"/>
              <w:righ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$783.34</w:t>
            </w:r>
          </w:p>
        </w:tc>
        <w:tc>
          <w:tcPr>
            <w:tcW w:w="2070" w:type="dxa"/>
            <w:tcBorders>
              <w:left w:val="single" w:sz="4" w:space="0" w:color="auto"/>
            </w:tcBorders>
            <w:shd w:val="clear" w:color="auto" w:fill="auto"/>
            <w:vAlign w:val="bottom"/>
          </w:tcPr>
          <w:p w:rsidR="009A5B2D" w:rsidRPr="009A5B2D" w:rsidRDefault="009A5B2D" w:rsidP="004D79EA">
            <w:pPr>
              <w:jc w:val="right"/>
              <w:rPr>
                <w:rFonts w:ascii="Times New Roman" w:hAnsi="Times New Roman" w:cs="Times New Roman"/>
                <w:color w:val="000000"/>
                <w:sz w:val="20"/>
              </w:rPr>
            </w:pPr>
            <w:r w:rsidRPr="009A5B2D">
              <w:rPr>
                <w:rFonts w:ascii="Times New Roman" w:hAnsi="Times New Roman" w:cs="Times New Roman"/>
                <w:color w:val="000000"/>
                <w:sz w:val="20"/>
              </w:rPr>
              <w:t>$767.83</w:t>
            </w:r>
          </w:p>
        </w:tc>
      </w:tr>
    </w:tbl>
    <w:p w:rsidR="009A5B2D" w:rsidRPr="009A5B2D" w:rsidRDefault="009A5B2D" w:rsidP="009A5B2D">
      <w:pPr>
        <w:rPr>
          <w:rFonts w:ascii="Times New Roman" w:hAnsi="Times New Roman" w:cs="Times New Roman"/>
        </w:rPr>
      </w:pPr>
    </w:p>
    <w:p w:rsidR="00574DC9" w:rsidRDefault="00574DC9" w:rsidP="00962923">
      <w:pPr>
        <w:tabs>
          <w:tab w:val="left" w:pos="1440"/>
          <w:tab w:val="center" w:pos="4925"/>
        </w:tabs>
        <w:rPr>
          <w:rFonts w:ascii="Times New Roman" w:hAnsi="Times New Roman" w:cs="Times New Roman"/>
          <w:sz w:val="24"/>
          <w:szCs w:val="24"/>
        </w:rPr>
      </w:pPr>
    </w:p>
    <w:sectPr w:rsidR="00574DC9"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EA" w:rsidRDefault="004D79EA">
      <w:r>
        <w:separator/>
      </w:r>
    </w:p>
  </w:endnote>
  <w:endnote w:type="continuationSeparator" w:id="0">
    <w:p w:rsidR="004D79EA" w:rsidRDefault="004D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3429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53429C">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EA" w:rsidRDefault="004D79EA">
      <w:r>
        <w:separator/>
      </w:r>
    </w:p>
  </w:footnote>
  <w:footnote w:type="continuationSeparator" w:id="0">
    <w:p w:rsidR="004D79EA" w:rsidRDefault="004D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D3CCD"/>
    <w:rsid w:val="000E02D6"/>
    <w:rsid w:val="000F2FB3"/>
    <w:rsid w:val="001066DC"/>
    <w:rsid w:val="001145CC"/>
    <w:rsid w:val="0014797B"/>
    <w:rsid w:val="00151378"/>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7261E"/>
    <w:rsid w:val="00386BCD"/>
    <w:rsid w:val="00395400"/>
    <w:rsid w:val="003C2E3A"/>
    <w:rsid w:val="003C770E"/>
    <w:rsid w:val="003D6EEC"/>
    <w:rsid w:val="004016AD"/>
    <w:rsid w:val="00466B35"/>
    <w:rsid w:val="004B2B19"/>
    <w:rsid w:val="004B6AAF"/>
    <w:rsid w:val="004D79EA"/>
    <w:rsid w:val="004F4CD2"/>
    <w:rsid w:val="005049C6"/>
    <w:rsid w:val="00506EF5"/>
    <w:rsid w:val="0053429C"/>
    <w:rsid w:val="00535125"/>
    <w:rsid w:val="00535837"/>
    <w:rsid w:val="0054227E"/>
    <w:rsid w:val="0054689D"/>
    <w:rsid w:val="00556A92"/>
    <w:rsid w:val="00561E84"/>
    <w:rsid w:val="00564F8A"/>
    <w:rsid w:val="00565008"/>
    <w:rsid w:val="00574DC9"/>
    <w:rsid w:val="005A0778"/>
    <w:rsid w:val="005F2412"/>
    <w:rsid w:val="00605AAA"/>
    <w:rsid w:val="00613AFF"/>
    <w:rsid w:val="00627028"/>
    <w:rsid w:val="00686BDA"/>
    <w:rsid w:val="006950AA"/>
    <w:rsid w:val="006B535E"/>
    <w:rsid w:val="006C043F"/>
    <w:rsid w:val="006C2607"/>
    <w:rsid w:val="006F7489"/>
    <w:rsid w:val="007302B1"/>
    <w:rsid w:val="007331AE"/>
    <w:rsid w:val="00751EAB"/>
    <w:rsid w:val="00760514"/>
    <w:rsid w:val="00765586"/>
    <w:rsid w:val="00773BF3"/>
    <w:rsid w:val="007802E3"/>
    <w:rsid w:val="00790DDE"/>
    <w:rsid w:val="007A097E"/>
    <w:rsid w:val="007A44F0"/>
    <w:rsid w:val="007C4937"/>
    <w:rsid w:val="007D5150"/>
    <w:rsid w:val="007E3366"/>
    <w:rsid w:val="007F34FB"/>
    <w:rsid w:val="007F4C57"/>
    <w:rsid w:val="007F7071"/>
    <w:rsid w:val="00802D63"/>
    <w:rsid w:val="008065C3"/>
    <w:rsid w:val="008138ED"/>
    <w:rsid w:val="0082262F"/>
    <w:rsid w:val="00846EFD"/>
    <w:rsid w:val="008747C6"/>
    <w:rsid w:val="00882DB4"/>
    <w:rsid w:val="008876C6"/>
    <w:rsid w:val="008C6E71"/>
    <w:rsid w:val="00906004"/>
    <w:rsid w:val="009271D7"/>
    <w:rsid w:val="0093212C"/>
    <w:rsid w:val="0093489F"/>
    <w:rsid w:val="00947481"/>
    <w:rsid w:val="00951C89"/>
    <w:rsid w:val="00960FD3"/>
    <w:rsid w:val="00961654"/>
    <w:rsid w:val="00962923"/>
    <w:rsid w:val="00983941"/>
    <w:rsid w:val="0099568A"/>
    <w:rsid w:val="0099721B"/>
    <w:rsid w:val="00997297"/>
    <w:rsid w:val="009A5B2D"/>
    <w:rsid w:val="009B5726"/>
    <w:rsid w:val="009E5F63"/>
    <w:rsid w:val="009E7BED"/>
    <w:rsid w:val="009F243C"/>
    <w:rsid w:val="009F77FD"/>
    <w:rsid w:val="00A152D4"/>
    <w:rsid w:val="00A32FEA"/>
    <w:rsid w:val="00A42891"/>
    <w:rsid w:val="00A44135"/>
    <w:rsid w:val="00A52D97"/>
    <w:rsid w:val="00A53895"/>
    <w:rsid w:val="00A77971"/>
    <w:rsid w:val="00A934F9"/>
    <w:rsid w:val="00AA115F"/>
    <w:rsid w:val="00AB0061"/>
    <w:rsid w:val="00AB687F"/>
    <w:rsid w:val="00AD6895"/>
    <w:rsid w:val="00AE0DA5"/>
    <w:rsid w:val="00AE3401"/>
    <w:rsid w:val="00B308F1"/>
    <w:rsid w:val="00B379E7"/>
    <w:rsid w:val="00B43A86"/>
    <w:rsid w:val="00B67BA9"/>
    <w:rsid w:val="00B95039"/>
    <w:rsid w:val="00BA585A"/>
    <w:rsid w:val="00BB6F19"/>
    <w:rsid w:val="00C31BCC"/>
    <w:rsid w:val="00C46D18"/>
    <w:rsid w:val="00C54AED"/>
    <w:rsid w:val="00C601C2"/>
    <w:rsid w:val="00C62306"/>
    <w:rsid w:val="00C91491"/>
    <w:rsid w:val="00C93BD7"/>
    <w:rsid w:val="00C95BD9"/>
    <w:rsid w:val="00CB2C18"/>
    <w:rsid w:val="00CC1031"/>
    <w:rsid w:val="00CD5543"/>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75D4C"/>
    <w:rsid w:val="00E8458C"/>
    <w:rsid w:val="00E93963"/>
    <w:rsid w:val="00EA042C"/>
    <w:rsid w:val="00EB008B"/>
    <w:rsid w:val="00EB47C8"/>
    <w:rsid w:val="00EF0D4A"/>
    <w:rsid w:val="00F0626C"/>
    <w:rsid w:val="00F13BB7"/>
    <w:rsid w:val="00F243E6"/>
    <w:rsid w:val="00F32956"/>
    <w:rsid w:val="00F34242"/>
    <w:rsid w:val="00F577D6"/>
    <w:rsid w:val="00F65CA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table" w:customStyle="1" w:styleId="TableGrid1">
    <w:name w:val="Table Grid1"/>
    <w:basedOn w:val="TableNormal"/>
    <w:next w:val="TableGrid"/>
    <w:uiPriority w:val="59"/>
    <w:rsid w:val="009A5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table" w:customStyle="1" w:styleId="TableGrid1">
    <w:name w:val="Table Grid1"/>
    <w:basedOn w:val="TableNormal"/>
    <w:next w:val="TableGrid"/>
    <w:uiPriority w:val="59"/>
    <w:rsid w:val="009A5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5B0B-B8FB-4CFE-86FE-B992298B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2017-12-05T19:07:00Z</cp:lastPrinted>
  <dcterms:created xsi:type="dcterms:W3CDTF">2017-12-05T19:07:00Z</dcterms:created>
  <dcterms:modified xsi:type="dcterms:W3CDTF">2017-12-05T19:07:00Z</dcterms:modified>
</cp:coreProperties>
</file>