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37" w:rsidRPr="007302B1" w:rsidRDefault="00AF6191">
      <w:pPr>
        <w:jc w:val="center"/>
        <w:rPr>
          <w:rFonts w:ascii="Bookman" w:hAnsi="Bookman"/>
          <w:i/>
          <w:iCs/>
          <w:color w:val="333399"/>
          <w:sz w:val="28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1" wp14:anchorId="5FCD9DD8" wp14:editId="6E2D401B">
            <wp:simplePos x="0" y="0"/>
            <wp:positionH relativeFrom="column">
              <wp:posOffset>-139700</wp:posOffset>
            </wp:positionH>
            <wp:positionV relativeFrom="paragraph">
              <wp:posOffset>-80645</wp:posOffset>
            </wp:positionV>
            <wp:extent cx="914400" cy="1109345"/>
            <wp:effectExtent l="0" t="0" r="0" b="0"/>
            <wp:wrapNone/>
            <wp:docPr id="4" name="Picture 4" descr="Se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l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437" w:rsidRPr="005F2412">
        <w:rPr>
          <w:rFonts w:ascii="Bookman" w:hAnsi="Bookman"/>
          <w:iCs/>
          <w:color w:val="333399"/>
          <w:sz w:val="28"/>
        </w:rPr>
        <w:t>The Commonwealth of Massachusetts</w:t>
      </w:r>
    </w:p>
    <w:p w:rsidR="00A77971" w:rsidRPr="00060CB1" w:rsidRDefault="000D1437" w:rsidP="00060CB1">
      <w:pPr>
        <w:jc w:val="center"/>
        <w:rPr>
          <w:rFonts w:ascii="Bookman" w:hAnsi="Bookman"/>
          <w:iCs/>
          <w:color w:val="333399"/>
          <w:sz w:val="28"/>
        </w:rPr>
      </w:pPr>
      <w:r w:rsidRPr="005F2412">
        <w:rPr>
          <w:rFonts w:ascii="Bookman" w:hAnsi="Bookman"/>
          <w:iCs/>
          <w:color w:val="333399"/>
          <w:sz w:val="28"/>
        </w:rPr>
        <w:t>Executive Office of Health and Human Services</w:t>
      </w:r>
    </w:p>
    <w:p w:rsidR="00C31BCC" w:rsidRPr="005F2412" w:rsidRDefault="008747C6" w:rsidP="00C31BCC">
      <w:pPr>
        <w:pStyle w:val="Heading2"/>
        <w:rPr>
          <w:i w:val="0"/>
        </w:rPr>
      </w:pPr>
      <w:r w:rsidRPr="005F2412">
        <w:rPr>
          <w:i w:val="0"/>
        </w:rPr>
        <w:t>One Ashburton Place, Room 1109</w:t>
      </w:r>
    </w:p>
    <w:p w:rsidR="008747C6" w:rsidRPr="005F2412" w:rsidRDefault="008747C6">
      <w:pPr>
        <w:pStyle w:val="Heading2"/>
        <w:rPr>
          <w:i w:val="0"/>
        </w:rPr>
      </w:pPr>
      <w:r w:rsidRPr="005F2412">
        <w:rPr>
          <w:i w:val="0"/>
        </w:rPr>
        <w:t>Boston</w:t>
      </w:r>
      <w:r w:rsidR="00FC1F58" w:rsidRPr="005F2412">
        <w:rPr>
          <w:i w:val="0"/>
        </w:rPr>
        <w:t>, Massachusetts</w:t>
      </w:r>
      <w:r w:rsidR="00311FEC" w:rsidRPr="005F2412">
        <w:rPr>
          <w:i w:val="0"/>
        </w:rPr>
        <w:t xml:space="preserve"> </w:t>
      </w:r>
      <w:r w:rsidR="000F2FB3" w:rsidRPr="005F2412">
        <w:rPr>
          <w:i w:val="0"/>
        </w:rPr>
        <w:t>02</w:t>
      </w:r>
      <w:r w:rsidR="004B2B19" w:rsidRPr="005F2412">
        <w:rPr>
          <w:i w:val="0"/>
        </w:rPr>
        <w:t>1</w:t>
      </w:r>
      <w:r w:rsidRPr="005F2412">
        <w:rPr>
          <w:i w:val="0"/>
        </w:rPr>
        <w:t>08</w:t>
      </w:r>
    </w:p>
    <w:p w:rsidR="000D1437" w:rsidRPr="00386BCD" w:rsidRDefault="00AF6191">
      <w:pPr>
        <w:pStyle w:val="Heading2"/>
        <w:rPr>
          <w:i w:val="0"/>
        </w:rPr>
      </w:pPr>
      <w:r>
        <w:rPr>
          <w:iCs w:val="0"/>
          <w:noProof/>
          <w:color w:val="4451C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9014770" wp14:editId="211E88A7">
                <wp:simplePos x="0" y="0"/>
                <wp:positionH relativeFrom="column">
                  <wp:posOffset>5228590</wp:posOffset>
                </wp:positionH>
                <wp:positionV relativeFrom="paragraph">
                  <wp:posOffset>188595</wp:posOffset>
                </wp:positionV>
                <wp:extent cx="1626235" cy="1217295"/>
                <wp:effectExtent l="0" t="0" r="3175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5CC" w:rsidRDefault="001145CC" w:rsidP="00EB1CEA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8747C6" w:rsidRDefault="008747C6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Tel: (617) 573-1600</w:t>
                            </w:r>
                          </w:p>
                          <w:p w:rsidR="008747C6" w:rsidRDefault="008747C6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Fax: (617) 573-1891</w:t>
                            </w:r>
                          </w:p>
                          <w:p w:rsidR="002F28A5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9F77FD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www.mass.gov/eohhs</w:t>
                            </w:r>
                          </w:p>
                          <w:p w:rsidR="007F7071" w:rsidRDefault="007F7071" w:rsidP="00F243E6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F7071" w:rsidRPr="007802E3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1.7pt;margin-top:14.85pt;width:128.05pt;height:95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v2etwIAALo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" filled="f" stroked="f">
                <v:textbox>
                  <w:txbxContent>
                    <w:p w:rsidR="001145CC" w:rsidRDefault="001145CC" w:rsidP="00EB1CEA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8747C6" w:rsidRDefault="008747C6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Tel: (617) 573-1600</w:t>
                      </w:r>
                    </w:p>
                    <w:p w:rsidR="008747C6" w:rsidRDefault="008747C6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Fax: (617) 573-1891</w:t>
                      </w:r>
                    </w:p>
                    <w:p w:rsidR="002F28A5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9F77FD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www.mass.gov/eohhs</w:t>
                      </w:r>
                    </w:p>
                    <w:p w:rsidR="007F7071" w:rsidRDefault="007F7071" w:rsidP="00F243E6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F7071" w:rsidRPr="007802E3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1437" w:rsidRPr="00386BCD">
        <w:rPr>
          <w:i w:val="0"/>
        </w:rPr>
        <w:t xml:space="preserve"> </w:t>
      </w:r>
    </w:p>
    <w:p w:rsidR="004B6AAF" w:rsidRDefault="00AF6191" w:rsidP="004B6AAF">
      <w:pPr>
        <w:rPr>
          <w:rFonts w:ascii="Bookman" w:hAnsi="Bookman"/>
          <w:iCs/>
          <w:color w:val="4451C8"/>
          <w:sz w:val="24"/>
          <w:szCs w:val="24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B6D36E7" wp14:editId="17DFF34B">
                <wp:simplePos x="0" y="0"/>
                <wp:positionH relativeFrom="column">
                  <wp:posOffset>-471170</wp:posOffset>
                </wp:positionH>
                <wp:positionV relativeFrom="paragraph">
                  <wp:posOffset>17780</wp:posOffset>
                </wp:positionV>
                <wp:extent cx="1545590" cy="1217295"/>
                <wp:effectExtent l="0" t="0" r="190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F58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1066DC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CHARLES D. BAKER</w:t>
                            </w:r>
                          </w:p>
                          <w:p w:rsidR="007802E3" w:rsidRDefault="001066D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KARYN E. POLITO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  <w:p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MARYLOU SUDDERS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Secretary</w:t>
                            </w:r>
                          </w:p>
                          <w:p w:rsidR="008065C3" w:rsidRDefault="008065C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7.1pt;margin-top:1.4pt;width:121.7pt;height:95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+WFtw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" filled="f" stroked="f">
                <v:textbox>
                  <w:txbxContent>
                    <w:p w:rsidR="00FC1F58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1066DC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CHARLES D. BAKER</w:t>
                      </w:r>
                    </w:p>
                    <w:p w:rsidR="007802E3" w:rsidRDefault="001066D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KARYN E. POLITO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  <w:p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MARYLOU SUDDERS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Secretary</w:t>
                      </w:r>
                    </w:p>
                    <w:p w:rsidR="008065C3" w:rsidRDefault="008065C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02E3" w:rsidRDefault="007802E3" w:rsidP="004B6AAF">
      <w:pPr>
        <w:rPr>
          <w:rFonts w:ascii="Bookman" w:hAnsi="Bookman"/>
          <w:iCs/>
          <w:color w:val="4451C8"/>
          <w:sz w:val="24"/>
          <w:szCs w:val="24"/>
        </w:rPr>
      </w:pPr>
    </w:p>
    <w:p w:rsidR="007802E3" w:rsidRDefault="007802E3" w:rsidP="004B6AAF">
      <w:pPr>
        <w:rPr>
          <w:rFonts w:ascii="Bookman" w:hAnsi="Bookman"/>
          <w:iCs/>
          <w:color w:val="4451C8"/>
          <w:sz w:val="24"/>
          <w:szCs w:val="24"/>
        </w:rPr>
      </w:pPr>
    </w:p>
    <w:p w:rsidR="007802E3" w:rsidRPr="00FC1F58" w:rsidRDefault="007802E3" w:rsidP="004B6AAF">
      <w:pPr>
        <w:rPr>
          <w:rFonts w:ascii="Bookman Old Style" w:hAnsi="Bookman Old Style"/>
          <w:b/>
          <w:color w:val="303BA2"/>
          <w:sz w:val="16"/>
          <w:szCs w:val="16"/>
        </w:rPr>
      </w:pPr>
    </w:p>
    <w:p w:rsidR="00FC1F58" w:rsidRDefault="00FC1F58" w:rsidP="00FC1F58">
      <w:pPr>
        <w:ind w:left="-110" w:hanging="220"/>
        <w:rPr>
          <w:rFonts w:ascii="Bookman" w:hAnsi="Bookman"/>
          <w:b/>
          <w:color w:val="333399"/>
          <w:sz w:val="16"/>
          <w:szCs w:val="16"/>
        </w:rPr>
      </w:pPr>
    </w:p>
    <w:p w:rsidR="00AE0DA5" w:rsidRDefault="00AE0DA5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:rsidR="007802E3" w:rsidRDefault="007802E3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:rsidR="007802E3" w:rsidRDefault="007802E3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:rsidR="00AE5051" w:rsidRDefault="00AE5051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:rsidR="00AE5051" w:rsidRPr="00484E88" w:rsidRDefault="00AE5051" w:rsidP="00484E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ABA">
        <w:rPr>
          <w:rFonts w:ascii="Times New Roman" w:hAnsi="Times New Roman" w:cs="Times New Roman"/>
          <w:b/>
          <w:sz w:val="24"/>
          <w:szCs w:val="24"/>
        </w:rPr>
        <w:t>Administrative Bulletin 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37ABA">
        <w:rPr>
          <w:rFonts w:ascii="Times New Roman" w:hAnsi="Times New Roman" w:cs="Times New Roman"/>
          <w:b/>
          <w:sz w:val="24"/>
          <w:szCs w:val="24"/>
        </w:rPr>
        <w:t>-</w:t>
      </w:r>
      <w:r w:rsidR="00724469">
        <w:rPr>
          <w:rFonts w:ascii="Times New Roman" w:hAnsi="Times New Roman" w:cs="Times New Roman"/>
          <w:b/>
          <w:sz w:val="24"/>
          <w:szCs w:val="24"/>
        </w:rPr>
        <w:t>23</w:t>
      </w:r>
    </w:p>
    <w:p w:rsidR="00AE5051" w:rsidRPr="00E37ABA" w:rsidRDefault="00AE5051" w:rsidP="00AE50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007" w:rsidRPr="00A15007" w:rsidRDefault="00A15007" w:rsidP="00A150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A15007">
        <w:rPr>
          <w:rFonts w:ascii="Times New Roman" w:hAnsi="Times New Roman" w:cs="Times New Roman"/>
          <w:b/>
          <w:bCs/>
          <w:color w:val="000000"/>
        </w:rPr>
        <w:t>101 CMR 320.00 Clinical Laboratory Services</w:t>
      </w:r>
    </w:p>
    <w:p w:rsidR="00AE5051" w:rsidRPr="00E37ABA" w:rsidRDefault="00AE5051" w:rsidP="00AE50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051" w:rsidRPr="00484E88" w:rsidRDefault="00AE5051" w:rsidP="00AE5051">
      <w:pPr>
        <w:jc w:val="center"/>
        <w:rPr>
          <w:rFonts w:ascii="Times New Roman" w:hAnsi="Times New Roman" w:cs="Times New Roman"/>
          <w:sz w:val="24"/>
          <w:szCs w:val="24"/>
        </w:rPr>
      </w:pPr>
      <w:r w:rsidRPr="00484E88">
        <w:rPr>
          <w:rFonts w:ascii="Times New Roman" w:hAnsi="Times New Roman" w:cs="Times New Roman"/>
          <w:sz w:val="24"/>
          <w:szCs w:val="24"/>
        </w:rPr>
        <w:t xml:space="preserve">Effective </w:t>
      </w:r>
      <w:r w:rsidR="0038481C">
        <w:rPr>
          <w:rFonts w:ascii="Times New Roman" w:hAnsi="Times New Roman" w:cs="Times New Roman"/>
          <w:sz w:val="24"/>
          <w:szCs w:val="24"/>
        </w:rPr>
        <w:t>January 1</w:t>
      </w:r>
      <w:r w:rsidRPr="00484E88">
        <w:rPr>
          <w:rFonts w:ascii="Times New Roman" w:hAnsi="Times New Roman" w:cs="Times New Roman"/>
          <w:sz w:val="24"/>
          <w:szCs w:val="24"/>
        </w:rPr>
        <w:t>, 2018</w:t>
      </w:r>
    </w:p>
    <w:p w:rsidR="00AE5051" w:rsidRPr="00E37ABA" w:rsidRDefault="00AE5051" w:rsidP="00AE50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051" w:rsidRPr="00E37ABA" w:rsidRDefault="002E716A" w:rsidP="00AE5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Procedure Code Update </w:t>
      </w:r>
    </w:p>
    <w:p w:rsidR="00AE5051" w:rsidRDefault="00AE5051" w:rsidP="002E71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007" w:rsidRPr="00A15007" w:rsidRDefault="00A15007" w:rsidP="00A15007">
      <w:pPr>
        <w:rPr>
          <w:rFonts w:ascii="Times New Roman" w:hAnsi="Times New Roman" w:cs="Times New Roman"/>
          <w:sz w:val="24"/>
          <w:szCs w:val="24"/>
        </w:rPr>
      </w:pPr>
      <w:r w:rsidRPr="00A15007">
        <w:rPr>
          <w:rFonts w:ascii="Times New Roman" w:hAnsi="Times New Roman" w:cs="Times New Roman"/>
          <w:sz w:val="24"/>
          <w:szCs w:val="24"/>
        </w:rPr>
        <w:t>Under the authority of regulation 101 CMR 320.01(3), the Executive Office of Health and Human Services is adding new procedure code</w:t>
      </w:r>
      <w:r w:rsidR="002E716A">
        <w:rPr>
          <w:rFonts w:ascii="Times New Roman" w:hAnsi="Times New Roman" w:cs="Times New Roman"/>
          <w:sz w:val="24"/>
          <w:szCs w:val="24"/>
        </w:rPr>
        <w:t xml:space="preserve">s and deleting outdated codes. </w:t>
      </w:r>
      <w:r w:rsidR="005237FC">
        <w:rPr>
          <w:rFonts w:ascii="Times New Roman" w:hAnsi="Times New Roman" w:cs="Times New Roman"/>
          <w:sz w:val="24"/>
          <w:szCs w:val="24"/>
        </w:rPr>
        <w:t>Per the regulation, t</w:t>
      </w:r>
      <w:r w:rsidRPr="00A15007">
        <w:rPr>
          <w:rFonts w:ascii="Times New Roman" w:hAnsi="Times New Roman" w:cs="Times New Roman"/>
          <w:sz w:val="24"/>
          <w:szCs w:val="24"/>
        </w:rPr>
        <w:t xml:space="preserve">he rates for code additions are priced at 74.67% of the prevailing Medicare </w:t>
      </w:r>
      <w:r w:rsidR="005237FC">
        <w:rPr>
          <w:rFonts w:ascii="Times New Roman" w:hAnsi="Times New Roman" w:cs="Times New Roman"/>
          <w:sz w:val="24"/>
          <w:szCs w:val="24"/>
        </w:rPr>
        <w:t>rate,</w:t>
      </w:r>
      <w:r w:rsidRPr="00A15007">
        <w:rPr>
          <w:rFonts w:ascii="Times New Roman" w:hAnsi="Times New Roman" w:cs="Times New Roman"/>
          <w:sz w:val="24"/>
          <w:szCs w:val="24"/>
        </w:rPr>
        <w:t xml:space="preserve"> if available</w:t>
      </w:r>
      <w:r w:rsidR="002E716A">
        <w:rPr>
          <w:rFonts w:ascii="Times New Roman" w:hAnsi="Times New Roman" w:cs="Times New Roman"/>
          <w:sz w:val="24"/>
          <w:szCs w:val="24"/>
        </w:rPr>
        <w:t xml:space="preserve">. </w:t>
      </w:r>
      <w:r w:rsidR="00BE0920">
        <w:rPr>
          <w:rFonts w:ascii="Times New Roman" w:hAnsi="Times New Roman" w:cs="Times New Roman"/>
          <w:sz w:val="24"/>
          <w:szCs w:val="24"/>
        </w:rPr>
        <w:t>If Medicare rates are unav</w:t>
      </w:r>
      <w:r w:rsidR="001A2430">
        <w:rPr>
          <w:rFonts w:ascii="Times New Roman" w:hAnsi="Times New Roman" w:cs="Times New Roman"/>
          <w:sz w:val="24"/>
          <w:szCs w:val="24"/>
        </w:rPr>
        <w:t xml:space="preserve">ailable, services are </w:t>
      </w:r>
      <w:r w:rsidR="00BE0920">
        <w:rPr>
          <w:rFonts w:ascii="Times New Roman" w:hAnsi="Times New Roman" w:cs="Times New Roman"/>
          <w:sz w:val="24"/>
          <w:szCs w:val="24"/>
        </w:rPr>
        <w:t xml:space="preserve">priced at individual consideration. </w:t>
      </w:r>
      <w:r w:rsidRPr="00A15007">
        <w:rPr>
          <w:rFonts w:ascii="Times New Roman" w:hAnsi="Times New Roman" w:cs="Times New Roman"/>
          <w:sz w:val="24"/>
          <w:szCs w:val="24"/>
        </w:rPr>
        <w:t>The rate for new code replacements were set at the rate previous</w:t>
      </w:r>
      <w:r w:rsidR="002E716A">
        <w:rPr>
          <w:rFonts w:ascii="Times New Roman" w:hAnsi="Times New Roman" w:cs="Times New Roman"/>
          <w:sz w:val="24"/>
          <w:szCs w:val="24"/>
        </w:rPr>
        <w:t xml:space="preserve">ly set for the replaced codes. </w:t>
      </w:r>
      <w:r w:rsidRPr="00A15007">
        <w:rPr>
          <w:rFonts w:ascii="Times New Roman" w:hAnsi="Times New Roman" w:cs="Times New Roman"/>
          <w:sz w:val="24"/>
          <w:szCs w:val="24"/>
        </w:rPr>
        <w:t xml:space="preserve">The changes, effective </w:t>
      </w:r>
      <w:r w:rsidR="002E716A">
        <w:rPr>
          <w:rFonts w:ascii="Times New Roman" w:hAnsi="Times New Roman" w:cs="Times New Roman"/>
          <w:sz w:val="24"/>
          <w:szCs w:val="24"/>
        </w:rPr>
        <w:t>January 1, 2018, are as follows.</w:t>
      </w:r>
      <w:r w:rsidRPr="00A15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051" w:rsidRDefault="00AE5051" w:rsidP="00AE50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1373"/>
        <w:gridCol w:w="1008"/>
        <w:gridCol w:w="6688"/>
      </w:tblGrid>
      <w:tr w:rsidR="00A15007" w:rsidRPr="00A15007" w:rsidTr="002E716A">
        <w:trPr>
          <w:trHeight w:val="170"/>
        </w:trPr>
        <w:tc>
          <w:tcPr>
            <w:tcW w:w="1011" w:type="dxa"/>
            <w:shd w:val="clear" w:color="auto" w:fill="auto"/>
            <w:vAlign w:val="center"/>
          </w:tcPr>
          <w:p w:rsidR="00A15007" w:rsidRPr="002E716A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 w:rsidRPr="002E716A">
              <w:rPr>
                <w:rFonts w:ascii="Times New Roman" w:hAnsi="Times New Roman" w:cs="Times New Roman"/>
                <w:b/>
                <w:color w:val="000000"/>
                <w:szCs w:val="22"/>
              </w:rPr>
              <w:t>Code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2E716A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 w:rsidRPr="002E716A">
              <w:rPr>
                <w:rFonts w:ascii="Times New Roman" w:hAnsi="Times New Roman" w:cs="Times New Roman"/>
                <w:b/>
                <w:color w:val="000000"/>
                <w:szCs w:val="22"/>
              </w:rPr>
              <w:t>Change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2E716A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 w:rsidRPr="002E716A">
              <w:rPr>
                <w:rFonts w:ascii="Times New Roman" w:hAnsi="Times New Roman" w:cs="Times New Roman"/>
                <w:b/>
                <w:color w:val="000000"/>
                <w:szCs w:val="22"/>
              </w:rPr>
              <w:t>Rate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2E716A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 w:rsidRPr="002E716A">
              <w:rPr>
                <w:rFonts w:ascii="Times New Roman" w:hAnsi="Times New Roman" w:cs="Times New Roman"/>
                <w:b/>
                <w:color w:val="000000"/>
                <w:szCs w:val="22"/>
              </w:rPr>
              <w:t>Code Description (if applicable)</w:t>
            </w: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81105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Addition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szCs w:val="22"/>
              </w:rPr>
            </w:pPr>
            <w:r w:rsidRPr="00A15007">
              <w:rPr>
                <w:rFonts w:ascii="Times New Roman" w:hAnsi="Times New Roman" w:cs="Times New Roman"/>
                <w:szCs w:val="22"/>
              </w:rPr>
              <w:t>$112.67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Human Platelet Antigen 1 genotyping (HPA-1), ITGB3 (integrin, beta 3 [platelet glycoprotein IIIa], antigen CD61 [GPIIIa]) (e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g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, neonatal alloimmune thrombocytopenia [NAIT], post-transfusion purpura), gene analysis, common variant, HPA-1a/b (L33P)</w:t>
            </w: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81106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Addition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szCs w:val="22"/>
              </w:rPr>
            </w:pPr>
            <w:r w:rsidRPr="00A15007">
              <w:rPr>
                <w:rFonts w:ascii="Times New Roman" w:hAnsi="Times New Roman" w:cs="Times New Roman"/>
                <w:szCs w:val="22"/>
              </w:rPr>
              <w:t>$112.67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Human Platelet Antigen 2 genotyping (HPA-2), GP1BA (glycoprotein Ib [platelet], alpha polypeptide [GPIba]) (e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g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, neonatal alloimmune thrombocytopenia [NAIT], post-transfusion purpura), gene analysis, common variant, HPA-2a/b (T145M)</w:t>
            </w: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81107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Addition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szCs w:val="22"/>
              </w:rPr>
            </w:pPr>
            <w:r w:rsidRPr="00A15007">
              <w:rPr>
                <w:rFonts w:ascii="Times New Roman" w:hAnsi="Times New Roman" w:cs="Times New Roman"/>
                <w:szCs w:val="22"/>
              </w:rPr>
              <w:t>$112.67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Human Platelet Antigen 3 genotyping (HPA-3), ITGA2B (integrin alpha 2b platelet glycoprotein IIb of Iib/IIIa complex], antigen CD41 [GPIIb]) (e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g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, neonatal alloimmune thrombocytopenia [NAIT], post-transfusion purpura), gene analysis, common variant, HPA-3a/b (I843S)</w:t>
            </w:r>
          </w:p>
        </w:tc>
      </w:tr>
      <w:tr w:rsidR="00A15007" w:rsidRPr="00A15007" w:rsidTr="002E716A">
        <w:trPr>
          <w:trHeight w:val="287"/>
        </w:trPr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81108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Addition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szCs w:val="22"/>
              </w:rPr>
            </w:pPr>
            <w:r w:rsidRPr="00A15007">
              <w:rPr>
                <w:rFonts w:ascii="Times New Roman" w:hAnsi="Times New Roman" w:cs="Times New Roman"/>
                <w:szCs w:val="22"/>
              </w:rPr>
              <w:t>$112.67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Human Platelet Antigen 4 genotyping (HPA-4), ITGB3 (integrin beta 3 [platelet glycoprotein IIIa], antigen CD61 [GPIIIa</w:t>
            </w:r>
            <w:r w:rsidRPr="00674853">
              <w:rPr>
                <w:rFonts w:ascii="Times New Roman" w:hAnsi="Times New Roman" w:cs="Times New Roman"/>
                <w:sz w:val="20"/>
              </w:rPr>
              <w:t>]) (e</w:t>
            </w:r>
            <w:r w:rsidR="00674853" w:rsidRPr="00674853">
              <w:rPr>
                <w:rFonts w:ascii="Times New Roman" w:hAnsi="Times New Roman" w:cs="Times New Roman"/>
                <w:sz w:val="20"/>
              </w:rPr>
              <w:t>.</w:t>
            </w:r>
            <w:r w:rsidRPr="00674853">
              <w:rPr>
                <w:rFonts w:ascii="Times New Roman" w:hAnsi="Times New Roman" w:cs="Times New Roman"/>
                <w:sz w:val="20"/>
              </w:rPr>
              <w:t>g</w:t>
            </w:r>
            <w:r w:rsidR="00674853" w:rsidRPr="00674853">
              <w:rPr>
                <w:rFonts w:ascii="Times New Roman" w:hAnsi="Times New Roman" w:cs="Times New Roman"/>
                <w:sz w:val="20"/>
              </w:rPr>
              <w:t xml:space="preserve">., </w:t>
            </w:r>
            <w:r w:rsidRPr="00A15007">
              <w:rPr>
                <w:rFonts w:ascii="Times New Roman" w:hAnsi="Times New Roman" w:cs="Times New Roman"/>
                <w:sz w:val="20"/>
              </w:rPr>
              <w:t>neonatal alloimmune thrombocytopenia [NAIT], post-transfusion purpura), gene analysis, common variant, HPA-4a/b (R143Q)</w:t>
            </w: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81109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Addition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szCs w:val="22"/>
              </w:rPr>
            </w:pPr>
            <w:r w:rsidRPr="00A15007">
              <w:rPr>
                <w:rFonts w:ascii="Times New Roman" w:hAnsi="Times New Roman" w:cs="Times New Roman"/>
                <w:szCs w:val="22"/>
              </w:rPr>
              <w:t>$112.67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Human Platelet Antigen 5 genotyping (HPA-5), ITGA2 (integrin alpha 2 subunit of VLA-2 receptor] [(GPla]) (e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g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, neonatal alloimmune thrombocytopenia [NAIT], post-transfusion purpura), gene analysis, common variant,(e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g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, HPA-5a/b (K505E))</w:t>
            </w: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81110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Addition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szCs w:val="22"/>
              </w:rPr>
            </w:pPr>
            <w:r w:rsidRPr="00A15007">
              <w:rPr>
                <w:rFonts w:ascii="Times New Roman" w:hAnsi="Times New Roman" w:cs="Times New Roman"/>
                <w:szCs w:val="22"/>
              </w:rPr>
              <w:t>$112.67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Human Platelet Antigen 6 genotyping (HPA-6w), ITGB3 (integrin beta 3 [platelet glycoprotein IIIa, antigen CD61] [GPIIIa]) (e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g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, neonatal alloimmune thrombocytopenia [NAIT], post-transfusion purpura), gene analysis, common variant, HPA-9a/b (R489Q)</w:t>
            </w: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81111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Addition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szCs w:val="22"/>
              </w:rPr>
            </w:pPr>
            <w:r w:rsidRPr="00A15007">
              <w:rPr>
                <w:rFonts w:ascii="Times New Roman" w:hAnsi="Times New Roman" w:cs="Times New Roman"/>
                <w:szCs w:val="22"/>
              </w:rPr>
              <w:t>$112.67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 xml:space="preserve">Human Platelet Antigen 9 genotyping (HPA-9w),  ITGA2B ( integrin, alpha 2b </w:t>
            </w:r>
            <w:r w:rsidRPr="00A15007">
              <w:rPr>
                <w:rFonts w:ascii="Times New Roman" w:hAnsi="Times New Roman" w:cs="Times New Roman"/>
                <w:sz w:val="20"/>
              </w:rPr>
              <w:lastRenderedPageBreak/>
              <w:t>(platelet glycoprotein IIb of IIb/IIIa complex, antigen CD41] [GPIIb]) (e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g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, neonatal alloimmune thrombocytopenia [NAIT], post-transfusion purpura), gene analysis, common variant, HPA-9a/b (V837M)</w:t>
            </w: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lastRenderedPageBreak/>
              <w:t>81112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Addition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szCs w:val="22"/>
              </w:rPr>
            </w:pPr>
            <w:r w:rsidRPr="00A15007">
              <w:rPr>
                <w:rFonts w:ascii="Times New Roman" w:hAnsi="Times New Roman" w:cs="Times New Roman"/>
                <w:szCs w:val="22"/>
              </w:rPr>
              <w:t>$112.67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Human Platelet Antigen 15 genotyping (HPA-15), CD109 (CD109 molecule) (e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g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, neonatal alloimmune thrombocytopenia [NAIT], post-transfusion purpura), gene analysis, common variant, HPA-15a/b (S682Y)</w:t>
            </w: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81120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Addition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szCs w:val="22"/>
              </w:rPr>
            </w:pPr>
            <w:r w:rsidRPr="00A15007">
              <w:rPr>
                <w:rFonts w:ascii="Times New Roman" w:hAnsi="Times New Roman" w:cs="Times New Roman"/>
                <w:szCs w:val="22"/>
              </w:rPr>
              <w:t>$144.30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IDH1 (isocitrate dehydrogenase 1 [NDDP+], soluble) (e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g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, glioma), common variants (e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g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, R132H, R132C)</w:t>
            </w: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81121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Addition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szCs w:val="22"/>
              </w:rPr>
            </w:pPr>
            <w:r w:rsidRPr="00A15007">
              <w:rPr>
                <w:rFonts w:ascii="Times New Roman" w:hAnsi="Times New Roman" w:cs="Times New Roman"/>
                <w:szCs w:val="22"/>
              </w:rPr>
              <w:t>$220.87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IDH2 (isocitrate dehydrogenase 2 [NDDP+], mitocho</w:t>
            </w:r>
            <w:r w:rsidR="00674853">
              <w:rPr>
                <w:rFonts w:ascii="Times New Roman" w:hAnsi="Times New Roman" w:cs="Times New Roman"/>
                <w:sz w:val="20"/>
              </w:rPr>
              <w:t>ndrial</w:t>
            </w:r>
            <w:r w:rsidRPr="00A15007">
              <w:rPr>
                <w:rFonts w:ascii="Times New Roman" w:hAnsi="Times New Roman" w:cs="Times New Roman"/>
                <w:sz w:val="20"/>
              </w:rPr>
              <w:t>) (</w:t>
            </w:r>
            <w:r w:rsidRPr="00674853">
              <w:rPr>
                <w:rFonts w:ascii="Times New Roman" w:hAnsi="Times New Roman" w:cs="Times New Roman"/>
                <w:sz w:val="20"/>
              </w:rPr>
              <w:t>e</w:t>
            </w:r>
            <w:r w:rsidR="00674853" w:rsidRPr="00674853">
              <w:rPr>
                <w:rFonts w:ascii="Times New Roman" w:hAnsi="Times New Roman" w:cs="Times New Roman"/>
                <w:sz w:val="20"/>
              </w:rPr>
              <w:t>.</w:t>
            </w:r>
            <w:r w:rsidRPr="00674853">
              <w:rPr>
                <w:rFonts w:ascii="Times New Roman" w:hAnsi="Times New Roman" w:cs="Times New Roman"/>
                <w:sz w:val="20"/>
              </w:rPr>
              <w:t>g</w:t>
            </w:r>
            <w:r w:rsidR="00674853" w:rsidRPr="00674853">
              <w:rPr>
                <w:rFonts w:ascii="Times New Roman" w:hAnsi="Times New Roman" w:cs="Times New Roman"/>
                <w:sz w:val="20"/>
              </w:rPr>
              <w:t>.</w:t>
            </w:r>
            <w:r w:rsidRPr="00674853">
              <w:rPr>
                <w:rFonts w:ascii="Times New Roman" w:hAnsi="Times New Roman" w:cs="Times New Roman"/>
                <w:sz w:val="20"/>
              </w:rPr>
              <w:t>,</w:t>
            </w:r>
            <w:r w:rsidRPr="00A15007">
              <w:rPr>
                <w:rFonts w:ascii="Times New Roman" w:hAnsi="Times New Roman" w:cs="Times New Roman"/>
                <w:sz w:val="20"/>
              </w:rPr>
              <w:t xml:space="preserve"> glioma), common variants (e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g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,R140W, R172M)</w:t>
            </w: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81175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Addition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szCs w:val="22"/>
              </w:rPr>
            </w:pPr>
            <w:r w:rsidRPr="00A15007">
              <w:rPr>
                <w:rFonts w:ascii="Times New Roman" w:hAnsi="Times New Roman" w:cs="Times New Roman"/>
                <w:szCs w:val="22"/>
              </w:rPr>
              <w:t>$527.93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674853" w:rsidP="002E716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ASXL (</w:t>
            </w:r>
            <w:r w:rsidR="00A15007" w:rsidRPr="00A15007">
              <w:rPr>
                <w:rFonts w:ascii="Times New Roman" w:hAnsi="Times New Roman" w:cs="Times New Roman"/>
                <w:sz w:val="20"/>
              </w:rPr>
              <w:t xml:space="preserve">additional sex combs like 1, transcriptional regulator) 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r w:rsidR="00A15007" w:rsidRPr="00674853">
              <w:rPr>
                <w:rFonts w:ascii="Times New Roman" w:hAnsi="Times New Roman" w:cs="Times New Roman"/>
                <w:sz w:val="20"/>
              </w:rPr>
              <w:t>e</w:t>
            </w:r>
            <w:r w:rsidRPr="00674853">
              <w:rPr>
                <w:rFonts w:ascii="Times New Roman" w:hAnsi="Times New Roman" w:cs="Times New Roman"/>
                <w:sz w:val="20"/>
              </w:rPr>
              <w:t>.</w:t>
            </w:r>
            <w:r w:rsidR="00A15007" w:rsidRPr="00674853">
              <w:rPr>
                <w:rFonts w:ascii="Times New Roman" w:hAnsi="Times New Roman" w:cs="Times New Roman"/>
                <w:sz w:val="20"/>
              </w:rPr>
              <w:t>g</w:t>
            </w:r>
            <w:r w:rsidRPr="00674853">
              <w:rPr>
                <w:rFonts w:ascii="Times New Roman" w:hAnsi="Times New Roman" w:cs="Times New Roman"/>
                <w:sz w:val="20"/>
              </w:rPr>
              <w:t>.</w:t>
            </w:r>
            <w:r w:rsidR="00A15007" w:rsidRPr="00674853">
              <w:rPr>
                <w:rFonts w:ascii="Times New Roman" w:hAnsi="Times New Roman" w:cs="Times New Roman"/>
                <w:sz w:val="20"/>
              </w:rPr>
              <w:t>,</w:t>
            </w:r>
            <w:r w:rsidR="00A15007" w:rsidRPr="00A15007">
              <w:rPr>
                <w:rFonts w:ascii="Times New Roman" w:hAnsi="Times New Roman" w:cs="Times New Roman"/>
                <w:sz w:val="20"/>
              </w:rPr>
              <w:t xml:space="preserve"> myeloproliferative neoplasms, chronic myelomonocytic leukemia), gene analysis; full gene sequence</w:t>
            </w: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81176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Addition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szCs w:val="22"/>
              </w:rPr>
            </w:pPr>
            <w:r w:rsidRPr="00A15007">
              <w:rPr>
                <w:rFonts w:ascii="Times New Roman" w:hAnsi="Times New Roman" w:cs="Times New Roman"/>
                <w:szCs w:val="22"/>
              </w:rPr>
              <w:t>$222.99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674853" w:rsidP="002E716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ASXL (</w:t>
            </w:r>
            <w:r w:rsidR="00A15007" w:rsidRPr="00A15007">
              <w:rPr>
                <w:rFonts w:ascii="Times New Roman" w:hAnsi="Times New Roman" w:cs="Times New Roman"/>
                <w:sz w:val="20"/>
              </w:rPr>
              <w:t>additional sex combs like</w:t>
            </w:r>
            <w:r>
              <w:rPr>
                <w:rFonts w:ascii="Times New Roman" w:hAnsi="Times New Roman" w:cs="Times New Roman"/>
                <w:sz w:val="20"/>
              </w:rPr>
              <w:t xml:space="preserve"> 1, transcriptional regulator) (</w:t>
            </w:r>
            <w:r w:rsidR="00A15007" w:rsidRPr="00A15007">
              <w:rPr>
                <w:rFonts w:ascii="Times New Roman" w:hAnsi="Times New Roman" w:cs="Times New Roman"/>
                <w:sz w:val="20"/>
              </w:rPr>
              <w:t>e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="00A15007" w:rsidRPr="00A15007">
              <w:rPr>
                <w:rFonts w:ascii="Times New Roman" w:hAnsi="Times New Roman" w:cs="Times New Roman"/>
                <w:sz w:val="20"/>
              </w:rPr>
              <w:t>g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="00A15007" w:rsidRPr="00A15007">
              <w:rPr>
                <w:rFonts w:ascii="Times New Roman" w:hAnsi="Times New Roman" w:cs="Times New Roman"/>
                <w:sz w:val="20"/>
              </w:rPr>
              <w:t>, myeloproliferative neoplasms, chronic myelomonocytic leukemia), gene analysis; targeted sequence analysis (e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="00A15007" w:rsidRPr="00A15007">
              <w:rPr>
                <w:rFonts w:ascii="Times New Roman" w:hAnsi="Times New Roman" w:cs="Times New Roman"/>
                <w:sz w:val="20"/>
              </w:rPr>
              <w:t>g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="00A15007" w:rsidRPr="00A15007">
              <w:rPr>
                <w:rFonts w:ascii="Times New Roman" w:hAnsi="Times New Roman" w:cs="Times New Roman"/>
                <w:sz w:val="20"/>
              </w:rPr>
              <w:t>, exon 12)</w:t>
            </w: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81230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Addition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szCs w:val="22"/>
              </w:rPr>
            </w:pPr>
            <w:r w:rsidRPr="00A15007">
              <w:rPr>
                <w:rFonts w:ascii="Times New Roman" w:hAnsi="Times New Roman" w:cs="Times New Roman"/>
                <w:szCs w:val="22"/>
              </w:rPr>
              <w:t>$130.53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CYP3A4 (cytochrome P450 family 3 subfamily A member 4) (e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g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, drug metabolism), gene analysis, common variants (e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g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, *2, *22),</w:t>
            </w: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81231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Addition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szCs w:val="22"/>
              </w:rPr>
            </w:pPr>
            <w:r w:rsidRPr="00A15007">
              <w:rPr>
                <w:rFonts w:ascii="Times New Roman" w:hAnsi="Times New Roman" w:cs="Times New Roman"/>
                <w:szCs w:val="22"/>
              </w:rPr>
              <w:t>$130.53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CYP3A5 (cytochrome P450 family 3 subfamily A member 5) (e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g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, drug metabolism), gene analysis, common variants (e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g</w:t>
            </w:r>
            <w:r w:rsidR="00674853">
              <w:rPr>
                <w:rFonts w:ascii="Times New Roman" w:hAnsi="Times New Roman" w:cs="Times New Roman"/>
                <w:sz w:val="20"/>
              </w:rPr>
              <w:t>.,</w:t>
            </w:r>
            <w:r w:rsidRPr="00A15007">
              <w:rPr>
                <w:rFonts w:ascii="Times New Roman" w:hAnsi="Times New Roman" w:cs="Times New Roman"/>
                <w:sz w:val="20"/>
              </w:rPr>
              <w:t xml:space="preserve"> *2, *3, *4, *5, *6, *7)</w:t>
            </w: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81232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Addition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szCs w:val="22"/>
              </w:rPr>
            </w:pPr>
            <w:r w:rsidRPr="00A15007">
              <w:rPr>
                <w:rFonts w:ascii="Times New Roman" w:hAnsi="Times New Roman" w:cs="Times New Roman"/>
                <w:szCs w:val="22"/>
              </w:rPr>
              <w:t>$130.53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DPYD (dihydropyrimidine dehydrogenase) (e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g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, 5-fluorouracil/5-FU and capecitabine drug metabolism), gene analysis, common variant(s) (e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g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, *2A, *4, *5, *6)</w:t>
            </w:r>
          </w:p>
        </w:tc>
      </w:tr>
      <w:tr w:rsidR="00A15007" w:rsidRPr="00A15007" w:rsidTr="002E716A">
        <w:trPr>
          <w:trHeight w:val="323"/>
        </w:trPr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81238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Addition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5007">
              <w:rPr>
                <w:rFonts w:ascii="Times New Roman" w:hAnsi="Times New Roman" w:cs="Times New Roman"/>
                <w:color w:val="000000"/>
                <w:szCs w:val="22"/>
              </w:rPr>
              <w:t>$448.02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F9 (coagulation factor IX) (e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g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, hemophilia B), full gene sequence</w:t>
            </w: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81247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Addition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5007">
              <w:rPr>
                <w:rFonts w:ascii="Times New Roman" w:hAnsi="Times New Roman" w:cs="Times New Roman"/>
                <w:color w:val="000000"/>
                <w:szCs w:val="22"/>
              </w:rPr>
              <w:t>$130.53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G6PD (glucose-6-phosphate dehydrogenase) (e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g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, hemolytic anemia, jaundice), gene analysis; common variant(s) (e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g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, A, A-)</w:t>
            </w: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81248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Addition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5007">
              <w:rPr>
                <w:rFonts w:ascii="Times New Roman" w:hAnsi="Times New Roman" w:cs="Times New Roman"/>
                <w:color w:val="000000"/>
                <w:szCs w:val="22"/>
              </w:rPr>
              <w:t>$280.20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G6PD (glucose-6-phosphate dehydrogenase) (e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g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, hemolytic anemia, jaundice), gene analysis; known familial variant(s)</w:t>
            </w:r>
          </w:p>
        </w:tc>
      </w:tr>
      <w:tr w:rsidR="00A15007" w:rsidRPr="00A15007" w:rsidTr="002E716A">
        <w:trPr>
          <w:trHeight w:val="278"/>
        </w:trPr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81249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Addition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5007">
              <w:rPr>
                <w:rFonts w:ascii="Times New Roman" w:hAnsi="Times New Roman" w:cs="Times New Roman"/>
                <w:color w:val="000000"/>
                <w:szCs w:val="22"/>
              </w:rPr>
              <w:t>$448.02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G6PD (glucose-6-phosphate dehydrogenase) (e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g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, hemolytic anemia, jaundice), gene analysis; full gene sequence</w:t>
            </w: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81258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Addition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5007">
              <w:rPr>
                <w:rFonts w:ascii="Times New Roman" w:hAnsi="Times New Roman" w:cs="Times New Roman"/>
                <w:color w:val="000000"/>
                <w:szCs w:val="22"/>
              </w:rPr>
              <w:t>$280.20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HBA1/HBA2 (alpha globin 1 and alpha globin 2) (e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g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, alpha thalassemia, Hb Bart hydrops fetalis syndrome, HbH disease), gene analysis; known familial variant</w:t>
            </w: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81259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Addition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5007">
              <w:rPr>
                <w:rFonts w:ascii="Times New Roman" w:hAnsi="Times New Roman" w:cs="Times New Roman"/>
                <w:color w:val="000000"/>
                <w:szCs w:val="22"/>
              </w:rPr>
              <w:t>$448.02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HBA1/HBA2 (alpha globin 1 and alpha globin 2) (e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g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, alpha thalassemia, Hb Bart hydrops fetalis syndrome, HbH disease), gene analysis; full gene analysis</w:t>
            </w: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81269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Addition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5007">
              <w:rPr>
                <w:rFonts w:ascii="Times New Roman" w:hAnsi="Times New Roman" w:cs="Times New Roman"/>
                <w:color w:val="000000"/>
                <w:szCs w:val="22"/>
              </w:rPr>
              <w:t>$151.13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HBA1/HBA2 (alpha globin 1 and alpha globin 2) (e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g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, alpha thalassemia, Hb Bart hydrops fetalis syndrome, HbH disease), gene analysis; duplication/deletion variants</w:t>
            </w: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81283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Addition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5007">
              <w:rPr>
                <w:rFonts w:ascii="Times New Roman" w:hAnsi="Times New Roman" w:cs="Times New Roman"/>
                <w:color w:val="000000"/>
                <w:szCs w:val="22"/>
              </w:rPr>
              <w:t>$56.33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IFNL3 (interferon, lambda 3) (e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g</w:t>
            </w:r>
            <w:r w:rsidR="00674853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, drug response), gene analysis, rs 12979860 variant</w:t>
            </w: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81328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Addition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5007">
              <w:rPr>
                <w:rFonts w:ascii="Times New Roman" w:hAnsi="Times New Roman" w:cs="Times New Roman"/>
                <w:color w:val="000000"/>
                <w:szCs w:val="22"/>
              </w:rPr>
              <w:t>$130.53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191C38" w:rsidP="002E716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SLCO1B1 (</w:t>
            </w:r>
            <w:r w:rsidR="00A15007" w:rsidRPr="00A15007">
              <w:rPr>
                <w:rFonts w:ascii="Times New Roman" w:hAnsi="Times New Roman" w:cs="Times New Roman"/>
                <w:sz w:val="20"/>
              </w:rPr>
              <w:t>solute carrier organic anion transporter family, member 1B1 (e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="00A15007" w:rsidRPr="00A15007">
              <w:rPr>
                <w:rFonts w:ascii="Times New Roman" w:hAnsi="Times New Roman" w:cs="Times New Roman"/>
                <w:sz w:val="20"/>
              </w:rPr>
              <w:t>g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="00A15007" w:rsidRPr="00A15007">
              <w:rPr>
                <w:rFonts w:ascii="Times New Roman" w:hAnsi="Times New Roman" w:cs="Times New Roman"/>
                <w:sz w:val="20"/>
              </w:rPr>
              <w:t>, adverse drug reaction), gene analysis, common variants(s) (e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="00A15007" w:rsidRPr="00A15007">
              <w:rPr>
                <w:rFonts w:ascii="Times New Roman" w:hAnsi="Times New Roman" w:cs="Times New Roman"/>
                <w:sz w:val="20"/>
              </w:rPr>
              <w:t>g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="00A15007" w:rsidRPr="00A15007">
              <w:rPr>
                <w:rFonts w:ascii="Times New Roman" w:hAnsi="Times New Roman" w:cs="Times New Roman"/>
                <w:sz w:val="20"/>
              </w:rPr>
              <w:t>,*5)</w:t>
            </w: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81334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Addition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5007">
              <w:rPr>
                <w:rFonts w:ascii="Times New Roman" w:hAnsi="Times New Roman" w:cs="Times New Roman"/>
                <w:color w:val="000000"/>
                <w:szCs w:val="22"/>
              </w:rPr>
              <w:t>$246.04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RUNX1 (runt related transcription factor 1) (e</w:t>
            </w:r>
            <w:r w:rsidR="00191C38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g</w:t>
            </w:r>
            <w:r w:rsidR="00191C38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, acute myeloid leukemia, familial platelet disorder with associated myeloid malignancy), gene analysis, targeted sequence analysis (e</w:t>
            </w:r>
            <w:r w:rsidR="00191C38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g</w:t>
            </w:r>
            <w:r w:rsidR="00191C38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, exons 3-8)</w:t>
            </w: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81335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Addition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5007">
              <w:rPr>
                <w:rFonts w:ascii="Times New Roman" w:hAnsi="Times New Roman" w:cs="Times New Roman"/>
                <w:color w:val="000000"/>
                <w:szCs w:val="22"/>
              </w:rPr>
              <w:t>$130.53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TPMT (thipurine S-methyltransferase) (e</w:t>
            </w:r>
            <w:r w:rsidR="00191C38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g</w:t>
            </w:r>
            <w:r w:rsidR="00191C38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, drug metabolism), gene analysis, common variants (e</w:t>
            </w:r>
            <w:r w:rsidR="00191C38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g</w:t>
            </w:r>
            <w:r w:rsidR="00191C38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, *2, *3)</w:t>
            </w: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81346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Addition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5007">
              <w:rPr>
                <w:rFonts w:ascii="Times New Roman" w:hAnsi="Times New Roman" w:cs="Times New Roman"/>
                <w:color w:val="000000"/>
                <w:szCs w:val="22"/>
              </w:rPr>
              <w:t>$130.53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TYMS (thymidylate synthetase) (e</w:t>
            </w:r>
            <w:r w:rsidR="000E149D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g</w:t>
            </w:r>
            <w:r w:rsidR="000E149D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, 5-fluorouracil/5-FU drug metabolism), gene analysis, common variant(s) (e</w:t>
            </w:r>
            <w:r w:rsidR="000E149D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g</w:t>
            </w:r>
            <w:r w:rsidR="000E149D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, tandem repeat variant)</w:t>
            </w: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81361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Addition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5007">
              <w:rPr>
                <w:rFonts w:ascii="Times New Roman" w:hAnsi="Times New Roman" w:cs="Times New Roman"/>
                <w:color w:val="000000"/>
                <w:szCs w:val="22"/>
              </w:rPr>
              <w:t>$130.53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HBB (hemoglobin, subunit beta) (e</w:t>
            </w:r>
            <w:r w:rsidR="00191C38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g</w:t>
            </w:r>
            <w:r w:rsidR="00191C38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, sickle cell anemia, beta thalassemia,</w:t>
            </w:r>
            <w:r w:rsidR="00B6218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15007">
              <w:rPr>
                <w:rFonts w:ascii="Times New Roman" w:hAnsi="Times New Roman" w:cs="Times New Roman"/>
                <w:sz w:val="20"/>
              </w:rPr>
              <w:t>hemoglobinopathy); common variant(s) (e</w:t>
            </w:r>
            <w:r w:rsidR="00191C38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g</w:t>
            </w:r>
            <w:r w:rsidR="00191C38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, HbS, HbC, HbE)</w:t>
            </w: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81362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Addition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5007">
              <w:rPr>
                <w:rFonts w:ascii="Times New Roman" w:hAnsi="Times New Roman" w:cs="Times New Roman"/>
                <w:color w:val="000000"/>
                <w:szCs w:val="22"/>
              </w:rPr>
              <w:t>$280.20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HBB (hemoglobin, subunit beta) (e</w:t>
            </w:r>
            <w:r w:rsidR="00191C38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g</w:t>
            </w:r>
            <w:r w:rsidR="00191C38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, sickle cell anemia, beta thalassemia,</w:t>
            </w:r>
            <w:r w:rsidR="00B6218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15007">
              <w:rPr>
                <w:rFonts w:ascii="Times New Roman" w:hAnsi="Times New Roman" w:cs="Times New Roman"/>
                <w:sz w:val="20"/>
              </w:rPr>
              <w:t>hemoglobinopathy); known familial variant(s)</w:t>
            </w: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81363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Addition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5007">
              <w:rPr>
                <w:rFonts w:ascii="Times New Roman" w:hAnsi="Times New Roman" w:cs="Times New Roman"/>
                <w:color w:val="000000"/>
                <w:szCs w:val="22"/>
              </w:rPr>
              <w:t>$151.13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HBB (hemoglobin, subunit beta) (e</w:t>
            </w:r>
            <w:r w:rsidR="00191C38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g</w:t>
            </w:r>
            <w:r w:rsidR="00191C38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, sickle cell anemia, beta thalassemia,</w:t>
            </w:r>
            <w:r w:rsidR="00B6218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15007">
              <w:rPr>
                <w:rFonts w:ascii="Times New Roman" w:hAnsi="Times New Roman" w:cs="Times New Roman"/>
                <w:sz w:val="20"/>
              </w:rPr>
              <w:t>hemoglobinopathy);</w:t>
            </w:r>
            <w:r w:rsidR="00191C3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15007">
              <w:rPr>
                <w:rFonts w:ascii="Times New Roman" w:hAnsi="Times New Roman" w:cs="Times New Roman"/>
                <w:sz w:val="20"/>
              </w:rPr>
              <w:t>duplication/deletion variant(s)</w:t>
            </w: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81364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Addition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5007">
              <w:rPr>
                <w:rFonts w:ascii="Times New Roman" w:hAnsi="Times New Roman" w:cs="Times New Roman"/>
                <w:color w:val="000000"/>
                <w:szCs w:val="22"/>
              </w:rPr>
              <w:t>$242.36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HBB (hemoglobin, subunit beta) (e</w:t>
            </w:r>
            <w:r w:rsidR="00191C38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g</w:t>
            </w:r>
            <w:r w:rsidR="00191C38">
              <w:rPr>
                <w:rFonts w:ascii="Times New Roman" w:hAnsi="Times New Roman" w:cs="Times New Roman"/>
                <w:sz w:val="20"/>
              </w:rPr>
              <w:t>.</w:t>
            </w:r>
            <w:r w:rsidRPr="00A15007">
              <w:rPr>
                <w:rFonts w:ascii="Times New Roman" w:hAnsi="Times New Roman" w:cs="Times New Roman"/>
                <w:sz w:val="20"/>
              </w:rPr>
              <w:t>, sickle cell anemia, beta thalassemia,</w:t>
            </w:r>
            <w:r w:rsidR="00B6218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15007">
              <w:rPr>
                <w:rFonts w:ascii="Times New Roman" w:hAnsi="Times New Roman" w:cs="Times New Roman"/>
                <w:sz w:val="20"/>
              </w:rPr>
              <w:t>hemoglobinopathy); full gene sequence</w:t>
            </w: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81448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Addition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5007">
              <w:rPr>
                <w:rFonts w:ascii="Times New Roman" w:hAnsi="Times New Roman" w:cs="Times New Roman"/>
                <w:color w:val="000000"/>
                <w:szCs w:val="22"/>
              </w:rPr>
              <w:t>$539.19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81520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Addition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5007">
              <w:rPr>
                <w:rFonts w:ascii="Times New Roman" w:hAnsi="Times New Roman" w:cs="Times New Roman"/>
                <w:color w:val="000000"/>
                <w:szCs w:val="22"/>
              </w:rPr>
              <w:t>$2314.04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 xml:space="preserve">Oncology (breast), mRNA gene expression profiling by hybrid capture of 58 </w:t>
            </w:r>
            <w:r w:rsidRPr="00A15007">
              <w:rPr>
                <w:rFonts w:ascii="Times New Roman" w:hAnsi="Times New Roman" w:cs="Times New Roman"/>
                <w:sz w:val="20"/>
              </w:rPr>
              <w:lastRenderedPageBreak/>
              <w:t>genes (50 content and 8 housekeeping), utilizing formalin-fixed paraffin-embedded tissue, algorit</w:t>
            </w:r>
            <w:r w:rsidR="000E149D">
              <w:rPr>
                <w:rFonts w:ascii="Times New Roman" w:hAnsi="Times New Roman" w:cs="Times New Roman"/>
                <w:sz w:val="20"/>
              </w:rPr>
              <w:t>hm reported as a recurrence risk</w:t>
            </w:r>
            <w:r w:rsidRPr="00A15007">
              <w:rPr>
                <w:rFonts w:ascii="Times New Roman" w:hAnsi="Times New Roman" w:cs="Times New Roman"/>
                <w:sz w:val="20"/>
              </w:rPr>
              <w:t xml:space="preserve"> score</w:t>
            </w: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lastRenderedPageBreak/>
              <w:t>81521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Addition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5007">
              <w:rPr>
                <w:rFonts w:ascii="Times New Roman" w:hAnsi="Times New Roman" w:cs="Times New Roman"/>
                <w:color w:val="000000"/>
                <w:szCs w:val="22"/>
              </w:rPr>
              <w:t>$2891.97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Oncology (breast), mRNA microarray gene expression profiling of 70 content genes and 465 housekeeping genes, utilizing fresh frozen or formalin-fixed paraffin-embedded tissue, algorithm reported as index related to risk or distant metasis</w:t>
            </w: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81541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Addition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5007">
              <w:rPr>
                <w:rFonts w:ascii="Times New Roman" w:hAnsi="Times New Roman" w:cs="Times New Roman"/>
                <w:color w:val="000000"/>
                <w:szCs w:val="22"/>
              </w:rPr>
              <w:t>$2891.97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Oncology (prostate), mRNA gene expression profiling by real-time RT-PCR of 46 genes (31 content and 15 housekeeping), utilizing formalin-fixed paraffin-embedded tissue, algorithm reported as a disease specific mortality risk score</w:t>
            </w: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81551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F42CCC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Addition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5007">
              <w:rPr>
                <w:rFonts w:ascii="Times New Roman" w:hAnsi="Times New Roman" w:cs="Times New Roman"/>
                <w:color w:val="000000"/>
                <w:szCs w:val="22"/>
              </w:rPr>
              <w:t>$2314.04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Oncology (prostate), promoter methylation profiling by real-time PCR of 3 genes (GSTP1, APC, RASSF1), utilizing formalin-fixed paraffin-embedded tissue, algorithm reported as a likelihood of</w:t>
            </w:r>
            <w:r w:rsidR="00B6218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15007">
              <w:rPr>
                <w:rFonts w:ascii="Times New Roman" w:hAnsi="Times New Roman" w:cs="Times New Roman"/>
                <w:sz w:val="20"/>
              </w:rPr>
              <w:t>prostate cancer detection on repeat biopsy</w:t>
            </w: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83499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Discontinued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84061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Discontinued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86008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Addition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5007">
              <w:rPr>
                <w:rFonts w:ascii="Times New Roman" w:hAnsi="Times New Roman" w:cs="Times New Roman"/>
                <w:color w:val="000000"/>
                <w:szCs w:val="22"/>
              </w:rPr>
              <w:t>$16.53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Allergen specific IgE; quantitative or semi quantitative, recombinant or purified component, each</w:t>
            </w: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86185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Discontinued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86243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Discontinued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86378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Discontinued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86729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Discontinued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86794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Addition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5007">
              <w:rPr>
                <w:rFonts w:ascii="Times New Roman" w:hAnsi="Times New Roman" w:cs="Times New Roman"/>
                <w:color w:val="000000"/>
                <w:szCs w:val="22"/>
              </w:rPr>
              <w:t>$15.53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Zika virus, IgM</w:t>
            </w: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86822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Discontinued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87277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Discontinued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87470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Discontinued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87477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Discontinued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87515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Discontinued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87634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Addition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5007">
              <w:rPr>
                <w:rFonts w:ascii="Times New Roman" w:hAnsi="Times New Roman" w:cs="Times New Roman"/>
                <w:color w:val="000000"/>
                <w:szCs w:val="22"/>
              </w:rPr>
              <w:t>$64.71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Respiratory syncytial virus, amplified probe technique</w:t>
            </w: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87662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Addition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5007">
              <w:rPr>
                <w:rFonts w:ascii="Times New Roman" w:hAnsi="Times New Roman" w:cs="Times New Roman"/>
                <w:color w:val="000000"/>
                <w:szCs w:val="22"/>
              </w:rPr>
              <w:t>$47.30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Zika Virus, amplified probe technique</w:t>
            </w:r>
          </w:p>
        </w:tc>
      </w:tr>
      <w:tr w:rsidR="00A15007" w:rsidRPr="00A15007" w:rsidTr="002E716A">
        <w:tc>
          <w:tcPr>
            <w:tcW w:w="1011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88154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  <w:r w:rsidRPr="00A15007">
              <w:rPr>
                <w:rFonts w:ascii="Times New Roman" w:hAnsi="Times New Roman" w:cs="Times New Roman"/>
                <w:sz w:val="20"/>
              </w:rPr>
              <w:t>Discontinued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15007" w:rsidRPr="00A15007" w:rsidRDefault="00A15007" w:rsidP="002E716A">
            <w:pPr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:rsidR="00A15007" w:rsidRPr="00A15007" w:rsidRDefault="00A15007" w:rsidP="002E716A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15007" w:rsidRDefault="00A15007" w:rsidP="00AE5051">
      <w:pPr>
        <w:rPr>
          <w:rFonts w:ascii="Times New Roman" w:hAnsi="Times New Roman" w:cs="Times New Roman"/>
          <w:sz w:val="24"/>
          <w:szCs w:val="24"/>
        </w:rPr>
      </w:pPr>
    </w:p>
    <w:p w:rsidR="00AE5051" w:rsidRDefault="00AE5051" w:rsidP="00AE5051">
      <w:pPr>
        <w:tabs>
          <w:tab w:val="left" w:pos="1440"/>
          <w:tab w:val="center" w:pos="4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051" w:rsidRDefault="00AE5051" w:rsidP="00AE5051">
      <w:pPr>
        <w:tabs>
          <w:tab w:val="left" w:pos="1440"/>
          <w:tab w:val="center" w:pos="4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051" w:rsidRDefault="00AE5051" w:rsidP="00AE5051">
      <w:pPr>
        <w:tabs>
          <w:tab w:val="left" w:pos="1440"/>
          <w:tab w:val="center" w:pos="49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E5051" w:rsidRDefault="00AE5051" w:rsidP="00AE5051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:rsidR="00AE5051" w:rsidRDefault="00AE5051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sectPr w:rsidR="00AE5051" w:rsidSect="00561E84">
      <w:footerReference w:type="even" r:id="rId10"/>
      <w:footerReference w:type="default" r:id="rId11"/>
      <w:footerReference w:type="first" r:id="rId12"/>
      <w:pgSz w:w="12240" w:h="15840" w:code="1"/>
      <w:pgMar w:top="720" w:right="1080" w:bottom="1080" w:left="108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200" w:rsidRDefault="00C72200">
      <w:r>
        <w:separator/>
      </w:r>
    </w:p>
  </w:endnote>
  <w:endnote w:type="continuationSeparator" w:id="0">
    <w:p w:rsidR="00C72200" w:rsidRDefault="00C7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DC" w:rsidRDefault="001066DC" w:rsidP="00106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66DC" w:rsidRDefault="001066DC" w:rsidP="001066D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DC" w:rsidRPr="001066DC" w:rsidRDefault="001066DC" w:rsidP="001066DC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1066DC">
      <w:rPr>
        <w:rStyle w:val="PageNumber"/>
        <w:rFonts w:ascii="Times New Roman" w:hAnsi="Times New Roman" w:cs="Times New Roman"/>
      </w:rPr>
      <w:fldChar w:fldCharType="begin"/>
    </w:r>
    <w:r w:rsidRPr="001066DC">
      <w:rPr>
        <w:rStyle w:val="PageNumber"/>
        <w:rFonts w:ascii="Times New Roman" w:hAnsi="Times New Roman" w:cs="Times New Roman"/>
      </w:rPr>
      <w:instrText xml:space="preserve">PAGE  </w:instrText>
    </w:r>
    <w:r w:rsidRPr="001066DC">
      <w:rPr>
        <w:rStyle w:val="PageNumber"/>
        <w:rFonts w:ascii="Times New Roman" w:hAnsi="Times New Roman" w:cs="Times New Roman"/>
      </w:rPr>
      <w:fldChar w:fldCharType="separate"/>
    </w:r>
    <w:r w:rsidR="0065488B">
      <w:rPr>
        <w:rStyle w:val="PageNumber"/>
        <w:rFonts w:ascii="Times New Roman" w:hAnsi="Times New Roman" w:cs="Times New Roman"/>
        <w:noProof/>
      </w:rPr>
      <w:t>3</w:t>
    </w:r>
    <w:r w:rsidRPr="001066DC">
      <w:rPr>
        <w:rStyle w:val="PageNumber"/>
        <w:rFonts w:ascii="Times New Roman" w:hAnsi="Times New Roman" w:cs="Times New Roman"/>
      </w:rPr>
      <w:fldChar w:fldCharType="end"/>
    </w:r>
  </w:p>
  <w:p w:rsidR="001066DC" w:rsidRDefault="001066DC" w:rsidP="001066D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F94" w:rsidRDefault="00AF6191">
    <w:pPr>
      <w:pStyle w:val="Footer"/>
    </w:pPr>
    <w:r>
      <w:rPr>
        <w:noProof/>
      </w:rPr>
      <w:drawing>
        <wp:inline distT="0" distB="0" distL="0" distR="0">
          <wp:extent cx="187325" cy="187325"/>
          <wp:effectExtent l="0" t="0" r="3175" b="3175"/>
          <wp:docPr id="1" name="Picture 1" descr="Recycle_b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_bk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" cy="18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200" w:rsidRDefault="00C72200">
      <w:r>
        <w:separator/>
      </w:r>
    </w:p>
  </w:footnote>
  <w:footnote w:type="continuationSeparator" w:id="0">
    <w:p w:rsidR="00C72200" w:rsidRDefault="00C72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04BEF"/>
    <w:multiLevelType w:val="hybridMultilevel"/>
    <w:tmpl w:val="77C05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8D6D28"/>
    <w:multiLevelType w:val="hybridMultilevel"/>
    <w:tmpl w:val="B96C0A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3C7F80"/>
    <w:multiLevelType w:val="hybridMultilevel"/>
    <w:tmpl w:val="D8AE4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C50F4A"/>
    <w:multiLevelType w:val="hybridMultilevel"/>
    <w:tmpl w:val="D7F45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B57FFA"/>
    <w:multiLevelType w:val="hybridMultilevel"/>
    <w:tmpl w:val="FDC40500"/>
    <w:lvl w:ilvl="0" w:tplc="D1B835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91"/>
    <w:rsid w:val="00000EC4"/>
    <w:rsid w:val="000218F6"/>
    <w:rsid w:val="0003631E"/>
    <w:rsid w:val="00060CB1"/>
    <w:rsid w:val="00064F04"/>
    <w:rsid w:val="000D1437"/>
    <w:rsid w:val="000E02D6"/>
    <w:rsid w:val="000E149D"/>
    <w:rsid w:val="000F2FB3"/>
    <w:rsid w:val="001060CB"/>
    <w:rsid w:val="001066DC"/>
    <w:rsid w:val="0011159B"/>
    <w:rsid w:val="001145CC"/>
    <w:rsid w:val="0014797B"/>
    <w:rsid w:val="00151378"/>
    <w:rsid w:val="00166B88"/>
    <w:rsid w:val="00170C17"/>
    <w:rsid w:val="001738D7"/>
    <w:rsid w:val="00186186"/>
    <w:rsid w:val="00191C38"/>
    <w:rsid w:val="001A2430"/>
    <w:rsid w:val="001A4FFD"/>
    <w:rsid w:val="001B1E05"/>
    <w:rsid w:val="001B3F94"/>
    <w:rsid w:val="001C3CAB"/>
    <w:rsid w:val="001E2AD0"/>
    <w:rsid w:val="001E7C3D"/>
    <w:rsid w:val="00206158"/>
    <w:rsid w:val="00206A7D"/>
    <w:rsid w:val="0020717F"/>
    <w:rsid w:val="00215CAD"/>
    <w:rsid w:val="00223B9F"/>
    <w:rsid w:val="00230E81"/>
    <w:rsid w:val="002520D5"/>
    <w:rsid w:val="002555B1"/>
    <w:rsid w:val="002630E2"/>
    <w:rsid w:val="00266394"/>
    <w:rsid w:val="00266A2F"/>
    <w:rsid w:val="00266AB2"/>
    <w:rsid w:val="002A53A2"/>
    <w:rsid w:val="002B591E"/>
    <w:rsid w:val="002D360A"/>
    <w:rsid w:val="002E716A"/>
    <w:rsid w:val="002F28A5"/>
    <w:rsid w:val="00306619"/>
    <w:rsid w:val="00311FEC"/>
    <w:rsid w:val="00321E6E"/>
    <w:rsid w:val="00330313"/>
    <w:rsid w:val="0034590C"/>
    <w:rsid w:val="0038331B"/>
    <w:rsid w:val="0038481C"/>
    <w:rsid w:val="00386BCD"/>
    <w:rsid w:val="00395400"/>
    <w:rsid w:val="003C2E3A"/>
    <w:rsid w:val="003C770E"/>
    <w:rsid w:val="003D6EEC"/>
    <w:rsid w:val="004016AD"/>
    <w:rsid w:val="00460463"/>
    <w:rsid w:val="00466B35"/>
    <w:rsid w:val="0047119B"/>
    <w:rsid w:val="00484E88"/>
    <w:rsid w:val="004B2B19"/>
    <w:rsid w:val="004B6AAF"/>
    <w:rsid w:val="004C4EF4"/>
    <w:rsid w:val="005049C6"/>
    <w:rsid w:val="005237FC"/>
    <w:rsid w:val="00535125"/>
    <w:rsid w:val="0054227E"/>
    <w:rsid w:val="0054689D"/>
    <w:rsid w:val="00556A92"/>
    <w:rsid w:val="00561E84"/>
    <w:rsid w:val="00564F8A"/>
    <w:rsid w:val="00565008"/>
    <w:rsid w:val="005A0778"/>
    <w:rsid w:val="005B7224"/>
    <w:rsid w:val="005D4C06"/>
    <w:rsid w:val="005E18E5"/>
    <w:rsid w:val="005F2412"/>
    <w:rsid w:val="006056CD"/>
    <w:rsid w:val="00605AAA"/>
    <w:rsid w:val="00613AFF"/>
    <w:rsid w:val="0062626E"/>
    <w:rsid w:val="00627028"/>
    <w:rsid w:val="0065488B"/>
    <w:rsid w:val="0067334C"/>
    <w:rsid w:val="00674853"/>
    <w:rsid w:val="006853A1"/>
    <w:rsid w:val="006950AA"/>
    <w:rsid w:val="006B535E"/>
    <w:rsid w:val="006C043F"/>
    <w:rsid w:val="006C2607"/>
    <w:rsid w:val="006C4963"/>
    <w:rsid w:val="006F7489"/>
    <w:rsid w:val="00724469"/>
    <w:rsid w:val="007302B1"/>
    <w:rsid w:val="00751EAB"/>
    <w:rsid w:val="00760514"/>
    <w:rsid w:val="00773BF3"/>
    <w:rsid w:val="007802E3"/>
    <w:rsid w:val="00790DDE"/>
    <w:rsid w:val="00793B01"/>
    <w:rsid w:val="007A097E"/>
    <w:rsid w:val="007A44F0"/>
    <w:rsid w:val="007D5150"/>
    <w:rsid w:val="007D5819"/>
    <w:rsid w:val="007E3366"/>
    <w:rsid w:val="007F34FB"/>
    <w:rsid w:val="007F4C57"/>
    <w:rsid w:val="007F7071"/>
    <w:rsid w:val="008065C3"/>
    <w:rsid w:val="008138ED"/>
    <w:rsid w:val="0082262F"/>
    <w:rsid w:val="00840BA7"/>
    <w:rsid w:val="00845E9D"/>
    <w:rsid w:val="00846EFD"/>
    <w:rsid w:val="008747C6"/>
    <w:rsid w:val="0088100C"/>
    <w:rsid w:val="00882DB4"/>
    <w:rsid w:val="0088352A"/>
    <w:rsid w:val="008A24E6"/>
    <w:rsid w:val="008A2608"/>
    <w:rsid w:val="009271D7"/>
    <w:rsid w:val="0093212C"/>
    <w:rsid w:val="0093489F"/>
    <w:rsid w:val="00947481"/>
    <w:rsid w:val="00951C89"/>
    <w:rsid w:val="00955834"/>
    <w:rsid w:val="00960FD3"/>
    <w:rsid w:val="00961654"/>
    <w:rsid w:val="00962923"/>
    <w:rsid w:val="00983941"/>
    <w:rsid w:val="0099568A"/>
    <w:rsid w:val="0099721B"/>
    <w:rsid w:val="00997297"/>
    <w:rsid w:val="009A0800"/>
    <w:rsid w:val="009A711C"/>
    <w:rsid w:val="009B5726"/>
    <w:rsid w:val="009B6C0A"/>
    <w:rsid w:val="009D273F"/>
    <w:rsid w:val="009E5F63"/>
    <w:rsid w:val="009E7BED"/>
    <w:rsid w:val="009F243C"/>
    <w:rsid w:val="009F77FD"/>
    <w:rsid w:val="009F7DCC"/>
    <w:rsid w:val="00A12B16"/>
    <w:rsid w:val="00A15007"/>
    <w:rsid w:val="00A152D4"/>
    <w:rsid w:val="00A20582"/>
    <w:rsid w:val="00A20E9A"/>
    <w:rsid w:val="00A32FEA"/>
    <w:rsid w:val="00A42891"/>
    <w:rsid w:val="00A52D97"/>
    <w:rsid w:val="00A77971"/>
    <w:rsid w:val="00A934F9"/>
    <w:rsid w:val="00AA115F"/>
    <w:rsid w:val="00AB0061"/>
    <w:rsid w:val="00AB687F"/>
    <w:rsid w:val="00AB721E"/>
    <w:rsid w:val="00AD6895"/>
    <w:rsid w:val="00AE0DA5"/>
    <w:rsid w:val="00AE3401"/>
    <w:rsid w:val="00AE5051"/>
    <w:rsid w:val="00AE64ED"/>
    <w:rsid w:val="00AF0179"/>
    <w:rsid w:val="00AF6191"/>
    <w:rsid w:val="00B2602D"/>
    <w:rsid w:val="00B308F1"/>
    <w:rsid w:val="00B43A86"/>
    <w:rsid w:val="00B5467F"/>
    <w:rsid w:val="00B6218F"/>
    <w:rsid w:val="00B67BA9"/>
    <w:rsid w:val="00B95039"/>
    <w:rsid w:val="00BA585A"/>
    <w:rsid w:val="00BB6F19"/>
    <w:rsid w:val="00BE0920"/>
    <w:rsid w:val="00C155DE"/>
    <w:rsid w:val="00C31BCC"/>
    <w:rsid w:val="00C35B18"/>
    <w:rsid w:val="00C43D89"/>
    <w:rsid w:val="00C46D18"/>
    <w:rsid w:val="00C54AED"/>
    <w:rsid w:val="00C62306"/>
    <w:rsid w:val="00C72200"/>
    <w:rsid w:val="00C72F82"/>
    <w:rsid w:val="00C91491"/>
    <w:rsid w:val="00C92130"/>
    <w:rsid w:val="00C95BD9"/>
    <w:rsid w:val="00CB2C18"/>
    <w:rsid w:val="00CC1031"/>
    <w:rsid w:val="00D01866"/>
    <w:rsid w:val="00D05D6A"/>
    <w:rsid w:val="00D2459B"/>
    <w:rsid w:val="00D73367"/>
    <w:rsid w:val="00D764D3"/>
    <w:rsid w:val="00D87E5A"/>
    <w:rsid w:val="00D911CD"/>
    <w:rsid w:val="00D9168C"/>
    <w:rsid w:val="00D967D8"/>
    <w:rsid w:val="00DA27AF"/>
    <w:rsid w:val="00DA39D8"/>
    <w:rsid w:val="00DB0922"/>
    <w:rsid w:val="00DC4C74"/>
    <w:rsid w:val="00DC7E3F"/>
    <w:rsid w:val="00DE096B"/>
    <w:rsid w:val="00DE0FB9"/>
    <w:rsid w:val="00DE2B81"/>
    <w:rsid w:val="00DF4DC6"/>
    <w:rsid w:val="00E20B5A"/>
    <w:rsid w:val="00E236AA"/>
    <w:rsid w:val="00E3082D"/>
    <w:rsid w:val="00E8458C"/>
    <w:rsid w:val="00E93963"/>
    <w:rsid w:val="00EA042C"/>
    <w:rsid w:val="00EB008B"/>
    <w:rsid w:val="00EB1CEA"/>
    <w:rsid w:val="00EB47C8"/>
    <w:rsid w:val="00EF33E8"/>
    <w:rsid w:val="00F0626C"/>
    <w:rsid w:val="00F243E6"/>
    <w:rsid w:val="00F32956"/>
    <w:rsid w:val="00F34242"/>
    <w:rsid w:val="00F42CCC"/>
    <w:rsid w:val="00F577D6"/>
    <w:rsid w:val="00F65CA3"/>
    <w:rsid w:val="00F8017E"/>
    <w:rsid w:val="00F87454"/>
    <w:rsid w:val="00FC12A0"/>
    <w:rsid w:val="00FC1F58"/>
    <w:rsid w:val="00FC25AE"/>
    <w:rsid w:val="00FD3986"/>
    <w:rsid w:val="00FD66E8"/>
    <w:rsid w:val="00FF5262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customStyle="1" w:styleId="Body2">
    <w:name w:val="Body2"/>
    <w:basedOn w:val="BodyTextIndent"/>
    <w:uiPriority w:val="99"/>
    <w:rsid w:val="00AE5051"/>
    <w:pPr>
      <w:spacing w:after="240"/>
    </w:pPr>
    <w:rPr>
      <w:rFonts w:ascii="Times New Roman" w:hAnsi="Times New Roman" w:cs="Times New Roman"/>
      <w:sz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AE505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AE5051"/>
    <w:rPr>
      <w:rFonts w:ascii="Arial" w:hAnsi="Arial" w:cs="Arial"/>
      <w:sz w:val="22"/>
    </w:rPr>
  </w:style>
  <w:style w:type="character" w:styleId="CommentReference">
    <w:name w:val="annotation reference"/>
    <w:rsid w:val="00A12B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2B16"/>
    <w:rPr>
      <w:sz w:val="20"/>
    </w:rPr>
  </w:style>
  <w:style w:type="character" w:customStyle="1" w:styleId="CommentTextChar">
    <w:name w:val="Comment Text Char"/>
    <w:link w:val="CommentText"/>
    <w:rsid w:val="00A12B16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A12B16"/>
    <w:rPr>
      <w:b/>
      <w:bCs/>
    </w:rPr>
  </w:style>
  <w:style w:type="character" w:customStyle="1" w:styleId="CommentSubjectChar">
    <w:name w:val="Comment Subject Char"/>
    <w:link w:val="CommentSubject"/>
    <w:rsid w:val="00A12B16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A12B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12B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customStyle="1" w:styleId="Body2">
    <w:name w:val="Body2"/>
    <w:basedOn w:val="BodyTextIndent"/>
    <w:uiPriority w:val="99"/>
    <w:rsid w:val="00AE5051"/>
    <w:pPr>
      <w:spacing w:after="240"/>
    </w:pPr>
    <w:rPr>
      <w:rFonts w:ascii="Times New Roman" w:hAnsi="Times New Roman" w:cs="Times New Roman"/>
      <w:sz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AE505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AE5051"/>
    <w:rPr>
      <w:rFonts w:ascii="Arial" w:hAnsi="Arial" w:cs="Arial"/>
      <w:sz w:val="22"/>
    </w:rPr>
  </w:style>
  <w:style w:type="character" w:styleId="CommentReference">
    <w:name w:val="annotation reference"/>
    <w:rsid w:val="00A12B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2B16"/>
    <w:rPr>
      <w:sz w:val="20"/>
    </w:rPr>
  </w:style>
  <w:style w:type="character" w:customStyle="1" w:styleId="CommentTextChar">
    <w:name w:val="Comment Text Char"/>
    <w:link w:val="CommentText"/>
    <w:rsid w:val="00A12B16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A12B16"/>
    <w:rPr>
      <w:b/>
      <w:bCs/>
    </w:rPr>
  </w:style>
  <w:style w:type="character" w:customStyle="1" w:styleId="CommentSubjectChar">
    <w:name w:val="Comment Subject Char"/>
    <w:link w:val="CommentSubject"/>
    <w:rsid w:val="00A12B16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A12B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12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4A9AD-74AF-4943-8D3C-0505CE98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1024</Words>
  <Characters>7201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Administrator</cp:lastModifiedBy>
  <cp:revision>2</cp:revision>
  <cp:lastPrinted>2016-03-10T16:00:00Z</cp:lastPrinted>
  <dcterms:created xsi:type="dcterms:W3CDTF">2018-10-29T12:16:00Z</dcterms:created>
  <dcterms:modified xsi:type="dcterms:W3CDTF">2018-10-29T12:16:00Z</dcterms:modified>
</cp:coreProperties>
</file>