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1B268D" w:rsidRDefault="00C4145B" w:rsidP="00C4145B">
      <w:pPr>
        <w:ind w:left="-1080"/>
      </w:pPr>
      <w:r w:rsidRPr="001B268D">
        <w:rPr>
          <w:noProof/>
        </w:rPr>
        <w:drawing>
          <wp:inline distT="0" distB="0" distL="0" distR="0" wp14:anchorId="36B8F0A3" wp14:editId="6FF47314">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1B268D" w:rsidRDefault="007D5819" w:rsidP="00A65D75">
      <w:pPr>
        <w:pStyle w:val="Heading1"/>
        <w:rPr>
          <w:bCs/>
          <w:iCs/>
        </w:rPr>
      </w:pPr>
      <w:r w:rsidRPr="001B268D">
        <w:t xml:space="preserve">Administrative Bulletin </w:t>
      </w:r>
      <w:r w:rsidR="00A65D75" w:rsidRPr="001B268D">
        <w:rPr>
          <w:bCs/>
          <w:iCs/>
        </w:rPr>
        <w:t>19-06</w:t>
      </w:r>
    </w:p>
    <w:p w:rsidR="00A65D75" w:rsidRPr="001B268D" w:rsidRDefault="00A65D75" w:rsidP="00A65D75">
      <w:pPr>
        <w:rPr>
          <w:rFonts w:eastAsia="Calibri"/>
        </w:rPr>
      </w:pPr>
    </w:p>
    <w:p w:rsidR="00A65D75" w:rsidRPr="001B268D" w:rsidRDefault="00A65D75" w:rsidP="00A65D75">
      <w:pPr>
        <w:autoSpaceDE w:val="0"/>
        <w:autoSpaceDN w:val="0"/>
        <w:adjustRightInd w:val="0"/>
        <w:jc w:val="center"/>
        <w:rPr>
          <w:rFonts w:ascii="Times New Roman" w:hAnsi="Times New Roman" w:cs="Times New Roman"/>
          <w:b/>
          <w:bCs/>
          <w:sz w:val="24"/>
        </w:rPr>
      </w:pPr>
      <w:r w:rsidRPr="001B268D">
        <w:rPr>
          <w:rFonts w:ascii="Times New Roman" w:hAnsi="Times New Roman" w:cs="Times New Roman"/>
          <w:b/>
          <w:bCs/>
          <w:sz w:val="24"/>
        </w:rPr>
        <w:t>101 CMR 320.00 Clinical Laboratory Services</w:t>
      </w:r>
    </w:p>
    <w:p w:rsidR="007D5819" w:rsidRPr="001B268D" w:rsidRDefault="007D5819" w:rsidP="007D5819">
      <w:pPr>
        <w:jc w:val="center"/>
        <w:rPr>
          <w:b/>
        </w:rPr>
      </w:pPr>
    </w:p>
    <w:p w:rsidR="007D5819" w:rsidRPr="001B268D" w:rsidRDefault="007D5819" w:rsidP="007D5819">
      <w:pPr>
        <w:spacing w:after="240"/>
        <w:jc w:val="center"/>
        <w:rPr>
          <w:rFonts w:ascii="Times New Roman" w:eastAsia="Calibri" w:hAnsi="Times New Roman" w:cs="Times New Roman"/>
          <w:szCs w:val="22"/>
        </w:rPr>
      </w:pPr>
      <w:r w:rsidRPr="001B268D">
        <w:rPr>
          <w:rFonts w:ascii="Times New Roman" w:eastAsia="Calibri" w:hAnsi="Times New Roman" w:cs="Times New Roman"/>
          <w:szCs w:val="22"/>
        </w:rPr>
        <w:t xml:space="preserve">Effective </w:t>
      </w:r>
      <w:r w:rsidR="00A65D75" w:rsidRPr="001B268D">
        <w:rPr>
          <w:rFonts w:ascii="Times New Roman" w:eastAsia="Calibri" w:hAnsi="Times New Roman" w:cs="Times New Roman"/>
          <w:szCs w:val="22"/>
        </w:rPr>
        <w:t>January 1, 2019</w:t>
      </w:r>
    </w:p>
    <w:p w:rsidR="00A65D75" w:rsidRPr="001B268D" w:rsidRDefault="00A65D75" w:rsidP="00AB387F">
      <w:pPr>
        <w:autoSpaceDE w:val="0"/>
        <w:autoSpaceDN w:val="0"/>
        <w:adjustRightInd w:val="0"/>
        <w:spacing w:after="480"/>
        <w:jc w:val="center"/>
        <w:rPr>
          <w:rFonts w:ascii="Times New Roman" w:hAnsi="Times New Roman" w:cs="Times New Roman"/>
          <w:szCs w:val="22"/>
        </w:rPr>
      </w:pPr>
      <w:r w:rsidRPr="001B268D">
        <w:rPr>
          <w:rFonts w:ascii="Times New Roman" w:hAnsi="Times New Roman" w:cs="Times New Roman"/>
          <w:b/>
          <w:sz w:val="24"/>
        </w:rPr>
        <w:t>Procedure Code Update</w:t>
      </w:r>
      <w:r w:rsidRPr="001B268D">
        <w:rPr>
          <w:rFonts w:ascii="Times New Roman" w:hAnsi="Times New Roman" w:cs="Times New Roman"/>
          <w:szCs w:val="22"/>
        </w:rPr>
        <w:t xml:space="preserve"> </w:t>
      </w:r>
    </w:p>
    <w:p w:rsidR="00A65D75" w:rsidRPr="001B268D" w:rsidRDefault="00A65D75" w:rsidP="00A65D75">
      <w:pPr>
        <w:autoSpaceDE w:val="0"/>
        <w:autoSpaceDN w:val="0"/>
        <w:adjustRightInd w:val="0"/>
        <w:ind w:left="-720" w:right="-720"/>
        <w:rPr>
          <w:rFonts w:ascii="Times New Roman" w:hAnsi="Times New Roman" w:cs="Times New Roman"/>
          <w:sz w:val="24"/>
          <w:szCs w:val="22"/>
        </w:rPr>
      </w:pPr>
      <w:r w:rsidRPr="001B268D">
        <w:rPr>
          <w:rFonts w:ascii="Times New Roman" w:hAnsi="Times New Roman" w:cs="Times New Roman"/>
          <w:sz w:val="24"/>
          <w:szCs w:val="22"/>
        </w:rPr>
        <w:t xml:space="preserve">Pursuant to 101 CMR 320.01(3), the Executive Office of Health and Human Services </w:t>
      </w:r>
      <w:proofErr w:type="gramStart"/>
      <w:r w:rsidRPr="001B268D">
        <w:rPr>
          <w:rFonts w:ascii="Times New Roman" w:hAnsi="Times New Roman" w:cs="Times New Roman"/>
          <w:sz w:val="24"/>
          <w:szCs w:val="22"/>
        </w:rPr>
        <w:t>is</w:t>
      </w:r>
      <w:proofErr w:type="gramEnd"/>
      <w:r w:rsidRPr="001B268D">
        <w:rPr>
          <w:rFonts w:ascii="Times New Roman" w:hAnsi="Times New Roman" w:cs="Times New Roman"/>
          <w:sz w:val="24"/>
          <w:szCs w:val="22"/>
        </w:rPr>
        <w:t xml:space="preserve"> adding new procedure codes and deleting outdated codes for clinical laboratory services. As set forth in 101 CMR 320.01(3</w:t>
      </w:r>
      <w:proofErr w:type="gramStart"/>
      <w:r w:rsidRPr="001B268D">
        <w:rPr>
          <w:rFonts w:ascii="Times New Roman" w:hAnsi="Times New Roman" w:cs="Times New Roman"/>
          <w:sz w:val="24"/>
          <w:szCs w:val="22"/>
        </w:rPr>
        <w:t>)(</w:t>
      </w:r>
      <w:proofErr w:type="gramEnd"/>
      <w:r w:rsidRPr="001B268D">
        <w:rPr>
          <w:rFonts w:ascii="Times New Roman" w:hAnsi="Times New Roman" w:cs="Times New Roman"/>
          <w:sz w:val="24"/>
          <w:szCs w:val="22"/>
        </w:rPr>
        <w:t>c), the rates for code additions are priced at 74.67% of the prevailing Medicare fee if available. The changes, effective January 1, 2019, are as follows.</w:t>
      </w:r>
    </w:p>
    <w:p w:rsidR="00A65D75" w:rsidRPr="001B268D" w:rsidRDefault="00A65D75" w:rsidP="00A65D75">
      <w:pPr>
        <w:contextualSpacing/>
        <w:rPr>
          <w:rFonts w:ascii="Times New Roman" w:hAnsi="Times New Roman" w:cs="Times New Roman"/>
          <w:b/>
        </w:rPr>
      </w:pPr>
    </w:p>
    <w:p w:rsidR="00A65D75" w:rsidRPr="001B268D" w:rsidRDefault="00A65D75" w:rsidP="00A65D75">
      <w:pPr>
        <w:contextualSpacing/>
        <w:rPr>
          <w:rFonts w:ascii="Times New Roman" w:hAnsi="Times New Roman" w:cs="Times New Roman"/>
          <w:b/>
        </w:rPr>
      </w:pPr>
    </w:p>
    <w:tbl>
      <w:tblPr>
        <w:tblStyle w:val="TableGrid"/>
        <w:tblW w:w="5000" w:type="pct"/>
        <w:tblLook w:val="01E0" w:firstRow="1" w:lastRow="1" w:firstColumn="1" w:lastColumn="1" w:noHBand="0" w:noVBand="0"/>
        <w:tblCaption w:val="Table of  Procedure Code Updates"/>
        <w:tblDescription w:val="The changes, effective January 1, 2019."/>
      </w:tblPr>
      <w:tblGrid>
        <w:gridCol w:w="925"/>
        <w:gridCol w:w="1549"/>
        <w:gridCol w:w="1357"/>
        <w:gridCol w:w="6033"/>
      </w:tblGrid>
      <w:tr w:rsidR="001B268D" w:rsidRPr="001B268D" w:rsidTr="00AB387F">
        <w:trPr>
          <w:trHeight w:val="170"/>
          <w:tblHeader/>
        </w:trPr>
        <w:tc>
          <w:tcPr>
            <w:tcW w:w="469" w:type="pct"/>
          </w:tcPr>
          <w:p w:rsidR="00A65D75" w:rsidRPr="001B268D" w:rsidRDefault="00A65D75" w:rsidP="00A65D75">
            <w:pPr>
              <w:contextualSpacing/>
              <w:rPr>
                <w:rFonts w:ascii="Times New Roman" w:hAnsi="Times New Roman" w:cs="Times New Roman"/>
                <w:b/>
              </w:rPr>
            </w:pPr>
            <w:bookmarkStart w:id="0" w:name="_GoBack"/>
            <w:r w:rsidRPr="001B268D">
              <w:rPr>
                <w:rFonts w:ascii="Times New Roman" w:hAnsi="Times New Roman" w:cs="Times New Roman"/>
                <w:b/>
              </w:rPr>
              <w:t>Code</w:t>
            </w:r>
          </w:p>
        </w:tc>
        <w:tc>
          <w:tcPr>
            <w:tcW w:w="785" w:type="pct"/>
          </w:tcPr>
          <w:p w:rsidR="00A65D75" w:rsidRPr="001B268D" w:rsidRDefault="00A65D75" w:rsidP="00A65D75">
            <w:pPr>
              <w:contextualSpacing/>
              <w:rPr>
                <w:rFonts w:ascii="Times New Roman" w:hAnsi="Times New Roman" w:cs="Times New Roman"/>
                <w:b/>
              </w:rPr>
            </w:pPr>
            <w:r w:rsidRPr="001B268D">
              <w:rPr>
                <w:rFonts w:ascii="Times New Roman" w:hAnsi="Times New Roman" w:cs="Times New Roman"/>
                <w:b/>
              </w:rPr>
              <w:t>Change</w:t>
            </w:r>
          </w:p>
        </w:tc>
        <w:tc>
          <w:tcPr>
            <w:tcW w:w="688" w:type="pct"/>
          </w:tcPr>
          <w:p w:rsidR="00A65D75" w:rsidRPr="001B268D" w:rsidRDefault="00A65D75" w:rsidP="00A65D75">
            <w:pPr>
              <w:contextualSpacing/>
              <w:rPr>
                <w:rFonts w:ascii="Times New Roman" w:hAnsi="Times New Roman" w:cs="Times New Roman"/>
                <w:b/>
              </w:rPr>
            </w:pPr>
            <w:r w:rsidRPr="001B268D">
              <w:rPr>
                <w:rFonts w:ascii="Times New Roman" w:hAnsi="Times New Roman" w:cs="Times New Roman"/>
                <w:b/>
              </w:rPr>
              <w:t>Rate</w:t>
            </w:r>
          </w:p>
        </w:tc>
        <w:tc>
          <w:tcPr>
            <w:tcW w:w="3058" w:type="pct"/>
          </w:tcPr>
          <w:p w:rsidR="00A65D75" w:rsidRPr="001B268D" w:rsidRDefault="00A65D75" w:rsidP="00A65D75">
            <w:pPr>
              <w:contextualSpacing/>
              <w:rPr>
                <w:rFonts w:ascii="Times New Roman" w:hAnsi="Times New Roman" w:cs="Times New Roman"/>
                <w:b/>
              </w:rPr>
            </w:pPr>
            <w:r w:rsidRPr="001B268D">
              <w:rPr>
                <w:rFonts w:ascii="Times New Roman" w:hAnsi="Times New Roman" w:cs="Times New Roman"/>
                <w:b/>
              </w:rPr>
              <w:t>Code Description (if applicable)</w:t>
            </w:r>
          </w:p>
        </w:tc>
      </w:tr>
      <w:tr w:rsidR="001B268D" w:rsidRPr="001B268D" w:rsidTr="00AB387F">
        <w:tc>
          <w:tcPr>
            <w:tcW w:w="469"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81163</w:t>
            </w:r>
          </w:p>
        </w:tc>
        <w:tc>
          <w:tcPr>
            <w:tcW w:w="785"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A65D75">
            <w:pPr>
              <w:contextualSpacing/>
              <w:rPr>
                <w:rFonts w:ascii="Times New Roman" w:hAnsi="Times New Roman" w:cs="Times New Roman"/>
              </w:rPr>
            </w:pPr>
            <w:r w:rsidRPr="001B268D">
              <w:rPr>
                <w:rFonts w:ascii="Times New Roman" w:hAnsi="Times New Roman" w:cs="Times New Roman"/>
              </w:rPr>
              <w:t>$349.46</w:t>
            </w:r>
          </w:p>
        </w:tc>
        <w:tc>
          <w:tcPr>
            <w:tcW w:w="3058"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BRCA1 (BRCA1, DNA repair associated), BRCA2 (BCA2, DNA repair associated) (</w:t>
            </w:r>
            <w:proofErr w:type="spellStart"/>
            <w:r w:rsidRPr="001B268D">
              <w:rPr>
                <w:rFonts w:ascii="Times New Roman" w:hAnsi="Times New Roman" w:cs="Times New Roman"/>
              </w:rPr>
              <w:t>eg</w:t>
            </w:r>
            <w:proofErr w:type="spellEnd"/>
            <w:r w:rsidRPr="001B268D">
              <w:rPr>
                <w:rFonts w:ascii="Times New Roman" w:hAnsi="Times New Roman" w:cs="Times New Roman"/>
              </w:rPr>
              <w:t>, hereditary breast and ovarian cancer) gene analysis; full sequence analysis</w:t>
            </w:r>
          </w:p>
        </w:tc>
      </w:tr>
      <w:tr w:rsidR="001B268D" w:rsidRPr="001B268D" w:rsidTr="00AB387F">
        <w:tc>
          <w:tcPr>
            <w:tcW w:w="469"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81164</w:t>
            </w:r>
          </w:p>
        </w:tc>
        <w:tc>
          <w:tcPr>
            <w:tcW w:w="785"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A65D75">
            <w:pPr>
              <w:contextualSpacing/>
              <w:rPr>
                <w:rFonts w:ascii="Times New Roman" w:hAnsi="Times New Roman" w:cs="Times New Roman"/>
              </w:rPr>
            </w:pPr>
            <w:r w:rsidRPr="001B268D">
              <w:rPr>
                <w:rFonts w:ascii="Times New Roman" w:hAnsi="Times New Roman" w:cs="Times New Roman"/>
              </w:rPr>
              <w:t>$436.24</w:t>
            </w:r>
          </w:p>
        </w:tc>
        <w:tc>
          <w:tcPr>
            <w:tcW w:w="3058"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BRCA1 (BRCA1, DNA repair associated), BRCA2 (BCA2, DNA repair associated) (</w:t>
            </w:r>
            <w:proofErr w:type="spellStart"/>
            <w:r w:rsidRPr="001B268D">
              <w:rPr>
                <w:rFonts w:ascii="Times New Roman" w:hAnsi="Times New Roman" w:cs="Times New Roman"/>
              </w:rPr>
              <w:t>eg</w:t>
            </w:r>
            <w:proofErr w:type="spellEnd"/>
            <w:r w:rsidRPr="001B268D">
              <w:rPr>
                <w:rFonts w:ascii="Times New Roman" w:hAnsi="Times New Roman" w:cs="Times New Roman"/>
              </w:rPr>
              <w:t>, hereditary breast and ovarian cancer) gene analysis; full duplication /deletion analysis (</w:t>
            </w:r>
            <w:proofErr w:type="spellStart"/>
            <w:r w:rsidRPr="001B268D">
              <w:rPr>
                <w:rFonts w:ascii="Times New Roman" w:hAnsi="Times New Roman" w:cs="Times New Roman"/>
              </w:rPr>
              <w:t>ie</w:t>
            </w:r>
            <w:proofErr w:type="spellEnd"/>
            <w:r w:rsidRPr="001B268D">
              <w:rPr>
                <w:rFonts w:ascii="Times New Roman" w:hAnsi="Times New Roman" w:cs="Times New Roman"/>
              </w:rPr>
              <w:t>, detection of large gene rearrangement)</w:t>
            </w:r>
          </w:p>
        </w:tc>
      </w:tr>
      <w:tr w:rsidR="001B268D" w:rsidRPr="001B268D" w:rsidTr="00AB387F">
        <w:tc>
          <w:tcPr>
            <w:tcW w:w="469"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81165</w:t>
            </w:r>
          </w:p>
        </w:tc>
        <w:tc>
          <w:tcPr>
            <w:tcW w:w="785"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A65D75">
            <w:pPr>
              <w:contextualSpacing/>
              <w:rPr>
                <w:rFonts w:ascii="Times New Roman" w:hAnsi="Times New Roman" w:cs="Times New Roman"/>
              </w:rPr>
            </w:pPr>
            <w:r w:rsidRPr="001B268D">
              <w:rPr>
                <w:rFonts w:ascii="Times New Roman" w:hAnsi="Times New Roman" w:cs="Times New Roman"/>
              </w:rPr>
              <w:t>$211.23</w:t>
            </w:r>
          </w:p>
        </w:tc>
        <w:tc>
          <w:tcPr>
            <w:tcW w:w="3058"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BRCA1 (BRCA1, DNA repair associated) (</w:t>
            </w:r>
            <w:proofErr w:type="spellStart"/>
            <w:r w:rsidRPr="001B268D">
              <w:rPr>
                <w:rFonts w:ascii="Times New Roman" w:hAnsi="Times New Roman" w:cs="Times New Roman"/>
              </w:rPr>
              <w:t>eg</w:t>
            </w:r>
            <w:proofErr w:type="spellEnd"/>
            <w:r w:rsidRPr="001B268D">
              <w:rPr>
                <w:rFonts w:ascii="Times New Roman" w:hAnsi="Times New Roman" w:cs="Times New Roman"/>
              </w:rPr>
              <w:t>, hereditary breast and ovarian cancer) gene analysis; full sequence analysis</w:t>
            </w:r>
          </w:p>
        </w:tc>
      </w:tr>
      <w:tr w:rsidR="001B268D" w:rsidRPr="001B268D" w:rsidTr="00AB387F">
        <w:trPr>
          <w:trHeight w:val="287"/>
        </w:trPr>
        <w:tc>
          <w:tcPr>
            <w:tcW w:w="469"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81166</w:t>
            </w:r>
          </w:p>
        </w:tc>
        <w:tc>
          <w:tcPr>
            <w:tcW w:w="785"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A65D75">
            <w:pPr>
              <w:contextualSpacing/>
              <w:rPr>
                <w:rFonts w:ascii="Times New Roman" w:hAnsi="Times New Roman" w:cs="Times New Roman"/>
              </w:rPr>
            </w:pPr>
            <w:r w:rsidRPr="001B268D">
              <w:rPr>
                <w:rFonts w:ascii="Times New Roman" w:hAnsi="Times New Roman" w:cs="Times New Roman"/>
              </w:rPr>
              <w:t>$225.02</w:t>
            </w:r>
          </w:p>
        </w:tc>
        <w:tc>
          <w:tcPr>
            <w:tcW w:w="3058"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BRCA1 (BRCA1, DNA repair associated) (</w:t>
            </w:r>
            <w:proofErr w:type="spellStart"/>
            <w:r w:rsidRPr="001B268D">
              <w:rPr>
                <w:rFonts w:ascii="Times New Roman" w:hAnsi="Times New Roman" w:cs="Times New Roman"/>
              </w:rPr>
              <w:t>eg</w:t>
            </w:r>
            <w:proofErr w:type="spellEnd"/>
            <w:r w:rsidRPr="001B268D">
              <w:rPr>
                <w:rFonts w:ascii="Times New Roman" w:hAnsi="Times New Roman" w:cs="Times New Roman"/>
              </w:rPr>
              <w:t>, hereditary breast and ovarian cancer) gene analysis; full duplication/deletion analysis (</w:t>
            </w:r>
            <w:proofErr w:type="spellStart"/>
            <w:r w:rsidRPr="001B268D">
              <w:rPr>
                <w:rFonts w:ascii="Times New Roman" w:hAnsi="Times New Roman" w:cs="Times New Roman"/>
              </w:rPr>
              <w:t>ie</w:t>
            </w:r>
            <w:proofErr w:type="spellEnd"/>
            <w:r w:rsidRPr="001B268D">
              <w:rPr>
                <w:rFonts w:ascii="Times New Roman" w:hAnsi="Times New Roman" w:cs="Times New Roman"/>
              </w:rPr>
              <w:t>, detection of large gene rearrangements)</w:t>
            </w:r>
          </w:p>
        </w:tc>
      </w:tr>
      <w:tr w:rsidR="001B268D" w:rsidRPr="001B268D" w:rsidTr="00AB387F">
        <w:tc>
          <w:tcPr>
            <w:tcW w:w="469"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81167</w:t>
            </w:r>
          </w:p>
        </w:tc>
        <w:tc>
          <w:tcPr>
            <w:tcW w:w="785"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A65D75">
            <w:pPr>
              <w:contextualSpacing/>
              <w:rPr>
                <w:rFonts w:ascii="Times New Roman" w:hAnsi="Times New Roman" w:cs="Times New Roman"/>
              </w:rPr>
            </w:pPr>
            <w:r w:rsidRPr="001B268D">
              <w:rPr>
                <w:rFonts w:ascii="Times New Roman" w:hAnsi="Times New Roman" w:cs="Times New Roman"/>
              </w:rPr>
              <w:t>$211.23</w:t>
            </w:r>
          </w:p>
        </w:tc>
        <w:tc>
          <w:tcPr>
            <w:tcW w:w="3058"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BRCA2 (BRCA2, DNA repair associated) (</w:t>
            </w:r>
            <w:proofErr w:type="spellStart"/>
            <w:r w:rsidRPr="001B268D">
              <w:rPr>
                <w:rFonts w:ascii="Times New Roman" w:hAnsi="Times New Roman" w:cs="Times New Roman"/>
              </w:rPr>
              <w:t>eg</w:t>
            </w:r>
            <w:proofErr w:type="spellEnd"/>
            <w:r w:rsidRPr="001B268D">
              <w:rPr>
                <w:rFonts w:ascii="Times New Roman" w:hAnsi="Times New Roman" w:cs="Times New Roman"/>
              </w:rPr>
              <w:t>, hereditary breast and ovarian cancer) gene analysis; full duplication/deletion analysis (</w:t>
            </w:r>
            <w:proofErr w:type="spellStart"/>
            <w:r w:rsidRPr="001B268D">
              <w:rPr>
                <w:rFonts w:ascii="Times New Roman" w:hAnsi="Times New Roman" w:cs="Times New Roman"/>
              </w:rPr>
              <w:t>ie</w:t>
            </w:r>
            <w:proofErr w:type="spellEnd"/>
            <w:r w:rsidRPr="001B268D">
              <w:rPr>
                <w:rFonts w:ascii="Times New Roman" w:hAnsi="Times New Roman" w:cs="Times New Roman"/>
              </w:rPr>
              <w:t>, detection of large rearrangements)</w:t>
            </w:r>
          </w:p>
        </w:tc>
      </w:tr>
      <w:tr w:rsidR="001B268D" w:rsidRPr="001B268D" w:rsidTr="00AB387F">
        <w:tc>
          <w:tcPr>
            <w:tcW w:w="469"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81171</w:t>
            </w:r>
          </w:p>
        </w:tc>
        <w:tc>
          <w:tcPr>
            <w:tcW w:w="785"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A65D75">
            <w:pPr>
              <w:contextualSpacing/>
              <w:rPr>
                <w:rFonts w:ascii="Times New Roman" w:hAnsi="Times New Roman" w:cs="Times New Roman"/>
              </w:rPr>
            </w:pPr>
            <w:r w:rsidRPr="001B268D">
              <w:rPr>
                <w:rFonts w:ascii="Times New Roman" w:hAnsi="Times New Roman" w:cs="Times New Roman"/>
              </w:rPr>
              <w:t>$102.30</w:t>
            </w:r>
          </w:p>
        </w:tc>
        <w:tc>
          <w:tcPr>
            <w:tcW w:w="3058" w:type="pct"/>
          </w:tcPr>
          <w:p w:rsidR="00A65D75" w:rsidRPr="001B268D" w:rsidRDefault="00A65D75" w:rsidP="005A4618">
            <w:pPr>
              <w:contextualSpacing/>
              <w:rPr>
                <w:rFonts w:ascii="Times New Roman" w:hAnsi="Times New Roman" w:cs="Times New Roman"/>
              </w:rPr>
            </w:pPr>
            <w:r w:rsidRPr="001B268D">
              <w:rPr>
                <w:rFonts w:ascii="Times New Roman" w:hAnsi="Times New Roman" w:cs="Times New Roman"/>
              </w:rPr>
              <w:t>AFF2 (AF4/FMR2 family, member 2 [FMR2] (</w:t>
            </w:r>
            <w:proofErr w:type="spellStart"/>
            <w:r w:rsidRPr="001B268D">
              <w:rPr>
                <w:rFonts w:ascii="Times New Roman" w:hAnsi="Times New Roman" w:cs="Times New Roman"/>
              </w:rPr>
              <w:t>eg</w:t>
            </w:r>
            <w:proofErr w:type="spellEnd"/>
            <w:r w:rsidRPr="001B268D">
              <w:rPr>
                <w:rFonts w:ascii="Times New Roman" w:hAnsi="Times New Roman" w:cs="Times New Roman"/>
              </w:rPr>
              <w:t>, fragile X mental retardation 2 [FRAXE])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lastRenderedPageBreak/>
              <w:t>81172</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$205.22</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AFF2 (AF4/FMR2 family, member 2 [FMR2] (</w:t>
            </w:r>
            <w:proofErr w:type="spellStart"/>
            <w:r w:rsidRPr="001B268D">
              <w:rPr>
                <w:rFonts w:ascii="Times New Roman" w:hAnsi="Times New Roman" w:cs="Times New Roman"/>
              </w:rPr>
              <w:t>eg</w:t>
            </w:r>
            <w:proofErr w:type="spellEnd"/>
            <w:r w:rsidRPr="001B268D">
              <w:rPr>
                <w:rFonts w:ascii="Times New Roman" w:hAnsi="Times New Roman" w:cs="Times New Roman"/>
              </w:rPr>
              <w:t>, fragile X mental retardation 2 [FRAXE]) gene analysis; characterization of alleles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size and methylation status)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81173</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$225.02</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AR (androgen receptor) (</w:t>
            </w:r>
            <w:proofErr w:type="spellStart"/>
            <w:r w:rsidRPr="001B268D">
              <w:rPr>
                <w:rFonts w:ascii="Times New Roman" w:hAnsi="Times New Roman" w:cs="Times New Roman"/>
              </w:rPr>
              <w:t>eg</w:t>
            </w:r>
            <w:proofErr w:type="spellEnd"/>
            <w:r w:rsidRPr="001B268D">
              <w:rPr>
                <w:rFonts w:ascii="Times New Roman" w:hAnsi="Times New Roman" w:cs="Times New Roman"/>
              </w:rPr>
              <w:t>, spinal and bulbar muscular atrophy, Kennedy disease, X chromosome inactivation) gene analysis; full gene sequence</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81174</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$138.29</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AR (androgen receptor) (</w:t>
            </w:r>
            <w:proofErr w:type="spellStart"/>
            <w:r w:rsidRPr="001B268D">
              <w:rPr>
                <w:rFonts w:ascii="Times New Roman" w:hAnsi="Times New Roman" w:cs="Times New Roman"/>
              </w:rPr>
              <w:t>eg</w:t>
            </w:r>
            <w:proofErr w:type="spellEnd"/>
            <w:r w:rsidRPr="001B268D">
              <w:rPr>
                <w:rFonts w:ascii="Times New Roman" w:hAnsi="Times New Roman" w:cs="Times New Roman"/>
              </w:rPr>
              <w:t>, spinal and bulbar muscular atrophy, Kennedy disease, X chromosome inactivation) gene analysis; known familial variant</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81177</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ATN1 (</w:t>
            </w:r>
            <w:proofErr w:type="spellStart"/>
            <w:r w:rsidRPr="001B268D">
              <w:rPr>
                <w:rFonts w:ascii="Times New Roman" w:hAnsi="Times New Roman" w:cs="Times New Roman"/>
              </w:rPr>
              <w:t>atrophin</w:t>
            </w:r>
            <w:proofErr w:type="spellEnd"/>
            <w:r w:rsidRPr="001B268D">
              <w:rPr>
                <w:rFonts w:ascii="Times New Roman" w:hAnsi="Times New Roman" w:cs="Times New Roman"/>
              </w:rPr>
              <w:t xml:space="preserve"> 1)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dentatorural-pallidoluysian</w:t>
            </w:r>
            <w:proofErr w:type="spellEnd"/>
            <w:r w:rsidRPr="001B268D">
              <w:rPr>
                <w:rFonts w:ascii="Times New Roman" w:hAnsi="Times New Roman" w:cs="Times New Roman"/>
              </w:rPr>
              <w:t xml:space="preserve"> atrophy)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81178</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ATXN1 (</w:t>
            </w:r>
            <w:proofErr w:type="spellStart"/>
            <w:r w:rsidRPr="001B268D">
              <w:rPr>
                <w:rFonts w:ascii="Times New Roman" w:hAnsi="Times New Roman" w:cs="Times New Roman"/>
              </w:rPr>
              <w:t>ataxin</w:t>
            </w:r>
            <w:proofErr w:type="spellEnd"/>
            <w:r w:rsidRPr="001B268D">
              <w:rPr>
                <w:rFonts w:ascii="Times New Roman" w:hAnsi="Times New Roman" w:cs="Times New Roman"/>
              </w:rPr>
              <w:t xml:space="preserve"> 1)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81179</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ATXN2 (</w:t>
            </w:r>
            <w:proofErr w:type="spellStart"/>
            <w:r w:rsidRPr="001B268D">
              <w:rPr>
                <w:rFonts w:ascii="Times New Roman" w:hAnsi="Times New Roman" w:cs="Times New Roman"/>
              </w:rPr>
              <w:t>ataxin</w:t>
            </w:r>
            <w:proofErr w:type="spellEnd"/>
            <w:r w:rsidRPr="001B268D">
              <w:rPr>
                <w:rFonts w:ascii="Times New Roman" w:hAnsi="Times New Roman" w:cs="Times New Roman"/>
              </w:rPr>
              <w:t xml:space="preserve"> 2)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81180</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ATXN3 (</w:t>
            </w:r>
            <w:proofErr w:type="spellStart"/>
            <w:r w:rsidRPr="001B268D">
              <w:rPr>
                <w:rFonts w:ascii="Times New Roman" w:hAnsi="Times New Roman" w:cs="Times New Roman"/>
              </w:rPr>
              <w:t>ataxin</w:t>
            </w:r>
            <w:proofErr w:type="spellEnd"/>
            <w:r w:rsidRPr="001B268D">
              <w:rPr>
                <w:rFonts w:ascii="Times New Roman" w:hAnsi="Times New Roman" w:cs="Times New Roman"/>
              </w:rPr>
              <w:t xml:space="preserve"> 3)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Machado-Joseph disease)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81181</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ATXN7 (</w:t>
            </w:r>
            <w:proofErr w:type="spellStart"/>
            <w:r w:rsidRPr="001B268D">
              <w:rPr>
                <w:rFonts w:ascii="Times New Roman" w:hAnsi="Times New Roman" w:cs="Times New Roman"/>
              </w:rPr>
              <w:t>ataxin</w:t>
            </w:r>
            <w:proofErr w:type="spellEnd"/>
            <w:r w:rsidRPr="001B268D">
              <w:rPr>
                <w:rFonts w:ascii="Times New Roman" w:hAnsi="Times New Roman" w:cs="Times New Roman"/>
              </w:rPr>
              <w:t xml:space="preserve"> 7)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81182</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ATXN8OS (ATXN8 opposite strand [non-protein coding])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rPr>
          <w:trHeight w:val="323"/>
        </w:trPr>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81183</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ATXN10 (</w:t>
            </w:r>
            <w:proofErr w:type="spellStart"/>
            <w:r w:rsidRPr="001B268D">
              <w:rPr>
                <w:rFonts w:ascii="Times New Roman" w:hAnsi="Times New Roman" w:cs="Times New Roman"/>
              </w:rPr>
              <w:t>ataxin</w:t>
            </w:r>
            <w:proofErr w:type="spellEnd"/>
            <w:r w:rsidRPr="001B268D">
              <w:rPr>
                <w:rFonts w:ascii="Times New Roman" w:hAnsi="Times New Roman" w:cs="Times New Roman"/>
              </w:rPr>
              <w:t xml:space="preserve"> 10)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81184</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CACNA1A (calcium voltage-gated channel subunit alpha1 A)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81185</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$631.91</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CACNA1A (calcium voltage-gated channel subunit alpha1 A)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full gene sequence</w:t>
            </w:r>
          </w:p>
        </w:tc>
      </w:tr>
      <w:tr w:rsidR="001B268D" w:rsidRPr="001B268D" w:rsidTr="00AB387F">
        <w:trPr>
          <w:trHeight w:val="278"/>
        </w:trPr>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81186</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$138.29</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CACNA1A (calcium voltage-gated channel subunit alpha1 A)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known familial variant</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81187</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CNBP (CCHC-type zinc finger nucleic acid binding protein) (</w:t>
            </w:r>
            <w:proofErr w:type="spellStart"/>
            <w:r w:rsidRPr="001B268D">
              <w:rPr>
                <w:rFonts w:ascii="Times New Roman" w:hAnsi="Times New Roman" w:cs="Times New Roman"/>
              </w:rPr>
              <w:t>eg</w:t>
            </w:r>
            <w:proofErr w:type="spellEnd"/>
            <w:r w:rsidRPr="001B268D">
              <w:rPr>
                <w:rFonts w:ascii="Times New Roman" w:hAnsi="Times New Roman" w:cs="Times New Roman"/>
              </w:rPr>
              <w:t>, myotonic dystrophy type 2)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81188</w:t>
            </w:r>
          </w:p>
        </w:tc>
        <w:tc>
          <w:tcPr>
            <w:tcW w:w="785"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Addition</w:t>
            </w:r>
          </w:p>
        </w:tc>
        <w:tc>
          <w:tcPr>
            <w:tcW w:w="688" w:type="pct"/>
          </w:tcPr>
          <w:p w:rsidR="00A65D75" w:rsidRPr="001B268D" w:rsidRDefault="00A65D75"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A65D75" w:rsidRPr="001B268D" w:rsidRDefault="00A65D75" w:rsidP="005A4618">
            <w:pPr>
              <w:rPr>
                <w:rFonts w:ascii="Times New Roman" w:hAnsi="Times New Roman" w:cs="Times New Roman"/>
              </w:rPr>
            </w:pPr>
            <w:r w:rsidRPr="001B268D">
              <w:rPr>
                <w:rFonts w:ascii="Times New Roman" w:hAnsi="Times New Roman" w:cs="Times New Roman"/>
              </w:rPr>
              <w:t>CSTB (cystatin B)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Unverricht-Lundborg</w:t>
            </w:r>
            <w:proofErr w:type="spellEnd"/>
            <w:r w:rsidRPr="001B268D">
              <w:rPr>
                <w:rFonts w:ascii="Times New Roman" w:hAnsi="Times New Roman" w:cs="Times New Roman"/>
              </w:rPr>
              <w:t xml:space="preserve"> disease)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81189</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$205.22</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CSTB (cystatin B)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Unverricht-Lundborg</w:t>
            </w:r>
            <w:proofErr w:type="spellEnd"/>
            <w:r w:rsidRPr="001B268D">
              <w:rPr>
                <w:rFonts w:ascii="Times New Roman" w:hAnsi="Times New Roman" w:cs="Times New Roman"/>
              </w:rPr>
              <w:t xml:space="preserve"> disease) gene analysis; full gene sequence</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81190</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$138.29</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CSTB (cystatin B)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Unverricht-Lundborg</w:t>
            </w:r>
            <w:proofErr w:type="spellEnd"/>
            <w:r w:rsidRPr="001B268D">
              <w:rPr>
                <w:rFonts w:ascii="Times New Roman" w:hAnsi="Times New Roman" w:cs="Times New Roman"/>
              </w:rPr>
              <w:t xml:space="preserve"> disease) gene analysis; known familial variant</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81204</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AR (androgen receptor) (</w:t>
            </w:r>
            <w:proofErr w:type="spellStart"/>
            <w:r w:rsidRPr="001B268D">
              <w:rPr>
                <w:rFonts w:ascii="Times New Roman" w:hAnsi="Times New Roman" w:cs="Times New Roman"/>
              </w:rPr>
              <w:t>eg</w:t>
            </w:r>
            <w:proofErr w:type="spellEnd"/>
            <w:r w:rsidRPr="001B268D">
              <w:rPr>
                <w:rFonts w:ascii="Times New Roman" w:hAnsi="Times New Roman" w:cs="Times New Roman"/>
              </w:rPr>
              <w:t>, spinal and bulbar muscular atrophy, Kennedy disease, X chromosome inactivation) gene analysis; characterization of alleles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size of methylation status)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81211</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Discontinued</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p>
        </w:tc>
        <w:tc>
          <w:tcPr>
            <w:tcW w:w="3058" w:type="pct"/>
          </w:tcPr>
          <w:p w:rsidR="00102C33" w:rsidRPr="001B268D" w:rsidRDefault="00102C33" w:rsidP="005A4618">
            <w:pPr>
              <w:rPr>
                <w:rFonts w:ascii="Times New Roman" w:hAnsi="Times New Roman" w:cs="Times New Roman"/>
              </w:rPr>
            </w:pP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81213</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Discontinued</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p>
        </w:tc>
        <w:tc>
          <w:tcPr>
            <w:tcW w:w="3058" w:type="pct"/>
          </w:tcPr>
          <w:p w:rsidR="00102C33" w:rsidRPr="001B268D" w:rsidRDefault="00102C33" w:rsidP="005A4618">
            <w:pPr>
              <w:rPr>
                <w:rFonts w:ascii="Times New Roman" w:hAnsi="Times New Roman" w:cs="Times New Roman"/>
              </w:rPr>
            </w:pP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81214</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Discontinued</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p>
        </w:tc>
        <w:tc>
          <w:tcPr>
            <w:tcW w:w="3058" w:type="pct"/>
          </w:tcPr>
          <w:p w:rsidR="00102C33" w:rsidRPr="001B268D" w:rsidRDefault="00102C33" w:rsidP="005A4618">
            <w:pPr>
              <w:rPr>
                <w:rFonts w:ascii="Times New Roman" w:hAnsi="Times New Roman" w:cs="Times New Roman"/>
              </w:rPr>
            </w:pP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81233</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$130.97</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BTK (</w:t>
            </w:r>
            <w:proofErr w:type="spellStart"/>
            <w:r w:rsidRPr="001B268D">
              <w:rPr>
                <w:rFonts w:ascii="Times New Roman" w:hAnsi="Times New Roman" w:cs="Times New Roman"/>
              </w:rPr>
              <w:t>Bruton’s</w:t>
            </w:r>
            <w:proofErr w:type="spellEnd"/>
            <w:r w:rsidRPr="001B268D">
              <w:rPr>
                <w:rFonts w:ascii="Times New Roman" w:hAnsi="Times New Roman" w:cs="Times New Roman"/>
              </w:rPr>
              <w:t xml:space="preserve"> tyrosine kinase)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chonic</w:t>
            </w:r>
            <w:proofErr w:type="spellEnd"/>
            <w:r w:rsidRPr="001B268D">
              <w:rPr>
                <w:rFonts w:ascii="Times New Roman" w:hAnsi="Times New Roman" w:cs="Times New Roman"/>
              </w:rPr>
              <w:t xml:space="preserve"> lymphocytic leukemia) gene analysis, common variants (</w:t>
            </w:r>
            <w:proofErr w:type="spellStart"/>
            <w:r w:rsidRPr="001B268D">
              <w:rPr>
                <w:rFonts w:ascii="Times New Roman" w:hAnsi="Times New Roman" w:cs="Times New Roman"/>
              </w:rPr>
              <w:t>eg</w:t>
            </w:r>
            <w:proofErr w:type="spellEnd"/>
            <w:r w:rsidRPr="001B268D">
              <w:rPr>
                <w:rFonts w:ascii="Times New Roman" w:hAnsi="Times New Roman" w:cs="Times New Roman"/>
              </w:rPr>
              <w:t>, C481S, C481R, C481F)</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81234</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DMPK (DM1 protein kinase) (</w:t>
            </w:r>
            <w:proofErr w:type="spellStart"/>
            <w:r w:rsidRPr="001B268D">
              <w:rPr>
                <w:rFonts w:ascii="Times New Roman" w:hAnsi="Times New Roman" w:cs="Times New Roman"/>
              </w:rPr>
              <w:t>eg</w:t>
            </w:r>
            <w:proofErr w:type="spellEnd"/>
            <w:r w:rsidRPr="001B268D">
              <w:rPr>
                <w:rFonts w:ascii="Times New Roman" w:hAnsi="Times New Roman" w:cs="Times New Roman"/>
              </w:rPr>
              <w:t>, myotonic dystrophy type 1) gene analysis; evaluation to detect abnormal (expanded) alleles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81236</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$211.23</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 xml:space="preserve">EZH2 (enhancer of </w:t>
            </w:r>
            <w:proofErr w:type="spellStart"/>
            <w:r w:rsidRPr="001B268D">
              <w:rPr>
                <w:rFonts w:ascii="Times New Roman" w:hAnsi="Times New Roman" w:cs="Times New Roman"/>
              </w:rPr>
              <w:t>zeste</w:t>
            </w:r>
            <w:proofErr w:type="spellEnd"/>
            <w:r w:rsidRPr="001B268D">
              <w:rPr>
                <w:rFonts w:ascii="Times New Roman" w:hAnsi="Times New Roman" w:cs="Times New Roman"/>
              </w:rPr>
              <w:t xml:space="preserve"> 2 </w:t>
            </w:r>
            <w:proofErr w:type="spellStart"/>
            <w:r w:rsidRPr="001B268D">
              <w:rPr>
                <w:rFonts w:ascii="Times New Roman" w:hAnsi="Times New Roman" w:cs="Times New Roman"/>
              </w:rPr>
              <w:t>polycomb</w:t>
            </w:r>
            <w:proofErr w:type="spellEnd"/>
            <w:r w:rsidRPr="001B268D">
              <w:rPr>
                <w:rFonts w:ascii="Times New Roman" w:hAnsi="Times New Roman" w:cs="Times New Roman"/>
              </w:rPr>
              <w:t xml:space="preserve"> repressive complex 2 subunit) (</w:t>
            </w:r>
            <w:proofErr w:type="spellStart"/>
            <w:r w:rsidRPr="001B268D">
              <w:rPr>
                <w:rFonts w:ascii="Times New Roman" w:hAnsi="Times New Roman" w:cs="Times New Roman"/>
              </w:rPr>
              <w:t>eg</w:t>
            </w:r>
            <w:proofErr w:type="spellEnd"/>
            <w:r w:rsidRPr="001B268D">
              <w:rPr>
                <w:rFonts w:ascii="Times New Roman" w:hAnsi="Times New Roman" w:cs="Times New Roman"/>
              </w:rPr>
              <w:t>, diffuse large B-cell lymphoma) gene analysis, common variant(s) (</w:t>
            </w:r>
            <w:proofErr w:type="spellStart"/>
            <w:r w:rsidRPr="001B268D">
              <w:rPr>
                <w:rFonts w:ascii="Times New Roman" w:hAnsi="Times New Roman" w:cs="Times New Roman"/>
              </w:rPr>
              <w:t>eg</w:t>
            </w:r>
            <w:proofErr w:type="spellEnd"/>
            <w:r w:rsidRPr="001B268D">
              <w:rPr>
                <w:rFonts w:ascii="Times New Roman" w:hAnsi="Times New Roman" w:cs="Times New Roman"/>
              </w:rPr>
              <w:t>, codon 646)</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81237</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$130.97</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 xml:space="preserve">EZH2 (enhancer of </w:t>
            </w:r>
            <w:proofErr w:type="spellStart"/>
            <w:r w:rsidRPr="001B268D">
              <w:rPr>
                <w:rFonts w:ascii="Times New Roman" w:hAnsi="Times New Roman" w:cs="Times New Roman"/>
              </w:rPr>
              <w:t>zeste</w:t>
            </w:r>
            <w:proofErr w:type="spellEnd"/>
            <w:r w:rsidRPr="001B268D">
              <w:rPr>
                <w:rFonts w:ascii="Times New Roman" w:hAnsi="Times New Roman" w:cs="Times New Roman"/>
              </w:rPr>
              <w:t xml:space="preserve"> 2 </w:t>
            </w:r>
            <w:proofErr w:type="spellStart"/>
            <w:r w:rsidRPr="001B268D">
              <w:rPr>
                <w:rFonts w:ascii="Times New Roman" w:hAnsi="Times New Roman" w:cs="Times New Roman"/>
              </w:rPr>
              <w:t>polycomb</w:t>
            </w:r>
            <w:proofErr w:type="spellEnd"/>
            <w:r w:rsidRPr="001B268D">
              <w:rPr>
                <w:rFonts w:ascii="Times New Roman" w:hAnsi="Times New Roman" w:cs="Times New Roman"/>
              </w:rPr>
              <w:t xml:space="preserve"> repressive complex 2 subunit) (</w:t>
            </w:r>
            <w:proofErr w:type="spellStart"/>
            <w:r w:rsidRPr="001B268D">
              <w:rPr>
                <w:rFonts w:ascii="Times New Roman" w:hAnsi="Times New Roman" w:cs="Times New Roman"/>
              </w:rPr>
              <w:t>eg</w:t>
            </w:r>
            <w:proofErr w:type="spellEnd"/>
            <w:r w:rsidRPr="001B268D">
              <w:rPr>
                <w:rFonts w:ascii="Times New Roman" w:hAnsi="Times New Roman" w:cs="Times New Roman"/>
              </w:rPr>
              <w:t>, myelodysplastic syndrome, myeloproliferative neoplasms) gene analysis;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81239</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$205.22</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DMPK (DM1 protein kinase) (</w:t>
            </w:r>
            <w:proofErr w:type="spellStart"/>
            <w:r w:rsidRPr="001B268D">
              <w:rPr>
                <w:rFonts w:ascii="Times New Roman" w:hAnsi="Times New Roman" w:cs="Times New Roman"/>
              </w:rPr>
              <w:t>eg</w:t>
            </w:r>
            <w:proofErr w:type="spellEnd"/>
            <w:r w:rsidRPr="001B268D">
              <w:rPr>
                <w:rFonts w:ascii="Times New Roman" w:hAnsi="Times New Roman" w:cs="Times New Roman"/>
              </w:rPr>
              <w:t>, myotonic dystrophy type 1) gene analysis; characterization of alleles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size)</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81271</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HTT (huntingtin) (</w:t>
            </w:r>
            <w:proofErr w:type="spellStart"/>
            <w:r w:rsidRPr="001B268D">
              <w:rPr>
                <w:rFonts w:ascii="Times New Roman" w:hAnsi="Times New Roman" w:cs="Times New Roman"/>
              </w:rPr>
              <w:t>eg</w:t>
            </w:r>
            <w:proofErr w:type="spellEnd"/>
            <w:r w:rsidRPr="001B268D">
              <w:rPr>
                <w:rFonts w:ascii="Times New Roman" w:hAnsi="Times New Roman" w:cs="Times New Roman"/>
              </w:rPr>
              <w:t>., Huntington disease)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81274</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$205.22</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HTT (huntingtin) (</w:t>
            </w:r>
            <w:proofErr w:type="spellStart"/>
            <w:r w:rsidRPr="001B268D">
              <w:rPr>
                <w:rFonts w:ascii="Times New Roman" w:hAnsi="Times New Roman" w:cs="Times New Roman"/>
              </w:rPr>
              <w:t>eg</w:t>
            </w:r>
            <w:proofErr w:type="spellEnd"/>
            <w:r w:rsidRPr="001B268D">
              <w:rPr>
                <w:rFonts w:ascii="Times New Roman" w:hAnsi="Times New Roman" w:cs="Times New Roman"/>
              </w:rPr>
              <w:t>., Huntington disease) gene analysis; characterization of alleles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81284</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FXN (</w:t>
            </w:r>
            <w:proofErr w:type="spellStart"/>
            <w:r w:rsidRPr="001B268D">
              <w:rPr>
                <w:rFonts w:ascii="Times New Roman" w:hAnsi="Times New Roman" w:cs="Times New Roman"/>
              </w:rPr>
              <w:t>frataxin</w:t>
            </w:r>
            <w:proofErr w:type="spellEnd"/>
            <w:r w:rsidRPr="001B268D">
              <w:rPr>
                <w:rFonts w:ascii="Times New Roman" w:hAnsi="Times New Roman" w:cs="Times New Roman"/>
              </w:rPr>
              <w:t>) (</w:t>
            </w:r>
            <w:proofErr w:type="spellStart"/>
            <w:r w:rsidRPr="001B268D">
              <w:rPr>
                <w:rFonts w:ascii="Times New Roman" w:hAnsi="Times New Roman" w:cs="Times New Roman"/>
              </w:rPr>
              <w:t>eg</w:t>
            </w:r>
            <w:proofErr w:type="spellEnd"/>
            <w:r w:rsidRPr="001B268D">
              <w:rPr>
                <w:rFonts w:ascii="Times New Roman" w:hAnsi="Times New Roman" w:cs="Times New Roman"/>
              </w:rPr>
              <w:t>, Friedreich ataxia) gene analysis; evaluation to detect abnormal (expanded) alleles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81285</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$205.22</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FXN (</w:t>
            </w:r>
            <w:proofErr w:type="spellStart"/>
            <w:r w:rsidRPr="001B268D">
              <w:rPr>
                <w:rFonts w:ascii="Times New Roman" w:hAnsi="Times New Roman" w:cs="Times New Roman"/>
              </w:rPr>
              <w:t>frataxin</w:t>
            </w:r>
            <w:proofErr w:type="spellEnd"/>
            <w:r w:rsidRPr="001B268D">
              <w:rPr>
                <w:rFonts w:ascii="Times New Roman" w:hAnsi="Times New Roman" w:cs="Times New Roman"/>
              </w:rPr>
              <w:t>) (</w:t>
            </w:r>
            <w:proofErr w:type="spellStart"/>
            <w:r w:rsidRPr="001B268D">
              <w:rPr>
                <w:rFonts w:ascii="Times New Roman" w:hAnsi="Times New Roman" w:cs="Times New Roman"/>
              </w:rPr>
              <w:t>eg</w:t>
            </w:r>
            <w:proofErr w:type="spellEnd"/>
            <w:r w:rsidRPr="001B268D">
              <w:rPr>
                <w:rFonts w:ascii="Times New Roman" w:hAnsi="Times New Roman" w:cs="Times New Roman"/>
              </w:rPr>
              <w:t>, Friedreich ataxia) gene analysis; characterization of alleles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size)</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81286</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$205.22</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FXN (</w:t>
            </w:r>
            <w:proofErr w:type="spellStart"/>
            <w:r w:rsidRPr="001B268D">
              <w:rPr>
                <w:rFonts w:ascii="Times New Roman" w:hAnsi="Times New Roman" w:cs="Times New Roman"/>
              </w:rPr>
              <w:t>frataxin</w:t>
            </w:r>
            <w:proofErr w:type="spellEnd"/>
            <w:r w:rsidRPr="001B268D">
              <w:rPr>
                <w:rFonts w:ascii="Times New Roman" w:hAnsi="Times New Roman" w:cs="Times New Roman"/>
              </w:rPr>
              <w:t>) (</w:t>
            </w:r>
            <w:proofErr w:type="spellStart"/>
            <w:r w:rsidRPr="001B268D">
              <w:rPr>
                <w:rFonts w:ascii="Times New Roman" w:hAnsi="Times New Roman" w:cs="Times New Roman"/>
              </w:rPr>
              <w:t>eg</w:t>
            </w:r>
            <w:proofErr w:type="spellEnd"/>
            <w:r w:rsidRPr="001B268D">
              <w:rPr>
                <w:rFonts w:ascii="Times New Roman" w:hAnsi="Times New Roman" w:cs="Times New Roman"/>
              </w:rPr>
              <w:t>, Friedreich ataxia) gene analysis; full gene sequence</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81289</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$138.29</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FXN (</w:t>
            </w:r>
            <w:proofErr w:type="spellStart"/>
            <w:r w:rsidRPr="001B268D">
              <w:rPr>
                <w:rFonts w:ascii="Times New Roman" w:hAnsi="Times New Roman" w:cs="Times New Roman"/>
              </w:rPr>
              <w:t>frataxin</w:t>
            </w:r>
            <w:proofErr w:type="spellEnd"/>
            <w:r w:rsidRPr="001B268D">
              <w:rPr>
                <w:rFonts w:ascii="Times New Roman" w:hAnsi="Times New Roman" w:cs="Times New Roman"/>
              </w:rPr>
              <w:t>) (</w:t>
            </w:r>
            <w:proofErr w:type="spellStart"/>
            <w:r w:rsidRPr="001B268D">
              <w:rPr>
                <w:rFonts w:ascii="Times New Roman" w:hAnsi="Times New Roman" w:cs="Times New Roman"/>
              </w:rPr>
              <w:t>eg</w:t>
            </w:r>
            <w:proofErr w:type="spellEnd"/>
            <w:r w:rsidRPr="001B268D">
              <w:rPr>
                <w:rFonts w:ascii="Times New Roman" w:hAnsi="Times New Roman" w:cs="Times New Roman"/>
              </w:rPr>
              <w:t>, Friedreich ataxia) gene analysis; known familial variant(s)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81305</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$130.97</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MYD88 (myeloid differentiation primary response 88)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Waldenstrom’s</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macroglobulinemia</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lymphoplasmacytic</w:t>
            </w:r>
            <w:proofErr w:type="spellEnd"/>
            <w:r w:rsidRPr="001B268D">
              <w:rPr>
                <w:rFonts w:ascii="Times New Roman" w:hAnsi="Times New Roman" w:cs="Times New Roman"/>
              </w:rPr>
              <w:t xml:space="preserve"> leukemia) gene analysis, p.Leu265Pro (L265P) variant</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81306</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$217.56</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NUTD15 (</w:t>
            </w:r>
            <w:proofErr w:type="spellStart"/>
            <w:r w:rsidRPr="001B268D">
              <w:rPr>
                <w:rFonts w:ascii="Times New Roman" w:hAnsi="Times New Roman" w:cs="Times New Roman"/>
              </w:rPr>
              <w:t>nudix</w:t>
            </w:r>
            <w:proofErr w:type="spellEnd"/>
            <w:r w:rsidRPr="001B268D">
              <w:rPr>
                <w:rFonts w:ascii="Times New Roman" w:hAnsi="Times New Roman" w:cs="Times New Roman"/>
              </w:rPr>
              <w:t xml:space="preserve"> hydrolase 15) (</w:t>
            </w:r>
            <w:proofErr w:type="spellStart"/>
            <w:r w:rsidRPr="001B268D">
              <w:rPr>
                <w:rFonts w:ascii="Times New Roman" w:hAnsi="Times New Roman" w:cs="Times New Roman"/>
              </w:rPr>
              <w:t>eg</w:t>
            </w:r>
            <w:proofErr w:type="spellEnd"/>
            <w:r w:rsidRPr="001B268D">
              <w:rPr>
                <w:rFonts w:ascii="Times New Roman" w:hAnsi="Times New Roman" w:cs="Times New Roman"/>
              </w:rPr>
              <w:t>, drug metabolism) gene analysis; common variant(s) (</w:t>
            </w:r>
            <w:proofErr w:type="spellStart"/>
            <w:r w:rsidRPr="001B268D">
              <w:rPr>
                <w:rFonts w:ascii="Times New Roman" w:hAnsi="Times New Roman" w:cs="Times New Roman"/>
              </w:rPr>
              <w:t>eg</w:t>
            </w:r>
            <w:proofErr w:type="spellEnd"/>
            <w:r w:rsidRPr="001B268D">
              <w:rPr>
                <w:rFonts w:ascii="Times New Roman" w:hAnsi="Times New Roman" w:cs="Times New Roman"/>
              </w:rPr>
              <w:t>, *2, *3, *4, *5, *6)</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81312</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 xml:space="preserve">PABPN1 (poly [A] binding </w:t>
            </w:r>
            <w:proofErr w:type="spellStart"/>
            <w:r w:rsidRPr="001B268D">
              <w:rPr>
                <w:rFonts w:ascii="Times New Roman" w:hAnsi="Times New Roman" w:cs="Times New Roman"/>
              </w:rPr>
              <w:t>proteinnuclear</w:t>
            </w:r>
            <w:proofErr w:type="spellEnd"/>
            <w:r w:rsidRPr="001B268D">
              <w:rPr>
                <w:rFonts w:ascii="Times New Roman" w:hAnsi="Times New Roman" w:cs="Times New Roman"/>
              </w:rPr>
              <w:t xml:space="preserve"> 1)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oculopharyngeal</w:t>
            </w:r>
            <w:proofErr w:type="spellEnd"/>
            <w:r w:rsidRPr="001B268D">
              <w:rPr>
                <w:rFonts w:ascii="Times New Roman" w:hAnsi="Times New Roman" w:cs="Times New Roman"/>
              </w:rPr>
              <w:t xml:space="preserve"> muscular dystrophy)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81320</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$217.56</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PLCG2 (phospholipase C gamma 2) (</w:t>
            </w:r>
            <w:proofErr w:type="spellStart"/>
            <w:r w:rsidRPr="001B268D">
              <w:rPr>
                <w:rFonts w:ascii="Times New Roman" w:hAnsi="Times New Roman" w:cs="Times New Roman"/>
              </w:rPr>
              <w:t>eg</w:t>
            </w:r>
            <w:proofErr w:type="spellEnd"/>
            <w:r w:rsidRPr="001B268D">
              <w:rPr>
                <w:rFonts w:ascii="Times New Roman" w:hAnsi="Times New Roman" w:cs="Times New Roman"/>
              </w:rPr>
              <w:t>, chronic lymphocytic leukemia) gene analysis, common variants (</w:t>
            </w:r>
            <w:proofErr w:type="spellStart"/>
            <w:r w:rsidRPr="001B268D">
              <w:rPr>
                <w:rFonts w:ascii="Times New Roman" w:hAnsi="Times New Roman" w:cs="Times New Roman"/>
              </w:rPr>
              <w:t>eg</w:t>
            </w:r>
            <w:proofErr w:type="spellEnd"/>
            <w:r w:rsidRPr="001B268D">
              <w:rPr>
                <w:rFonts w:ascii="Times New Roman" w:hAnsi="Times New Roman" w:cs="Times New Roman"/>
              </w:rPr>
              <w:t>, R665W, S707F, L845F)</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81320</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$217.56</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PLCG2 (phospholipase C gamma 2) (</w:t>
            </w:r>
            <w:proofErr w:type="spellStart"/>
            <w:r w:rsidRPr="001B268D">
              <w:rPr>
                <w:rFonts w:ascii="Times New Roman" w:hAnsi="Times New Roman" w:cs="Times New Roman"/>
              </w:rPr>
              <w:t>eg</w:t>
            </w:r>
            <w:proofErr w:type="spellEnd"/>
            <w:r w:rsidRPr="001B268D">
              <w:rPr>
                <w:rFonts w:ascii="Times New Roman" w:hAnsi="Times New Roman" w:cs="Times New Roman"/>
              </w:rPr>
              <w:t>, chronic lymphocytic leukemia) gene analysis, common variants (</w:t>
            </w:r>
            <w:proofErr w:type="spellStart"/>
            <w:r w:rsidRPr="001B268D">
              <w:rPr>
                <w:rFonts w:ascii="Times New Roman" w:hAnsi="Times New Roman" w:cs="Times New Roman"/>
              </w:rPr>
              <w:t>eg</w:t>
            </w:r>
            <w:proofErr w:type="spellEnd"/>
            <w:r w:rsidRPr="001B268D">
              <w:rPr>
                <w:rFonts w:ascii="Times New Roman" w:hAnsi="Times New Roman" w:cs="Times New Roman"/>
              </w:rPr>
              <w:t>, R665W, S707F, L845F)</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81329</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SMN1 ( survival of motor neon 1, telemetric) (</w:t>
            </w:r>
            <w:proofErr w:type="spellStart"/>
            <w:r w:rsidRPr="001B268D">
              <w:rPr>
                <w:rFonts w:ascii="Times New Roman" w:hAnsi="Times New Roman" w:cs="Times New Roman"/>
              </w:rPr>
              <w:t>eg</w:t>
            </w:r>
            <w:proofErr w:type="spellEnd"/>
            <w:r w:rsidRPr="001B268D">
              <w:rPr>
                <w:rFonts w:ascii="Times New Roman" w:hAnsi="Times New Roman" w:cs="Times New Roman"/>
              </w:rPr>
              <w:t>, spinal muscular atrophy) gene analysis; dosage/deletion analysis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carrier testing), includes SMN2 (survival of motor neuron 2, </w:t>
            </w:r>
            <w:proofErr w:type="spellStart"/>
            <w:r w:rsidRPr="001B268D">
              <w:rPr>
                <w:rFonts w:ascii="Times New Roman" w:hAnsi="Times New Roman" w:cs="Times New Roman"/>
              </w:rPr>
              <w:t>centromeric</w:t>
            </w:r>
            <w:proofErr w:type="spellEnd"/>
            <w:r w:rsidRPr="001B268D">
              <w:rPr>
                <w:rFonts w:ascii="Times New Roman" w:hAnsi="Times New Roman" w:cs="Times New Roman"/>
              </w:rPr>
              <w:t>) analysis, if performed</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81333</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TGFBI (transforming growth factor beta-induced) (</w:t>
            </w:r>
            <w:proofErr w:type="spellStart"/>
            <w:r w:rsidRPr="001B268D">
              <w:rPr>
                <w:rFonts w:ascii="Times New Roman" w:hAnsi="Times New Roman" w:cs="Times New Roman"/>
              </w:rPr>
              <w:t>eg</w:t>
            </w:r>
            <w:proofErr w:type="spellEnd"/>
            <w:r w:rsidRPr="001B268D">
              <w:rPr>
                <w:rFonts w:ascii="Times New Roman" w:hAnsi="Times New Roman" w:cs="Times New Roman"/>
              </w:rPr>
              <w:t>, corneal dystrophy) gene analysis, common variants (</w:t>
            </w:r>
            <w:proofErr w:type="spellStart"/>
            <w:r w:rsidRPr="001B268D">
              <w:rPr>
                <w:rFonts w:ascii="Times New Roman" w:hAnsi="Times New Roman" w:cs="Times New Roman"/>
              </w:rPr>
              <w:t>eg</w:t>
            </w:r>
            <w:proofErr w:type="spellEnd"/>
            <w:r w:rsidRPr="001B268D">
              <w:rPr>
                <w:rFonts w:ascii="Times New Roman" w:hAnsi="Times New Roman" w:cs="Times New Roman"/>
              </w:rPr>
              <w:t>, R124H, R124C, R124L, R555W, R555Q)</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81336</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$225.02</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SMN1 (survival of motor neon 1, telemetric) (</w:t>
            </w:r>
            <w:proofErr w:type="spellStart"/>
            <w:r w:rsidRPr="001B268D">
              <w:rPr>
                <w:rFonts w:ascii="Times New Roman" w:hAnsi="Times New Roman" w:cs="Times New Roman"/>
              </w:rPr>
              <w:t>eg</w:t>
            </w:r>
            <w:proofErr w:type="spellEnd"/>
            <w:r w:rsidRPr="001B268D">
              <w:rPr>
                <w:rFonts w:ascii="Times New Roman" w:hAnsi="Times New Roman" w:cs="Times New Roman"/>
              </w:rPr>
              <w:t>, spinal muscular atrophy) gene analysis; full gene analysis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81337</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$138.29</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SMN1 (survival of motor neon 1, telemetric) (</w:t>
            </w:r>
            <w:proofErr w:type="spellStart"/>
            <w:r w:rsidRPr="001B268D">
              <w:rPr>
                <w:rFonts w:ascii="Times New Roman" w:hAnsi="Times New Roman" w:cs="Times New Roman"/>
              </w:rPr>
              <w:t>eg</w:t>
            </w:r>
            <w:proofErr w:type="spellEnd"/>
            <w:r w:rsidRPr="001B268D">
              <w:rPr>
                <w:rFonts w:ascii="Times New Roman" w:hAnsi="Times New Roman" w:cs="Times New Roman"/>
              </w:rPr>
              <w:t>, spinal muscular atrophy) gene analysis; known familial variant(s)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81343</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 xml:space="preserve">PPP2R2B (protein phosphatase 2 regulatory subunit </w:t>
            </w:r>
            <w:proofErr w:type="spellStart"/>
            <w:r w:rsidRPr="001B268D">
              <w:rPr>
                <w:rFonts w:ascii="Times New Roman" w:hAnsi="Times New Roman" w:cs="Times New Roman"/>
              </w:rPr>
              <w:t>Bbeta</w:t>
            </w:r>
            <w:proofErr w:type="spellEnd"/>
            <w:r w:rsidRPr="001B268D">
              <w:rPr>
                <w:rFonts w:ascii="Times New Roman" w:hAnsi="Times New Roman" w:cs="Times New Roman"/>
              </w:rPr>
              <w:t>) (</w:t>
            </w:r>
            <w:proofErr w:type="spellStart"/>
            <w:r w:rsidRPr="001B268D">
              <w:rPr>
                <w:rFonts w:ascii="Times New Roman" w:hAnsi="Times New Roman" w:cs="Times New Roman"/>
              </w:rPr>
              <w:t>eg</w:t>
            </w:r>
            <w:proofErr w:type="spellEnd"/>
            <w:r w:rsidRPr="001B268D">
              <w:rPr>
                <w:rFonts w:ascii="Times New Roman" w:hAnsi="Times New Roman" w:cs="Times New Roman"/>
              </w:rPr>
              <w:t>, spinocerebellar ataxia)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81344</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$102.30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TBP (TATA box binding protein) (</w:t>
            </w:r>
            <w:proofErr w:type="spellStart"/>
            <w:r w:rsidRPr="001B268D">
              <w:rPr>
                <w:rFonts w:ascii="Times New Roman" w:hAnsi="Times New Roman" w:cs="Times New Roman"/>
              </w:rPr>
              <w:t>spinoceenellar</w:t>
            </w:r>
            <w:proofErr w:type="spellEnd"/>
            <w:r w:rsidRPr="001B268D">
              <w:rPr>
                <w:rFonts w:ascii="Times New Roman" w:hAnsi="Times New Roman" w:cs="Times New Roman"/>
              </w:rPr>
              <w:t xml:space="preserve"> ataxia) gene analysis, evaluation to detect abnormal (</w:t>
            </w:r>
            <w:proofErr w:type="spellStart"/>
            <w:r w:rsidRPr="001B268D">
              <w:rPr>
                <w:rFonts w:ascii="Times New Roman" w:hAnsi="Times New Roman" w:cs="Times New Roman"/>
              </w:rPr>
              <w:t>eg</w:t>
            </w:r>
            <w:proofErr w:type="spellEnd"/>
            <w:r w:rsidRPr="001B268D">
              <w:rPr>
                <w:rFonts w:ascii="Times New Roman" w:hAnsi="Times New Roman" w:cs="Times New Roman"/>
              </w:rPr>
              <w:t>, expanded) alleles</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81345</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$138.29</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TERT (telomerase reverse transcriptase)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thyroid carcinoma, glioblastoma </w:t>
            </w:r>
            <w:proofErr w:type="spellStart"/>
            <w:r w:rsidRPr="001B268D">
              <w:rPr>
                <w:rFonts w:ascii="Times New Roman" w:hAnsi="Times New Roman" w:cs="Times New Roman"/>
              </w:rPr>
              <w:t>multiforme</w:t>
            </w:r>
            <w:proofErr w:type="spellEnd"/>
            <w:r w:rsidRPr="001B268D">
              <w:rPr>
                <w:rFonts w:ascii="Times New Roman" w:hAnsi="Times New Roman" w:cs="Times New Roman"/>
              </w:rPr>
              <w:t>) gene analysis, targeted sequence analysis (</w:t>
            </w:r>
            <w:proofErr w:type="spellStart"/>
            <w:r w:rsidRPr="001B268D">
              <w:rPr>
                <w:rFonts w:ascii="Times New Roman" w:hAnsi="Times New Roman" w:cs="Times New Roman"/>
              </w:rPr>
              <w:t>eg</w:t>
            </w:r>
            <w:proofErr w:type="spellEnd"/>
            <w:r w:rsidRPr="001B268D">
              <w:rPr>
                <w:rFonts w:ascii="Times New Roman" w:hAnsi="Times New Roman" w:cs="Times New Roman"/>
              </w:rPr>
              <w:t>, promoter region)</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81443</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$1828.34</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Genetic testing for severe inherited conditions (</w:t>
            </w:r>
            <w:proofErr w:type="spellStart"/>
            <w:r w:rsidRPr="001B268D">
              <w:rPr>
                <w:rFonts w:ascii="Times New Roman" w:hAnsi="Times New Roman" w:cs="Times New Roman"/>
              </w:rPr>
              <w:t>eg</w:t>
            </w:r>
            <w:proofErr w:type="spellEnd"/>
            <w:r w:rsidRPr="001B268D">
              <w:rPr>
                <w:rFonts w:ascii="Times New Roman" w:hAnsi="Times New Roman" w:cs="Times New Roman"/>
              </w:rPr>
              <w:t>, cystic fibrosis, Ashkenazi Jewish associated disorders [</w:t>
            </w:r>
            <w:proofErr w:type="spellStart"/>
            <w:r w:rsidRPr="001B268D">
              <w:rPr>
                <w:rFonts w:ascii="Times New Roman" w:hAnsi="Times New Roman" w:cs="Times New Roman"/>
              </w:rPr>
              <w:t>eg</w:t>
            </w:r>
            <w:proofErr w:type="spellEnd"/>
            <w:r w:rsidRPr="001B268D">
              <w:rPr>
                <w:rFonts w:ascii="Times New Roman" w:hAnsi="Times New Roman" w:cs="Times New Roman"/>
              </w:rPr>
              <w:t xml:space="preserve">, Bloom syndrome, Canavan disease, </w:t>
            </w:r>
            <w:proofErr w:type="spellStart"/>
            <w:r w:rsidRPr="001B268D">
              <w:rPr>
                <w:rFonts w:ascii="Times New Roman" w:hAnsi="Times New Roman" w:cs="Times New Roman"/>
              </w:rPr>
              <w:t>Fanconi</w:t>
            </w:r>
            <w:proofErr w:type="spellEnd"/>
            <w:r w:rsidRPr="001B268D">
              <w:rPr>
                <w:rFonts w:ascii="Times New Roman" w:hAnsi="Times New Roman" w:cs="Times New Roman"/>
              </w:rPr>
              <w:t xml:space="preserve"> anemia type C, </w:t>
            </w:r>
            <w:proofErr w:type="spellStart"/>
            <w:r w:rsidRPr="001B268D">
              <w:rPr>
                <w:rFonts w:ascii="Times New Roman" w:hAnsi="Times New Roman" w:cs="Times New Roman"/>
              </w:rPr>
              <w:t>mucolipidosis</w:t>
            </w:r>
            <w:proofErr w:type="spellEnd"/>
            <w:r w:rsidRPr="001B268D">
              <w:rPr>
                <w:rFonts w:ascii="Times New Roman" w:hAnsi="Times New Roman" w:cs="Times New Roman"/>
              </w:rPr>
              <w:t xml:space="preserve"> </w:t>
            </w:r>
            <w:proofErr w:type="spellStart"/>
            <w:r w:rsidRPr="001B268D">
              <w:rPr>
                <w:rFonts w:ascii="Times New Roman" w:hAnsi="Times New Roman" w:cs="Times New Roman"/>
              </w:rPr>
              <w:t>yipe</w:t>
            </w:r>
            <w:proofErr w:type="spellEnd"/>
            <w:r w:rsidRPr="001B268D">
              <w:rPr>
                <w:rFonts w:ascii="Times New Roman" w:hAnsi="Times New Roman" w:cs="Times New Roman"/>
              </w:rPr>
              <w:t xml:space="preserve"> VI, </w:t>
            </w:r>
            <w:proofErr w:type="spellStart"/>
            <w:r w:rsidRPr="001B268D">
              <w:rPr>
                <w:rFonts w:ascii="Times New Roman" w:hAnsi="Times New Roman" w:cs="Times New Roman"/>
              </w:rPr>
              <w:t>Gaucher</w:t>
            </w:r>
            <w:proofErr w:type="spellEnd"/>
            <w:r w:rsidRPr="001B268D">
              <w:rPr>
                <w:rFonts w:ascii="Times New Roman" w:hAnsi="Times New Roman" w:cs="Times New Roman"/>
              </w:rPr>
              <w:t xml:space="preserve"> disease, </w:t>
            </w:r>
            <w:proofErr w:type="spellStart"/>
            <w:r w:rsidRPr="001B268D">
              <w:rPr>
                <w:rFonts w:ascii="Times New Roman" w:hAnsi="Times New Roman" w:cs="Times New Roman"/>
              </w:rPr>
              <w:t>Tay</w:t>
            </w:r>
            <w:proofErr w:type="spellEnd"/>
            <w:r w:rsidRPr="001B268D">
              <w:rPr>
                <w:rFonts w:ascii="Times New Roman" w:hAnsi="Times New Roman" w:cs="Times New Roman"/>
              </w:rPr>
              <w:t xml:space="preserve">-Sachs disease], beta </w:t>
            </w:r>
            <w:proofErr w:type="spellStart"/>
            <w:r w:rsidRPr="001B268D">
              <w:rPr>
                <w:rFonts w:ascii="Times New Roman" w:hAnsi="Times New Roman" w:cs="Times New Roman"/>
              </w:rPr>
              <w:t>humoglobinopathies</w:t>
            </w:r>
            <w:proofErr w:type="spellEnd"/>
            <w:r w:rsidRPr="001B268D">
              <w:rPr>
                <w:rFonts w:ascii="Times New Roman" w:hAnsi="Times New Roman" w:cs="Times New Roman"/>
              </w:rPr>
              <w:t xml:space="preserve">, phenylketonuria, </w:t>
            </w:r>
            <w:proofErr w:type="spellStart"/>
            <w:r w:rsidRPr="001B268D">
              <w:rPr>
                <w:rFonts w:ascii="Times New Roman" w:hAnsi="Times New Roman" w:cs="Times New Roman"/>
              </w:rPr>
              <w:t>galactosemia</w:t>
            </w:r>
            <w:proofErr w:type="spellEnd"/>
            <w:r w:rsidRPr="001B268D">
              <w:rPr>
                <w:rFonts w:ascii="Times New Roman" w:hAnsi="Times New Roman" w:cs="Times New Roman"/>
              </w:rPr>
              <w:t>), genomic sequence analysis panel, must include sequencing of at least 15 genes (</w:t>
            </w:r>
            <w:proofErr w:type="spellStart"/>
            <w:r w:rsidRPr="001B268D">
              <w:rPr>
                <w:rFonts w:ascii="Times New Roman" w:hAnsi="Times New Roman" w:cs="Times New Roman"/>
              </w:rPr>
              <w:t>eg</w:t>
            </w:r>
            <w:proofErr w:type="spellEnd"/>
            <w:r w:rsidRPr="001B268D">
              <w:rPr>
                <w:rFonts w:ascii="Times New Roman" w:hAnsi="Times New Roman" w:cs="Times New Roman"/>
              </w:rPr>
              <w:t>, SCADM, ARSA, ASPA, ATP7B, BCKDHA, BCDHB, BLM, CFTR, DHCR7, FANCC, G6PC, GAA, GALT, GBA, GBE1, HBB, HEXA, IBKAP, MCOLN1, PAH)</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81518</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$2891.97</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Oncology (breast), mRNA, gene expression profiling by real-time RT-PCR of 11genes (7 content and 4 housekeeping), utilizing formalin-fixed paraffin-embedded tissue, algorithms reported as percentage risk for metastatic recurrence and likelihood of benefit from extended endocrine therapy</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81596</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$53.90</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 xml:space="preserve">Infectious disease, chronic hepatitis C virus (HCV) infection, six biochemical assays (ALT, A2- macroglobulin, apolipoprotein A-1, </w:t>
            </w:r>
            <w:proofErr w:type="spellStart"/>
            <w:r w:rsidRPr="001B268D">
              <w:rPr>
                <w:rFonts w:ascii="Times New Roman" w:hAnsi="Times New Roman" w:cs="Times New Roman"/>
              </w:rPr>
              <w:t>totalo</w:t>
            </w:r>
            <w:proofErr w:type="spellEnd"/>
            <w:r w:rsidRPr="001B268D">
              <w:rPr>
                <w:rFonts w:ascii="Times New Roman" w:hAnsi="Times New Roman" w:cs="Times New Roman"/>
              </w:rPr>
              <w:t xml:space="preserve"> bilirubin, GGT, and </w:t>
            </w:r>
            <w:proofErr w:type="spellStart"/>
            <w:r w:rsidRPr="001B268D">
              <w:rPr>
                <w:rFonts w:ascii="Times New Roman" w:hAnsi="Times New Roman" w:cs="Times New Roman"/>
              </w:rPr>
              <w:t>haptoglobin</w:t>
            </w:r>
            <w:proofErr w:type="spellEnd"/>
            <w:r w:rsidRPr="001B268D">
              <w:rPr>
                <w:rFonts w:ascii="Times New Roman" w:hAnsi="Times New Roman" w:cs="Times New Roman"/>
              </w:rPr>
              <w:t xml:space="preserve">) utilizing serum, prognostic algorithm reported as scores for fibrosis and </w:t>
            </w:r>
            <w:proofErr w:type="spellStart"/>
            <w:r w:rsidRPr="001B268D">
              <w:rPr>
                <w:rFonts w:ascii="Times New Roman" w:hAnsi="Times New Roman" w:cs="Times New Roman"/>
              </w:rPr>
              <w:t>necroinflammatory</w:t>
            </w:r>
            <w:proofErr w:type="spellEnd"/>
            <w:r w:rsidRPr="001B268D">
              <w:rPr>
                <w:rFonts w:ascii="Times New Roman" w:hAnsi="Times New Roman" w:cs="Times New Roman"/>
              </w:rPr>
              <w:t xml:space="preserve"> activity in liver</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82642</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$24.29</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Dihydrotestosterone (DHT)</w:t>
            </w:r>
          </w:p>
        </w:tc>
      </w:tr>
      <w:tr w:rsidR="001B268D" w:rsidRPr="001B268D" w:rsidTr="00AB387F">
        <w:tc>
          <w:tcPr>
            <w:tcW w:w="469"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83722</w:t>
            </w:r>
          </w:p>
        </w:tc>
        <w:tc>
          <w:tcPr>
            <w:tcW w:w="785"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Addition</w:t>
            </w:r>
          </w:p>
        </w:tc>
        <w:tc>
          <w:tcPr>
            <w:tcW w:w="688" w:type="pct"/>
          </w:tcPr>
          <w:p w:rsidR="00102C33" w:rsidRPr="001B268D" w:rsidRDefault="00102C33" w:rsidP="005A4618">
            <w:pPr>
              <w:autoSpaceDE w:val="0"/>
              <w:autoSpaceDN w:val="0"/>
              <w:adjustRightInd w:val="0"/>
              <w:ind w:right="-720"/>
              <w:rPr>
                <w:rFonts w:ascii="Times New Roman" w:hAnsi="Times New Roman" w:cs="Times New Roman"/>
                <w:sz w:val="24"/>
                <w:szCs w:val="22"/>
              </w:rPr>
            </w:pPr>
            <w:r w:rsidRPr="001B268D">
              <w:rPr>
                <w:rFonts w:ascii="Times New Roman" w:hAnsi="Times New Roman" w:cs="Times New Roman"/>
                <w:sz w:val="24"/>
                <w:szCs w:val="22"/>
              </w:rPr>
              <w:t>$26.18</w:t>
            </w:r>
          </w:p>
        </w:tc>
        <w:tc>
          <w:tcPr>
            <w:tcW w:w="3058" w:type="pct"/>
          </w:tcPr>
          <w:p w:rsidR="00102C33" w:rsidRPr="001B268D" w:rsidRDefault="00102C33" w:rsidP="005A4618">
            <w:pPr>
              <w:rPr>
                <w:rFonts w:ascii="Times New Roman" w:hAnsi="Times New Roman" w:cs="Times New Roman"/>
              </w:rPr>
            </w:pPr>
            <w:r w:rsidRPr="001B268D">
              <w:rPr>
                <w:rFonts w:ascii="Times New Roman" w:hAnsi="Times New Roman" w:cs="Times New Roman"/>
              </w:rPr>
              <w:t>Lipoprotein, direct measurement; small dense LDL cholesterol</w:t>
            </w:r>
          </w:p>
        </w:tc>
      </w:tr>
      <w:bookmarkEnd w:id="0"/>
    </w:tbl>
    <w:p w:rsidR="00102C33" w:rsidRPr="001B268D" w:rsidRDefault="00102C33" w:rsidP="00102C33">
      <w:pPr>
        <w:tabs>
          <w:tab w:val="left" w:pos="5955"/>
        </w:tabs>
        <w:autoSpaceDE w:val="0"/>
        <w:autoSpaceDN w:val="0"/>
        <w:adjustRightInd w:val="0"/>
        <w:ind w:right="-720"/>
        <w:rPr>
          <w:szCs w:val="22"/>
        </w:rPr>
      </w:pPr>
    </w:p>
    <w:p w:rsidR="00760514" w:rsidRPr="001B268D" w:rsidRDefault="00760514" w:rsidP="00962923">
      <w:pPr>
        <w:tabs>
          <w:tab w:val="left" w:pos="1440"/>
          <w:tab w:val="center" w:pos="4925"/>
        </w:tabs>
        <w:rPr>
          <w:rFonts w:ascii="Times New Roman" w:hAnsi="Times New Roman" w:cs="Times New Roman"/>
          <w:sz w:val="24"/>
          <w:szCs w:val="24"/>
        </w:rPr>
      </w:pPr>
    </w:p>
    <w:sectPr w:rsidR="00760514" w:rsidRPr="001B268D" w:rsidSect="007816C6">
      <w:footerReference w:type="even" r:id="rId10"/>
      <w:footerReference w:type="default" r:id="rId11"/>
      <w:footerReference w:type="first" r:id="rId12"/>
      <w:pgSz w:w="12240" w:h="15840" w:code="1"/>
      <w:pgMar w:top="1440" w:right="1296" w:bottom="144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84" w:rsidRDefault="00A60384">
      <w:r>
        <w:separator/>
      </w:r>
    </w:p>
  </w:endnote>
  <w:endnote w:type="continuationSeparator" w:id="0">
    <w:p w:rsidR="00A60384" w:rsidRDefault="00A6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B387F">
      <w:rPr>
        <w:rStyle w:val="PageNumber"/>
        <w:rFonts w:ascii="Times New Roman" w:hAnsi="Times New Roman" w:cs="Times New Roman"/>
        <w:noProof/>
      </w:rPr>
      <w:t>4</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14:anchorId="7AF0ED77" wp14:editId="07D2E2E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84" w:rsidRDefault="00A60384">
      <w:r>
        <w:separator/>
      </w:r>
    </w:p>
  </w:footnote>
  <w:footnote w:type="continuationSeparator" w:id="0">
    <w:p w:rsidR="00A60384" w:rsidRDefault="00A60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2C33"/>
    <w:rsid w:val="001066DC"/>
    <w:rsid w:val="0011159B"/>
    <w:rsid w:val="001145CC"/>
    <w:rsid w:val="0014797B"/>
    <w:rsid w:val="00151378"/>
    <w:rsid w:val="00170C17"/>
    <w:rsid w:val="00186186"/>
    <w:rsid w:val="001A4FFD"/>
    <w:rsid w:val="001B1E05"/>
    <w:rsid w:val="001B268D"/>
    <w:rsid w:val="001B3F94"/>
    <w:rsid w:val="001C3CAB"/>
    <w:rsid w:val="001E7C3D"/>
    <w:rsid w:val="00206158"/>
    <w:rsid w:val="00206A7D"/>
    <w:rsid w:val="0020717F"/>
    <w:rsid w:val="00215CAD"/>
    <w:rsid w:val="00223B9F"/>
    <w:rsid w:val="0022417C"/>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648C8"/>
    <w:rsid w:val="00773BF3"/>
    <w:rsid w:val="007802E3"/>
    <w:rsid w:val="007816C6"/>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273A0"/>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3A8C"/>
    <w:rsid w:val="009F77FD"/>
    <w:rsid w:val="009F7DCC"/>
    <w:rsid w:val="00A152D4"/>
    <w:rsid w:val="00A20582"/>
    <w:rsid w:val="00A32FEA"/>
    <w:rsid w:val="00A42891"/>
    <w:rsid w:val="00A52D97"/>
    <w:rsid w:val="00A60384"/>
    <w:rsid w:val="00A65D75"/>
    <w:rsid w:val="00A77971"/>
    <w:rsid w:val="00A934F9"/>
    <w:rsid w:val="00AA115F"/>
    <w:rsid w:val="00AB0061"/>
    <w:rsid w:val="00AB387F"/>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7B62-B819-40A9-8D8C-13BC20B5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3</cp:revision>
  <cp:lastPrinted>2016-03-10T17:00:00Z</cp:lastPrinted>
  <dcterms:created xsi:type="dcterms:W3CDTF">2019-03-25T18:38:00Z</dcterms:created>
  <dcterms:modified xsi:type="dcterms:W3CDTF">2019-04-19T12:37:00Z</dcterms:modified>
</cp:coreProperties>
</file>