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F24FBD" w:rsidRDefault="00CF270A">
      <w:pPr>
        <w:jc w:val="center"/>
        <w:rPr>
          <w:rFonts w:ascii="Bookman" w:hAnsi="Bookman"/>
          <w:iCs/>
          <w:color w:val="333399"/>
          <w:sz w:val="28"/>
        </w:rPr>
      </w:pPr>
      <w:bookmarkStart w:id="0" w:name="_GoBack"/>
      <w:bookmarkEnd w:id="0"/>
      <w:r w:rsidRPr="00F24FBD">
        <w:rPr>
          <w:noProof/>
          <w:sz w:val="20"/>
        </w:rPr>
        <w:drawing>
          <wp:anchor distT="0" distB="0" distL="114300" distR="114300" simplePos="0" relativeHeight="251658752" behindDoc="1" locked="0" layoutInCell="1" allowOverlap="1" wp14:anchorId="7BEB03E2" wp14:editId="0200F2B0">
            <wp:simplePos x="0" y="0"/>
            <wp:positionH relativeFrom="column">
              <wp:posOffset>-139700</wp:posOffset>
            </wp:positionH>
            <wp:positionV relativeFrom="paragraph">
              <wp:posOffset>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F24FBD">
        <w:rPr>
          <w:rFonts w:ascii="Bookman" w:hAnsi="Bookman"/>
          <w:iCs/>
          <w:color w:val="333399"/>
          <w:sz w:val="28"/>
        </w:rPr>
        <w:t>The Commonwealth of Massachusetts</w:t>
      </w:r>
    </w:p>
    <w:p w:rsidR="000D1437" w:rsidRPr="00F24FBD" w:rsidRDefault="000D1437">
      <w:pPr>
        <w:jc w:val="center"/>
        <w:rPr>
          <w:rFonts w:ascii="Bookman" w:hAnsi="Bookman"/>
          <w:iCs/>
          <w:color w:val="333399"/>
          <w:sz w:val="28"/>
        </w:rPr>
      </w:pPr>
      <w:r w:rsidRPr="00F24FBD">
        <w:rPr>
          <w:rFonts w:ascii="Bookman" w:hAnsi="Bookman"/>
          <w:iCs/>
          <w:color w:val="333399"/>
          <w:sz w:val="28"/>
        </w:rPr>
        <w:t>Executive Office of Health and Human Services</w:t>
      </w:r>
    </w:p>
    <w:p w:rsidR="000D1437" w:rsidRPr="00F24FBD" w:rsidRDefault="000D1437">
      <w:pPr>
        <w:jc w:val="center"/>
        <w:rPr>
          <w:rFonts w:ascii="Bookman" w:hAnsi="Bookman"/>
          <w:iCs/>
          <w:color w:val="333399"/>
          <w:sz w:val="28"/>
        </w:rPr>
      </w:pPr>
      <w:r w:rsidRPr="00F24FBD">
        <w:rPr>
          <w:rFonts w:ascii="Bookman" w:hAnsi="Bookman"/>
          <w:iCs/>
          <w:color w:val="333399"/>
          <w:sz w:val="28"/>
        </w:rPr>
        <w:t>One Ashburton Place, Room 1109</w:t>
      </w:r>
    </w:p>
    <w:p w:rsidR="00336F81" w:rsidRPr="00F24FBD" w:rsidRDefault="00215F99" w:rsidP="00F82206">
      <w:pPr>
        <w:pStyle w:val="Heading2"/>
        <w:rPr>
          <w:i w:val="0"/>
        </w:rPr>
      </w:pPr>
      <w:r>
        <w:rPr>
          <w:i w:val="0"/>
        </w:rPr>
        <w:t>Boston, Massachusetts</w:t>
      </w:r>
      <w:r w:rsidR="000D1437" w:rsidRPr="00F24FBD">
        <w:rPr>
          <w:i w:val="0"/>
        </w:rPr>
        <w:t xml:space="preserve"> 02108</w:t>
      </w:r>
    </w:p>
    <w:p w:rsidR="000D1437" w:rsidRDefault="000D1437" w:rsidP="00440874">
      <w:pPr>
        <w:pStyle w:val="Heading1"/>
        <w:jc w:val="left"/>
        <w:rPr>
          <w:color w:val="333399"/>
        </w:rPr>
      </w:pPr>
    </w:p>
    <w:p w:rsidR="00266394" w:rsidRDefault="00266394"/>
    <w:p w:rsidR="000D1437" w:rsidRDefault="00CF270A" w:rsidP="00440874">
      <w:pPr>
        <w:rPr>
          <w:rFonts w:ascii="Bookman" w:hAnsi="Bookman"/>
          <w:sz w:val="16"/>
        </w:rPr>
      </w:pPr>
      <w:r>
        <w:rPr>
          <w:noProof/>
        </w:rPr>
        <mc:AlternateContent>
          <mc:Choice Requires="wps">
            <w:drawing>
              <wp:anchor distT="0" distB="0" distL="114300" distR="114300" simplePos="0" relativeHeight="251656704" behindDoc="1" locked="0" layoutInCell="1" allowOverlap="1" wp14:anchorId="094E83B5" wp14:editId="241F68F5">
                <wp:simplePos x="0" y="0"/>
                <wp:positionH relativeFrom="column">
                  <wp:posOffset>-279400</wp:posOffset>
                </wp:positionH>
                <wp:positionV relativeFrom="paragraph">
                  <wp:posOffset>51435</wp:posOffset>
                </wp:positionV>
                <wp:extent cx="1397000" cy="116205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0uA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xgJ2gJFT2wwaCUHFNnu9J1OwOmxAzczwDGw7CrV3YMsvmok5LqmYsfulZJ9zWgJ2YX2pn91dcTR&#10;FmTbf5AlhKF7Ix3QUKnWtg6agQAdWHo+M2NTKWzIm3geBGAqwBaGsyiYOu58mpyud0qbd0y2yC5S&#10;rIB6B08PD9rYdGhycrHRhMx50zj6G/HiABzHEwgOV63NpuHY/BEH8WaxWRCPRLONR4Is8+7zNfFm&#10;eTifZjfZep2FP23ckCQ1L0smbJiTskLyZ8wdNT5q4qwtLRteWjibkla77bpR6EBB2bn7XNPBcnHz&#10;X6bhmgC1vCopjEiwimIvny3mHsnJ1INmL7wgjFfxLCAxyfKXJT1wwf69JNSnOJ5G01FNl6Rf1Qa0&#10;W+ZHBq9qo0nLDcyOhrcpXpydaGI1uBGlo9ZQ3ozrq1bY9C+tALpPRDvFWpGOcjXDdgAUK+OtLJ9B&#10;u0qCskCFMPBgUUv1HaMehkeK9bc9VQyj5r0A/cchIXbauA2ZziPYqGvL9tpCRQFQKTYYjcu1GSfU&#10;vlN8V0Ok8cUJeQ9vpuJOzZesji8NBoQr6jjM7AS63juvy8hd/gIAAP//AwBQSwMEFAAGAAgAAAAh&#10;AEphDRfdAAAACQEAAA8AAABkcnMvZG93bnJldi54bWxMj8FuwjAQRO+V+AdrkXoDOyilkMZBqFWv&#10;rUpbJG4mXpKo8TqKDUn/vsup3HY0o9k3+WZ0rbhgHxpPGpK5AoFUettQpeHr83W2AhGiIWtaT6jh&#10;FwNsisldbjLrB/rAyy5WgksoZEZDHWOXSRnKGp0Jc98hsXfyvTORZV9J25uBy10rF0otpTMN8Yfa&#10;dPhcY/mzOzsN32+nwz5V79WLe+gGPypJbi21vp+O2ycQEcf4H4YrPqNDwUxHfyYbRKthlqa8JWpY&#10;JSCu/uOS9ZGPdZKALHJ5u6D4AwAA//8DAFBLAQItABQABgAIAAAAIQC2gziS/gAAAOEBAAATAAAA&#10;AAAAAAAAAAAAAAAAAABbQ29udGVudF9UeXBlc10ueG1sUEsBAi0AFAAGAAgAAAAhADj9If/WAAAA&#10;lAEAAAsAAAAAAAAAAAAAAAAALwEAAF9yZWxzLy5yZWxzUEsBAi0AFAAGAAgAAAAhAHL6STS4AgAA&#10;ugUAAA4AAAAAAAAAAAAAAAAALgIAAGRycy9lMm9Eb2MueG1sUEsBAi0AFAAGAAgAAAAhAEphDRfd&#10;AAAACQEAAA8AAAAAAAAAAAAAAAAAEgUAAGRycy9kb3ducmV2LnhtbFBLBQYAAAAABAAEAPMAAAAc&#10;BgAAAAA=&#10;" filled="f" stroked="f">
                <v:textbox>
                  <w:txbxContent>
                    <w:p w:rsidR="000D1437" w:rsidRDefault="00F51AA0" w:rsidP="00CB5957">
                      <w:pPr>
                        <w:jc w:val="center"/>
                        <w:rPr>
                          <w:rFonts w:ascii="Bookman" w:hAnsi="Bookman"/>
                          <w:color w:val="333399"/>
                          <w:sz w:val="16"/>
                        </w:rPr>
                      </w:pPr>
                      <w:r>
                        <w:rPr>
                          <w:rFonts w:ascii="Bookman" w:hAnsi="Bookman"/>
                          <w:color w:val="333399"/>
                          <w:sz w:val="16"/>
                        </w:rPr>
                        <w:t>CHARLES D. BAKER</w:t>
                      </w:r>
                    </w:p>
                    <w:p w:rsidR="000D1437" w:rsidRDefault="000D1437" w:rsidP="00CB5957">
                      <w:pPr>
                        <w:jc w:val="center"/>
                        <w:rPr>
                          <w:rFonts w:ascii="Bookman" w:hAnsi="Bookman"/>
                          <w:color w:val="333399"/>
                          <w:sz w:val="16"/>
                        </w:rPr>
                      </w:pPr>
                      <w:r>
                        <w:rPr>
                          <w:rFonts w:ascii="Bookman" w:hAnsi="Bookman"/>
                          <w:color w:val="333399"/>
                          <w:sz w:val="16"/>
                        </w:rPr>
                        <w:t>Governor</w:t>
                      </w:r>
                    </w:p>
                    <w:p w:rsidR="00F82206" w:rsidRPr="00393EBD" w:rsidRDefault="00F82206" w:rsidP="00CB5957">
                      <w:pPr>
                        <w:jc w:val="center"/>
                        <w:rPr>
                          <w:rFonts w:ascii="Bookman" w:hAnsi="Bookman"/>
                          <w:color w:val="333399"/>
                          <w:sz w:val="16"/>
                          <w:szCs w:val="16"/>
                        </w:rPr>
                      </w:pPr>
                    </w:p>
                    <w:p w:rsidR="003D6B0C" w:rsidRPr="003D6B0C" w:rsidRDefault="00F51AA0" w:rsidP="00CB5957">
                      <w:pPr>
                        <w:jc w:val="center"/>
                        <w:rPr>
                          <w:rFonts w:ascii="Bookman" w:hAnsi="Bookman"/>
                          <w:color w:val="333399"/>
                          <w:sz w:val="16"/>
                        </w:rPr>
                      </w:pPr>
                      <w:r>
                        <w:rPr>
                          <w:rFonts w:ascii="Bookman" w:hAnsi="Bookman"/>
                          <w:color w:val="333399"/>
                          <w:sz w:val="16"/>
                        </w:rPr>
                        <w:t>KARYN E. POLITO</w:t>
                      </w:r>
                    </w:p>
                    <w:p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rsidR="00583C37" w:rsidRDefault="00435678" w:rsidP="00435678">
                      <w:pPr>
                        <w:jc w:val="center"/>
                        <w:rPr>
                          <w:rFonts w:ascii="Bookman" w:hAnsi="Bookman"/>
                          <w:color w:val="333399"/>
                          <w:sz w:val="16"/>
                        </w:rPr>
                      </w:pPr>
                      <w:r w:rsidRPr="00435678">
                        <w:rPr>
                          <w:rFonts w:ascii="Bookman" w:hAnsi="Bookman"/>
                          <w:color w:val="333399"/>
                          <w:sz w:val="16"/>
                        </w:rPr>
                        <w:t>Secretary</w:t>
                      </w:r>
                    </w:p>
                    <w:p w:rsidR="00435678" w:rsidRDefault="00435678" w:rsidP="00CB5957">
                      <w:pPr>
                        <w:jc w:val="center"/>
                        <w:rPr>
                          <w:rFonts w:ascii="Bookman" w:hAnsi="Bookman"/>
                          <w:color w:val="333399"/>
                          <w:sz w:val="16"/>
                        </w:rPr>
                      </w:pPr>
                    </w:p>
                    <w:p w:rsidR="00435678" w:rsidRDefault="00435678" w:rsidP="00CB5957">
                      <w:pPr>
                        <w:jc w:val="center"/>
                        <w:rPr>
                          <w:rFonts w:ascii="Bookman" w:hAnsi="Bookman"/>
                          <w:color w:val="333399"/>
                          <w:sz w:val="16"/>
                        </w:rPr>
                      </w:pPr>
                    </w:p>
                  </w:txbxContent>
                </v:textbox>
              </v:shape>
            </w:pict>
          </mc:Fallback>
        </mc:AlternateContent>
      </w:r>
      <w:r>
        <w:rPr>
          <w:noProof/>
          <w:sz w:val="20"/>
        </w:rPr>
        <mc:AlternateContent>
          <mc:Choice Requires="wps">
            <w:drawing>
              <wp:anchor distT="0" distB="0" distL="114300" distR="114300" simplePos="0" relativeHeight="251657728" behindDoc="1" locked="0" layoutInCell="1" allowOverlap="1" wp14:anchorId="640A4D4D" wp14:editId="7A447C0E">
                <wp:simplePos x="0" y="0"/>
                <wp:positionH relativeFrom="column">
                  <wp:posOffset>5127625</wp:posOffset>
                </wp:positionH>
                <wp:positionV relativeFrom="paragraph">
                  <wp:posOffset>51435</wp:posOffset>
                </wp:positionV>
                <wp:extent cx="1466850" cy="685800"/>
                <wp:effectExtent l="3175"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KtwIAAMAFAAAOAAAAZHJzL2Uyb0RvYy54bWysVNtunDAQfa/Uf7D8ToCtYQGFjZJlqSql&#10;FynpB3jBLFbBprZ32bTqv3ds9pbkpWrrB2vsGZ+5Hc/1zb7v0I4pzaXIcXgVYMREJWsuNjn++lh6&#10;CUbaUFHTTgqW4yem8c3i7ZvrccjYTLayq5lCACJ0Ng45bo0ZMt/XVct6qq/kwAQoG6l6auCoNn6t&#10;6AjofefPgiD2R6nqQcmKaQ23xaTEC4ffNKwyn5tGM4O6HENsxu3K7Wu7+4trmm0UHVpeHcKgfxFF&#10;T7kApyeoghqKtoq/gup5paSWjbmqZO/LpuEVczlANmHwIpuHlg7M5QLF0cOpTPr/wVafdl8U4jX0&#10;DiNBe2jRI9sbdCf3KLLVGQedgdHDAGZmD9fW0maqh3tZfdNIyGVLxYbdKiXHltEaogvtS//i6YSj&#10;Lch6/ChrcEO3RjqgfaN6CwjFQIAOXXo6dcaGUlmXJI6TCFQV6EBKAtc6n2bH14PS5j2TPbJCjhV0&#10;3qHT3b02NhqaHU2sMyFL3nWu+514dgGG0w34hqdWZ6NwzfyZBukqWSXEI7N45ZGgKLzbckm8uAzn&#10;UfGuWC6L8Jf1G5Ks5XXNhHVzJFZI/qxxB4pPlDhRS8uO1xbOhqTVZr3sFNpRIHbplqs5aM5m/vMw&#10;XBEglxcphTMS3M1Sr4yTuUdKEnnpPEi8IEzv0jggKSnK5yndc8H+PSU05jiNZtFEpnPQL3IL3Hqd&#10;G816bmB0dLzPMdABljWimaXgStRONpR3k3xRChv+uRTQ7mOjHWEtRye2mv16f/gZAGbJvJb1EzBY&#10;SSAYcBHGHgitVD8wGmGE5Fh/31LFMOo+CPgFaUiInTnuQKL5DA7qUrO+1FBRAVSODUaTuDTTnNoO&#10;im9a8DT9OyFv4ec03JH6HNXhv8GYcLkdRpqdQ5dnZ3UevIvfAAAA//8DAFBLAwQUAAYACAAAACEA&#10;at1iq90AAAAKAQAADwAAAGRycy9kb3ducmV2LnhtbEyPT0/DMAzF70h8h8hI3FhSYKOUphMCcQUx&#10;/kjcvMZrKxqnarK1fHu8E9ye/Z6efy7Xs+/VgcbYBbaQLQwo4jq4jhsL729PFzmomJAd9oHJwg9F&#10;WFenJyUWLkz8SodNapSUcCzQQpvSUGgd65Y8xkUYiMXbhdFjknFstBtxknLf60tjVtpjx3KhxYEe&#10;Wqq/N3tv4eN59/V5bV6aR78cpjAbzf5WW3t+Nt/fgUo0p78wHPEFHSph2oY9u6h6C7m5WUpURAbq&#10;6JurXBZbUdkqA12V+v8L1S8AAAD//wMAUEsBAi0AFAAGAAgAAAAhALaDOJL+AAAA4QEAABMAAAAA&#10;AAAAAAAAAAAAAAAAAFtDb250ZW50X1R5cGVzXS54bWxQSwECLQAUAAYACAAAACEAOP0h/9YAAACU&#10;AQAACwAAAAAAAAAAAAAAAAAvAQAAX3JlbHMvLnJlbHNQSwECLQAUAAYACAAAACEA+vg5ircCAADA&#10;BQAADgAAAAAAAAAAAAAAAAAuAgAAZHJzL2Uyb0RvYy54bWxQSwECLQAUAAYACAAAACEAat1iq90A&#10;AAAKAQAADwAAAAAAAAAAAAAAAAARBQAAZHJzL2Rvd25yZXYueG1sUEsFBgAAAAAEAAQA8wAAABsG&#10;AAAAAA==&#10;" filled="f" stroked="f">
                <v:textbox>
                  <w:txbxContent>
                    <w:p w:rsidR="000D1437" w:rsidRDefault="000D1437">
                      <w:pPr>
                        <w:jc w:val="center"/>
                        <w:rPr>
                          <w:rFonts w:ascii="Bookman" w:hAnsi="Bookman"/>
                          <w:color w:val="333399"/>
                          <w:sz w:val="8"/>
                        </w:rPr>
                      </w:pPr>
                    </w:p>
                    <w:p w:rsidR="00435678" w:rsidRDefault="00435678" w:rsidP="00336F81">
                      <w:pPr>
                        <w:jc w:val="center"/>
                        <w:rPr>
                          <w:rFonts w:ascii="Bookman" w:hAnsi="Bookman"/>
                          <w:color w:val="333399"/>
                          <w:sz w:val="16"/>
                        </w:rPr>
                      </w:pPr>
                      <w:r>
                        <w:rPr>
                          <w:rFonts w:ascii="Bookman" w:hAnsi="Bookman"/>
                          <w:color w:val="333399"/>
                          <w:sz w:val="16"/>
                        </w:rPr>
                        <w:t>Tel: (617) 573-1600</w:t>
                      </w:r>
                    </w:p>
                    <w:p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rsidR="00435678" w:rsidRDefault="00435678"/>
                  </w:txbxContent>
                </v:textbox>
              </v:shape>
            </w:pict>
          </mc:Fallback>
        </mc:AlternateContent>
      </w:r>
      <w:r w:rsidR="000D1437">
        <w:rPr>
          <w:rFonts w:ascii="Bookman" w:hAnsi="Bookman"/>
          <w:sz w:val="16"/>
        </w:rPr>
        <w:tab/>
      </w:r>
      <w:r w:rsidR="00B0226E">
        <w:rPr>
          <w:rFonts w:ascii="Bookman" w:hAnsi="Bookman"/>
          <w:sz w:val="16"/>
        </w:rPr>
        <w:tab/>
      </w:r>
    </w:p>
    <w:p w:rsidR="00266394" w:rsidRDefault="00435678" w:rsidP="00440874">
      <w:pPr>
        <w:rPr>
          <w:rFonts w:ascii="Bookman" w:hAnsi="Bookman"/>
          <w:sz w:val="16"/>
        </w:rPr>
      </w:pPr>
      <w:r>
        <w:rPr>
          <w:rFonts w:ascii="Bookman" w:hAnsi="Bookman"/>
          <w:sz w:val="16"/>
        </w:rPr>
        <w:tab/>
        <w:t xml:space="preserve"> </w:t>
      </w:r>
    </w:p>
    <w:p w:rsidR="00435678" w:rsidRDefault="00435678" w:rsidP="00440874">
      <w:pPr>
        <w:rPr>
          <w:rFonts w:ascii="Bookman" w:hAnsi="Bookman"/>
          <w:sz w:val="16"/>
        </w:rPr>
      </w:pPr>
    </w:p>
    <w:p w:rsidR="008A6272" w:rsidRDefault="008A6272"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064CAA">
      <w:pPr>
        <w:jc w:val="center"/>
        <w:rPr>
          <w:rFonts w:ascii="Bookman" w:hAnsi="Bookman"/>
          <w:color w:val="333399"/>
          <w:sz w:val="16"/>
        </w:rPr>
      </w:pPr>
    </w:p>
    <w:p w:rsidR="0057061E" w:rsidRDefault="0057061E" w:rsidP="007D5963">
      <w:pPr>
        <w:jc w:val="center"/>
        <w:rPr>
          <w:rFonts w:ascii="Times New Roman" w:hAnsi="Times New Roman" w:cs="Times New Roman"/>
          <w:sz w:val="24"/>
          <w:szCs w:val="24"/>
        </w:rPr>
      </w:pPr>
    </w:p>
    <w:p w:rsidR="00C73102" w:rsidRDefault="00C73102" w:rsidP="0057061E">
      <w:pPr>
        <w:rPr>
          <w:rFonts w:ascii="Times New Roman" w:hAnsi="Times New Roman" w:cs="Times New Roman"/>
          <w:sz w:val="24"/>
          <w:szCs w:val="24"/>
        </w:rPr>
      </w:pPr>
    </w:p>
    <w:p w:rsidR="00150424" w:rsidRDefault="00150424" w:rsidP="0057061E">
      <w:pPr>
        <w:rPr>
          <w:rFonts w:ascii="Times New Roman" w:hAnsi="Times New Roman" w:cs="Times New Roman"/>
          <w:sz w:val="24"/>
          <w:szCs w:val="24"/>
        </w:rPr>
      </w:pPr>
    </w:p>
    <w:p w:rsidR="005E5A91" w:rsidRDefault="00F24FBD" w:rsidP="00440874">
      <w:pPr>
        <w:jc w:val="center"/>
        <w:rPr>
          <w:rFonts w:ascii="Times New Roman" w:eastAsia="Calibri" w:hAnsi="Times New Roman" w:cs="Times New Roman"/>
          <w:b/>
          <w:szCs w:val="22"/>
        </w:rPr>
      </w:pPr>
      <w:r>
        <w:rPr>
          <w:rFonts w:ascii="Times New Roman" w:eastAsia="Calibri" w:hAnsi="Times New Roman" w:cs="Times New Roman"/>
          <w:b/>
          <w:szCs w:val="22"/>
        </w:rPr>
        <w:t>A</w:t>
      </w:r>
      <w:r w:rsidR="00387132">
        <w:rPr>
          <w:rFonts w:ascii="Times New Roman" w:eastAsia="Calibri" w:hAnsi="Times New Roman" w:cs="Times New Roman"/>
          <w:b/>
          <w:szCs w:val="22"/>
        </w:rPr>
        <w:t>dministrative</w:t>
      </w:r>
      <w:r>
        <w:rPr>
          <w:rFonts w:ascii="Times New Roman" w:eastAsia="Calibri" w:hAnsi="Times New Roman" w:cs="Times New Roman"/>
          <w:b/>
          <w:szCs w:val="22"/>
        </w:rPr>
        <w:t xml:space="preserve"> B</w:t>
      </w:r>
      <w:r w:rsidR="00387132">
        <w:rPr>
          <w:rFonts w:ascii="Times New Roman" w:eastAsia="Calibri" w:hAnsi="Times New Roman" w:cs="Times New Roman"/>
          <w:b/>
          <w:szCs w:val="22"/>
        </w:rPr>
        <w:t>ulletin</w:t>
      </w:r>
      <w:r>
        <w:rPr>
          <w:rFonts w:ascii="Times New Roman" w:eastAsia="Calibri" w:hAnsi="Times New Roman" w:cs="Times New Roman"/>
          <w:b/>
          <w:szCs w:val="22"/>
        </w:rPr>
        <w:t xml:space="preserve"> </w:t>
      </w:r>
      <w:r w:rsidR="00743F49" w:rsidRPr="00E211D9">
        <w:rPr>
          <w:rFonts w:ascii="Times New Roman" w:eastAsia="Calibri" w:hAnsi="Times New Roman" w:cs="Times New Roman"/>
          <w:b/>
          <w:szCs w:val="22"/>
        </w:rPr>
        <w:t>19</w:t>
      </w:r>
      <w:r w:rsidR="00540ACA" w:rsidRPr="00E211D9">
        <w:rPr>
          <w:rFonts w:ascii="Times New Roman" w:eastAsia="Calibri" w:hAnsi="Times New Roman" w:cs="Times New Roman"/>
          <w:b/>
          <w:szCs w:val="22"/>
        </w:rPr>
        <w:t>-</w:t>
      </w:r>
      <w:r w:rsidR="002C2F60">
        <w:rPr>
          <w:rFonts w:ascii="Times New Roman" w:eastAsia="Calibri" w:hAnsi="Times New Roman" w:cs="Times New Roman"/>
          <w:b/>
          <w:szCs w:val="22"/>
        </w:rPr>
        <w:t>18</w:t>
      </w:r>
    </w:p>
    <w:p w:rsidR="005E5A91" w:rsidRDefault="005E5A91" w:rsidP="005E5A91">
      <w:pPr>
        <w:jc w:val="center"/>
        <w:rPr>
          <w:rFonts w:ascii="Times New Roman" w:eastAsia="Calibri" w:hAnsi="Times New Roman" w:cs="Times New Roman"/>
          <w:b/>
          <w:szCs w:val="22"/>
        </w:rPr>
      </w:pP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114.1 CMR 41.00: Rates of Payment for Services Provided to </w:t>
      </w: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Industrial Accident Patients by Hospitals</w:t>
      </w:r>
    </w:p>
    <w:p w:rsidR="005E5A91" w:rsidRDefault="002C2F60" w:rsidP="002C2F60">
      <w:pPr>
        <w:tabs>
          <w:tab w:val="left" w:pos="6090"/>
        </w:tabs>
        <w:rPr>
          <w:rFonts w:ascii="Times New Roman" w:eastAsia="Calibri" w:hAnsi="Times New Roman" w:cs="Times New Roman"/>
          <w:b/>
          <w:szCs w:val="22"/>
        </w:rPr>
      </w:pPr>
      <w:r>
        <w:rPr>
          <w:rFonts w:ascii="Times New Roman" w:eastAsia="Calibri" w:hAnsi="Times New Roman" w:cs="Times New Roman"/>
          <w:b/>
          <w:szCs w:val="22"/>
        </w:rPr>
        <w:tab/>
      </w:r>
    </w:p>
    <w:p w:rsidR="005E5A91" w:rsidRDefault="00EB11E0" w:rsidP="005E5A91">
      <w:pPr>
        <w:jc w:val="center"/>
        <w:rPr>
          <w:rFonts w:ascii="Times New Roman" w:eastAsia="Calibri" w:hAnsi="Times New Roman" w:cs="Times New Roman"/>
          <w:szCs w:val="22"/>
        </w:rPr>
      </w:pPr>
      <w:r>
        <w:rPr>
          <w:rFonts w:ascii="Times New Roman" w:eastAsia="Calibri" w:hAnsi="Times New Roman" w:cs="Times New Roman"/>
          <w:szCs w:val="22"/>
        </w:rPr>
        <w:t xml:space="preserve">Effective </w:t>
      </w:r>
      <w:r w:rsidR="00671204" w:rsidRPr="00FA13E2">
        <w:rPr>
          <w:rFonts w:ascii="Times New Roman" w:eastAsia="Calibri" w:hAnsi="Times New Roman" w:cs="Times New Roman"/>
          <w:szCs w:val="22"/>
        </w:rPr>
        <w:t>October 1</w:t>
      </w:r>
      <w:r w:rsidR="00DA6C81">
        <w:rPr>
          <w:rFonts w:ascii="Times New Roman" w:eastAsia="Calibri" w:hAnsi="Times New Roman" w:cs="Times New Roman"/>
          <w:szCs w:val="22"/>
        </w:rPr>
        <w:t xml:space="preserve">, </w:t>
      </w:r>
      <w:r w:rsidR="00743F49">
        <w:rPr>
          <w:rFonts w:ascii="Times New Roman" w:eastAsia="Calibri" w:hAnsi="Times New Roman" w:cs="Times New Roman"/>
          <w:szCs w:val="22"/>
        </w:rPr>
        <w:t>2019</w:t>
      </w:r>
    </w:p>
    <w:p w:rsidR="005E5A91" w:rsidRDefault="005E5A91" w:rsidP="005E5A91">
      <w:pPr>
        <w:jc w:val="center"/>
        <w:rPr>
          <w:rFonts w:ascii="Times New Roman" w:eastAsia="Calibri" w:hAnsi="Times New Roman" w:cs="Times New Roman"/>
          <w:szCs w:val="22"/>
        </w:rPr>
      </w:pPr>
    </w:p>
    <w:p w:rsidR="005E5A91" w:rsidRDefault="005E5A91" w:rsidP="005E5A91">
      <w:pPr>
        <w:jc w:val="center"/>
        <w:rPr>
          <w:rFonts w:ascii="Times New Roman" w:eastAsia="Calibri" w:hAnsi="Times New Roman" w:cs="Times New Roman"/>
          <w:b/>
          <w:szCs w:val="22"/>
        </w:rPr>
      </w:pPr>
      <w:r>
        <w:rPr>
          <w:rFonts w:ascii="Times New Roman" w:eastAsia="Calibri" w:hAnsi="Times New Roman" w:cs="Times New Roman"/>
          <w:b/>
          <w:szCs w:val="22"/>
        </w:rPr>
        <w:t xml:space="preserve">Publication of the Health Safety Net Uniform Assessment Percentage </w:t>
      </w:r>
    </w:p>
    <w:p w:rsidR="005E5A91" w:rsidRDefault="005E5A91" w:rsidP="005E5A91">
      <w:pPr>
        <w:shd w:val="clear" w:color="auto" w:fill="FFFFFF"/>
        <w:spacing w:before="150" w:after="120" w:line="312" w:lineRule="atLeast"/>
        <w:rPr>
          <w:rFonts w:ascii="Times New Roman" w:hAnsi="Times New Roman" w:cs="Times New Roman"/>
          <w:color w:val="000000"/>
          <w:szCs w:val="22"/>
        </w:rPr>
      </w:pPr>
    </w:p>
    <w:p w:rsidR="005E5A91" w:rsidRDefault="005E5A91" w:rsidP="005E5A91">
      <w:pPr>
        <w:shd w:val="clear" w:color="auto" w:fill="FFFFFF"/>
        <w:spacing w:before="150" w:after="120" w:line="312" w:lineRule="atLeast"/>
        <w:rPr>
          <w:rFonts w:ascii="Times New Roman" w:hAnsi="Times New Roman" w:cs="Times New Roman"/>
          <w:color w:val="000000"/>
          <w:szCs w:val="22"/>
        </w:rPr>
      </w:pPr>
      <w:r>
        <w:rPr>
          <w:rFonts w:ascii="Times New Roman" w:hAnsi="Times New Roman" w:cs="Times New Roman"/>
          <w:color w:val="000000"/>
          <w:szCs w:val="22"/>
        </w:rPr>
        <w:t xml:space="preserve">The Executive Office of Health and Human Services, pursuant to 114.1 CMR 41.05(4), is issuing this bulletin to publish the updated Health Safety Net Uniform Assessment for hospital outpatient workers’ compensation charges. </w:t>
      </w:r>
    </w:p>
    <w:p w:rsidR="00150424" w:rsidRPr="0026429D" w:rsidRDefault="00540ACA" w:rsidP="0026429D">
      <w:pPr>
        <w:shd w:val="clear" w:color="auto" w:fill="FFFFFF"/>
        <w:spacing w:before="96" w:after="168" w:line="312" w:lineRule="atLeast"/>
        <w:rPr>
          <w:rFonts w:ascii="Times New Roman" w:hAnsi="Times New Roman" w:cs="Times New Roman"/>
          <w:color w:val="000000"/>
          <w:szCs w:val="22"/>
        </w:rPr>
      </w:pPr>
      <w:r>
        <w:rPr>
          <w:rFonts w:ascii="Times New Roman" w:hAnsi="Times New Roman"/>
          <w:b/>
          <w:bCs/>
          <w:color w:val="222222"/>
        </w:rPr>
        <w:t xml:space="preserve">The revised percentage change from </w:t>
      </w:r>
      <w:r w:rsidR="007A384D">
        <w:rPr>
          <w:rFonts w:ascii="Times New Roman" w:eastAsia="Calibri" w:hAnsi="Times New Roman" w:cs="Times New Roman"/>
          <w:b/>
          <w:bCs/>
          <w:color w:val="222222"/>
          <w:szCs w:val="22"/>
        </w:rPr>
        <w:t>0.69% to 0.66%</w:t>
      </w:r>
      <w:r>
        <w:rPr>
          <w:rFonts w:ascii="Times New Roman" w:hAnsi="Times New Roman"/>
          <w:b/>
          <w:bCs/>
          <w:color w:val="222222"/>
        </w:rPr>
        <w:t xml:space="preserve"> will be effective for services rendered on or after </w:t>
      </w:r>
      <w:r w:rsidR="00F24FBD" w:rsidRPr="00FA13E2">
        <w:rPr>
          <w:rFonts w:ascii="Times New Roman" w:hAnsi="Times New Roman"/>
          <w:b/>
          <w:bCs/>
          <w:color w:val="222222"/>
        </w:rPr>
        <w:t>October 1</w:t>
      </w:r>
      <w:r w:rsidRPr="00FA13E2">
        <w:rPr>
          <w:rFonts w:ascii="Times New Roman" w:hAnsi="Times New Roman"/>
          <w:b/>
          <w:bCs/>
          <w:color w:val="222222"/>
        </w:rPr>
        <w:t xml:space="preserve">, </w:t>
      </w:r>
      <w:r w:rsidR="00743F49" w:rsidRPr="00FA13E2">
        <w:rPr>
          <w:rFonts w:ascii="Times New Roman" w:hAnsi="Times New Roman"/>
          <w:b/>
          <w:bCs/>
          <w:color w:val="222222"/>
        </w:rPr>
        <w:t>201</w:t>
      </w:r>
      <w:r w:rsidR="00743F49">
        <w:rPr>
          <w:rFonts w:ascii="Times New Roman" w:hAnsi="Times New Roman"/>
          <w:b/>
          <w:bCs/>
          <w:color w:val="222222"/>
        </w:rPr>
        <w:t>9</w:t>
      </w:r>
      <w:r w:rsidR="00387132">
        <w:rPr>
          <w:rFonts w:ascii="Times New Roman" w:hAnsi="Times New Roman"/>
          <w:b/>
          <w:bCs/>
          <w:color w:val="222222"/>
        </w:rPr>
        <w:t>,</w:t>
      </w:r>
      <w:r w:rsidR="00743F49">
        <w:rPr>
          <w:color w:val="222222"/>
          <w:sz w:val="20"/>
        </w:rPr>
        <w:t xml:space="preserve"> </w:t>
      </w:r>
      <w:r w:rsidR="005E5A91">
        <w:rPr>
          <w:rFonts w:ascii="Times New Roman" w:hAnsi="Times New Roman" w:cs="Times New Roman"/>
          <w:color w:val="000000"/>
          <w:szCs w:val="22"/>
        </w:rPr>
        <w:t xml:space="preserve">and may be added to acute hospital charges in accordance with 114.1 CMR 41.04(1)(d). This percentage is applied to acute care hospital charges when the payment for the industrial accident patient is based on the ambulatory fees set forth in 114.3 CMR 40.00: </w:t>
      </w:r>
      <w:r w:rsidR="005E5A91">
        <w:rPr>
          <w:rFonts w:ascii="Times New Roman" w:hAnsi="Times New Roman" w:cs="Times New Roman"/>
          <w:i/>
          <w:color w:val="000000"/>
          <w:szCs w:val="22"/>
        </w:rPr>
        <w:t>Rates for Services under M.G.L. c. 152, Workers’ Compensation Act</w:t>
      </w:r>
      <w:r w:rsidR="005E5A91">
        <w:rPr>
          <w:rFonts w:ascii="Times New Roman" w:hAnsi="Times New Roman" w:cs="Times New Roman"/>
          <w:color w:val="000000"/>
          <w:szCs w:val="22"/>
        </w:rPr>
        <w:t>. This percentage includes hospital rates for restorative services and ambulatory surgical facility group fees.</w:t>
      </w:r>
    </w:p>
    <w:sectPr w:rsidR="00150424" w:rsidRPr="0026429D">
      <w:headerReference w:type="even" r:id="rId9"/>
      <w:headerReference w:type="default" r:id="rId10"/>
      <w:footerReference w:type="even" r:id="rId11"/>
      <w:footerReference w:type="default" r:id="rId12"/>
      <w:headerReference w:type="first" r:id="rId13"/>
      <w:footerReference w:type="first" r:id="rId14"/>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B7F" w:rsidRDefault="00FE3B7F">
      <w:r>
        <w:separator/>
      </w:r>
    </w:p>
  </w:endnote>
  <w:endnote w:type="continuationSeparator" w:id="0">
    <w:p w:rsidR="00FE3B7F" w:rsidRDefault="00FE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B7F" w:rsidRDefault="00FE3B7F">
      <w:r>
        <w:separator/>
      </w:r>
    </w:p>
  </w:footnote>
  <w:footnote w:type="continuationSeparator" w:id="0">
    <w:p w:rsidR="00FE3B7F" w:rsidRDefault="00FE3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460" w:rsidRDefault="00FB0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41969"/>
    <w:rsid w:val="00064CAA"/>
    <w:rsid w:val="0009320B"/>
    <w:rsid w:val="000D1437"/>
    <w:rsid w:val="000E594F"/>
    <w:rsid w:val="001343C9"/>
    <w:rsid w:val="00150424"/>
    <w:rsid w:val="00155786"/>
    <w:rsid w:val="001610EB"/>
    <w:rsid w:val="00215F99"/>
    <w:rsid w:val="00240A10"/>
    <w:rsid w:val="0026429D"/>
    <w:rsid w:val="00266394"/>
    <w:rsid w:val="00295E44"/>
    <w:rsid w:val="002A6A6F"/>
    <w:rsid w:val="002C2F60"/>
    <w:rsid w:val="002E0AC8"/>
    <w:rsid w:val="002F05B7"/>
    <w:rsid w:val="00336F81"/>
    <w:rsid w:val="00387132"/>
    <w:rsid w:val="00393EBD"/>
    <w:rsid w:val="003A1E44"/>
    <w:rsid w:val="003B2595"/>
    <w:rsid w:val="003C121A"/>
    <w:rsid w:val="003D6B0C"/>
    <w:rsid w:val="00405726"/>
    <w:rsid w:val="00435678"/>
    <w:rsid w:val="00440874"/>
    <w:rsid w:val="0046167D"/>
    <w:rsid w:val="004A1C52"/>
    <w:rsid w:val="004D1722"/>
    <w:rsid w:val="004E3B8B"/>
    <w:rsid w:val="00540ACA"/>
    <w:rsid w:val="0057061E"/>
    <w:rsid w:val="00583C37"/>
    <w:rsid w:val="005C36B5"/>
    <w:rsid w:val="005E5A91"/>
    <w:rsid w:val="006525C9"/>
    <w:rsid w:val="0067027C"/>
    <w:rsid w:val="00671204"/>
    <w:rsid w:val="006F7AAB"/>
    <w:rsid w:val="00706E16"/>
    <w:rsid w:val="0073015A"/>
    <w:rsid w:val="00743F49"/>
    <w:rsid w:val="0076213A"/>
    <w:rsid w:val="007651BE"/>
    <w:rsid w:val="00786010"/>
    <w:rsid w:val="007A384D"/>
    <w:rsid w:val="007A6735"/>
    <w:rsid w:val="007D55E1"/>
    <w:rsid w:val="007D5963"/>
    <w:rsid w:val="007F2FD1"/>
    <w:rsid w:val="008112F3"/>
    <w:rsid w:val="0082096E"/>
    <w:rsid w:val="008442FC"/>
    <w:rsid w:val="00852CC6"/>
    <w:rsid w:val="008619B0"/>
    <w:rsid w:val="008A6272"/>
    <w:rsid w:val="00933DCC"/>
    <w:rsid w:val="00986752"/>
    <w:rsid w:val="00A0763F"/>
    <w:rsid w:val="00A4203A"/>
    <w:rsid w:val="00A45146"/>
    <w:rsid w:val="00A55951"/>
    <w:rsid w:val="00A8296B"/>
    <w:rsid w:val="00AB45B5"/>
    <w:rsid w:val="00AD6B5A"/>
    <w:rsid w:val="00B008B7"/>
    <w:rsid w:val="00B0226E"/>
    <w:rsid w:val="00B30D6B"/>
    <w:rsid w:val="00B310AB"/>
    <w:rsid w:val="00B36C3A"/>
    <w:rsid w:val="00BD0EDC"/>
    <w:rsid w:val="00BD6CD6"/>
    <w:rsid w:val="00BD7F94"/>
    <w:rsid w:val="00BF030D"/>
    <w:rsid w:val="00C14B43"/>
    <w:rsid w:val="00C174BF"/>
    <w:rsid w:val="00C36F6B"/>
    <w:rsid w:val="00C40685"/>
    <w:rsid w:val="00C73102"/>
    <w:rsid w:val="00C91491"/>
    <w:rsid w:val="00CA4B7E"/>
    <w:rsid w:val="00CA5068"/>
    <w:rsid w:val="00CB5957"/>
    <w:rsid w:val="00CF270A"/>
    <w:rsid w:val="00CF527F"/>
    <w:rsid w:val="00DA6C81"/>
    <w:rsid w:val="00DE096B"/>
    <w:rsid w:val="00DE6425"/>
    <w:rsid w:val="00DF4E40"/>
    <w:rsid w:val="00E03AA0"/>
    <w:rsid w:val="00E10A6D"/>
    <w:rsid w:val="00E211D9"/>
    <w:rsid w:val="00E53D34"/>
    <w:rsid w:val="00E61C78"/>
    <w:rsid w:val="00E96639"/>
    <w:rsid w:val="00EB11E0"/>
    <w:rsid w:val="00F24FBD"/>
    <w:rsid w:val="00F2555D"/>
    <w:rsid w:val="00F51AA0"/>
    <w:rsid w:val="00F536FD"/>
    <w:rsid w:val="00F76550"/>
    <w:rsid w:val="00F82206"/>
    <w:rsid w:val="00F96D1A"/>
    <w:rsid w:val="00FA13E2"/>
    <w:rsid w:val="00FA578C"/>
    <w:rsid w:val="00FB0460"/>
    <w:rsid w:val="00FE3B7F"/>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basedOn w:val="DefaultParagraphFont"/>
    <w:uiPriority w:val="99"/>
    <w:unhideWhenUsed/>
    <w:rsid w:val="00DF4E40"/>
    <w:rPr>
      <w:sz w:val="16"/>
      <w:szCs w:val="16"/>
    </w:rPr>
  </w:style>
  <w:style w:type="paragraph" w:styleId="CommentText">
    <w:name w:val="annotation text"/>
    <w:basedOn w:val="Normal"/>
    <w:link w:val="CommentTextChar"/>
    <w:uiPriority w:val="99"/>
    <w:unhideWhenUsed/>
    <w:rsid w:val="00DF4E40"/>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DF4E40"/>
    <w:rPr>
      <w:rFonts w:ascii="Calibri" w:eastAsia="Calibri" w:hAnsi="Calibri"/>
    </w:rPr>
  </w:style>
  <w:style w:type="paragraph" w:styleId="CommentSubject">
    <w:name w:val="annotation subject"/>
    <w:basedOn w:val="CommentText"/>
    <w:next w:val="CommentText"/>
    <w:link w:val="CommentSubjectChar"/>
    <w:rsid w:val="00A0763F"/>
    <w:pPr>
      <w:spacing w:after="0"/>
    </w:pPr>
    <w:rPr>
      <w:rFonts w:ascii="Arial" w:eastAsia="Times New Roman" w:hAnsi="Arial" w:cs="Arial"/>
      <w:b/>
      <w:bCs/>
    </w:rPr>
  </w:style>
  <w:style w:type="character" w:customStyle="1" w:styleId="CommentSubjectChar">
    <w:name w:val="Comment Subject Char"/>
    <w:basedOn w:val="CommentTextChar"/>
    <w:link w:val="CommentSubject"/>
    <w:rsid w:val="00A0763F"/>
    <w:rPr>
      <w:rFonts w:ascii="Arial" w:eastAsia="Calibr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40533625">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999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2015-02-18T15:28:00Z</cp:lastPrinted>
  <dcterms:created xsi:type="dcterms:W3CDTF">2019-10-09T12:33:00Z</dcterms:created>
  <dcterms:modified xsi:type="dcterms:W3CDTF">2019-10-09T12:33:00Z</dcterms:modified>
</cp:coreProperties>
</file>