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FF" w:rsidRPr="004121FF" w:rsidRDefault="004121FF" w:rsidP="004121FF">
      <w:pPr>
        <w:ind w:left="-1080"/>
      </w:pPr>
      <w:bookmarkStart w:id="0" w:name="_GoBack"/>
      <w:bookmarkEnd w:id="0"/>
      <w:r>
        <w:rPr>
          <w:noProof/>
        </w:rPr>
        <w:drawing>
          <wp:inline distT="0" distB="0" distL="0" distR="0">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465CE3" w:rsidRDefault="00574DC9" w:rsidP="00363451">
      <w:pPr>
        <w:pStyle w:val="Heading1"/>
        <w:spacing w:before="0"/>
        <w:rPr>
          <w:szCs w:val="22"/>
        </w:rPr>
      </w:pPr>
      <w:r w:rsidRPr="00465CE3">
        <w:rPr>
          <w:szCs w:val="22"/>
        </w:rPr>
        <w:t xml:space="preserve">Administrative Bulletin </w:t>
      </w:r>
      <w:r w:rsidR="00D9281E" w:rsidRPr="00465CE3">
        <w:rPr>
          <w:szCs w:val="22"/>
        </w:rPr>
        <w:t>19</w:t>
      </w:r>
      <w:r w:rsidRPr="00465CE3">
        <w:rPr>
          <w:szCs w:val="22"/>
        </w:rPr>
        <w:t>-</w:t>
      </w:r>
      <w:r w:rsidR="00411687" w:rsidRPr="00465CE3">
        <w:rPr>
          <w:szCs w:val="22"/>
        </w:rPr>
        <w:t>19</w:t>
      </w:r>
    </w:p>
    <w:p w:rsidR="00D9281E" w:rsidRPr="00465CE3" w:rsidRDefault="00D9281E" w:rsidP="00D9281E">
      <w:pPr>
        <w:spacing w:after="240"/>
        <w:jc w:val="center"/>
        <w:rPr>
          <w:rFonts w:ascii="Times New Roman" w:eastAsia="Calibri" w:hAnsi="Times New Roman" w:cs="Times New Roman"/>
          <w:b/>
          <w:szCs w:val="22"/>
        </w:rPr>
      </w:pPr>
      <w:r w:rsidRPr="00465CE3">
        <w:rPr>
          <w:rFonts w:ascii="Times New Roman" w:eastAsia="Calibri" w:hAnsi="Times New Roman" w:cs="Times New Roman"/>
          <w:b/>
          <w:szCs w:val="22"/>
        </w:rPr>
        <w:t>101 CMR 322.00: Du</w:t>
      </w:r>
      <w:r w:rsidR="00363451" w:rsidRPr="00465CE3">
        <w:rPr>
          <w:rFonts w:ascii="Times New Roman" w:eastAsia="Calibri" w:hAnsi="Times New Roman" w:cs="Times New Roman"/>
          <w:b/>
          <w:szCs w:val="22"/>
        </w:rPr>
        <w:t>rable Medical Equipment, Oxygen</w:t>
      </w:r>
      <w:r w:rsidRPr="00465CE3">
        <w:rPr>
          <w:rFonts w:ascii="Times New Roman" w:eastAsia="Calibri" w:hAnsi="Times New Roman" w:cs="Times New Roman"/>
          <w:b/>
          <w:szCs w:val="22"/>
        </w:rPr>
        <w:t xml:space="preserve"> and Respiratory Therapy Equipment</w:t>
      </w:r>
    </w:p>
    <w:p w:rsidR="00574DC9" w:rsidRPr="00465CE3" w:rsidRDefault="00574DC9" w:rsidP="00574DC9">
      <w:pPr>
        <w:jc w:val="center"/>
        <w:rPr>
          <w:rFonts w:ascii="Times New Roman" w:hAnsi="Times New Roman" w:cs="Times New Roman"/>
          <w:szCs w:val="22"/>
        </w:rPr>
      </w:pPr>
      <w:r w:rsidRPr="00465CE3">
        <w:rPr>
          <w:rFonts w:ascii="Times New Roman" w:hAnsi="Times New Roman" w:cs="Times New Roman"/>
          <w:szCs w:val="22"/>
        </w:rPr>
        <w:t>Effective</w:t>
      </w:r>
      <w:r w:rsidR="00D9281E" w:rsidRPr="00465CE3">
        <w:rPr>
          <w:rFonts w:ascii="Times New Roman" w:hAnsi="Times New Roman" w:cs="Times New Roman"/>
          <w:szCs w:val="22"/>
        </w:rPr>
        <w:t xml:space="preserve"> November 15, 2019</w:t>
      </w:r>
    </w:p>
    <w:p w:rsidR="00574DC9" w:rsidRPr="00465CE3" w:rsidRDefault="00574DC9" w:rsidP="00574DC9">
      <w:pPr>
        <w:jc w:val="center"/>
        <w:rPr>
          <w:rFonts w:ascii="Times New Roman" w:hAnsi="Times New Roman" w:cs="Times New Roman"/>
          <w:b/>
          <w:szCs w:val="22"/>
        </w:rPr>
      </w:pPr>
    </w:p>
    <w:p w:rsidR="00574DC9" w:rsidRPr="00465CE3" w:rsidRDefault="00D9281E" w:rsidP="00363451">
      <w:pPr>
        <w:spacing w:after="100" w:afterAutospacing="1"/>
        <w:jc w:val="center"/>
        <w:rPr>
          <w:rFonts w:ascii="Times New Roman" w:hAnsi="Times New Roman" w:cs="Times New Roman"/>
          <w:b/>
          <w:szCs w:val="22"/>
        </w:rPr>
      </w:pPr>
      <w:r w:rsidRPr="00465CE3">
        <w:rPr>
          <w:rFonts w:ascii="Times New Roman" w:hAnsi="Times New Roman" w:cs="Times New Roman"/>
          <w:b/>
          <w:szCs w:val="22"/>
        </w:rPr>
        <w:t>Direct Service Components RE1 through RE23</w:t>
      </w:r>
    </w:p>
    <w:p w:rsidR="00D9281E" w:rsidRDefault="00D9281E" w:rsidP="00D9281E">
      <w:pPr>
        <w:spacing w:after="100" w:afterAutospacing="1"/>
        <w:rPr>
          <w:rFonts w:ascii="Times New Roman" w:hAnsi="Times New Roman" w:cs="Times New Roman"/>
          <w:sz w:val="24"/>
          <w:szCs w:val="24"/>
        </w:rPr>
      </w:pPr>
      <w:r w:rsidRPr="005007A8">
        <w:rPr>
          <w:rFonts w:ascii="Times New Roman" w:hAnsi="Times New Roman" w:cs="Times New Roman"/>
          <w:sz w:val="24"/>
          <w:szCs w:val="24"/>
        </w:rPr>
        <w:t xml:space="preserve">Under the authority of 101 CMR </w:t>
      </w:r>
      <w:r>
        <w:rPr>
          <w:rFonts w:ascii="Times New Roman" w:hAnsi="Times New Roman" w:cs="Times New Roman"/>
          <w:sz w:val="24"/>
          <w:szCs w:val="24"/>
        </w:rPr>
        <w:t xml:space="preserve">322.01(5), </w:t>
      </w:r>
      <w:r w:rsidRPr="005007A8">
        <w:rPr>
          <w:rFonts w:ascii="Times New Roman" w:hAnsi="Times New Roman" w:cs="Times New Roman"/>
          <w:sz w:val="24"/>
          <w:szCs w:val="24"/>
        </w:rPr>
        <w:t>322.</w:t>
      </w:r>
      <w:r>
        <w:rPr>
          <w:rFonts w:ascii="Times New Roman" w:hAnsi="Times New Roman" w:cs="Times New Roman"/>
          <w:sz w:val="24"/>
          <w:szCs w:val="24"/>
        </w:rPr>
        <w:t xml:space="preserve">03(2), </w:t>
      </w:r>
      <w:r w:rsidRPr="005007A8">
        <w:rPr>
          <w:rFonts w:ascii="Times New Roman" w:hAnsi="Times New Roman" w:cs="Times New Roman"/>
          <w:sz w:val="24"/>
          <w:szCs w:val="24"/>
        </w:rPr>
        <w:t>322.</w:t>
      </w:r>
      <w:r>
        <w:rPr>
          <w:rFonts w:ascii="Times New Roman" w:hAnsi="Times New Roman" w:cs="Times New Roman"/>
          <w:sz w:val="24"/>
          <w:szCs w:val="24"/>
        </w:rPr>
        <w:t>03(13) and 322.06</w:t>
      </w:r>
      <w:r w:rsidRPr="005007A8">
        <w:rPr>
          <w:rFonts w:ascii="Times New Roman" w:hAnsi="Times New Roman" w:cs="Times New Roman"/>
          <w:sz w:val="24"/>
          <w:szCs w:val="24"/>
        </w:rPr>
        <w:t xml:space="preserve">, the Executive Office of Health and Human Services </w:t>
      </w:r>
      <w:r>
        <w:rPr>
          <w:rFonts w:ascii="Times New Roman" w:hAnsi="Times New Roman" w:cs="Times New Roman"/>
          <w:sz w:val="24"/>
          <w:szCs w:val="24"/>
        </w:rPr>
        <w:t xml:space="preserve">(EOHHS) </w:t>
      </w:r>
      <w:r w:rsidRPr="005007A8">
        <w:rPr>
          <w:rFonts w:ascii="Times New Roman" w:hAnsi="Times New Roman" w:cs="Times New Roman"/>
          <w:sz w:val="24"/>
          <w:szCs w:val="24"/>
        </w:rPr>
        <w:t xml:space="preserve">is issuing this bulletin to publish </w:t>
      </w:r>
      <w:r>
        <w:rPr>
          <w:rFonts w:ascii="Times New Roman" w:hAnsi="Times New Roman" w:cs="Times New Roman"/>
          <w:sz w:val="24"/>
          <w:szCs w:val="24"/>
        </w:rPr>
        <w:t xml:space="preserve">a new modifier and to identify the code and modifier combination to be used for the Direct Service Component, RE1 through RE23, for </w:t>
      </w:r>
      <w:r>
        <w:rPr>
          <w:rFonts w:ascii="Times New Roman" w:hAnsi="Times New Roman" w:cs="Times New Roman"/>
          <w:color w:val="000000"/>
          <w:sz w:val="24"/>
          <w:szCs w:val="24"/>
        </w:rPr>
        <w:t>evaluation of complex mobility systems, installation of custom movable and fixed patient lift systems, and installation of pediatric/turned adult safety beds</w:t>
      </w:r>
      <w:r>
        <w:rPr>
          <w:rFonts w:ascii="Times New Roman" w:hAnsi="Times New Roman" w:cs="Times New Roman"/>
          <w:sz w:val="24"/>
          <w:szCs w:val="24"/>
        </w:rPr>
        <w:t>.</w:t>
      </w:r>
      <w:r w:rsidRPr="005007A8">
        <w:rPr>
          <w:rFonts w:ascii="Times New Roman" w:hAnsi="Times New Roman" w:cs="Times New Roman"/>
          <w:sz w:val="24"/>
          <w:szCs w:val="24"/>
        </w:rPr>
        <w:t xml:space="preserve"> The following </w:t>
      </w:r>
      <w:r>
        <w:rPr>
          <w:rFonts w:ascii="Times New Roman" w:hAnsi="Times New Roman" w:cs="Times New Roman"/>
          <w:sz w:val="24"/>
          <w:szCs w:val="24"/>
        </w:rPr>
        <w:t xml:space="preserve">new </w:t>
      </w:r>
      <w:proofErr w:type="gramStart"/>
      <w:r>
        <w:rPr>
          <w:rFonts w:ascii="Times New Roman" w:hAnsi="Times New Roman" w:cs="Times New Roman"/>
          <w:sz w:val="24"/>
          <w:szCs w:val="24"/>
        </w:rPr>
        <w:t>modifier,</w:t>
      </w:r>
      <w:proofErr w:type="gramEnd"/>
      <w:r>
        <w:rPr>
          <w:rFonts w:ascii="Times New Roman" w:hAnsi="Times New Roman" w:cs="Times New Roman"/>
          <w:sz w:val="24"/>
          <w:szCs w:val="24"/>
        </w:rPr>
        <w:t xml:space="preserve"> and </w:t>
      </w:r>
      <w:r w:rsidRPr="005007A8">
        <w:rPr>
          <w:rFonts w:ascii="Times New Roman" w:hAnsi="Times New Roman" w:cs="Times New Roman"/>
          <w:sz w:val="24"/>
          <w:szCs w:val="24"/>
        </w:rPr>
        <w:t>code</w:t>
      </w:r>
      <w:r>
        <w:rPr>
          <w:rFonts w:ascii="Times New Roman" w:hAnsi="Times New Roman" w:cs="Times New Roman"/>
          <w:sz w:val="24"/>
          <w:szCs w:val="24"/>
        </w:rPr>
        <w:t xml:space="preserve"> and modifier combination</w:t>
      </w:r>
      <w:r w:rsidRPr="005007A8">
        <w:rPr>
          <w:rFonts w:ascii="Times New Roman" w:hAnsi="Times New Roman" w:cs="Times New Roman"/>
          <w:sz w:val="24"/>
          <w:szCs w:val="24"/>
        </w:rPr>
        <w:t xml:space="preserve"> will be effective for </w:t>
      </w:r>
      <w:r>
        <w:rPr>
          <w:rFonts w:ascii="Times New Roman" w:hAnsi="Times New Roman" w:cs="Times New Roman"/>
          <w:sz w:val="24"/>
          <w:szCs w:val="24"/>
        </w:rPr>
        <w:t xml:space="preserve">dates of </w:t>
      </w:r>
      <w:r w:rsidRPr="005007A8">
        <w:rPr>
          <w:rFonts w:ascii="Times New Roman" w:hAnsi="Times New Roman" w:cs="Times New Roman"/>
          <w:sz w:val="24"/>
          <w:szCs w:val="24"/>
        </w:rPr>
        <w:t xml:space="preserve">service </w:t>
      </w:r>
      <w:r>
        <w:rPr>
          <w:rFonts w:ascii="Times New Roman" w:hAnsi="Times New Roman" w:cs="Times New Roman"/>
          <w:sz w:val="24"/>
          <w:szCs w:val="24"/>
        </w:rPr>
        <w:t>on or after</w:t>
      </w:r>
      <w:r w:rsidR="005B318D">
        <w:rPr>
          <w:rFonts w:ascii="Times New Roman" w:hAnsi="Times New Roman" w:cs="Times New Roman"/>
          <w:sz w:val="24"/>
          <w:szCs w:val="24"/>
        </w:rPr>
        <w:t xml:space="preserve"> </w:t>
      </w:r>
      <w:r>
        <w:rPr>
          <w:rFonts w:ascii="Times New Roman" w:hAnsi="Times New Roman" w:cs="Times New Roman"/>
          <w:sz w:val="24"/>
          <w:szCs w:val="24"/>
        </w:rPr>
        <w:t>Nov</w:t>
      </w:r>
      <w:r w:rsidR="005B318D">
        <w:rPr>
          <w:rFonts w:ascii="Times New Roman" w:hAnsi="Times New Roman" w:cs="Times New Roman"/>
          <w:sz w:val="24"/>
          <w:szCs w:val="24"/>
        </w:rPr>
        <w:t>e</w:t>
      </w:r>
      <w:r>
        <w:rPr>
          <w:rFonts w:ascii="Times New Roman" w:hAnsi="Times New Roman" w:cs="Times New Roman"/>
          <w:sz w:val="24"/>
          <w:szCs w:val="24"/>
        </w:rPr>
        <w:t xml:space="preserve">mber 15, 2019. </w:t>
      </w:r>
    </w:p>
    <w:p w:rsidR="00D9281E" w:rsidRPr="00363451" w:rsidRDefault="00D9281E" w:rsidP="00D9281E">
      <w:pPr>
        <w:rPr>
          <w:rFonts w:ascii="Times New Roman" w:hAnsi="Times New Roman" w:cs="Times New Roman"/>
          <w:b/>
          <w:sz w:val="24"/>
          <w:szCs w:val="24"/>
        </w:rPr>
      </w:pPr>
      <w:r w:rsidRPr="00363451">
        <w:rPr>
          <w:rFonts w:ascii="Times New Roman" w:hAnsi="Times New Roman" w:cs="Times New Roman"/>
          <w:b/>
          <w:sz w:val="24"/>
          <w:szCs w:val="24"/>
        </w:rPr>
        <w:t>New Modifier</w:t>
      </w:r>
    </w:p>
    <w:p w:rsidR="00D9281E" w:rsidRDefault="00D9281E" w:rsidP="00D9281E">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52"/>
        <w:gridCol w:w="5512"/>
      </w:tblGrid>
      <w:tr w:rsidR="00D9281E" w:rsidRPr="005D38F6" w:rsidTr="005D6A5A">
        <w:trPr>
          <w:trHeight w:val="370"/>
          <w:tblHeader/>
          <w:jc w:val="center"/>
        </w:trPr>
        <w:tc>
          <w:tcPr>
            <w:tcW w:w="2452" w:type="dxa"/>
          </w:tcPr>
          <w:p w:rsidR="00D9281E" w:rsidRPr="005D38F6" w:rsidRDefault="00D9281E" w:rsidP="00D9281E">
            <w:pPr>
              <w:spacing w:after="100" w:afterAutospacing="1"/>
              <w:jc w:val="center"/>
              <w:rPr>
                <w:rFonts w:ascii="Times New Roman" w:hAnsi="Times New Roman" w:cs="Times New Roman"/>
                <w:b/>
                <w:szCs w:val="22"/>
              </w:rPr>
            </w:pPr>
            <w:r w:rsidRPr="005D38F6">
              <w:rPr>
                <w:rFonts w:ascii="Times New Roman" w:hAnsi="Times New Roman" w:cs="Times New Roman"/>
                <w:b/>
                <w:szCs w:val="22"/>
              </w:rPr>
              <w:t xml:space="preserve">New </w:t>
            </w:r>
            <w:r>
              <w:rPr>
                <w:rFonts w:ascii="Times New Roman" w:hAnsi="Times New Roman" w:cs="Times New Roman"/>
                <w:b/>
                <w:szCs w:val="22"/>
              </w:rPr>
              <w:t>Modifier</w:t>
            </w:r>
          </w:p>
        </w:tc>
        <w:tc>
          <w:tcPr>
            <w:tcW w:w="5512" w:type="dxa"/>
          </w:tcPr>
          <w:p w:rsidR="00D9281E" w:rsidRPr="00E61D91" w:rsidRDefault="00D9281E" w:rsidP="0079062F">
            <w:pPr>
              <w:spacing w:after="100" w:afterAutospacing="1"/>
              <w:jc w:val="center"/>
              <w:rPr>
                <w:rFonts w:ascii="Times New Roman" w:hAnsi="Times New Roman" w:cs="Times New Roman"/>
                <w:b/>
                <w:szCs w:val="22"/>
              </w:rPr>
            </w:pPr>
            <w:r w:rsidRPr="00E61D91">
              <w:rPr>
                <w:rFonts w:ascii="Times New Roman" w:hAnsi="Times New Roman" w:cs="Times New Roman"/>
                <w:b/>
                <w:szCs w:val="22"/>
              </w:rPr>
              <w:t>Description</w:t>
            </w:r>
          </w:p>
        </w:tc>
      </w:tr>
      <w:tr w:rsidR="00D9281E" w:rsidRPr="005D38F6" w:rsidTr="005D6A5A">
        <w:trPr>
          <w:trHeight w:val="370"/>
          <w:jc w:val="center"/>
        </w:trPr>
        <w:tc>
          <w:tcPr>
            <w:tcW w:w="2452" w:type="dxa"/>
          </w:tcPr>
          <w:p w:rsidR="00D9281E" w:rsidRPr="00E61D91" w:rsidRDefault="00D9281E" w:rsidP="00D9281E">
            <w:pPr>
              <w:spacing w:after="100" w:afterAutospacing="1"/>
              <w:jc w:val="center"/>
              <w:rPr>
                <w:rFonts w:ascii="Times New Roman" w:hAnsi="Times New Roman" w:cs="Times New Roman"/>
                <w:szCs w:val="22"/>
              </w:rPr>
            </w:pPr>
          </w:p>
          <w:p w:rsidR="00D9281E" w:rsidRPr="00E61D91" w:rsidRDefault="00D9281E" w:rsidP="00D9281E">
            <w:pPr>
              <w:spacing w:after="100" w:afterAutospacing="1"/>
              <w:jc w:val="center"/>
              <w:rPr>
                <w:rFonts w:ascii="Times New Roman" w:hAnsi="Times New Roman" w:cs="Times New Roman"/>
                <w:szCs w:val="22"/>
              </w:rPr>
            </w:pPr>
            <w:r w:rsidRPr="000F4E8B">
              <w:rPr>
                <w:rFonts w:ascii="Times New Roman" w:hAnsi="Times New Roman" w:cs="Times New Roman"/>
                <w:szCs w:val="22"/>
              </w:rPr>
              <w:t>U5</w:t>
            </w:r>
          </w:p>
        </w:tc>
        <w:tc>
          <w:tcPr>
            <w:tcW w:w="5512" w:type="dxa"/>
            <w:vAlign w:val="center"/>
          </w:tcPr>
          <w:p w:rsidR="00D9281E" w:rsidRPr="000F4E8B" w:rsidRDefault="00D9281E" w:rsidP="00D9281E">
            <w:pPr>
              <w:rPr>
                <w:rFonts w:ascii="Times New Roman" w:hAnsi="Times New Roman" w:cs="Times New Roman"/>
                <w:color w:val="000000"/>
                <w:szCs w:val="22"/>
              </w:rPr>
            </w:pPr>
            <w:r w:rsidRPr="000F4E8B">
              <w:rPr>
                <w:rFonts w:ascii="Times New Roman" w:hAnsi="Times New Roman" w:cs="Times New Roman"/>
                <w:color w:val="000000"/>
                <w:szCs w:val="22"/>
              </w:rPr>
              <w:t>Direct Service Component (RE units) for evaluation of complex mobility systems, installation of custom movable and fixed patient lift systems, and installation of pediatric/turned adult safety beds.  One RE unit equals 1 hour.</w:t>
            </w:r>
          </w:p>
        </w:tc>
      </w:tr>
    </w:tbl>
    <w:p w:rsidR="00D9281E" w:rsidRDefault="00D9281E" w:rsidP="00D9281E">
      <w:pPr>
        <w:rPr>
          <w:rFonts w:ascii="Times New Roman" w:hAnsi="Times New Roman" w:cs="Times New Roman"/>
          <w:sz w:val="24"/>
          <w:szCs w:val="24"/>
        </w:rPr>
      </w:pPr>
    </w:p>
    <w:p w:rsidR="005B318D" w:rsidRPr="00363451" w:rsidRDefault="005B318D" w:rsidP="00D9281E">
      <w:pPr>
        <w:rPr>
          <w:rFonts w:ascii="Times New Roman" w:hAnsi="Times New Roman" w:cs="Times New Roman"/>
          <w:b/>
          <w:sz w:val="24"/>
          <w:szCs w:val="24"/>
        </w:rPr>
      </w:pPr>
      <w:r w:rsidRPr="00363451">
        <w:rPr>
          <w:rFonts w:ascii="Times New Roman" w:hAnsi="Times New Roman" w:cs="Times New Roman"/>
          <w:b/>
          <w:sz w:val="24"/>
          <w:szCs w:val="24"/>
        </w:rPr>
        <w:t>New Code and Modifier Combination</w:t>
      </w:r>
    </w:p>
    <w:p w:rsidR="005B318D" w:rsidRDefault="005B318D" w:rsidP="00D9281E">
      <w:pPr>
        <w:rPr>
          <w:rFonts w:ascii="Times New Roman" w:hAnsi="Times New Roman" w:cs="Times New Roman"/>
          <w:sz w:val="24"/>
          <w:szCs w:val="24"/>
        </w:rPr>
      </w:pPr>
    </w:p>
    <w:p w:rsidR="00D9281E" w:rsidRDefault="00D9281E" w:rsidP="00D9281E">
      <w:pPr>
        <w:rPr>
          <w:rFonts w:ascii="Times New Roman" w:hAnsi="Times New Roman" w:cs="Times New Roman"/>
          <w:sz w:val="24"/>
          <w:szCs w:val="24"/>
        </w:rPr>
      </w:pPr>
      <w:r w:rsidRPr="000F4E8B">
        <w:rPr>
          <w:rFonts w:ascii="Times New Roman" w:hAnsi="Times New Roman" w:cs="Times New Roman"/>
          <w:sz w:val="24"/>
          <w:szCs w:val="24"/>
        </w:rPr>
        <w:t xml:space="preserve">The following code and modifier combination is new and does not crosswalk to an existing modifier or code. </w:t>
      </w:r>
    </w:p>
    <w:p w:rsidR="005D6A5A" w:rsidRPr="000F4E8B" w:rsidRDefault="005D6A5A" w:rsidP="00D9281E">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47"/>
        <w:gridCol w:w="900"/>
        <w:gridCol w:w="4947"/>
      </w:tblGrid>
      <w:tr w:rsidR="00D9281E" w:rsidRPr="005D38F6" w:rsidTr="005D6A5A">
        <w:trPr>
          <w:trHeight w:val="370"/>
          <w:tblHeader/>
          <w:jc w:val="center"/>
        </w:trPr>
        <w:tc>
          <w:tcPr>
            <w:tcW w:w="2247" w:type="dxa"/>
          </w:tcPr>
          <w:p w:rsidR="00D9281E" w:rsidRPr="005D38F6" w:rsidRDefault="00D9281E" w:rsidP="0079062F">
            <w:pPr>
              <w:spacing w:after="100" w:afterAutospacing="1"/>
              <w:jc w:val="center"/>
              <w:rPr>
                <w:rFonts w:ascii="Times New Roman" w:hAnsi="Times New Roman" w:cs="Times New Roman"/>
                <w:b/>
                <w:szCs w:val="22"/>
              </w:rPr>
            </w:pPr>
            <w:r w:rsidRPr="005D38F6">
              <w:rPr>
                <w:rFonts w:ascii="Times New Roman" w:hAnsi="Times New Roman" w:cs="Times New Roman"/>
                <w:b/>
                <w:szCs w:val="22"/>
              </w:rPr>
              <w:t>New Combination</w:t>
            </w:r>
          </w:p>
        </w:tc>
        <w:tc>
          <w:tcPr>
            <w:tcW w:w="900" w:type="dxa"/>
          </w:tcPr>
          <w:p w:rsidR="00D9281E" w:rsidRPr="00E61D91" w:rsidRDefault="00D9281E" w:rsidP="0079062F">
            <w:pPr>
              <w:spacing w:after="100" w:afterAutospacing="1"/>
              <w:rPr>
                <w:rFonts w:ascii="Times New Roman" w:hAnsi="Times New Roman" w:cs="Times New Roman"/>
                <w:b/>
                <w:szCs w:val="22"/>
              </w:rPr>
            </w:pPr>
            <w:r w:rsidRPr="00E61D91">
              <w:rPr>
                <w:rFonts w:ascii="Times New Roman" w:hAnsi="Times New Roman" w:cs="Times New Roman"/>
                <w:b/>
                <w:szCs w:val="22"/>
              </w:rPr>
              <w:t>Rate</w:t>
            </w:r>
          </w:p>
        </w:tc>
        <w:tc>
          <w:tcPr>
            <w:tcW w:w="4947" w:type="dxa"/>
          </w:tcPr>
          <w:p w:rsidR="00D9281E" w:rsidRPr="00E61D91" w:rsidRDefault="00D9281E" w:rsidP="0079062F">
            <w:pPr>
              <w:spacing w:after="100" w:afterAutospacing="1"/>
              <w:jc w:val="center"/>
              <w:rPr>
                <w:rFonts w:ascii="Times New Roman" w:hAnsi="Times New Roman" w:cs="Times New Roman"/>
                <w:b/>
                <w:szCs w:val="22"/>
              </w:rPr>
            </w:pPr>
            <w:r w:rsidRPr="00E61D91">
              <w:rPr>
                <w:rFonts w:ascii="Times New Roman" w:hAnsi="Times New Roman" w:cs="Times New Roman"/>
                <w:b/>
                <w:szCs w:val="22"/>
              </w:rPr>
              <w:t>Description</w:t>
            </w:r>
          </w:p>
        </w:tc>
      </w:tr>
      <w:tr w:rsidR="00D9281E" w:rsidRPr="005D38F6" w:rsidTr="0079062F">
        <w:trPr>
          <w:trHeight w:val="370"/>
          <w:jc w:val="center"/>
        </w:trPr>
        <w:tc>
          <w:tcPr>
            <w:tcW w:w="2247" w:type="dxa"/>
          </w:tcPr>
          <w:p w:rsidR="00D9281E" w:rsidRPr="00E61D91" w:rsidRDefault="00D9281E" w:rsidP="0079062F">
            <w:pPr>
              <w:spacing w:after="100" w:afterAutospacing="1"/>
              <w:jc w:val="center"/>
              <w:rPr>
                <w:rFonts w:ascii="Times New Roman" w:hAnsi="Times New Roman" w:cs="Times New Roman"/>
                <w:szCs w:val="22"/>
              </w:rPr>
            </w:pPr>
          </w:p>
          <w:p w:rsidR="00D9281E" w:rsidRPr="00E61D91" w:rsidRDefault="00D9281E" w:rsidP="0079062F">
            <w:pPr>
              <w:spacing w:after="100" w:afterAutospacing="1"/>
              <w:jc w:val="center"/>
              <w:rPr>
                <w:rFonts w:ascii="Times New Roman" w:hAnsi="Times New Roman" w:cs="Times New Roman"/>
                <w:szCs w:val="22"/>
              </w:rPr>
            </w:pPr>
            <w:r w:rsidRPr="00E61D91">
              <w:rPr>
                <w:rFonts w:ascii="Times New Roman" w:hAnsi="Times New Roman" w:cs="Times New Roman"/>
                <w:szCs w:val="22"/>
              </w:rPr>
              <w:t>K0739 U5</w:t>
            </w:r>
          </w:p>
        </w:tc>
        <w:tc>
          <w:tcPr>
            <w:tcW w:w="900" w:type="dxa"/>
          </w:tcPr>
          <w:p w:rsidR="00D9281E" w:rsidRPr="00E61D91" w:rsidRDefault="00D9281E" w:rsidP="0079062F">
            <w:pPr>
              <w:spacing w:after="100" w:afterAutospacing="1"/>
              <w:rPr>
                <w:rFonts w:ascii="Times New Roman" w:hAnsi="Times New Roman" w:cs="Times New Roman"/>
                <w:szCs w:val="22"/>
              </w:rPr>
            </w:pPr>
          </w:p>
          <w:p w:rsidR="00D9281E" w:rsidRPr="00E61D91" w:rsidRDefault="00D9281E" w:rsidP="0079062F">
            <w:pPr>
              <w:spacing w:after="100" w:afterAutospacing="1"/>
              <w:rPr>
                <w:rFonts w:ascii="Times New Roman" w:hAnsi="Times New Roman" w:cs="Times New Roman"/>
                <w:szCs w:val="22"/>
              </w:rPr>
            </w:pPr>
            <w:r w:rsidRPr="00E61D91">
              <w:rPr>
                <w:rFonts w:ascii="Times New Roman" w:hAnsi="Times New Roman" w:cs="Times New Roman"/>
                <w:szCs w:val="22"/>
              </w:rPr>
              <w:t>$46.33</w:t>
            </w:r>
          </w:p>
        </w:tc>
        <w:tc>
          <w:tcPr>
            <w:tcW w:w="4947" w:type="dxa"/>
          </w:tcPr>
          <w:p w:rsidR="00D9281E" w:rsidRPr="005D38F6" w:rsidRDefault="00D9281E" w:rsidP="005B318D">
            <w:pPr>
              <w:spacing w:after="100" w:afterAutospacing="1"/>
              <w:rPr>
                <w:rFonts w:ascii="Times New Roman" w:hAnsi="Times New Roman" w:cs="Times New Roman"/>
                <w:szCs w:val="22"/>
              </w:rPr>
            </w:pPr>
            <w:r w:rsidRPr="000F4E8B">
              <w:rPr>
                <w:rFonts w:ascii="Times New Roman" w:hAnsi="Times New Roman" w:cs="Times New Roman"/>
                <w:color w:val="000000"/>
                <w:szCs w:val="22"/>
              </w:rPr>
              <w:t>Direct Service Component (RE) units for evaluation of complex mobility systems, for installation of custom movable and fixed patient lift systems RE1–RE23, and installation of pediatric/turned adult safety beds RE1</w:t>
            </w:r>
            <w:r w:rsidR="005B318D">
              <w:rPr>
                <w:rFonts w:ascii="Times New Roman" w:hAnsi="Times New Roman" w:cs="Times New Roman"/>
                <w:color w:val="000000"/>
                <w:szCs w:val="22"/>
              </w:rPr>
              <w:t>–</w:t>
            </w:r>
            <w:r w:rsidRPr="000F4E8B">
              <w:rPr>
                <w:rFonts w:ascii="Times New Roman" w:hAnsi="Times New Roman" w:cs="Times New Roman"/>
                <w:color w:val="000000"/>
                <w:szCs w:val="22"/>
              </w:rPr>
              <w:t>RE5.  One RE unit equals 1 hour</w:t>
            </w:r>
            <w:r w:rsidRPr="005D38F6">
              <w:rPr>
                <w:rFonts w:ascii="Times New Roman" w:hAnsi="Times New Roman" w:cs="Times New Roman"/>
                <w:szCs w:val="22"/>
              </w:rPr>
              <w:t xml:space="preserve"> </w:t>
            </w:r>
          </w:p>
        </w:tc>
      </w:tr>
    </w:tbl>
    <w:p w:rsidR="00574DC9" w:rsidRDefault="00574DC9" w:rsidP="00D9281E">
      <w:pPr>
        <w:rPr>
          <w:rFonts w:ascii="Times New Roman" w:hAnsi="Times New Roman" w:cs="Times New Roman"/>
          <w:sz w:val="24"/>
          <w:szCs w:val="24"/>
        </w:rPr>
      </w:pPr>
    </w:p>
    <w:sectPr w:rsidR="00574DC9"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91" w:rsidRDefault="009C3591">
      <w:r>
        <w:separator/>
      </w:r>
    </w:p>
  </w:endnote>
  <w:endnote w:type="continuationSeparator" w:id="0">
    <w:p w:rsidR="009C3591" w:rsidRDefault="009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63451">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55E69">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91" w:rsidRDefault="009C3591">
      <w:r>
        <w:separator/>
      </w:r>
    </w:p>
  </w:footnote>
  <w:footnote w:type="continuationSeparator" w:id="0">
    <w:p w:rsidR="009C3591" w:rsidRDefault="009C3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2FB3"/>
    <w:rsid w:val="001066DC"/>
    <w:rsid w:val="001145CC"/>
    <w:rsid w:val="0014797B"/>
    <w:rsid w:val="00151378"/>
    <w:rsid w:val="00155E69"/>
    <w:rsid w:val="00166D00"/>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63451"/>
    <w:rsid w:val="0037261E"/>
    <w:rsid w:val="00386BCD"/>
    <w:rsid w:val="00395400"/>
    <w:rsid w:val="003C2E3A"/>
    <w:rsid w:val="003C770E"/>
    <w:rsid w:val="003D6EEC"/>
    <w:rsid w:val="003E5987"/>
    <w:rsid w:val="004016AD"/>
    <w:rsid w:val="00411687"/>
    <w:rsid w:val="004121FF"/>
    <w:rsid w:val="00465CE3"/>
    <w:rsid w:val="00466B35"/>
    <w:rsid w:val="004A5542"/>
    <w:rsid w:val="004B2B19"/>
    <w:rsid w:val="004B6AAF"/>
    <w:rsid w:val="004F4CD2"/>
    <w:rsid w:val="005049C6"/>
    <w:rsid w:val="00506EF5"/>
    <w:rsid w:val="00535125"/>
    <w:rsid w:val="00535837"/>
    <w:rsid w:val="0054227E"/>
    <w:rsid w:val="0054689D"/>
    <w:rsid w:val="00556A92"/>
    <w:rsid w:val="00561E84"/>
    <w:rsid w:val="00564F8A"/>
    <w:rsid w:val="00565008"/>
    <w:rsid w:val="00574DC9"/>
    <w:rsid w:val="005A0778"/>
    <w:rsid w:val="005B27A7"/>
    <w:rsid w:val="005B318D"/>
    <w:rsid w:val="005D6A5A"/>
    <w:rsid w:val="005F2412"/>
    <w:rsid w:val="00605AAA"/>
    <w:rsid w:val="00613AFF"/>
    <w:rsid w:val="00627028"/>
    <w:rsid w:val="00686BDA"/>
    <w:rsid w:val="006950AA"/>
    <w:rsid w:val="006B535E"/>
    <w:rsid w:val="006C043F"/>
    <w:rsid w:val="006C2607"/>
    <w:rsid w:val="006F7489"/>
    <w:rsid w:val="007268CD"/>
    <w:rsid w:val="007302B1"/>
    <w:rsid w:val="007331AE"/>
    <w:rsid w:val="00751EAB"/>
    <w:rsid w:val="00760514"/>
    <w:rsid w:val="00773BF3"/>
    <w:rsid w:val="007802E3"/>
    <w:rsid w:val="00790DDE"/>
    <w:rsid w:val="007A097E"/>
    <w:rsid w:val="007A44F0"/>
    <w:rsid w:val="007A6C6B"/>
    <w:rsid w:val="007D5150"/>
    <w:rsid w:val="007E3366"/>
    <w:rsid w:val="007F34FB"/>
    <w:rsid w:val="007F4C57"/>
    <w:rsid w:val="007F7071"/>
    <w:rsid w:val="00802D63"/>
    <w:rsid w:val="008065C3"/>
    <w:rsid w:val="008138ED"/>
    <w:rsid w:val="0082262F"/>
    <w:rsid w:val="00846EFD"/>
    <w:rsid w:val="00847962"/>
    <w:rsid w:val="008747C6"/>
    <w:rsid w:val="00882DB4"/>
    <w:rsid w:val="008876C6"/>
    <w:rsid w:val="008B0126"/>
    <w:rsid w:val="00906004"/>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5F63"/>
    <w:rsid w:val="009E7BED"/>
    <w:rsid w:val="009F243C"/>
    <w:rsid w:val="009F77FD"/>
    <w:rsid w:val="00A152D4"/>
    <w:rsid w:val="00A32FEA"/>
    <w:rsid w:val="00A421BB"/>
    <w:rsid w:val="00A42891"/>
    <w:rsid w:val="00A44135"/>
    <w:rsid w:val="00A52D97"/>
    <w:rsid w:val="00A53895"/>
    <w:rsid w:val="00A63FD4"/>
    <w:rsid w:val="00A77971"/>
    <w:rsid w:val="00A934F9"/>
    <w:rsid w:val="00AA115F"/>
    <w:rsid w:val="00AB0061"/>
    <w:rsid w:val="00AB687F"/>
    <w:rsid w:val="00AD6895"/>
    <w:rsid w:val="00AE0DA5"/>
    <w:rsid w:val="00AE3401"/>
    <w:rsid w:val="00B308F1"/>
    <w:rsid w:val="00B338DB"/>
    <w:rsid w:val="00B379E7"/>
    <w:rsid w:val="00B43A86"/>
    <w:rsid w:val="00B67BA9"/>
    <w:rsid w:val="00B95039"/>
    <w:rsid w:val="00BA585A"/>
    <w:rsid w:val="00BB6F19"/>
    <w:rsid w:val="00C31BCC"/>
    <w:rsid w:val="00C46D18"/>
    <w:rsid w:val="00C54AED"/>
    <w:rsid w:val="00C62306"/>
    <w:rsid w:val="00C71F9B"/>
    <w:rsid w:val="00C91491"/>
    <w:rsid w:val="00C95BD9"/>
    <w:rsid w:val="00CB2C18"/>
    <w:rsid w:val="00CC1031"/>
    <w:rsid w:val="00CD5543"/>
    <w:rsid w:val="00D2459B"/>
    <w:rsid w:val="00D73367"/>
    <w:rsid w:val="00D764D3"/>
    <w:rsid w:val="00D87E5A"/>
    <w:rsid w:val="00D911CD"/>
    <w:rsid w:val="00D9168C"/>
    <w:rsid w:val="00D9281E"/>
    <w:rsid w:val="00D967D8"/>
    <w:rsid w:val="00DA27AF"/>
    <w:rsid w:val="00DA39D8"/>
    <w:rsid w:val="00DB0922"/>
    <w:rsid w:val="00DC4C74"/>
    <w:rsid w:val="00DC7E3F"/>
    <w:rsid w:val="00DE096B"/>
    <w:rsid w:val="00DE0FB9"/>
    <w:rsid w:val="00DE2B81"/>
    <w:rsid w:val="00DE794B"/>
    <w:rsid w:val="00E20B5A"/>
    <w:rsid w:val="00E236AA"/>
    <w:rsid w:val="00E3082D"/>
    <w:rsid w:val="00E8458C"/>
    <w:rsid w:val="00E93963"/>
    <w:rsid w:val="00EA042C"/>
    <w:rsid w:val="00EB008B"/>
    <w:rsid w:val="00EB47C8"/>
    <w:rsid w:val="00ED41F4"/>
    <w:rsid w:val="00EF0D4A"/>
    <w:rsid w:val="00F0626C"/>
    <w:rsid w:val="00F13BB7"/>
    <w:rsid w:val="00F243E6"/>
    <w:rsid w:val="00F32956"/>
    <w:rsid w:val="00F34242"/>
    <w:rsid w:val="00F577D6"/>
    <w:rsid w:val="00F65CA3"/>
    <w:rsid w:val="00F77AB5"/>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character" w:styleId="CommentReference">
    <w:name w:val="annotation reference"/>
    <w:basedOn w:val="DefaultParagraphFont"/>
    <w:rsid w:val="005B27A7"/>
    <w:rPr>
      <w:sz w:val="16"/>
      <w:szCs w:val="16"/>
    </w:rPr>
  </w:style>
  <w:style w:type="paragraph" w:styleId="CommentText">
    <w:name w:val="annotation text"/>
    <w:basedOn w:val="Normal"/>
    <w:link w:val="CommentTextChar"/>
    <w:rsid w:val="005B27A7"/>
    <w:rPr>
      <w:sz w:val="20"/>
    </w:rPr>
  </w:style>
  <w:style w:type="character" w:customStyle="1" w:styleId="CommentTextChar">
    <w:name w:val="Comment Text Char"/>
    <w:basedOn w:val="DefaultParagraphFont"/>
    <w:link w:val="CommentText"/>
    <w:rsid w:val="005B27A7"/>
    <w:rPr>
      <w:rFonts w:ascii="Arial" w:hAnsi="Arial" w:cs="Arial"/>
    </w:rPr>
  </w:style>
  <w:style w:type="paragraph" w:styleId="CommentSubject">
    <w:name w:val="annotation subject"/>
    <w:basedOn w:val="CommentText"/>
    <w:next w:val="CommentText"/>
    <w:link w:val="CommentSubjectChar"/>
    <w:rsid w:val="005B27A7"/>
    <w:rPr>
      <w:b/>
      <w:bCs/>
    </w:rPr>
  </w:style>
  <w:style w:type="character" w:customStyle="1" w:styleId="CommentSubjectChar">
    <w:name w:val="Comment Subject Char"/>
    <w:basedOn w:val="CommentTextChar"/>
    <w:link w:val="CommentSubject"/>
    <w:rsid w:val="005B27A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character" w:styleId="CommentReference">
    <w:name w:val="annotation reference"/>
    <w:basedOn w:val="DefaultParagraphFont"/>
    <w:rsid w:val="005B27A7"/>
    <w:rPr>
      <w:sz w:val="16"/>
      <w:szCs w:val="16"/>
    </w:rPr>
  </w:style>
  <w:style w:type="paragraph" w:styleId="CommentText">
    <w:name w:val="annotation text"/>
    <w:basedOn w:val="Normal"/>
    <w:link w:val="CommentTextChar"/>
    <w:rsid w:val="005B27A7"/>
    <w:rPr>
      <w:sz w:val="20"/>
    </w:rPr>
  </w:style>
  <w:style w:type="character" w:customStyle="1" w:styleId="CommentTextChar">
    <w:name w:val="Comment Text Char"/>
    <w:basedOn w:val="DefaultParagraphFont"/>
    <w:link w:val="CommentText"/>
    <w:rsid w:val="005B27A7"/>
    <w:rPr>
      <w:rFonts w:ascii="Arial" w:hAnsi="Arial" w:cs="Arial"/>
    </w:rPr>
  </w:style>
  <w:style w:type="paragraph" w:styleId="CommentSubject">
    <w:name w:val="annotation subject"/>
    <w:basedOn w:val="CommentText"/>
    <w:next w:val="CommentText"/>
    <w:link w:val="CommentSubjectChar"/>
    <w:rsid w:val="005B27A7"/>
    <w:rPr>
      <w:b/>
      <w:bCs/>
    </w:rPr>
  </w:style>
  <w:style w:type="character" w:customStyle="1" w:styleId="CommentSubjectChar">
    <w:name w:val="Comment Subject Char"/>
    <w:basedOn w:val="CommentTextChar"/>
    <w:link w:val="CommentSubject"/>
    <w:rsid w:val="005B27A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6828-D9AF-4C35-8DBE-363C8B37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2019-11-26T13:07:00Z</dcterms:created>
  <dcterms:modified xsi:type="dcterms:W3CDTF">2019-11-26T13:07:00Z</dcterms:modified>
</cp:coreProperties>
</file>