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027D4A">
      <w:pPr>
        <w:pStyle w:val="Heading1"/>
      </w:pPr>
      <w:r w:rsidRPr="00C45A45">
        <w:t xml:space="preserve">Administrative Bulletin </w:t>
      </w:r>
      <w:r w:rsidR="00FA4C2E">
        <w:t>20-0</w:t>
      </w:r>
      <w:r w:rsidR="008E52A0">
        <w:t>1</w:t>
      </w:r>
    </w:p>
    <w:p w:rsidR="007D5819" w:rsidRDefault="007D5819" w:rsidP="00027D4A">
      <w:pPr>
        <w:tabs>
          <w:tab w:val="center" w:pos="4950"/>
        </w:tabs>
        <w:jc w:val="center"/>
        <w:rPr>
          <w:rFonts w:ascii="Times New Roman" w:eastAsia="Calibri" w:hAnsi="Times New Roman" w:cs="Times New Roman"/>
          <w:b/>
          <w:szCs w:val="22"/>
        </w:rPr>
      </w:pPr>
    </w:p>
    <w:p w:rsidR="007D5819" w:rsidRPr="000E5E38" w:rsidRDefault="000E5E38" w:rsidP="00027D4A">
      <w:pPr>
        <w:jc w:val="center"/>
        <w:rPr>
          <w:rFonts w:ascii="Times New Roman" w:hAnsi="Times New Roman" w:cs="Times New Roman"/>
          <w:b/>
        </w:rPr>
      </w:pPr>
      <w:r w:rsidRPr="000E5E38">
        <w:rPr>
          <w:rFonts w:ascii="Times New Roman" w:hAnsi="Times New Roman" w:cs="Times New Roman"/>
          <w:b/>
        </w:rPr>
        <w:t>101 CMR 346.00:  Rates for Certain Substance-Related and Addictive Disorders Programs</w:t>
      </w:r>
    </w:p>
    <w:p w:rsidR="00027D4A" w:rsidRDefault="00027D4A" w:rsidP="00027D4A">
      <w:pPr>
        <w:jc w:val="center"/>
        <w:rPr>
          <w:rFonts w:ascii="Times New Roman" w:eastAsia="Calibri" w:hAnsi="Times New Roman" w:cs="Times New Roman"/>
          <w:szCs w:val="22"/>
        </w:rPr>
      </w:pPr>
    </w:p>
    <w:p w:rsidR="000E5E38" w:rsidRDefault="007D5819" w:rsidP="00317723">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0E5E38" w:rsidRPr="000E5E38">
        <w:rPr>
          <w:rFonts w:ascii="Times New Roman" w:eastAsia="Calibri" w:hAnsi="Times New Roman" w:cs="Times New Roman"/>
          <w:szCs w:val="22"/>
        </w:rPr>
        <w:t>January 1, 2020</w:t>
      </w:r>
    </w:p>
    <w:p w:rsidR="00027D4A" w:rsidRPr="000E5E38" w:rsidRDefault="00027D4A" w:rsidP="00317723">
      <w:pPr>
        <w:jc w:val="center"/>
        <w:rPr>
          <w:rFonts w:ascii="Times New Roman" w:eastAsia="Calibri" w:hAnsi="Times New Roman" w:cs="Times New Roman"/>
          <w:szCs w:val="22"/>
        </w:rPr>
      </w:pPr>
    </w:p>
    <w:p w:rsidR="000E5E38" w:rsidRPr="00FA4C2E" w:rsidRDefault="000E5E38" w:rsidP="00317723">
      <w:pPr>
        <w:shd w:val="clear" w:color="auto" w:fill="FFFFFF"/>
        <w:jc w:val="center"/>
        <w:rPr>
          <w:rFonts w:ascii="Times New Roman" w:hAnsi="Times New Roman" w:cs="Times New Roman"/>
          <w:b/>
          <w:szCs w:val="22"/>
        </w:rPr>
      </w:pPr>
      <w:r w:rsidRPr="009D56E3">
        <w:rPr>
          <w:rFonts w:ascii="Times New Roman" w:hAnsi="Times New Roman" w:cs="Times New Roman"/>
          <w:b/>
          <w:szCs w:val="22"/>
        </w:rPr>
        <w:t xml:space="preserve">Clarification to the Triage, Engagement, and Assessment Services </w:t>
      </w:r>
      <w:r w:rsidR="009D56E3">
        <w:rPr>
          <w:rFonts w:ascii="Times New Roman" w:hAnsi="Times New Roman" w:cs="Times New Roman"/>
          <w:b/>
          <w:szCs w:val="22"/>
        </w:rPr>
        <w:t>R</w:t>
      </w:r>
      <w:r w:rsidRPr="009D56E3">
        <w:rPr>
          <w:rFonts w:ascii="Times New Roman" w:hAnsi="Times New Roman" w:cs="Times New Roman"/>
          <w:b/>
          <w:szCs w:val="22"/>
        </w:rPr>
        <w:t>ate Components</w:t>
      </w:r>
    </w:p>
    <w:p w:rsidR="00760514" w:rsidRDefault="00760514" w:rsidP="00962923">
      <w:pPr>
        <w:tabs>
          <w:tab w:val="left" w:pos="1440"/>
          <w:tab w:val="center" w:pos="4925"/>
        </w:tabs>
        <w:rPr>
          <w:rFonts w:ascii="Times New Roman" w:hAnsi="Times New Roman" w:cs="Times New Roman"/>
          <w:sz w:val="24"/>
          <w:szCs w:val="24"/>
        </w:rPr>
      </w:pPr>
    </w:p>
    <w:p w:rsidR="000E5E38" w:rsidRPr="00FA4C2E" w:rsidRDefault="000E5E38" w:rsidP="000E5E38">
      <w:pPr>
        <w:tabs>
          <w:tab w:val="left" w:pos="1440"/>
          <w:tab w:val="center" w:pos="4925"/>
        </w:tabs>
        <w:rPr>
          <w:rFonts w:ascii="Times New Roman" w:hAnsi="Times New Roman" w:cs="Times New Roman"/>
          <w:szCs w:val="22"/>
        </w:rPr>
      </w:pPr>
      <w:r w:rsidRPr="00FA4C2E">
        <w:rPr>
          <w:rFonts w:ascii="Times New Roman" w:hAnsi="Times New Roman" w:cs="Times New Roman"/>
          <w:szCs w:val="22"/>
        </w:rPr>
        <w:t xml:space="preserve">The Executive Office of Health and Human Services is issuing this </w:t>
      </w:r>
      <w:r w:rsidR="009D56E3" w:rsidRPr="00FA4C2E">
        <w:rPr>
          <w:rFonts w:ascii="Times New Roman" w:hAnsi="Times New Roman" w:cs="Times New Roman"/>
          <w:szCs w:val="22"/>
        </w:rPr>
        <w:t>a</w:t>
      </w:r>
      <w:r w:rsidRPr="00FA4C2E">
        <w:rPr>
          <w:rFonts w:ascii="Times New Roman" w:hAnsi="Times New Roman" w:cs="Times New Roman"/>
          <w:szCs w:val="22"/>
        </w:rPr>
        <w:t xml:space="preserve">dministrative </w:t>
      </w:r>
      <w:r w:rsidR="009D56E3" w:rsidRPr="00FA4C2E">
        <w:rPr>
          <w:rFonts w:ascii="Times New Roman" w:hAnsi="Times New Roman" w:cs="Times New Roman"/>
          <w:szCs w:val="22"/>
        </w:rPr>
        <w:t>b</w:t>
      </w:r>
      <w:r w:rsidRPr="00FA4C2E">
        <w:rPr>
          <w:rFonts w:ascii="Times New Roman" w:hAnsi="Times New Roman" w:cs="Times New Roman"/>
          <w:szCs w:val="22"/>
        </w:rPr>
        <w:t>ulletin under the authority of 101 CMR 346.0</w:t>
      </w:r>
      <w:r w:rsidR="009851DC">
        <w:rPr>
          <w:rFonts w:ascii="Times New Roman" w:hAnsi="Times New Roman" w:cs="Times New Roman"/>
          <w:szCs w:val="22"/>
        </w:rPr>
        <w:t>1</w:t>
      </w:r>
      <w:r w:rsidRPr="00FA4C2E">
        <w:rPr>
          <w:rFonts w:ascii="Times New Roman" w:hAnsi="Times New Roman" w:cs="Times New Roman"/>
          <w:szCs w:val="22"/>
        </w:rPr>
        <w:t>(</w:t>
      </w:r>
      <w:r w:rsidR="009851DC">
        <w:rPr>
          <w:rFonts w:ascii="Times New Roman" w:hAnsi="Times New Roman" w:cs="Times New Roman"/>
          <w:szCs w:val="22"/>
        </w:rPr>
        <w:t>5</w:t>
      </w:r>
      <w:r w:rsidRPr="00FA4C2E">
        <w:rPr>
          <w:rFonts w:ascii="Times New Roman" w:hAnsi="Times New Roman" w:cs="Times New Roman"/>
          <w:szCs w:val="22"/>
        </w:rPr>
        <w:t xml:space="preserve">) to </w:t>
      </w:r>
      <w:r w:rsidR="00906DDD">
        <w:rPr>
          <w:rFonts w:ascii="Times New Roman" w:hAnsi="Times New Roman" w:cs="Times New Roman"/>
          <w:szCs w:val="22"/>
        </w:rPr>
        <w:t>clarify</w:t>
      </w:r>
      <w:r w:rsidR="00132638" w:rsidRPr="00FA4C2E">
        <w:rPr>
          <w:rFonts w:ascii="Times New Roman" w:hAnsi="Times New Roman" w:cs="Times New Roman"/>
          <w:szCs w:val="22"/>
        </w:rPr>
        <w:t xml:space="preserve"> </w:t>
      </w:r>
      <w:r w:rsidRPr="00FA4C2E">
        <w:rPr>
          <w:rFonts w:ascii="Times New Roman" w:hAnsi="Times New Roman" w:cs="Times New Roman"/>
          <w:szCs w:val="22"/>
        </w:rPr>
        <w:t xml:space="preserve">the </w:t>
      </w:r>
      <w:r w:rsidR="00132638">
        <w:rPr>
          <w:rFonts w:ascii="Times New Roman" w:hAnsi="Times New Roman" w:cs="Times New Roman"/>
          <w:szCs w:val="22"/>
        </w:rPr>
        <w:t>t</w:t>
      </w:r>
      <w:r w:rsidRPr="00FA4C2E">
        <w:rPr>
          <w:rFonts w:ascii="Times New Roman" w:hAnsi="Times New Roman" w:cs="Times New Roman"/>
          <w:szCs w:val="22"/>
        </w:rPr>
        <w:t xml:space="preserve">riage, </w:t>
      </w:r>
      <w:r w:rsidR="00132638">
        <w:rPr>
          <w:rFonts w:ascii="Times New Roman" w:hAnsi="Times New Roman" w:cs="Times New Roman"/>
          <w:szCs w:val="22"/>
        </w:rPr>
        <w:t>e</w:t>
      </w:r>
      <w:r w:rsidRPr="00FA4C2E">
        <w:rPr>
          <w:rFonts w:ascii="Times New Roman" w:hAnsi="Times New Roman" w:cs="Times New Roman"/>
          <w:szCs w:val="22"/>
        </w:rPr>
        <w:t>ngagement</w:t>
      </w:r>
      <w:r w:rsidR="00113AB1">
        <w:rPr>
          <w:rFonts w:ascii="Times New Roman" w:hAnsi="Times New Roman" w:cs="Times New Roman"/>
          <w:szCs w:val="22"/>
        </w:rPr>
        <w:t>,</w:t>
      </w:r>
      <w:r w:rsidRPr="00FA4C2E">
        <w:rPr>
          <w:rFonts w:ascii="Times New Roman" w:hAnsi="Times New Roman" w:cs="Times New Roman"/>
          <w:szCs w:val="22"/>
        </w:rPr>
        <w:t xml:space="preserve"> and </w:t>
      </w:r>
      <w:r w:rsidR="00132638">
        <w:rPr>
          <w:rFonts w:ascii="Times New Roman" w:hAnsi="Times New Roman" w:cs="Times New Roman"/>
          <w:szCs w:val="22"/>
        </w:rPr>
        <w:t>a</w:t>
      </w:r>
      <w:r w:rsidRPr="00FA4C2E">
        <w:rPr>
          <w:rFonts w:ascii="Times New Roman" w:hAnsi="Times New Roman" w:cs="Times New Roman"/>
          <w:szCs w:val="22"/>
        </w:rPr>
        <w:t xml:space="preserve">ssessment </w:t>
      </w:r>
      <w:r w:rsidR="00132638">
        <w:rPr>
          <w:rFonts w:ascii="Times New Roman" w:hAnsi="Times New Roman" w:cs="Times New Roman"/>
          <w:szCs w:val="22"/>
        </w:rPr>
        <w:t>s</w:t>
      </w:r>
      <w:r w:rsidRPr="00FA4C2E">
        <w:rPr>
          <w:rFonts w:ascii="Times New Roman" w:hAnsi="Times New Roman" w:cs="Times New Roman"/>
          <w:szCs w:val="22"/>
        </w:rPr>
        <w:t>ervices rates in 101 CMR 346.04</w:t>
      </w:r>
      <w:r w:rsidR="00132638">
        <w:rPr>
          <w:rFonts w:ascii="Times New Roman" w:hAnsi="Times New Roman" w:cs="Times New Roman"/>
          <w:szCs w:val="22"/>
        </w:rPr>
        <w:t>(4)</w:t>
      </w:r>
      <w:r w:rsidRPr="00FA4C2E">
        <w:rPr>
          <w:rFonts w:ascii="Times New Roman" w:hAnsi="Times New Roman" w:cs="Times New Roman"/>
          <w:szCs w:val="22"/>
        </w:rPr>
        <w:t xml:space="preserve">.  </w:t>
      </w:r>
    </w:p>
    <w:p w:rsidR="000E5E38" w:rsidRPr="00FA4C2E" w:rsidRDefault="000E5E38" w:rsidP="000E5E38">
      <w:pPr>
        <w:tabs>
          <w:tab w:val="left" w:pos="1440"/>
          <w:tab w:val="center" w:pos="4925"/>
        </w:tabs>
        <w:rPr>
          <w:rFonts w:ascii="Times New Roman" w:hAnsi="Times New Roman" w:cs="Times New Roman"/>
          <w:szCs w:val="22"/>
        </w:rPr>
      </w:pPr>
    </w:p>
    <w:p w:rsidR="000E5E38" w:rsidRPr="00FA4C2E" w:rsidRDefault="000E5E38" w:rsidP="000E5E38">
      <w:pPr>
        <w:tabs>
          <w:tab w:val="left" w:pos="1440"/>
          <w:tab w:val="center" w:pos="4925"/>
        </w:tabs>
        <w:rPr>
          <w:rFonts w:ascii="Times New Roman" w:hAnsi="Times New Roman" w:cs="Times New Roman"/>
          <w:szCs w:val="22"/>
        </w:rPr>
      </w:pPr>
      <w:r w:rsidRPr="00FA4C2E">
        <w:rPr>
          <w:rFonts w:ascii="Times New Roman" w:hAnsi="Times New Roman" w:cs="Times New Roman"/>
          <w:szCs w:val="22"/>
        </w:rPr>
        <w:t xml:space="preserve">The </w:t>
      </w:r>
      <w:r w:rsidR="003E1C18" w:rsidRPr="00EA6CA7">
        <w:rPr>
          <w:rFonts w:ascii="Times New Roman" w:hAnsi="Times New Roman" w:cs="Times New Roman"/>
          <w:szCs w:val="22"/>
        </w:rPr>
        <w:t>rate</w:t>
      </w:r>
      <w:r w:rsidR="003E1C18">
        <w:rPr>
          <w:rFonts w:ascii="Times New Roman" w:hAnsi="Times New Roman" w:cs="Times New Roman"/>
          <w:szCs w:val="22"/>
        </w:rPr>
        <w:t xml:space="preserve"> models for </w:t>
      </w:r>
      <w:r w:rsidR="00906DDD">
        <w:rPr>
          <w:rFonts w:ascii="Times New Roman" w:hAnsi="Times New Roman" w:cs="Times New Roman"/>
          <w:szCs w:val="22"/>
        </w:rPr>
        <w:t xml:space="preserve">triage, engagement, and assessment services </w:t>
      </w:r>
      <w:r w:rsidR="003E1C18">
        <w:rPr>
          <w:rFonts w:ascii="Times New Roman" w:hAnsi="Times New Roman" w:cs="Times New Roman"/>
          <w:szCs w:val="22"/>
        </w:rPr>
        <w:t xml:space="preserve">in 101 </w:t>
      </w:r>
      <w:r w:rsidR="00FA4C2E">
        <w:rPr>
          <w:rFonts w:ascii="Times New Roman" w:hAnsi="Times New Roman" w:cs="Times New Roman"/>
          <w:szCs w:val="22"/>
        </w:rPr>
        <w:t xml:space="preserve">CMR </w:t>
      </w:r>
      <w:r w:rsidR="003E1C18">
        <w:rPr>
          <w:rFonts w:ascii="Times New Roman" w:hAnsi="Times New Roman" w:cs="Times New Roman"/>
          <w:szCs w:val="22"/>
        </w:rPr>
        <w:t xml:space="preserve">346.04(4) </w:t>
      </w:r>
      <w:r w:rsidR="00906DDD">
        <w:rPr>
          <w:rFonts w:ascii="Times New Roman" w:hAnsi="Times New Roman" w:cs="Times New Roman"/>
          <w:szCs w:val="22"/>
        </w:rPr>
        <w:t xml:space="preserve">consist of two major components: a base rate and an </w:t>
      </w:r>
      <w:r w:rsidR="003E1C18">
        <w:rPr>
          <w:rFonts w:ascii="Times New Roman" w:hAnsi="Times New Roman" w:cs="Times New Roman"/>
          <w:szCs w:val="22"/>
        </w:rPr>
        <w:t xml:space="preserve">engagement </w:t>
      </w:r>
      <w:r w:rsidR="00906DDD">
        <w:rPr>
          <w:rFonts w:ascii="Times New Roman" w:hAnsi="Times New Roman" w:cs="Times New Roman"/>
          <w:szCs w:val="22"/>
        </w:rPr>
        <w:t>staffing rate.</w:t>
      </w:r>
      <w:r w:rsidRPr="00FA4C2E">
        <w:rPr>
          <w:rFonts w:ascii="Times New Roman" w:hAnsi="Times New Roman" w:cs="Times New Roman"/>
          <w:szCs w:val="22"/>
        </w:rPr>
        <w:t xml:space="preserve"> </w:t>
      </w:r>
      <w:r w:rsidR="00906DDD">
        <w:rPr>
          <w:rFonts w:ascii="Times New Roman" w:hAnsi="Times New Roman" w:cs="Times New Roman"/>
          <w:szCs w:val="22"/>
        </w:rPr>
        <w:t>T</w:t>
      </w:r>
      <w:r w:rsidRPr="00FA4C2E">
        <w:rPr>
          <w:rFonts w:ascii="Times New Roman" w:hAnsi="Times New Roman" w:cs="Times New Roman"/>
          <w:szCs w:val="22"/>
        </w:rPr>
        <w:t>he chart below reflect</w:t>
      </w:r>
      <w:r w:rsidR="00575E4F">
        <w:rPr>
          <w:rFonts w:ascii="Times New Roman" w:hAnsi="Times New Roman" w:cs="Times New Roman"/>
          <w:szCs w:val="22"/>
        </w:rPr>
        <w:t>s</w:t>
      </w:r>
      <w:r w:rsidRPr="00FA4C2E">
        <w:rPr>
          <w:rFonts w:ascii="Times New Roman" w:hAnsi="Times New Roman" w:cs="Times New Roman"/>
          <w:szCs w:val="22"/>
        </w:rPr>
        <w:t xml:space="preserve"> </w:t>
      </w:r>
      <w:r w:rsidR="00132638">
        <w:rPr>
          <w:rFonts w:ascii="Times New Roman" w:hAnsi="Times New Roman" w:cs="Times New Roman"/>
          <w:szCs w:val="22"/>
        </w:rPr>
        <w:t>the</w:t>
      </w:r>
      <w:r w:rsidR="00575E4F">
        <w:rPr>
          <w:rFonts w:ascii="Times New Roman" w:hAnsi="Times New Roman" w:cs="Times New Roman"/>
          <w:szCs w:val="22"/>
        </w:rPr>
        <w:t>se</w:t>
      </w:r>
      <w:r w:rsidR="00132638">
        <w:rPr>
          <w:rFonts w:ascii="Times New Roman" w:hAnsi="Times New Roman" w:cs="Times New Roman"/>
          <w:szCs w:val="22"/>
        </w:rPr>
        <w:t xml:space="preserve"> rate components </w:t>
      </w:r>
      <w:r w:rsidR="00575E4F">
        <w:rPr>
          <w:rFonts w:ascii="Times New Roman" w:hAnsi="Times New Roman" w:cs="Times New Roman"/>
          <w:szCs w:val="22"/>
        </w:rPr>
        <w:t>used to establish the rates for these service program models</w:t>
      </w:r>
      <w:r w:rsidRPr="00FA4C2E">
        <w:rPr>
          <w:rFonts w:ascii="Times New Roman" w:hAnsi="Times New Roman" w:cs="Times New Roman"/>
          <w:szCs w:val="22"/>
        </w:rPr>
        <w:t xml:space="preserve"> effective January 1, 2020. There is no change to </w:t>
      </w:r>
      <w:r w:rsidR="003E1C18">
        <w:rPr>
          <w:rFonts w:ascii="Times New Roman" w:hAnsi="Times New Roman" w:cs="Times New Roman"/>
          <w:szCs w:val="22"/>
        </w:rPr>
        <w:t xml:space="preserve">the </w:t>
      </w:r>
      <w:r w:rsidRPr="00FA4C2E">
        <w:rPr>
          <w:rFonts w:ascii="Times New Roman" w:hAnsi="Times New Roman" w:cs="Times New Roman"/>
          <w:szCs w:val="22"/>
        </w:rPr>
        <w:t>rate</w:t>
      </w:r>
      <w:r w:rsidR="00575E4F">
        <w:rPr>
          <w:rFonts w:ascii="Times New Roman" w:hAnsi="Times New Roman" w:cs="Times New Roman"/>
          <w:szCs w:val="22"/>
        </w:rPr>
        <w:t>s for these services</w:t>
      </w:r>
      <w:r w:rsidRPr="00FA4C2E">
        <w:rPr>
          <w:rFonts w:ascii="Times New Roman" w:hAnsi="Times New Roman" w:cs="Times New Roman"/>
          <w:szCs w:val="22"/>
        </w:rPr>
        <w:t>.</w:t>
      </w:r>
    </w:p>
    <w:p w:rsidR="000E5E38" w:rsidRPr="00FA4C2E" w:rsidRDefault="000E5E38" w:rsidP="000E5E38">
      <w:pPr>
        <w:tabs>
          <w:tab w:val="left" w:pos="1440"/>
          <w:tab w:val="center" w:pos="4925"/>
        </w:tabs>
        <w:rPr>
          <w:rFonts w:ascii="Times New Roman" w:hAnsi="Times New Roman" w:cs="Times New Roman"/>
          <w:szCs w:val="22"/>
        </w:rPr>
      </w:pPr>
    </w:p>
    <w:p w:rsidR="000E5E38" w:rsidRPr="00FA4C2E" w:rsidRDefault="000E5E38" w:rsidP="000E5E38">
      <w:pPr>
        <w:tabs>
          <w:tab w:val="left" w:pos="1440"/>
          <w:tab w:val="center" w:pos="4925"/>
        </w:tabs>
        <w:rPr>
          <w:rFonts w:ascii="Times New Roman" w:hAnsi="Times New Roman" w:cs="Times New Roman"/>
          <w:szCs w:val="22"/>
        </w:rPr>
      </w:pPr>
    </w:p>
    <w:tbl>
      <w:tblPr>
        <w:tblW w:w="8485" w:type="dxa"/>
        <w:tblInd w:w="810" w:type="dxa"/>
        <w:tblLook w:val="04A0" w:firstRow="1" w:lastRow="0" w:firstColumn="1" w:lastColumn="0" w:noHBand="0" w:noVBand="1"/>
      </w:tblPr>
      <w:tblGrid>
        <w:gridCol w:w="2600"/>
        <w:gridCol w:w="815"/>
        <w:gridCol w:w="1540"/>
        <w:gridCol w:w="1040"/>
        <w:gridCol w:w="1390"/>
        <w:gridCol w:w="1100"/>
      </w:tblGrid>
      <w:tr w:rsidR="000E5E38" w:rsidRPr="00113AB1" w:rsidTr="00FA4C2E">
        <w:trPr>
          <w:trHeight w:val="288"/>
        </w:trPr>
        <w:tc>
          <w:tcPr>
            <w:tcW w:w="2600" w:type="dxa"/>
            <w:tcBorders>
              <w:top w:val="single" w:sz="8" w:space="0" w:color="auto"/>
              <w:left w:val="single" w:sz="8" w:space="0" w:color="auto"/>
              <w:bottom w:val="nil"/>
              <w:right w:val="single" w:sz="8" w:space="0" w:color="auto"/>
            </w:tcBorders>
            <w:shd w:val="clear" w:color="auto" w:fill="auto"/>
            <w:noWrap/>
            <w:vAlign w:val="center"/>
            <w:hideMark/>
          </w:tcPr>
          <w:p w:rsidR="000E5E38" w:rsidRPr="00113AB1" w:rsidRDefault="000E5E38" w:rsidP="009912DC">
            <w:pPr>
              <w:rPr>
                <w:rFonts w:ascii="Times New Roman" w:hAnsi="Times New Roman" w:cs="Times New Roman"/>
                <w:b/>
                <w:bCs/>
                <w:color w:val="000000"/>
                <w:szCs w:val="22"/>
              </w:rPr>
            </w:pPr>
            <w:r w:rsidRPr="00113AB1">
              <w:rPr>
                <w:rFonts w:ascii="Times New Roman" w:hAnsi="Times New Roman" w:cs="Times New Roman"/>
                <w:b/>
                <w:bCs/>
                <w:color w:val="000000"/>
                <w:szCs w:val="22"/>
              </w:rPr>
              <w:t> </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b/>
                <w:bCs/>
                <w:color w:val="000000"/>
                <w:szCs w:val="22"/>
              </w:rPr>
            </w:pPr>
            <w:r w:rsidRPr="00113AB1">
              <w:rPr>
                <w:rFonts w:ascii="Times New Roman" w:hAnsi="Times New Roman" w:cs="Times New Roman"/>
                <w:b/>
                <w:bCs/>
                <w:color w:val="000000"/>
                <w:szCs w:val="22"/>
              </w:rPr>
              <w:t>Model</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b/>
                <w:bCs/>
                <w:color w:val="000000"/>
                <w:szCs w:val="22"/>
              </w:rPr>
            </w:pPr>
            <w:r w:rsidRPr="00113AB1">
              <w:rPr>
                <w:rFonts w:ascii="Times New Roman" w:hAnsi="Times New Roman" w:cs="Times New Roman"/>
                <w:b/>
                <w:bCs/>
                <w:color w:val="000000"/>
                <w:szCs w:val="22"/>
              </w:rPr>
              <w:t>Unit</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b/>
                <w:bCs/>
                <w:color w:val="000000"/>
                <w:szCs w:val="22"/>
              </w:rPr>
            </w:pPr>
            <w:r w:rsidRPr="00113AB1">
              <w:rPr>
                <w:rFonts w:ascii="Times New Roman" w:hAnsi="Times New Roman" w:cs="Times New Roman"/>
                <w:b/>
                <w:bCs/>
                <w:color w:val="000000"/>
                <w:szCs w:val="22"/>
              </w:rPr>
              <w:t>Base Rate</w:t>
            </w:r>
          </w:p>
        </w:tc>
        <w:tc>
          <w:tcPr>
            <w:tcW w:w="13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E5E38" w:rsidRPr="00113AB1" w:rsidRDefault="007E1490" w:rsidP="009912DC">
            <w:pPr>
              <w:jc w:val="center"/>
              <w:rPr>
                <w:rFonts w:ascii="Times New Roman" w:hAnsi="Times New Roman" w:cs="Times New Roman"/>
                <w:b/>
                <w:bCs/>
                <w:color w:val="000000"/>
                <w:szCs w:val="22"/>
              </w:rPr>
            </w:pPr>
            <w:r>
              <w:rPr>
                <w:rFonts w:ascii="Times New Roman" w:hAnsi="Times New Roman" w:cs="Times New Roman"/>
                <w:b/>
                <w:bCs/>
                <w:color w:val="000000"/>
                <w:szCs w:val="22"/>
              </w:rPr>
              <w:t>Engagement</w:t>
            </w:r>
            <w:r w:rsidRPr="00113AB1">
              <w:rPr>
                <w:rFonts w:ascii="Times New Roman" w:hAnsi="Times New Roman" w:cs="Times New Roman"/>
                <w:b/>
                <w:bCs/>
                <w:color w:val="000000"/>
                <w:szCs w:val="22"/>
              </w:rPr>
              <w:t xml:space="preserve"> </w:t>
            </w:r>
            <w:r w:rsidR="000E5E38" w:rsidRPr="00113AB1">
              <w:rPr>
                <w:rFonts w:ascii="Times New Roman" w:hAnsi="Times New Roman" w:cs="Times New Roman"/>
                <w:b/>
                <w:bCs/>
                <w:color w:val="000000"/>
                <w:szCs w:val="22"/>
              </w:rPr>
              <w:t>Staffing Rate</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b/>
                <w:bCs/>
                <w:color w:val="000000"/>
                <w:szCs w:val="22"/>
              </w:rPr>
            </w:pPr>
            <w:r w:rsidRPr="00113AB1">
              <w:rPr>
                <w:rFonts w:ascii="Times New Roman" w:hAnsi="Times New Roman" w:cs="Times New Roman"/>
                <w:b/>
                <w:bCs/>
                <w:color w:val="000000"/>
                <w:szCs w:val="22"/>
              </w:rPr>
              <w:t>Rate</w:t>
            </w:r>
          </w:p>
        </w:tc>
      </w:tr>
      <w:tr w:rsidR="000E5E38" w:rsidRPr="00113AB1" w:rsidTr="00FA4C2E">
        <w:trPr>
          <w:trHeight w:val="300"/>
        </w:trPr>
        <w:tc>
          <w:tcPr>
            <w:tcW w:w="2600" w:type="dxa"/>
            <w:tcBorders>
              <w:top w:val="nil"/>
              <w:left w:val="single" w:sz="8" w:space="0" w:color="auto"/>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b/>
                <w:bCs/>
                <w:color w:val="000000"/>
                <w:szCs w:val="22"/>
              </w:rPr>
            </w:pPr>
            <w:r w:rsidRPr="00113AB1">
              <w:rPr>
                <w:rFonts w:ascii="Times New Roman" w:hAnsi="Times New Roman" w:cs="Times New Roman"/>
                <w:b/>
                <w:bCs/>
                <w:color w:val="000000"/>
                <w:szCs w:val="22"/>
              </w:rPr>
              <w:t>Program</w:t>
            </w:r>
          </w:p>
        </w:tc>
        <w:tc>
          <w:tcPr>
            <w:tcW w:w="815" w:type="dxa"/>
            <w:vMerge/>
            <w:tcBorders>
              <w:top w:val="single" w:sz="8" w:space="0" w:color="auto"/>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b/>
                <w:bCs/>
                <w:color w:val="000000"/>
                <w:szCs w:val="22"/>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b/>
                <w:bCs/>
                <w:color w:val="000000"/>
                <w:szCs w:val="22"/>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b/>
                <w:bCs/>
                <w:color w:val="000000"/>
                <w:szCs w:val="22"/>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b/>
                <w:bCs/>
                <w:color w:val="000000"/>
                <w:szCs w:val="22"/>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b/>
                <w:bCs/>
                <w:color w:val="000000"/>
                <w:szCs w:val="22"/>
              </w:rPr>
            </w:pPr>
          </w:p>
        </w:tc>
      </w:tr>
      <w:tr w:rsidR="000E5E38" w:rsidRPr="00113AB1" w:rsidTr="00FA4C2E">
        <w:trPr>
          <w:trHeight w:val="300"/>
        </w:trPr>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rsidR="000E5E38" w:rsidRPr="00113AB1" w:rsidRDefault="000E5E38" w:rsidP="009912DC">
            <w:pPr>
              <w:rPr>
                <w:rFonts w:ascii="Times New Roman" w:hAnsi="Times New Roman" w:cs="Times New Roman"/>
                <w:color w:val="000000"/>
                <w:szCs w:val="22"/>
              </w:rPr>
            </w:pPr>
            <w:r w:rsidRPr="00113AB1">
              <w:rPr>
                <w:rFonts w:ascii="Times New Roman" w:hAnsi="Times New Roman" w:cs="Times New Roman"/>
                <w:color w:val="000000"/>
                <w:szCs w:val="22"/>
              </w:rPr>
              <w:t>Triage, Engagement, and Assessment Services</w:t>
            </w:r>
          </w:p>
        </w:tc>
        <w:tc>
          <w:tcPr>
            <w:tcW w:w="815"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A</w:t>
            </w:r>
          </w:p>
        </w:tc>
        <w:tc>
          <w:tcPr>
            <w:tcW w:w="154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Monthly per slot</w:t>
            </w:r>
          </w:p>
        </w:tc>
        <w:tc>
          <w:tcPr>
            <w:tcW w:w="104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 xml:space="preserve">$924 </w:t>
            </w:r>
          </w:p>
        </w:tc>
        <w:tc>
          <w:tcPr>
            <w:tcW w:w="139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 xml:space="preserve">$391 </w:t>
            </w:r>
          </w:p>
        </w:tc>
        <w:tc>
          <w:tcPr>
            <w:tcW w:w="110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 xml:space="preserve">$1,315 </w:t>
            </w:r>
          </w:p>
        </w:tc>
      </w:tr>
      <w:tr w:rsidR="000E5E38" w:rsidRPr="00113AB1" w:rsidTr="00FA4C2E">
        <w:trPr>
          <w:trHeight w:val="300"/>
        </w:trPr>
        <w:tc>
          <w:tcPr>
            <w:tcW w:w="2600" w:type="dxa"/>
            <w:vMerge/>
            <w:tcBorders>
              <w:top w:val="nil"/>
              <w:left w:val="single" w:sz="8" w:space="0" w:color="auto"/>
              <w:bottom w:val="single" w:sz="8" w:space="0" w:color="000000"/>
              <w:right w:val="single" w:sz="8" w:space="0" w:color="auto"/>
            </w:tcBorders>
            <w:vAlign w:val="center"/>
            <w:hideMark/>
          </w:tcPr>
          <w:p w:rsidR="000E5E38" w:rsidRPr="00113AB1" w:rsidRDefault="000E5E38" w:rsidP="009912DC">
            <w:pPr>
              <w:rPr>
                <w:rFonts w:ascii="Times New Roman" w:hAnsi="Times New Roman" w:cs="Times New Roman"/>
                <w:color w:val="000000"/>
                <w:szCs w:val="22"/>
              </w:rPr>
            </w:pPr>
          </w:p>
        </w:tc>
        <w:tc>
          <w:tcPr>
            <w:tcW w:w="815"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B</w:t>
            </w:r>
          </w:p>
        </w:tc>
        <w:tc>
          <w:tcPr>
            <w:tcW w:w="154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Monthly per slot</w:t>
            </w:r>
          </w:p>
        </w:tc>
        <w:tc>
          <w:tcPr>
            <w:tcW w:w="104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 xml:space="preserve">$1,137 </w:t>
            </w:r>
          </w:p>
        </w:tc>
        <w:tc>
          <w:tcPr>
            <w:tcW w:w="1390" w:type="dxa"/>
            <w:tcBorders>
              <w:top w:val="nil"/>
              <w:left w:val="nil"/>
              <w:bottom w:val="single" w:sz="8" w:space="0" w:color="auto"/>
              <w:right w:val="single" w:sz="8" w:space="0" w:color="auto"/>
            </w:tcBorders>
            <w:shd w:val="clear" w:color="auto" w:fill="auto"/>
            <w:noWrap/>
            <w:vAlign w:val="center"/>
            <w:hideMark/>
          </w:tcPr>
          <w:p w:rsidR="000E5E38" w:rsidRPr="00113AB1" w:rsidRDefault="00FE5F55" w:rsidP="009912DC">
            <w:pPr>
              <w:jc w:val="center"/>
              <w:rPr>
                <w:rFonts w:ascii="Times New Roman" w:hAnsi="Times New Roman" w:cs="Times New Roman"/>
                <w:color w:val="000000"/>
                <w:szCs w:val="22"/>
              </w:rPr>
            </w:pPr>
            <w:r>
              <w:rPr>
                <w:rFonts w:ascii="Times New Roman" w:hAnsi="Times New Roman" w:cs="Times New Roman"/>
                <w:color w:val="000000"/>
                <w:szCs w:val="22"/>
              </w:rPr>
              <w:t>$531</w:t>
            </w:r>
            <w:r w:rsidR="000E5E38" w:rsidRPr="00113AB1">
              <w:rPr>
                <w:rFonts w:ascii="Times New Roman" w:hAnsi="Times New Roman" w:cs="Times New Roman"/>
                <w:color w:val="000000"/>
                <w:szCs w:val="22"/>
              </w:rPr>
              <w:t xml:space="preserve"> </w:t>
            </w:r>
          </w:p>
        </w:tc>
        <w:tc>
          <w:tcPr>
            <w:tcW w:w="1100" w:type="dxa"/>
            <w:tcBorders>
              <w:top w:val="nil"/>
              <w:left w:val="nil"/>
              <w:bottom w:val="single" w:sz="8" w:space="0" w:color="auto"/>
              <w:right w:val="single" w:sz="8" w:space="0" w:color="auto"/>
            </w:tcBorders>
            <w:shd w:val="clear" w:color="auto" w:fill="auto"/>
            <w:noWrap/>
            <w:vAlign w:val="center"/>
            <w:hideMark/>
          </w:tcPr>
          <w:p w:rsidR="000E5E38" w:rsidRPr="00113AB1" w:rsidRDefault="000E5E38" w:rsidP="009912DC">
            <w:pPr>
              <w:jc w:val="center"/>
              <w:rPr>
                <w:rFonts w:ascii="Times New Roman" w:hAnsi="Times New Roman" w:cs="Times New Roman"/>
                <w:color w:val="000000"/>
                <w:szCs w:val="22"/>
              </w:rPr>
            </w:pPr>
            <w:r w:rsidRPr="00113AB1">
              <w:rPr>
                <w:rFonts w:ascii="Times New Roman" w:hAnsi="Times New Roman" w:cs="Times New Roman"/>
                <w:color w:val="000000"/>
                <w:szCs w:val="22"/>
              </w:rPr>
              <w:t xml:space="preserve">$1,668 </w:t>
            </w:r>
          </w:p>
        </w:tc>
      </w:tr>
    </w:tbl>
    <w:p w:rsidR="000E5E38" w:rsidRPr="00FA4C2E" w:rsidRDefault="000E5E38" w:rsidP="000E5E38">
      <w:pPr>
        <w:tabs>
          <w:tab w:val="left" w:pos="1440"/>
          <w:tab w:val="center" w:pos="4925"/>
        </w:tabs>
        <w:rPr>
          <w:rFonts w:ascii="Times New Roman" w:hAnsi="Times New Roman" w:cs="Times New Roman"/>
          <w:szCs w:val="22"/>
        </w:rPr>
      </w:pPr>
    </w:p>
    <w:p w:rsidR="000E5E38" w:rsidRDefault="000E5E38" w:rsidP="00962923">
      <w:pPr>
        <w:tabs>
          <w:tab w:val="left" w:pos="1440"/>
          <w:tab w:val="center" w:pos="4925"/>
        </w:tabs>
        <w:rPr>
          <w:rFonts w:ascii="Times New Roman" w:hAnsi="Times New Roman" w:cs="Times New Roman"/>
          <w:sz w:val="24"/>
          <w:szCs w:val="24"/>
        </w:rPr>
      </w:pPr>
    </w:p>
    <w:sectPr w:rsidR="000E5E38"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1A" w:rsidRDefault="00FD7B1A">
      <w:r>
        <w:separator/>
      </w:r>
    </w:p>
  </w:endnote>
  <w:endnote w:type="continuationSeparator" w:id="0">
    <w:p w:rsidR="00FD7B1A" w:rsidRDefault="00FD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1A" w:rsidRDefault="00FD7B1A">
      <w:r>
        <w:separator/>
      </w:r>
    </w:p>
  </w:footnote>
  <w:footnote w:type="continuationSeparator" w:id="0">
    <w:p w:rsidR="00FD7B1A" w:rsidRDefault="00FD7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27D4A"/>
    <w:rsid w:val="0003631E"/>
    <w:rsid w:val="00060CB1"/>
    <w:rsid w:val="00064F04"/>
    <w:rsid w:val="00091E72"/>
    <w:rsid w:val="000D1437"/>
    <w:rsid w:val="000E02D6"/>
    <w:rsid w:val="000E5E38"/>
    <w:rsid w:val="000E5F40"/>
    <w:rsid w:val="000F2FB3"/>
    <w:rsid w:val="001066DC"/>
    <w:rsid w:val="0011159B"/>
    <w:rsid w:val="00113AB1"/>
    <w:rsid w:val="001145CC"/>
    <w:rsid w:val="00132638"/>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17723"/>
    <w:rsid w:val="00321E6E"/>
    <w:rsid w:val="00330313"/>
    <w:rsid w:val="00337EFA"/>
    <w:rsid w:val="00386BCD"/>
    <w:rsid w:val="00395400"/>
    <w:rsid w:val="003C2E3A"/>
    <w:rsid w:val="003C770E"/>
    <w:rsid w:val="003D6EEC"/>
    <w:rsid w:val="003E1C18"/>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75E4F"/>
    <w:rsid w:val="005A0778"/>
    <w:rsid w:val="005F2412"/>
    <w:rsid w:val="006056CD"/>
    <w:rsid w:val="00605AAA"/>
    <w:rsid w:val="00613AFF"/>
    <w:rsid w:val="00627028"/>
    <w:rsid w:val="0067334C"/>
    <w:rsid w:val="006950AA"/>
    <w:rsid w:val="006B535E"/>
    <w:rsid w:val="006C043F"/>
    <w:rsid w:val="006C2607"/>
    <w:rsid w:val="006F7489"/>
    <w:rsid w:val="00711EE9"/>
    <w:rsid w:val="007302B1"/>
    <w:rsid w:val="00751542"/>
    <w:rsid w:val="00751EAB"/>
    <w:rsid w:val="00760514"/>
    <w:rsid w:val="00773BF3"/>
    <w:rsid w:val="007802E3"/>
    <w:rsid w:val="00790DDE"/>
    <w:rsid w:val="007A097E"/>
    <w:rsid w:val="007A44F0"/>
    <w:rsid w:val="007D5150"/>
    <w:rsid w:val="007D5819"/>
    <w:rsid w:val="007E1490"/>
    <w:rsid w:val="007E3366"/>
    <w:rsid w:val="007F34FB"/>
    <w:rsid w:val="007F4C57"/>
    <w:rsid w:val="007F7071"/>
    <w:rsid w:val="008065C3"/>
    <w:rsid w:val="008138ED"/>
    <w:rsid w:val="0082262F"/>
    <w:rsid w:val="00840BA7"/>
    <w:rsid w:val="00846EFD"/>
    <w:rsid w:val="008747C6"/>
    <w:rsid w:val="00882DB4"/>
    <w:rsid w:val="00896091"/>
    <w:rsid w:val="008A2608"/>
    <w:rsid w:val="008D1535"/>
    <w:rsid w:val="008E52A0"/>
    <w:rsid w:val="00906DDD"/>
    <w:rsid w:val="009271D7"/>
    <w:rsid w:val="0093212C"/>
    <w:rsid w:val="0093489F"/>
    <w:rsid w:val="00947481"/>
    <w:rsid w:val="00951C89"/>
    <w:rsid w:val="00955834"/>
    <w:rsid w:val="00960FD3"/>
    <w:rsid w:val="00961654"/>
    <w:rsid w:val="00962923"/>
    <w:rsid w:val="00983941"/>
    <w:rsid w:val="009851DC"/>
    <w:rsid w:val="0099568A"/>
    <w:rsid w:val="0099721B"/>
    <w:rsid w:val="00997297"/>
    <w:rsid w:val="009A0800"/>
    <w:rsid w:val="009B5726"/>
    <w:rsid w:val="009D56E3"/>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20960"/>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A4C2E"/>
    <w:rsid w:val="00FC12A0"/>
    <w:rsid w:val="00FC1F58"/>
    <w:rsid w:val="00FC25AE"/>
    <w:rsid w:val="00FD3986"/>
    <w:rsid w:val="00FD66E8"/>
    <w:rsid w:val="00FD7B1A"/>
    <w:rsid w:val="00FE5F55"/>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ED09-9FB1-410F-9775-CF3B194E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853</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2020-01-06T13:53:00Z</cp:lastPrinted>
  <dcterms:created xsi:type="dcterms:W3CDTF">2020-01-13T14:43:00Z</dcterms:created>
  <dcterms:modified xsi:type="dcterms:W3CDTF">2020-01-13T14:43:00Z</dcterms:modified>
</cp:coreProperties>
</file>