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93753" w14:textId="77777777" w:rsidR="007802E3" w:rsidRPr="001B268D" w:rsidRDefault="00C4145B" w:rsidP="00C4145B">
      <w:pPr>
        <w:ind w:left="-1080"/>
      </w:pPr>
      <w:bookmarkStart w:id="0" w:name="_GoBack"/>
      <w:bookmarkEnd w:id="0"/>
      <w:r w:rsidRPr="001B268D">
        <w:rPr>
          <w:noProof/>
        </w:rPr>
        <w:drawing>
          <wp:inline distT="0" distB="0" distL="0" distR="0" wp14:anchorId="584381B8" wp14:editId="30D4427E">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14:paraId="29FC57CD" w14:textId="29284A95" w:rsidR="007D5819" w:rsidRPr="00B45CEA" w:rsidRDefault="007D5819" w:rsidP="00A65D75">
      <w:pPr>
        <w:pStyle w:val="Heading1"/>
        <w:rPr>
          <w:bCs/>
          <w:iCs/>
          <w:sz w:val="24"/>
          <w:szCs w:val="24"/>
        </w:rPr>
      </w:pPr>
      <w:r w:rsidRPr="00B45CEA">
        <w:rPr>
          <w:sz w:val="24"/>
          <w:szCs w:val="24"/>
        </w:rPr>
        <w:t xml:space="preserve">Administrative Bulletin </w:t>
      </w:r>
      <w:r w:rsidR="00CB7F31" w:rsidRPr="00B45CEA">
        <w:rPr>
          <w:bCs/>
          <w:iCs/>
          <w:sz w:val="24"/>
          <w:szCs w:val="24"/>
        </w:rPr>
        <w:t>20-</w:t>
      </w:r>
      <w:r w:rsidR="002C6A55">
        <w:rPr>
          <w:bCs/>
          <w:iCs/>
          <w:sz w:val="24"/>
          <w:szCs w:val="24"/>
        </w:rPr>
        <w:t>06</w:t>
      </w:r>
    </w:p>
    <w:p w14:paraId="50C1157C" w14:textId="77777777" w:rsidR="00A65D75" w:rsidRPr="00B45CEA" w:rsidRDefault="00A65D75" w:rsidP="00A65D75">
      <w:pPr>
        <w:rPr>
          <w:rFonts w:ascii="Times New Roman" w:eastAsia="Calibri" w:hAnsi="Times New Roman" w:cs="Times New Roman"/>
          <w:sz w:val="24"/>
          <w:szCs w:val="24"/>
        </w:rPr>
      </w:pPr>
    </w:p>
    <w:p w14:paraId="1A6210DD" w14:textId="77777777" w:rsidR="00A65D75" w:rsidRPr="00894A3E" w:rsidRDefault="00A65D75" w:rsidP="00A65D75">
      <w:pPr>
        <w:autoSpaceDE w:val="0"/>
        <w:autoSpaceDN w:val="0"/>
        <w:adjustRightInd w:val="0"/>
        <w:jc w:val="center"/>
        <w:rPr>
          <w:rFonts w:ascii="Times New Roman" w:hAnsi="Times New Roman" w:cs="Times New Roman"/>
          <w:b/>
          <w:bCs/>
          <w:sz w:val="24"/>
          <w:szCs w:val="24"/>
        </w:rPr>
      </w:pPr>
      <w:r w:rsidRPr="00894A3E">
        <w:rPr>
          <w:rFonts w:ascii="Times New Roman" w:hAnsi="Times New Roman" w:cs="Times New Roman"/>
          <w:b/>
          <w:bCs/>
          <w:sz w:val="24"/>
          <w:szCs w:val="24"/>
        </w:rPr>
        <w:t>101 CMR 320.00 Clinical Laboratory Services</w:t>
      </w:r>
    </w:p>
    <w:p w14:paraId="3F2DA775" w14:textId="77777777" w:rsidR="007D5819" w:rsidRPr="00B45CEA" w:rsidRDefault="007D5819" w:rsidP="007D5819">
      <w:pPr>
        <w:jc w:val="center"/>
        <w:rPr>
          <w:rFonts w:ascii="Times New Roman" w:hAnsi="Times New Roman" w:cs="Times New Roman"/>
          <w:b/>
          <w:sz w:val="24"/>
          <w:szCs w:val="24"/>
        </w:rPr>
      </w:pPr>
    </w:p>
    <w:p w14:paraId="557DFDAF" w14:textId="77777777" w:rsidR="007D5819" w:rsidRPr="00B45CEA" w:rsidRDefault="007D5819" w:rsidP="007D5819">
      <w:pPr>
        <w:spacing w:after="240"/>
        <w:jc w:val="center"/>
        <w:rPr>
          <w:rFonts w:ascii="Times New Roman" w:eastAsia="Calibri" w:hAnsi="Times New Roman" w:cs="Times New Roman"/>
          <w:sz w:val="24"/>
          <w:szCs w:val="24"/>
        </w:rPr>
      </w:pPr>
      <w:r w:rsidRPr="00B45CEA">
        <w:rPr>
          <w:rFonts w:ascii="Times New Roman" w:eastAsia="Calibri" w:hAnsi="Times New Roman" w:cs="Times New Roman"/>
          <w:sz w:val="24"/>
          <w:szCs w:val="24"/>
        </w:rPr>
        <w:t xml:space="preserve">Effective </w:t>
      </w:r>
      <w:r w:rsidR="001E1019" w:rsidRPr="00B45CEA">
        <w:rPr>
          <w:rFonts w:ascii="Times New Roman" w:eastAsia="Calibri" w:hAnsi="Times New Roman" w:cs="Times New Roman"/>
          <w:sz w:val="24"/>
          <w:szCs w:val="24"/>
        </w:rPr>
        <w:t>January 1, 2020</w:t>
      </w:r>
    </w:p>
    <w:p w14:paraId="5D79F5AB" w14:textId="77777777" w:rsidR="00A65D75" w:rsidRPr="00B45CEA" w:rsidRDefault="00A65D75" w:rsidP="00AB387F">
      <w:pPr>
        <w:autoSpaceDE w:val="0"/>
        <w:autoSpaceDN w:val="0"/>
        <w:adjustRightInd w:val="0"/>
        <w:spacing w:after="480"/>
        <w:jc w:val="center"/>
        <w:rPr>
          <w:rFonts w:ascii="Times New Roman" w:hAnsi="Times New Roman" w:cs="Times New Roman"/>
          <w:sz w:val="24"/>
          <w:szCs w:val="24"/>
        </w:rPr>
      </w:pPr>
      <w:r w:rsidRPr="00894A3E">
        <w:rPr>
          <w:rFonts w:ascii="Times New Roman" w:hAnsi="Times New Roman" w:cs="Times New Roman"/>
          <w:b/>
          <w:sz w:val="24"/>
          <w:szCs w:val="24"/>
        </w:rPr>
        <w:t>Procedure Code Update</w:t>
      </w:r>
      <w:r w:rsidRPr="00B45CEA">
        <w:rPr>
          <w:rFonts w:ascii="Times New Roman" w:hAnsi="Times New Roman" w:cs="Times New Roman"/>
          <w:sz w:val="24"/>
          <w:szCs w:val="24"/>
        </w:rPr>
        <w:t xml:space="preserve"> </w:t>
      </w:r>
    </w:p>
    <w:p w14:paraId="1FFC6A7A" w14:textId="0BE43C26" w:rsidR="008D5656" w:rsidRDefault="00A65D75" w:rsidP="00A65D75">
      <w:pPr>
        <w:autoSpaceDE w:val="0"/>
        <w:autoSpaceDN w:val="0"/>
        <w:adjustRightInd w:val="0"/>
        <w:ind w:left="-720" w:right="-720"/>
        <w:rPr>
          <w:rFonts w:ascii="Times New Roman" w:hAnsi="Times New Roman" w:cs="Times New Roman"/>
          <w:sz w:val="24"/>
          <w:szCs w:val="24"/>
        </w:rPr>
      </w:pPr>
      <w:r w:rsidRPr="00894A3E">
        <w:rPr>
          <w:rFonts w:ascii="Times New Roman" w:hAnsi="Times New Roman" w:cs="Times New Roman"/>
          <w:sz w:val="24"/>
          <w:szCs w:val="24"/>
        </w:rPr>
        <w:t>Pursuant to 101 CMR 320.01(3), the Executive Office of Health and Human Services is adding new procedure codes for clinical laboratory services. As set forth in 101 CMR 320.01(3)(c), the rates for</w:t>
      </w:r>
      <w:r w:rsidR="008D5656">
        <w:rPr>
          <w:rFonts w:ascii="Times New Roman" w:hAnsi="Times New Roman" w:cs="Times New Roman"/>
          <w:sz w:val="24"/>
          <w:szCs w:val="24"/>
        </w:rPr>
        <w:t xml:space="preserve"> newly added codes</w:t>
      </w:r>
      <w:r w:rsidRPr="00894A3E">
        <w:rPr>
          <w:rFonts w:ascii="Times New Roman" w:hAnsi="Times New Roman" w:cs="Times New Roman"/>
          <w:sz w:val="24"/>
          <w:szCs w:val="24"/>
        </w:rPr>
        <w:t xml:space="preserve"> </w:t>
      </w:r>
      <w:bookmarkStart w:id="1" w:name="_Hlk33538529"/>
      <w:r w:rsidRPr="00894A3E">
        <w:rPr>
          <w:rFonts w:ascii="Times New Roman" w:hAnsi="Times New Roman" w:cs="Times New Roman"/>
          <w:sz w:val="24"/>
          <w:szCs w:val="24"/>
        </w:rPr>
        <w:t xml:space="preserve">are </w:t>
      </w:r>
      <w:r w:rsidR="007F1FD1" w:rsidRPr="00894A3E">
        <w:rPr>
          <w:rFonts w:ascii="Times New Roman" w:hAnsi="Times New Roman" w:cs="Times New Roman"/>
          <w:sz w:val="24"/>
          <w:szCs w:val="24"/>
        </w:rPr>
        <w:t>calculated according to the rate methodology used in setting clinical laboratory rates</w:t>
      </w:r>
      <w:bookmarkEnd w:id="1"/>
      <w:r w:rsidR="007F1FD1" w:rsidRPr="00894A3E">
        <w:rPr>
          <w:rFonts w:ascii="Times New Roman" w:hAnsi="Times New Roman" w:cs="Times New Roman"/>
          <w:sz w:val="24"/>
          <w:szCs w:val="24"/>
        </w:rPr>
        <w:t>.</w:t>
      </w:r>
      <w:r w:rsidRPr="00894A3E">
        <w:rPr>
          <w:rFonts w:ascii="Times New Roman" w:hAnsi="Times New Roman" w:cs="Times New Roman"/>
          <w:sz w:val="24"/>
          <w:szCs w:val="24"/>
        </w:rPr>
        <w:t xml:space="preserve"> </w:t>
      </w:r>
      <w:r w:rsidR="0007496A">
        <w:rPr>
          <w:rFonts w:ascii="Times New Roman" w:hAnsi="Times New Roman" w:cs="Times New Roman"/>
          <w:sz w:val="24"/>
          <w:szCs w:val="24"/>
        </w:rPr>
        <w:t xml:space="preserve">Added </w:t>
      </w:r>
      <w:r w:rsidR="008D5656">
        <w:rPr>
          <w:rFonts w:ascii="Times New Roman" w:hAnsi="Times New Roman" w:cs="Times New Roman"/>
          <w:sz w:val="24"/>
          <w:szCs w:val="24"/>
        </w:rPr>
        <w:t xml:space="preserve">codes without </w:t>
      </w:r>
      <w:r w:rsidR="008D5656" w:rsidRPr="008D5656">
        <w:rPr>
          <w:rFonts w:ascii="Times New Roman" w:hAnsi="Times New Roman" w:cs="Times New Roman"/>
          <w:sz w:val="24"/>
          <w:szCs w:val="24"/>
        </w:rPr>
        <w:t>Medic</w:t>
      </w:r>
      <w:r w:rsidR="0007496A">
        <w:rPr>
          <w:rFonts w:ascii="Times New Roman" w:hAnsi="Times New Roman" w:cs="Times New Roman"/>
          <w:sz w:val="24"/>
          <w:szCs w:val="24"/>
        </w:rPr>
        <w:t xml:space="preserve">are fees are reimbursed at </w:t>
      </w:r>
      <w:r w:rsidR="008D5656" w:rsidRPr="008D5656">
        <w:rPr>
          <w:rFonts w:ascii="Times New Roman" w:hAnsi="Times New Roman" w:cs="Times New Roman"/>
          <w:sz w:val="24"/>
          <w:szCs w:val="24"/>
        </w:rPr>
        <w:t>individual consideration (I.C.</w:t>
      </w:r>
      <w:r w:rsidR="0007496A">
        <w:rPr>
          <w:rFonts w:ascii="Times New Roman" w:hAnsi="Times New Roman" w:cs="Times New Roman"/>
          <w:sz w:val="24"/>
          <w:szCs w:val="24"/>
        </w:rPr>
        <w:t xml:space="preserve">). </w:t>
      </w:r>
      <w:r w:rsidR="0007496A" w:rsidRPr="0007496A">
        <w:rPr>
          <w:rFonts w:ascii="Times New Roman" w:hAnsi="Times New Roman" w:cs="Times New Roman"/>
          <w:sz w:val="24"/>
          <w:szCs w:val="24"/>
        </w:rPr>
        <w:t>Rates listed in this administrative bulletin are applicable until revised rates are issued by the EOHHS.</w:t>
      </w:r>
    </w:p>
    <w:p w14:paraId="6436BC71" w14:textId="77777777" w:rsidR="0007496A" w:rsidRDefault="0007496A" w:rsidP="00A65D75">
      <w:pPr>
        <w:autoSpaceDE w:val="0"/>
        <w:autoSpaceDN w:val="0"/>
        <w:adjustRightInd w:val="0"/>
        <w:ind w:left="-720" w:right="-720"/>
        <w:rPr>
          <w:rFonts w:ascii="Times New Roman" w:hAnsi="Times New Roman" w:cs="Times New Roman"/>
          <w:sz w:val="24"/>
          <w:szCs w:val="24"/>
        </w:rPr>
      </w:pPr>
    </w:p>
    <w:p w14:paraId="2AD28BD2" w14:textId="318D8777" w:rsidR="00A65D75" w:rsidRPr="00894A3E" w:rsidRDefault="00A65D75" w:rsidP="00A65D75">
      <w:pPr>
        <w:autoSpaceDE w:val="0"/>
        <w:autoSpaceDN w:val="0"/>
        <w:adjustRightInd w:val="0"/>
        <w:ind w:left="-720" w:right="-720"/>
        <w:rPr>
          <w:rFonts w:ascii="Times New Roman" w:hAnsi="Times New Roman" w:cs="Times New Roman"/>
          <w:sz w:val="24"/>
          <w:szCs w:val="24"/>
        </w:rPr>
      </w:pPr>
      <w:r w:rsidRPr="00894A3E">
        <w:rPr>
          <w:rFonts w:ascii="Times New Roman" w:hAnsi="Times New Roman" w:cs="Times New Roman"/>
          <w:sz w:val="24"/>
          <w:szCs w:val="24"/>
        </w:rPr>
        <w:t>The ch</w:t>
      </w:r>
      <w:r w:rsidR="00204D93" w:rsidRPr="00894A3E">
        <w:rPr>
          <w:rFonts w:ascii="Times New Roman" w:hAnsi="Times New Roman" w:cs="Times New Roman"/>
          <w:sz w:val="24"/>
          <w:szCs w:val="24"/>
        </w:rPr>
        <w:t>anges, effective January 1, 2020</w:t>
      </w:r>
      <w:r w:rsidRPr="00894A3E">
        <w:rPr>
          <w:rFonts w:ascii="Times New Roman" w:hAnsi="Times New Roman" w:cs="Times New Roman"/>
          <w:sz w:val="24"/>
          <w:szCs w:val="24"/>
        </w:rPr>
        <w:t>, are as follows.</w:t>
      </w:r>
    </w:p>
    <w:p w14:paraId="514BC76C" w14:textId="77777777" w:rsidR="005F1E7D" w:rsidRPr="001B268D" w:rsidRDefault="005F1E7D" w:rsidP="00A65D75">
      <w:pPr>
        <w:contextualSpacing/>
        <w:rPr>
          <w:rFonts w:ascii="Times New Roman" w:hAnsi="Times New Roman" w:cs="Times New Roman"/>
          <w:b/>
        </w:rPr>
      </w:pPr>
    </w:p>
    <w:tbl>
      <w:tblPr>
        <w:tblW w:w="9715" w:type="dxa"/>
        <w:tblLook w:val="04A0" w:firstRow="1" w:lastRow="0" w:firstColumn="1" w:lastColumn="0" w:noHBand="0" w:noVBand="1"/>
      </w:tblPr>
      <w:tblGrid>
        <w:gridCol w:w="1069"/>
        <w:gridCol w:w="1270"/>
        <w:gridCol w:w="1611"/>
        <w:gridCol w:w="5765"/>
      </w:tblGrid>
      <w:tr w:rsidR="00F773C9" w:rsidRPr="008D5656" w14:paraId="2AED404A" w14:textId="77777777" w:rsidTr="00113E43">
        <w:trPr>
          <w:trHeight w:val="315"/>
          <w:tblHeader/>
        </w:trPr>
        <w:tc>
          <w:tcPr>
            <w:tcW w:w="1073"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632E5007" w14:textId="77777777" w:rsidR="00F773C9" w:rsidRPr="00B45CEA" w:rsidRDefault="00F773C9" w:rsidP="00AB356A">
            <w:pPr>
              <w:jc w:val="center"/>
              <w:rPr>
                <w:rFonts w:ascii="Times New Roman" w:hAnsi="Times New Roman" w:cs="Times New Roman"/>
                <w:b/>
                <w:bCs/>
                <w:color w:val="000000"/>
                <w:sz w:val="24"/>
                <w:szCs w:val="24"/>
              </w:rPr>
            </w:pPr>
            <w:r w:rsidRPr="00B45CEA">
              <w:rPr>
                <w:rFonts w:ascii="Times New Roman" w:hAnsi="Times New Roman" w:cs="Times New Roman"/>
                <w:b/>
                <w:bCs/>
                <w:color w:val="000000"/>
                <w:sz w:val="24"/>
                <w:szCs w:val="24"/>
              </w:rPr>
              <w:t>CODE</w:t>
            </w:r>
          </w:p>
        </w:tc>
        <w:tc>
          <w:tcPr>
            <w:tcW w:w="1170" w:type="dxa"/>
            <w:tcBorders>
              <w:top w:val="single" w:sz="4" w:space="0" w:color="auto"/>
              <w:left w:val="nil"/>
              <w:bottom w:val="single" w:sz="8" w:space="0" w:color="auto"/>
              <w:right w:val="single" w:sz="4" w:space="0" w:color="auto"/>
            </w:tcBorders>
            <w:shd w:val="clear" w:color="auto" w:fill="auto"/>
            <w:vAlign w:val="center"/>
            <w:hideMark/>
          </w:tcPr>
          <w:p w14:paraId="02C0F590" w14:textId="77777777" w:rsidR="00F773C9" w:rsidRPr="00B45CEA" w:rsidRDefault="00F773C9" w:rsidP="00AB356A">
            <w:pPr>
              <w:jc w:val="center"/>
              <w:rPr>
                <w:rFonts w:ascii="Times New Roman" w:hAnsi="Times New Roman" w:cs="Times New Roman"/>
                <w:b/>
                <w:bCs/>
                <w:color w:val="000000"/>
                <w:sz w:val="24"/>
                <w:szCs w:val="24"/>
              </w:rPr>
            </w:pPr>
            <w:r w:rsidRPr="00B45CEA">
              <w:rPr>
                <w:rFonts w:ascii="Times New Roman" w:hAnsi="Times New Roman" w:cs="Times New Roman"/>
                <w:b/>
                <w:bCs/>
                <w:color w:val="000000"/>
                <w:sz w:val="24"/>
                <w:szCs w:val="24"/>
              </w:rPr>
              <w:t>CHANGE</w:t>
            </w:r>
          </w:p>
        </w:tc>
        <w:tc>
          <w:tcPr>
            <w:tcW w:w="1622" w:type="dxa"/>
            <w:tcBorders>
              <w:top w:val="single" w:sz="4" w:space="0" w:color="auto"/>
              <w:left w:val="nil"/>
              <w:bottom w:val="single" w:sz="8" w:space="0" w:color="auto"/>
              <w:right w:val="single" w:sz="4" w:space="0" w:color="auto"/>
            </w:tcBorders>
            <w:shd w:val="clear" w:color="auto" w:fill="auto"/>
            <w:vAlign w:val="center"/>
            <w:hideMark/>
          </w:tcPr>
          <w:p w14:paraId="3F9940B2" w14:textId="77777777" w:rsidR="00F773C9" w:rsidRPr="00B45CEA" w:rsidRDefault="00F773C9" w:rsidP="00AB356A">
            <w:pPr>
              <w:jc w:val="center"/>
              <w:rPr>
                <w:rFonts w:ascii="Times New Roman" w:hAnsi="Times New Roman" w:cs="Times New Roman"/>
                <w:b/>
                <w:bCs/>
                <w:color w:val="000000"/>
                <w:sz w:val="24"/>
                <w:szCs w:val="24"/>
              </w:rPr>
            </w:pPr>
            <w:r w:rsidRPr="00B45CEA">
              <w:rPr>
                <w:rFonts w:ascii="Times New Roman" w:hAnsi="Times New Roman" w:cs="Times New Roman"/>
                <w:b/>
                <w:bCs/>
                <w:color w:val="000000"/>
                <w:sz w:val="24"/>
                <w:szCs w:val="24"/>
              </w:rPr>
              <w:t>RATE</w:t>
            </w:r>
          </w:p>
        </w:tc>
        <w:tc>
          <w:tcPr>
            <w:tcW w:w="5850" w:type="dxa"/>
            <w:tcBorders>
              <w:top w:val="single" w:sz="4" w:space="0" w:color="auto"/>
              <w:left w:val="nil"/>
              <w:bottom w:val="single" w:sz="8" w:space="0" w:color="auto"/>
              <w:right w:val="single" w:sz="4" w:space="0" w:color="auto"/>
            </w:tcBorders>
            <w:shd w:val="clear" w:color="auto" w:fill="auto"/>
            <w:vAlign w:val="center"/>
            <w:hideMark/>
          </w:tcPr>
          <w:p w14:paraId="7553CD05" w14:textId="4DE43B2C" w:rsidR="00F773C9" w:rsidRPr="00B45CEA" w:rsidRDefault="00F773C9" w:rsidP="00F773C9">
            <w:pPr>
              <w:rPr>
                <w:rFonts w:ascii="Times New Roman" w:hAnsi="Times New Roman" w:cs="Times New Roman"/>
                <w:b/>
                <w:bCs/>
                <w:color w:val="000000"/>
                <w:sz w:val="24"/>
                <w:szCs w:val="24"/>
              </w:rPr>
            </w:pPr>
            <w:r w:rsidRPr="00B45CEA">
              <w:rPr>
                <w:rFonts w:ascii="Times New Roman" w:hAnsi="Times New Roman" w:cs="Times New Roman"/>
                <w:b/>
                <w:bCs/>
                <w:color w:val="000000"/>
                <w:sz w:val="24"/>
                <w:szCs w:val="24"/>
              </w:rPr>
              <w:t xml:space="preserve">DESCRIPTION </w:t>
            </w:r>
          </w:p>
        </w:tc>
      </w:tr>
      <w:tr w:rsidR="00F773C9" w:rsidRPr="008D5656" w14:paraId="228B987E" w14:textId="77777777" w:rsidTr="00113E43">
        <w:trPr>
          <w:trHeight w:val="340"/>
        </w:trPr>
        <w:tc>
          <w:tcPr>
            <w:tcW w:w="1073" w:type="dxa"/>
            <w:tcBorders>
              <w:top w:val="nil"/>
              <w:left w:val="single" w:sz="4" w:space="0" w:color="auto"/>
              <w:bottom w:val="single" w:sz="4" w:space="0" w:color="auto"/>
              <w:right w:val="single" w:sz="4" w:space="0" w:color="auto"/>
            </w:tcBorders>
            <w:shd w:val="clear" w:color="auto" w:fill="auto"/>
            <w:vAlign w:val="center"/>
            <w:hideMark/>
          </w:tcPr>
          <w:p w14:paraId="6AC819F1" w14:textId="77777777" w:rsidR="00F773C9" w:rsidRPr="00B45CEA" w:rsidRDefault="00F773C9" w:rsidP="00AB356A">
            <w:pPr>
              <w:jc w:val="center"/>
              <w:rPr>
                <w:rFonts w:ascii="Times New Roman" w:hAnsi="Times New Roman" w:cs="Times New Roman"/>
                <w:color w:val="000000"/>
                <w:sz w:val="24"/>
                <w:szCs w:val="24"/>
              </w:rPr>
            </w:pPr>
            <w:r w:rsidRPr="00B45CEA">
              <w:rPr>
                <w:rFonts w:ascii="Times New Roman" w:hAnsi="Times New Roman" w:cs="Times New Roman"/>
                <w:color w:val="000000"/>
                <w:sz w:val="24"/>
                <w:szCs w:val="24"/>
              </w:rPr>
              <w:t>80145</w:t>
            </w:r>
          </w:p>
        </w:tc>
        <w:tc>
          <w:tcPr>
            <w:tcW w:w="1170" w:type="dxa"/>
            <w:tcBorders>
              <w:top w:val="nil"/>
              <w:left w:val="nil"/>
              <w:bottom w:val="single" w:sz="4" w:space="0" w:color="auto"/>
              <w:right w:val="single" w:sz="4" w:space="0" w:color="auto"/>
            </w:tcBorders>
            <w:shd w:val="clear" w:color="auto" w:fill="auto"/>
            <w:vAlign w:val="center"/>
            <w:hideMark/>
          </w:tcPr>
          <w:p w14:paraId="19982232" w14:textId="77777777" w:rsidR="00F773C9" w:rsidRPr="00B45CEA" w:rsidRDefault="00F773C9" w:rsidP="00AB356A">
            <w:pPr>
              <w:jc w:val="center"/>
              <w:rPr>
                <w:rFonts w:ascii="Times New Roman" w:hAnsi="Times New Roman" w:cs="Times New Roman"/>
                <w:color w:val="000000"/>
                <w:sz w:val="24"/>
                <w:szCs w:val="24"/>
              </w:rPr>
            </w:pPr>
            <w:r w:rsidRPr="00B45CEA">
              <w:rPr>
                <w:rFonts w:ascii="Times New Roman" w:hAnsi="Times New Roman" w:cs="Times New Roman"/>
                <w:color w:val="000000"/>
                <w:sz w:val="24"/>
                <w:szCs w:val="24"/>
              </w:rPr>
              <w:t>Addition</w:t>
            </w:r>
          </w:p>
        </w:tc>
        <w:tc>
          <w:tcPr>
            <w:tcW w:w="1622" w:type="dxa"/>
            <w:tcBorders>
              <w:top w:val="nil"/>
              <w:left w:val="nil"/>
              <w:bottom w:val="single" w:sz="4" w:space="0" w:color="auto"/>
              <w:right w:val="single" w:sz="4" w:space="0" w:color="auto"/>
            </w:tcBorders>
            <w:shd w:val="clear" w:color="auto" w:fill="auto"/>
            <w:vAlign w:val="center"/>
            <w:hideMark/>
          </w:tcPr>
          <w:p w14:paraId="7C64A483" w14:textId="77777777" w:rsidR="00F773C9" w:rsidRPr="00B45CEA" w:rsidRDefault="00F773C9" w:rsidP="00AB356A">
            <w:pPr>
              <w:jc w:val="center"/>
              <w:rPr>
                <w:rFonts w:ascii="Times New Roman" w:hAnsi="Times New Roman" w:cs="Times New Roman"/>
                <w:color w:val="000000"/>
                <w:sz w:val="24"/>
                <w:szCs w:val="24"/>
              </w:rPr>
            </w:pPr>
            <w:r w:rsidRPr="00B45CEA">
              <w:rPr>
                <w:rFonts w:ascii="Times New Roman" w:hAnsi="Times New Roman" w:cs="Times New Roman"/>
                <w:color w:val="000000"/>
                <w:sz w:val="24"/>
                <w:szCs w:val="24"/>
              </w:rPr>
              <w:t>$28.50</w:t>
            </w:r>
          </w:p>
        </w:tc>
        <w:tc>
          <w:tcPr>
            <w:tcW w:w="5850" w:type="dxa"/>
            <w:tcBorders>
              <w:top w:val="nil"/>
              <w:left w:val="nil"/>
              <w:bottom w:val="single" w:sz="4" w:space="0" w:color="auto"/>
              <w:right w:val="single" w:sz="4" w:space="0" w:color="auto"/>
            </w:tcBorders>
            <w:shd w:val="clear" w:color="auto" w:fill="auto"/>
            <w:vAlign w:val="center"/>
            <w:hideMark/>
          </w:tcPr>
          <w:p w14:paraId="3C083950" w14:textId="77777777" w:rsidR="00F773C9" w:rsidRPr="00B45CEA" w:rsidRDefault="00F773C9" w:rsidP="00F773C9">
            <w:pPr>
              <w:rPr>
                <w:rFonts w:ascii="Times New Roman" w:hAnsi="Times New Roman" w:cs="Times New Roman"/>
                <w:color w:val="000000"/>
                <w:sz w:val="24"/>
                <w:szCs w:val="24"/>
              </w:rPr>
            </w:pPr>
            <w:r w:rsidRPr="00B45CEA">
              <w:rPr>
                <w:rFonts w:ascii="Times New Roman" w:hAnsi="Times New Roman" w:cs="Times New Roman"/>
                <w:color w:val="000000"/>
                <w:sz w:val="24"/>
                <w:szCs w:val="24"/>
              </w:rPr>
              <w:t>Adalimumab</w:t>
            </w:r>
          </w:p>
        </w:tc>
      </w:tr>
      <w:tr w:rsidR="00F773C9" w:rsidRPr="008D5656" w14:paraId="14680625" w14:textId="77777777" w:rsidTr="00113E43">
        <w:trPr>
          <w:trHeight w:val="350"/>
        </w:trPr>
        <w:tc>
          <w:tcPr>
            <w:tcW w:w="1073" w:type="dxa"/>
            <w:tcBorders>
              <w:top w:val="nil"/>
              <w:left w:val="single" w:sz="4" w:space="0" w:color="auto"/>
              <w:bottom w:val="single" w:sz="4" w:space="0" w:color="auto"/>
              <w:right w:val="single" w:sz="4" w:space="0" w:color="auto"/>
            </w:tcBorders>
            <w:shd w:val="clear" w:color="auto" w:fill="auto"/>
            <w:vAlign w:val="center"/>
            <w:hideMark/>
          </w:tcPr>
          <w:p w14:paraId="6065D8DD" w14:textId="77777777" w:rsidR="00F773C9" w:rsidRPr="00B45CEA" w:rsidRDefault="00F773C9" w:rsidP="00AB356A">
            <w:pPr>
              <w:jc w:val="center"/>
              <w:rPr>
                <w:rFonts w:ascii="Times New Roman" w:hAnsi="Times New Roman" w:cs="Times New Roman"/>
                <w:color w:val="000000"/>
                <w:sz w:val="24"/>
                <w:szCs w:val="24"/>
              </w:rPr>
            </w:pPr>
            <w:r w:rsidRPr="00B45CEA">
              <w:rPr>
                <w:rFonts w:ascii="Times New Roman" w:hAnsi="Times New Roman" w:cs="Times New Roman"/>
                <w:color w:val="000000"/>
                <w:sz w:val="24"/>
                <w:szCs w:val="24"/>
              </w:rPr>
              <w:t>80187</w:t>
            </w:r>
          </w:p>
        </w:tc>
        <w:tc>
          <w:tcPr>
            <w:tcW w:w="1170" w:type="dxa"/>
            <w:tcBorders>
              <w:top w:val="nil"/>
              <w:left w:val="nil"/>
              <w:bottom w:val="single" w:sz="4" w:space="0" w:color="auto"/>
              <w:right w:val="single" w:sz="4" w:space="0" w:color="auto"/>
            </w:tcBorders>
            <w:shd w:val="clear" w:color="auto" w:fill="auto"/>
            <w:vAlign w:val="center"/>
            <w:hideMark/>
          </w:tcPr>
          <w:p w14:paraId="3E3D6DE0" w14:textId="77777777" w:rsidR="00F773C9" w:rsidRPr="00B45CEA" w:rsidRDefault="00F773C9" w:rsidP="00AB356A">
            <w:pPr>
              <w:jc w:val="center"/>
              <w:rPr>
                <w:rFonts w:ascii="Times New Roman" w:hAnsi="Times New Roman" w:cs="Times New Roman"/>
                <w:color w:val="000000"/>
                <w:sz w:val="24"/>
                <w:szCs w:val="24"/>
              </w:rPr>
            </w:pPr>
            <w:r w:rsidRPr="00B45CEA">
              <w:rPr>
                <w:rFonts w:ascii="Times New Roman" w:hAnsi="Times New Roman" w:cs="Times New Roman"/>
                <w:color w:val="000000"/>
                <w:sz w:val="24"/>
                <w:szCs w:val="24"/>
              </w:rPr>
              <w:t>Addition</w:t>
            </w:r>
          </w:p>
        </w:tc>
        <w:tc>
          <w:tcPr>
            <w:tcW w:w="1622" w:type="dxa"/>
            <w:tcBorders>
              <w:top w:val="nil"/>
              <w:left w:val="nil"/>
              <w:bottom w:val="single" w:sz="4" w:space="0" w:color="auto"/>
              <w:right w:val="single" w:sz="4" w:space="0" w:color="auto"/>
            </w:tcBorders>
            <w:shd w:val="clear" w:color="auto" w:fill="auto"/>
            <w:vAlign w:val="center"/>
            <w:hideMark/>
          </w:tcPr>
          <w:p w14:paraId="55AD112D" w14:textId="77777777" w:rsidR="00F773C9" w:rsidRPr="00B45CEA" w:rsidRDefault="00F773C9" w:rsidP="00AB356A">
            <w:pPr>
              <w:jc w:val="center"/>
              <w:rPr>
                <w:rFonts w:ascii="Times New Roman" w:hAnsi="Times New Roman" w:cs="Times New Roman"/>
                <w:color w:val="000000"/>
                <w:sz w:val="24"/>
                <w:szCs w:val="24"/>
              </w:rPr>
            </w:pPr>
            <w:r w:rsidRPr="00B45CEA">
              <w:rPr>
                <w:rFonts w:ascii="Times New Roman" w:hAnsi="Times New Roman" w:cs="Times New Roman"/>
                <w:color w:val="000000"/>
                <w:sz w:val="24"/>
                <w:szCs w:val="24"/>
              </w:rPr>
              <w:t>$20.03</w:t>
            </w:r>
          </w:p>
        </w:tc>
        <w:tc>
          <w:tcPr>
            <w:tcW w:w="5850" w:type="dxa"/>
            <w:tcBorders>
              <w:top w:val="nil"/>
              <w:left w:val="nil"/>
              <w:bottom w:val="single" w:sz="4" w:space="0" w:color="auto"/>
              <w:right w:val="single" w:sz="4" w:space="0" w:color="auto"/>
            </w:tcBorders>
            <w:shd w:val="clear" w:color="auto" w:fill="auto"/>
            <w:vAlign w:val="center"/>
            <w:hideMark/>
          </w:tcPr>
          <w:p w14:paraId="6B78CD47" w14:textId="77777777" w:rsidR="00F773C9" w:rsidRPr="00B45CEA" w:rsidRDefault="00F773C9" w:rsidP="00F773C9">
            <w:pPr>
              <w:rPr>
                <w:rFonts w:ascii="Times New Roman" w:hAnsi="Times New Roman" w:cs="Times New Roman"/>
                <w:color w:val="000000"/>
                <w:sz w:val="24"/>
                <w:szCs w:val="24"/>
              </w:rPr>
            </w:pPr>
            <w:proofErr w:type="spellStart"/>
            <w:r w:rsidRPr="00B45CEA">
              <w:rPr>
                <w:rFonts w:ascii="Times New Roman" w:hAnsi="Times New Roman" w:cs="Times New Roman"/>
                <w:color w:val="000000"/>
                <w:sz w:val="24"/>
                <w:szCs w:val="24"/>
              </w:rPr>
              <w:t>Posaconazole</w:t>
            </w:r>
            <w:proofErr w:type="spellEnd"/>
          </w:p>
        </w:tc>
      </w:tr>
      <w:tr w:rsidR="00F773C9" w:rsidRPr="008D5656" w14:paraId="5357BD01" w14:textId="77777777" w:rsidTr="00113E43">
        <w:trPr>
          <w:trHeight w:val="350"/>
        </w:trPr>
        <w:tc>
          <w:tcPr>
            <w:tcW w:w="1073" w:type="dxa"/>
            <w:tcBorders>
              <w:top w:val="nil"/>
              <w:left w:val="single" w:sz="4" w:space="0" w:color="auto"/>
              <w:bottom w:val="single" w:sz="4" w:space="0" w:color="auto"/>
              <w:right w:val="single" w:sz="4" w:space="0" w:color="auto"/>
            </w:tcBorders>
            <w:shd w:val="clear" w:color="auto" w:fill="auto"/>
            <w:vAlign w:val="center"/>
            <w:hideMark/>
          </w:tcPr>
          <w:p w14:paraId="75C07BE6" w14:textId="77777777" w:rsidR="00F773C9" w:rsidRPr="00B45CEA" w:rsidRDefault="00F773C9" w:rsidP="00AB356A">
            <w:pPr>
              <w:jc w:val="center"/>
              <w:rPr>
                <w:rFonts w:ascii="Times New Roman" w:hAnsi="Times New Roman" w:cs="Times New Roman"/>
                <w:color w:val="000000"/>
                <w:sz w:val="24"/>
                <w:szCs w:val="24"/>
              </w:rPr>
            </w:pPr>
            <w:r w:rsidRPr="00B45CEA">
              <w:rPr>
                <w:rFonts w:ascii="Times New Roman" w:hAnsi="Times New Roman" w:cs="Times New Roman"/>
                <w:color w:val="000000"/>
                <w:sz w:val="24"/>
                <w:szCs w:val="24"/>
              </w:rPr>
              <w:t>80230</w:t>
            </w:r>
          </w:p>
        </w:tc>
        <w:tc>
          <w:tcPr>
            <w:tcW w:w="1170" w:type="dxa"/>
            <w:tcBorders>
              <w:top w:val="nil"/>
              <w:left w:val="nil"/>
              <w:bottom w:val="single" w:sz="4" w:space="0" w:color="auto"/>
              <w:right w:val="single" w:sz="4" w:space="0" w:color="auto"/>
            </w:tcBorders>
            <w:shd w:val="clear" w:color="auto" w:fill="auto"/>
            <w:vAlign w:val="center"/>
            <w:hideMark/>
          </w:tcPr>
          <w:p w14:paraId="745E2B2D" w14:textId="77777777" w:rsidR="00F773C9" w:rsidRPr="00B45CEA" w:rsidRDefault="00F773C9" w:rsidP="00AB356A">
            <w:pPr>
              <w:jc w:val="center"/>
              <w:rPr>
                <w:rFonts w:ascii="Times New Roman" w:hAnsi="Times New Roman" w:cs="Times New Roman"/>
                <w:color w:val="000000"/>
                <w:sz w:val="24"/>
                <w:szCs w:val="24"/>
              </w:rPr>
            </w:pPr>
            <w:r w:rsidRPr="00B45CEA">
              <w:rPr>
                <w:rFonts w:ascii="Times New Roman" w:hAnsi="Times New Roman" w:cs="Times New Roman"/>
                <w:color w:val="000000"/>
                <w:sz w:val="24"/>
                <w:szCs w:val="24"/>
              </w:rPr>
              <w:t>Addition</w:t>
            </w:r>
          </w:p>
        </w:tc>
        <w:tc>
          <w:tcPr>
            <w:tcW w:w="1622" w:type="dxa"/>
            <w:tcBorders>
              <w:top w:val="nil"/>
              <w:left w:val="nil"/>
              <w:bottom w:val="single" w:sz="4" w:space="0" w:color="auto"/>
              <w:right w:val="single" w:sz="4" w:space="0" w:color="auto"/>
            </w:tcBorders>
            <w:shd w:val="clear" w:color="auto" w:fill="auto"/>
            <w:vAlign w:val="center"/>
            <w:hideMark/>
          </w:tcPr>
          <w:p w14:paraId="5BAB4AAB" w14:textId="77777777" w:rsidR="00F773C9" w:rsidRPr="00B45CEA" w:rsidRDefault="00F773C9" w:rsidP="00AB356A">
            <w:pPr>
              <w:jc w:val="center"/>
              <w:rPr>
                <w:rFonts w:ascii="Times New Roman" w:hAnsi="Times New Roman" w:cs="Times New Roman"/>
                <w:color w:val="000000"/>
                <w:sz w:val="24"/>
                <w:szCs w:val="24"/>
              </w:rPr>
            </w:pPr>
            <w:r w:rsidRPr="00B45CEA">
              <w:rPr>
                <w:rFonts w:ascii="Times New Roman" w:hAnsi="Times New Roman" w:cs="Times New Roman"/>
                <w:color w:val="000000"/>
                <w:sz w:val="24"/>
                <w:szCs w:val="24"/>
              </w:rPr>
              <w:t>$28.50</w:t>
            </w:r>
          </w:p>
        </w:tc>
        <w:tc>
          <w:tcPr>
            <w:tcW w:w="5850" w:type="dxa"/>
            <w:tcBorders>
              <w:top w:val="nil"/>
              <w:left w:val="nil"/>
              <w:bottom w:val="single" w:sz="4" w:space="0" w:color="auto"/>
              <w:right w:val="single" w:sz="4" w:space="0" w:color="auto"/>
            </w:tcBorders>
            <w:shd w:val="clear" w:color="auto" w:fill="auto"/>
            <w:vAlign w:val="center"/>
            <w:hideMark/>
          </w:tcPr>
          <w:p w14:paraId="555C5C8F" w14:textId="77777777" w:rsidR="00F773C9" w:rsidRPr="00B45CEA" w:rsidRDefault="00F773C9" w:rsidP="00F773C9">
            <w:pPr>
              <w:rPr>
                <w:rFonts w:ascii="Times New Roman" w:hAnsi="Times New Roman" w:cs="Times New Roman"/>
                <w:color w:val="000000"/>
                <w:sz w:val="24"/>
                <w:szCs w:val="24"/>
              </w:rPr>
            </w:pPr>
            <w:r w:rsidRPr="00B45CEA">
              <w:rPr>
                <w:rFonts w:ascii="Times New Roman" w:hAnsi="Times New Roman" w:cs="Times New Roman"/>
                <w:color w:val="000000"/>
                <w:sz w:val="24"/>
                <w:szCs w:val="24"/>
              </w:rPr>
              <w:t>Infliximab</w:t>
            </w:r>
          </w:p>
        </w:tc>
      </w:tr>
      <w:tr w:rsidR="00F773C9" w:rsidRPr="008D5656" w14:paraId="3403E481" w14:textId="77777777" w:rsidTr="00113E43">
        <w:trPr>
          <w:trHeight w:val="350"/>
        </w:trPr>
        <w:tc>
          <w:tcPr>
            <w:tcW w:w="1073" w:type="dxa"/>
            <w:tcBorders>
              <w:top w:val="nil"/>
              <w:left w:val="single" w:sz="4" w:space="0" w:color="auto"/>
              <w:bottom w:val="single" w:sz="4" w:space="0" w:color="auto"/>
              <w:right w:val="single" w:sz="4" w:space="0" w:color="auto"/>
            </w:tcBorders>
            <w:shd w:val="clear" w:color="auto" w:fill="auto"/>
            <w:vAlign w:val="center"/>
            <w:hideMark/>
          </w:tcPr>
          <w:p w14:paraId="67FAAE25" w14:textId="77777777" w:rsidR="00F773C9" w:rsidRPr="00B45CEA" w:rsidRDefault="00F773C9" w:rsidP="00AB356A">
            <w:pPr>
              <w:jc w:val="center"/>
              <w:rPr>
                <w:rFonts w:ascii="Times New Roman" w:hAnsi="Times New Roman" w:cs="Times New Roman"/>
                <w:color w:val="000000"/>
                <w:sz w:val="24"/>
                <w:szCs w:val="24"/>
              </w:rPr>
            </w:pPr>
            <w:r w:rsidRPr="00B45CEA">
              <w:rPr>
                <w:rFonts w:ascii="Times New Roman" w:hAnsi="Times New Roman" w:cs="Times New Roman"/>
                <w:color w:val="000000"/>
                <w:sz w:val="24"/>
                <w:szCs w:val="24"/>
              </w:rPr>
              <w:t>80235</w:t>
            </w:r>
          </w:p>
        </w:tc>
        <w:tc>
          <w:tcPr>
            <w:tcW w:w="1170" w:type="dxa"/>
            <w:tcBorders>
              <w:top w:val="nil"/>
              <w:left w:val="nil"/>
              <w:bottom w:val="single" w:sz="4" w:space="0" w:color="auto"/>
              <w:right w:val="single" w:sz="4" w:space="0" w:color="auto"/>
            </w:tcBorders>
            <w:shd w:val="clear" w:color="auto" w:fill="auto"/>
            <w:vAlign w:val="center"/>
            <w:hideMark/>
          </w:tcPr>
          <w:p w14:paraId="16F7B908" w14:textId="77777777" w:rsidR="00F773C9" w:rsidRPr="00B45CEA" w:rsidRDefault="00F773C9" w:rsidP="00AB356A">
            <w:pPr>
              <w:jc w:val="center"/>
              <w:rPr>
                <w:rFonts w:ascii="Times New Roman" w:hAnsi="Times New Roman" w:cs="Times New Roman"/>
                <w:color w:val="000000"/>
                <w:sz w:val="24"/>
                <w:szCs w:val="24"/>
              </w:rPr>
            </w:pPr>
            <w:r w:rsidRPr="00B45CEA">
              <w:rPr>
                <w:rFonts w:ascii="Times New Roman" w:hAnsi="Times New Roman" w:cs="Times New Roman"/>
                <w:color w:val="000000"/>
                <w:sz w:val="24"/>
                <w:szCs w:val="24"/>
              </w:rPr>
              <w:t>Addition</w:t>
            </w:r>
          </w:p>
        </w:tc>
        <w:tc>
          <w:tcPr>
            <w:tcW w:w="1622" w:type="dxa"/>
            <w:tcBorders>
              <w:top w:val="nil"/>
              <w:left w:val="nil"/>
              <w:bottom w:val="single" w:sz="4" w:space="0" w:color="auto"/>
              <w:right w:val="single" w:sz="4" w:space="0" w:color="auto"/>
            </w:tcBorders>
            <w:shd w:val="clear" w:color="auto" w:fill="auto"/>
            <w:vAlign w:val="center"/>
            <w:hideMark/>
          </w:tcPr>
          <w:p w14:paraId="3882177D" w14:textId="77777777" w:rsidR="00F773C9" w:rsidRPr="00B45CEA" w:rsidRDefault="00F773C9" w:rsidP="00AB356A">
            <w:pPr>
              <w:jc w:val="center"/>
              <w:rPr>
                <w:rFonts w:ascii="Times New Roman" w:hAnsi="Times New Roman" w:cs="Times New Roman"/>
                <w:color w:val="000000"/>
                <w:sz w:val="24"/>
                <w:szCs w:val="24"/>
              </w:rPr>
            </w:pPr>
            <w:r w:rsidRPr="00B45CEA">
              <w:rPr>
                <w:rFonts w:ascii="Times New Roman" w:hAnsi="Times New Roman" w:cs="Times New Roman"/>
                <w:color w:val="000000"/>
                <w:sz w:val="24"/>
                <w:szCs w:val="24"/>
              </w:rPr>
              <w:t>$20.03</w:t>
            </w:r>
          </w:p>
        </w:tc>
        <w:tc>
          <w:tcPr>
            <w:tcW w:w="5850" w:type="dxa"/>
            <w:tcBorders>
              <w:top w:val="nil"/>
              <w:left w:val="nil"/>
              <w:bottom w:val="single" w:sz="4" w:space="0" w:color="auto"/>
              <w:right w:val="single" w:sz="4" w:space="0" w:color="auto"/>
            </w:tcBorders>
            <w:shd w:val="clear" w:color="auto" w:fill="auto"/>
            <w:vAlign w:val="center"/>
            <w:hideMark/>
          </w:tcPr>
          <w:p w14:paraId="71CBD6FF" w14:textId="77777777" w:rsidR="00F773C9" w:rsidRPr="00B45CEA" w:rsidRDefault="00F773C9" w:rsidP="00F773C9">
            <w:pPr>
              <w:rPr>
                <w:rFonts w:ascii="Times New Roman" w:hAnsi="Times New Roman" w:cs="Times New Roman"/>
                <w:color w:val="000000"/>
                <w:sz w:val="24"/>
                <w:szCs w:val="24"/>
              </w:rPr>
            </w:pPr>
            <w:proofErr w:type="spellStart"/>
            <w:r w:rsidRPr="00B45CEA">
              <w:rPr>
                <w:rFonts w:ascii="Times New Roman" w:hAnsi="Times New Roman" w:cs="Times New Roman"/>
                <w:color w:val="000000"/>
                <w:sz w:val="24"/>
                <w:szCs w:val="24"/>
              </w:rPr>
              <w:t>Lacosamide</w:t>
            </w:r>
            <w:proofErr w:type="spellEnd"/>
          </w:p>
        </w:tc>
      </w:tr>
      <w:tr w:rsidR="00F773C9" w:rsidRPr="008D5656" w14:paraId="4D8161F6" w14:textId="77777777" w:rsidTr="00113E43">
        <w:trPr>
          <w:trHeight w:val="350"/>
        </w:trPr>
        <w:tc>
          <w:tcPr>
            <w:tcW w:w="1073" w:type="dxa"/>
            <w:tcBorders>
              <w:top w:val="nil"/>
              <w:left w:val="single" w:sz="4" w:space="0" w:color="auto"/>
              <w:bottom w:val="single" w:sz="4" w:space="0" w:color="auto"/>
              <w:right w:val="single" w:sz="4" w:space="0" w:color="auto"/>
            </w:tcBorders>
            <w:shd w:val="clear" w:color="auto" w:fill="auto"/>
            <w:vAlign w:val="center"/>
            <w:hideMark/>
          </w:tcPr>
          <w:p w14:paraId="14620A0C" w14:textId="77777777" w:rsidR="00F773C9" w:rsidRPr="00B45CEA" w:rsidRDefault="00F773C9" w:rsidP="00AB356A">
            <w:pPr>
              <w:jc w:val="center"/>
              <w:rPr>
                <w:rFonts w:ascii="Times New Roman" w:hAnsi="Times New Roman" w:cs="Times New Roman"/>
                <w:color w:val="000000"/>
                <w:sz w:val="24"/>
                <w:szCs w:val="24"/>
              </w:rPr>
            </w:pPr>
            <w:r w:rsidRPr="00B45CEA">
              <w:rPr>
                <w:rFonts w:ascii="Times New Roman" w:hAnsi="Times New Roman" w:cs="Times New Roman"/>
                <w:color w:val="000000"/>
                <w:sz w:val="24"/>
                <w:szCs w:val="24"/>
              </w:rPr>
              <w:t>80280</w:t>
            </w:r>
          </w:p>
        </w:tc>
        <w:tc>
          <w:tcPr>
            <w:tcW w:w="1170" w:type="dxa"/>
            <w:tcBorders>
              <w:top w:val="nil"/>
              <w:left w:val="nil"/>
              <w:bottom w:val="single" w:sz="4" w:space="0" w:color="auto"/>
              <w:right w:val="single" w:sz="4" w:space="0" w:color="auto"/>
            </w:tcBorders>
            <w:shd w:val="clear" w:color="auto" w:fill="auto"/>
            <w:vAlign w:val="center"/>
            <w:hideMark/>
          </w:tcPr>
          <w:p w14:paraId="10283864" w14:textId="77777777" w:rsidR="00F773C9" w:rsidRPr="00B45CEA" w:rsidRDefault="00F773C9" w:rsidP="00AB356A">
            <w:pPr>
              <w:jc w:val="center"/>
              <w:rPr>
                <w:rFonts w:ascii="Times New Roman" w:hAnsi="Times New Roman" w:cs="Times New Roman"/>
                <w:color w:val="000000"/>
                <w:sz w:val="24"/>
                <w:szCs w:val="24"/>
              </w:rPr>
            </w:pPr>
            <w:r w:rsidRPr="00B45CEA">
              <w:rPr>
                <w:rFonts w:ascii="Times New Roman" w:hAnsi="Times New Roman" w:cs="Times New Roman"/>
                <w:color w:val="000000"/>
                <w:sz w:val="24"/>
                <w:szCs w:val="24"/>
              </w:rPr>
              <w:t>Addition</w:t>
            </w:r>
          </w:p>
        </w:tc>
        <w:tc>
          <w:tcPr>
            <w:tcW w:w="1622" w:type="dxa"/>
            <w:tcBorders>
              <w:top w:val="nil"/>
              <w:left w:val="nil"/>
              <w:bottom w:val="single" w:sz="4" w:space="0" w:color="auto"/>
              <w:right w:val="single" w:sz="4" w:space="0" w:color="auto"/>
            </w:tcBorders>
            <w:shd w:val="clear" w:color="auto" w:fill="auto"/>
            <w:vAlign w:val="center"/>
            <w:hideMark/>
          </w:tcPr>
          <w:p w14:paraId="7208197C" w14:textId="77777777" w:rsidR="00F773C9" w:rsidRPr="00B45CEA" w:rsidRDefault="00F773C9" w:rsidP="00AB356A">
            <w:pPr>
              <w:jc w:val="center"/>
              <w:rPr>
                <w:rFonts w:ascii="Times New Roman" w:hAnsi="Times New Roman" w:cs="Times New Roman"/>
                <w:color w:val="000000"/>
                <w:sz w:val="24"/>
                <w:szCs w:val="24"/>
              </w:rPr>
            </w:pPr>
            <w:r w:rsidRPr="00B45CEA">
              <w:rPr>
                <w:rFonts w:ascii="Times New Roman" w:hAnsi="Times New Roman" w:cs="Times New Roman"/>
                <w:color w:val="000000"/>
                <w:sz w:val="24"/>
                <w:szCs w:val="24"/>
              </w:rPr>
              <w:t>$28.50</w:t>
            </w:r>
          </w:p>
        </w:tc>
        <w:tc>
          <w:tcPr>
            <w:tcW w:w="5850" w:type="dxa"/>
            <w:tcBorders>
              <w:top w:val="nil"/>
              <w:left w:val="nil"/>
              <w:bottom w:val="single" w:sz="4" w:space="0" w:color="auto"/>
              <w:right w:val="single" w:sz="4" w:space="0" w:color="auto"/>
            </w:tcBorders>
            <w:shd w:val="clear" w:color="auto" w:fill="auto"/>
            <w:vAlign w:val="center"/>
            <w:hideMark/>
          </w:tcPr>
          <w:p w14:paraId="3BC69CFD" w14:textId="77777777" w:rsidR="00F773C9" w:rsidRPr="00B45CEA" w:rsidRDefault="00F773C9" w:rsidP="00F773C9">
            <w:pPr>
              <w:rPr>
                <w:rFonts w:ascii="Times New Roman" w:hAnsi="Times New Roman" w:cs="Times New Roman"/>
                <w:color w:val="000000"/>
                <w:sz w:val="24"/>
                <w:szCs w:val="24"/>
              </w:rPr>
            </w:pPr>
            <w:r w:rsidRPr="00B45CEA">
              <w:rPr>
                <w:rFonts w:ascii="Times New Roman" w:hAnsi="Times New Roman" w:cs="Times New Roman"/>
                <w:color w:val="000000"/>
                <w:sz w:val="24"/>
                <w:szCs w:val="24"/>
              </w:rPr>
              <w:t>Vedolizumab</w:t>
            </w:r>
          </w:p>
        </w:tc>
      </w:tr>
      <w:tr w:rsidR="00F773C9" w:rsidRPr="008D5656" w14:paraId="4587BCDC" w14:textId="77777777" w:rsidTr="00113E43">
        <w:trPr>
          <w:trHeight w:val="350"/>
        </w:trPr>
        <w:tc>
          <w:tcPr>
            <w:tcW w:w="1073" w:type="dxa"/>
            <w:tcBorders>
              <w:top w:val="nil"/>
              <w:left w:val="single" w:sz="4" w:space="0" w:color="auto"/>
              <w:bottom w:val="single" w:sz="4" w:space="0" w:color="auto"/>
              <w:right w:val="single" w:sz="4" w:space="0" w:color="auto"/>
            </w:tcBorders>
            <w:shd w:val="clear" w:color="auto" w:fill="auto"/>
            <w:vAlign w:val="center"/>
            <w:hideMark/>
          </w:tcPr>
          <w:p w14:paraId="77980237" w14:textId="77777777" w:rsidR="00F773C9" w:rsidRPr="00B45CEA" w:rsidRDefault="00F773C9" w:rsidP="00AB356A">
            <w:pPr>
              <w:jc w:val="center"/>
              <w:rPr>
                <w:rFonts w:ascii="Times New Roman" w:hAnsi="Times New Roman" w:cs="Times New Roman"/>
                <w:color w:val="000000"/>
                <w:sz w:val="24"/>
                <w:szCs w:val="24"/>
              </w:rPr>
            </w:pPr>
            <w:r w:rsidRPr="00B45CEA">
              <w:rPr>
                <w:rFonts w:ascii="Times New Roman" w:hAnsi="Times New Roman" w:cs="Times New Roman"/>
                <w:color w:val="000000"/>
                <w:sz w:val="24"/>
                <w:szCs w:val="24"/>
              </w:rPr>
              <w:t>80285</w:t>
            </w:r>
          </w:p>
        </w:tc>
        <w:tc>
          <w:tcPr>
            <w:tcW w:w="1170" w:type="dxa"/>
            <w:tcBorders>
              <w:top w:val="nil"/>
              <w:left w:val="nil"/>
              <w:bottom w:val="single" w:sz="4" w:space="0" w:color="auto"/>
              <w:right w:val="single" w:sz="4" w:space="0" w:color="auto"/>
            </w:tcBorders>
            <w:shd w:val="clear" w:color="auto" w:fill="auto"/>
            <w:vAlign w:val="center"/>
            <w:hideMark/>
          </w:tcPr>
          <w:p w14:paraId="1D99EEBF" w14:textId="77777777" w:rsidR="00F773C9" w:rsidRPr="00B45CEA" w:rsidRDefault="00F773C9" w:rsidP="00AB356A">
            <w:pPr>
              <w:jc w:val="center"/>
              <w:rPr>
                <w:rFonts w:ascii="Times New Roman" w:hAnsi="Times New Roman" w:cs="Times New Roman"/>
                <w:color w:val="000000"/>
                <w:sz w:val="24"/>
                <w:szCs w:val="24"/>
              </w:rPr>
            </w:pPr>
            <w:r w:rsidRPr="00B45CEA">
              <w:rPr>
                <w:rFonts w:ascii="Times New Roman" w:hAnsi="Times New Roman" w:cs="Times New Roman"/>
                <w:color w:val="000000"/>
                <w:sz w:val="24"/>
                <w:szCs w:val="24"/>
              </w:rPr>
              <w:t>Addition</w:t>
            </w:r>
          </w:p>
        </w:tc>
        <w:tc>
          <w:tcPr>
            <w:tcW w:w="1622" w:type="dxa"/>
            <w:tcBorders>
              <w:top w:val="nil"/>
              <w:left w:val="nil"/>
              <w:bottom w:val="single" w:sz="4" w:space="0" w:color="auto"/>
              <w:right w:val="single" w:sz="4" w:space="0" w:color="auto"/>
            </w:tcBorders>
            <w:shd w:val="clear" w:color="auto" w:fill="auto"/>
            <w:vAlign w:val="center"/>
            <w:hideMark/>
          </w:tcPr>
          <w:p w14:paraId="3568C51E" w14:textId="77777777" w:rsidR="00F773C9" w:rsidRPr="00B45CEA" w:rsidRDefault="00F773C9" w:rsidP="00AB356A">
            <w:pPr>
              <w:jc w:val="center"/>
              <w:rPr>
                <w:rFonts w:ascii="Times New Roman" w:hAnsi="Times New Roman" w:cs="Times New Roman"/>
                <w:color w:val="000000"/>
                <w:sz w:val="24"/>
                <w:szCs w:val="24"/>
              </w:rPr>
            </w:pPr>
            <w:r w:rsidRPr="00B45CEA">
              <w:rPr>
                <w:rFonts w:ascii="Times New Roman" w:hAnsi="Times New Roman" w:cs="Times New Roman"/>
                <w:color w:val="000000"/>
                <w:sz w:val="24"/>
                <w:szCs w:val="24"/>
              </w:rPr>
              <w:t>$20.03</w:t>
            </w:r>
          </w:p>
        </w:tc>
        <w:tc>
          <w:tcPr>
            <w:tcW w:w="5850" w:type="dxa"/>
            <w:tcBorders>
              <w:top w:val="nil"/>
              <w:left w:val="nil"/>
              <w:bottom w:val="single" w:sz="4" w:space="0" w:color="auto"/>
              <w:right w:val="single" w:sz="4" w:space="0" w:color="auto"/>
            </w:tcBorders>
            <w:shd w:val="clear" w:color="auto" w:fill="auto"/>
            <w:vAlign w:val="center"/>
            <w:hideMark/>
          </w:tcPr>
          <w:p w14:paraId="0F5EDE6D" w14:textId="77777777" w:rsidR="00F773C9" w:rsidRPr="00B45CEA" w:rsidRDefault="00F773C9" w:rsidP="00F773C9">
            <w:pPr>
              <w:rPr>
                <w:rFonts w:ascii="Times New Roman" w:hAnsi="Times New Roman" w:cs="Times New Roman"/>
                <w:color w:val="000000"/>
                <w:sz w:val="24"/>
                <w:szCs w:val="24"/>
              </w:rPr>
            </w:pPr>
            <w:r w:rsidRPr="00B45CEA">
              <w:rPr>
                <w:rFonts w:ascii="Times New Roman" w:hAnsi="Times New Roman" w:cs="Times New Roman"/>
                <w:color w:val="000000"/>
                <w:sz w:val="24"/>
                <w:szCs w:val="24"/>
              </w:rPr>
              <w:t>Voriconazole</w:t>
            </w:r>
          </w:p>
        </w:tc>
      </w:tr>
      <w:tr w:rsidR="00F773C9" w:rsidRPr="008D5656" w14:paraId="3BF51461" w14:textId="77777777" w:rsidTr="00113E43">
        <w:trPr>
          <w:trHeight w:val="1115"/>
        </w:trPr>
        <w:tc>
          <w:tcPr>
            <w:tcW w:w="1073" w:type="dxa"/>
            <w:tcBorders>
              <w:top w:val="nil"/>
              <w:left w:val="single" w:sz="4" w:space="0" w:color="auto"/>
              <w:bottom w:val="single" w:sz="4" w:space="0" w:color="auto"/>
              <w:right w:val="single" w:sz="4" w:space="0" w:color="auto"/>
            </w:tcBorders>
            <w:shd w:val="clear" w:color="auto" w:fill="auto"/>
            <w:vAlign w:val="center"/>
            <w:hideMark/>
          </w:tcPr>
          <w:p w14:paraId="036525C8" w14:textId="77777777" w:rsidR="00F773C9" w:rsidRPr="00B45CEA" w:rsidRDefault="00F773C9" w:rsidP="00AB356A">
            <w:pPr>
              <w:jc w:val="center"/>
              <w:rPr>
                <w:rFonts w:ascii="Times New Roman" w:hAnsi="Times New Roman" w:cs="Times New Roman"/>
                <w:color w:val="000000"/>
                <w:sz w:val="24"/>
                <w:szCs w:val="24"/>
              </w:rPr>
            </w:pPr>
            <w:r w:rsidRPr="00B45CEA">
              <w:rPr>
                <w:rFonts w:ascii="Times New Roman" w:hAnsi="Times New Roman" w:cs="Times New Roman"/>
                <w:color w:val="000000"/>
                <w:sz w:val="24"/>
                <w:szCs w:val="24"/>
              </w:rPr>
              <w:t>81277</w:t>
            </w:r>
          </w:p>
        </w:tc>
        <w:tc>
          <w:tcPr>
            <w:tcW w:w="1170" w:type="dxa"/>
            <w:tcBorders>
              <w:top w:val="nil"/>
              <w:left w:val="nil"/>
              <w:bottom w:val="single" w:sz="4" w:space="0" w:color="auto"/>
              <w:right w:val="single" w:sz="4" w:space="0" w:color="auto"/>
            </w:tcBorders>
            <w:shd w:val="clear" w:color="auto" w:fill="auto"/>
            <w:vAlign w:val="center"/>
            <w:hideMark/>
          </w:tcPr>
          <w:p w14:paraId="5A6725AC" w14:textId="77777777" w:rsidR="00F773C9" w:rsidRPr="00B45CEA" w:rsidRDefault="00F773C9" w:rsidP="00AB356A">
            <w:pPr>
              <w:jc w:val="center"/>
              <w:rPr>
                <w:rFonts w:ascii="Times New Roman" w:hAnsi="Times New Roman" w:cs="Times New Roman"/>
                <w:color w:val="000000"/>
                <w:sz w:val="24"/>
                <w:szCs w:val="24"/>
              </w:rPr>
            </w:pPr>
            <w:r w:rsidRPr="00B45CEA">
              <w:rPr>
                <w:rFonts w:ascii="Times New Roman" w:hAnsi="Times New Roman" w:cs="Times New Roman"/>
                <w:color w:val="000000"/>
                <w:sz w:val="24"/>
                <w:szCs w:val="24"/>
              </w:rPr>
              <w:t>Addition</w:t>
            </w:r>
          </w:p>
        </w:tc>
        <w:tc>
          <w:tcPr>
            <w:tcW w:w="1622" w:type="dxa"/>
            <w:tcBorders>
              <w:top w:val="nil"/>
              <w:left w:val="nil"/>
              <w:bottom w:val="single" w:sz="4" w:space="0" w:color="auto"/>
              <w:right w:val="single" w:sz="4" w:space="0" w:color="auto"/>
            </w:tcBorders>
            <w:shd w:val="clear" w:color="auto" w:fill="auto"/>
            <w:vAlign w:val="center"/>
            <w:hideMark/>
          </w:tcPr>
          <w:p w14:paraId="421D2448" w14:textId="77777777" w:rsidR="00F773C9" w:rsidRPr="00B45CEA" w:rsidRDefault="00F773C9" w:rsidP="00AB356A">
            <w:pPr>
              <w:jc w:val="center"/>
              <w:rPr>
                <w:rFonts w:ascii="Times New Roman" w:hAnsi="Times New Roman" w:cs="Times New Roman"/>
                <w:color w:val="000000"/>
                <w:sz w:val="24"/>
                <w:szCs w:val="24"/>
              </w:rPr>
            </w:pPr>
            <w:r w:rsidRPr="00B45CEA">
              <w:rPr>
                <w:rFonts w:ascii="Times New Roman" w:hAnsi="Times New Roman" w:cs="Times New Roman"/>
                <w:color w:val="000000"/>
                <w:sz w:val="24"/>
                <w:szCs w:val="24"/>
              </w:rPr>
              <w:t>$857.12</w:t>
            </w:r>
          </w:p>
        </w:tc>
        <w:tc>
          <w:tcPr>
            <w:tcW w:w="5850" w:type="dxa"/>
            <w:tcBorders>
              <w:top w:val="nil"/>
              <w:left w:val="nil"/>
              <w:bottom w:val="single" w:sz="4" w:space="0" w:color="auto"/>
              <w:right w:val="single" w:sz="4" w:space="0" w:color="auto"/>
            </w:tcBorders>
            <w:shd w:val="clear" w:color="auto" w:fill="auto"/>
            <w:vAlign w:val="center"/>
            <w:hideMark/>
          </w:tcPr>
          <w:p w14:paraId="7305AE1A" w14:textId="77777777" w:rsidR="00F773C9" w:rsidRPr="00B45CEA" w:rsidRDefault="00F773C9" w:rsidP="00F773C9">
            <w:pPr>
              <w:rPr>
                <w:rFonts w:ascii="Times New Roman" w:hAnsi="Times New Roman" w:cs="Times New Roman"/>
                <w:color w:val="000000"/>
                <w:sz w:val="24"/>
                <w:szCs w:val="24"/>
              </w:rPr>
            </w:pPr>
            <w:proofErr w:type="spellStart"/>
            <w:r w:rsidRPr="00B45CEA">
              <w:rPr>
                <w:rFonts w:ascii="Times New Roman" w:hAnsi="Times New Roman" w:cs="Times New Roman"/>
                <w:color w:val="000000"/>
                <w:sz w:val="24"/>
                <w:szCs w:val="24"/>
              </w:rPr>
              <w:t>Cytogenomic</w:t>
            </w:r>
            <w:proofErr w:type="spellEnd"/>
            <w:r w:rsidRPr="00B45CEA">
              <w:rPr>
                <w:rFonts w:ascii="Times New Roman" w:hAnsi="Times New Roman" w:cs="Times New Roman"/>
                <w:color w:val="000000"/>
                <w:sz w:val="24"/>
                <w:szCs w:val="24"/>
              </w:rPr>
              <w:t xml:space="preserve"> neoplasia (genome-wide) microarray analysis, interrogation of genomic regions for copy number and loss-of-heterozygosity variants for chromosomal abnormalities</w:t>
            </w:r>
          </w:p>
        </w:tc>
      </w:tr>
      <w:tr w:rsidR="00F773C9" w:rsidRPr="008D5656" w14:paraId="6EEDAA5E" w14:textId="77777777" w:rsidTr="00113E43">
        <w:trPr>
          <w:trHeight w:val="890"/>
        </w:trPr>
        <w:tc>
          <w:tcPr>
            <w:tcW w:w="1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BADAC" w14:textId="77777777" w:rsidR="00F773C9" w:rsidRPr="00B45CEA" w:rsidRDefault="00F773C9" w:rsidP="00AB356A">
            <w:pPr>
              <w:jc w:val="center"/>
              <w:rPr>
                <w:rFonts w:ascii="Times New Roman" w:hAnsi="Times New Roman" w:cs="Times New Roman"/>
                <w:color w:val="000000"/>
                <w:sz w:val="24"/>
                <w:szCs w:val="24"/>
              </w:rPr>
            </w:pPr>
            <w:r w:rsidRPr="00B45CEA">
              <w:rPr>
                <w:rFonts w:ascii="Times New Roman" w:hAnsi="Times New Roman" w:cs="Times New Roman"/>
                <w:color w:val="000000"/>
                <w:sz w:val="24"/>
                <w:szCs w:val="24"/>
              </w:rPr>
              <w:lastRenderedPageBreak/>
              <w:t>81307</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2708E" w14:textId="77777777" w:rsidR="00F773C9" w:rsidRPr="00B45CEA" w:rsidRDefault="00F773C9" w:rsidP="00AB356A">
            <w:pPr>
              <w:jc w:val="center"/>
              <w:rPr>
                <w:rFonts w:ascii="Times New Roman" w:hAnsi="Times New Roman" w:cs="Times New Roman"/>
                <w:color w:val="000000"/>
                <w:sz w:val="24"/>
                <w:szCs w:val="24"/>
              </w:rPr>
            </w:pPr>
            <w:r w:rsidRPr="00B45CEA">
              <w:rPr>
                <w:rFonts w:ascii="Times New Roman" w:hAnsi="Times New Roman" w:cs="Times New Roman"/>
                <w:color w:val="000000"/>
                <w:sz w:val="24"/>
                <w:szCs w:val="24"/>
              </w:rPr>
              <w:t>Addition</w:t>
            </w:r>
          </w:p>
        </w:tc>
        <w:tc>
          <w:tcPr>
            <w:tcW w:w="16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4E5F5" w14:textId="77777777" w:rsidR="00F773C9" w:rsidRPr="00B45CEA" w:rsidRDefault="00F773C9" w:rsidP="00AB356A">
            <w:pPr>
              <w:jc w:val="center"/>
              <w:rPr>
                <w:rFonts w:ascii="Times New Roman" w:hAnsi="Times New Roman" w:cs="Times New Roman"/>
                <w:color w:val="000000"/>
                <w:sz w:val="24"/>
                <w:szCs w:val="24"/>
              </w:rPr>
            </w:pPr>
            <w:r w:rsidRPr="00B45CEA">
              <w:rPr>
                <w:rFonts w:ascii="Times New Roman" w:hAnsi="Times New Roman" w:cs="Times New Roman"/>
                <w:color w:val="000000"/>
                <w:sz w:val="24"/>
                <w:szCs w:val="24"/>
              </w:rPr>
              <w:t>$209.02</w:t>
            </w:r>
          </w:p>
        </w:tc>
        <w:tc>
          <w:tcPr>
            <w:tcW w:w="5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6B0EA" w14:textId="77777777" w:rsidR="00F773C9" w:rsidRPr="00B45CEA" w:rsidRDefault="00F773C9" w:rsidP="00F773C9">
            <w:pPr>
              <w:rPr>
                <w:rFonts w:ascii="Times New Roman" w:hAnsi="Times New Roman" w:cs="Times New Roman"/>
                <w:color w:val="000000"/>
                <w:sz w:val="24"/>
                <w:szCs w:val="24"/>
              </w:rPr>
            </w:pPr>
            <w:r w:rsidRPr="00B45CEA">
              <w:rPr>
                <w:rFonts w:ascii="Times New Roman" w:hAnsi="Times New Roman" w:cs="Times New Roman"/>
                <w:color w:val="000000"/>
                <w:sz w:val="24"/>
                <w:szCs w:val="24"/>
              </w:rPr>
              <w:t>PALB2 (partner and localizer of BRCA2) (</w:t>
            </w:r>
            <w:proofErr w:type="spellStart"/>
            <w:r w:rsidRPr="00B45CEA">
              <w:rPr>
                <w:rFonts w:ascii="Times New Roman" w:hAnsi="Times New Roman" w:cs="Times New Roman"/>
                <w:color w:val="000000"/>
                <w:sz w:val="24"/>
                <w:szCs w:val="24"/>
              </w:rPr>
              <w:t>eg</w:t>
            </w:r>
            <w:proofErr w:type="spellEnd"/>
            <w:r w:rsidRPr="00B45CEA">
              <w:rPr>
                <w:rFonts w:ascii="Times New Roman" w:hAnsi="Times New Roman" w:cs="Times New Roman"/>
                <w:color w:val="000000"/>
                <w:sz w:val="24"/>
                <w:szCs w:val="24"/>
              </w:rPr>
              <w:t>, breast and pancreatic cancer) gene analysis; full gene sequence</w:t>
            </w:r>
          </w:p>
        </w:tc>
      </w:tr>
      <w:tr w:rsidR="00F773C9" w:rsidRPr="008D5656" w14:paraId="1D9E23A3" w14:textId="77777777" w:rsidTr="00113E43">
        <w:trPr>
          <w:trHeight w:val="890"/>
        </w:trPr>
        <w:tc>
          <w:tcPr>
            <w:tcW w:w="1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DBC2E" w14:textId="77777777" w:rsidR="00F773C9" w:rsidRPr="00B45CEA" w:rsidRDefault="00F773C9" w:rsidP="00AB356A">
            <w:pPr>
              <w:jc w:val="center"/>
              <w:rPr>
                <w:rFonts w:ascii="Times New Roman" w:hAnsi="Times New Roman" w:cs="Times New Roman"/>
                <w:color w:val="000000"/>
                <w:sz w:val="24"/>
                <w:szCs w:val="24"/>
              </w:rPr>
            </w:pPr>
            <w:r w:rsidRPr="00B45CEA">
              <w:rPr>
                <w:rFonts w:ascii="Times New Roman" w:hAnsi="Times New Roman" w:cs="Times New Roman"/>
                <w:color w:val="000000"/>
                <w:sz w:val="24"/>
                <w:szCs w:val="24"/>
              </w:rPr>
              <w:t>81308</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A18F711" w14:textId="77777777" w:rsidR="00F773C9" w:rsidRPr="00B45CEA" w:rsidRDefault="00F773C9" w:rsidP="00AB356A">
            <w:pPr>
              <w:jc w:val="center"/>
              <w:rPr>
                <w:rFonts w:ascii="Times New Roman" w:hAnsi="Times New Roman" w:cs="Times New Roman"/>
                <w:color w:val="000000"/>
                <w:sz w:val="24"/>
                <w:szCs w:val="24"/>
              </w:rPr>
            </w:pPr>
            <w:r w:rsidRPr="00B45CEA">
              <w:rPr>
                <w:rFonts w:ascii="Times New Roman" w:hAnsi="Times New Roman" w:cs="Times New Roman"/>
                <w:color w:val="000000"/>
                <w:sz w:val="24"/>
                <w:szCs w:val="24"/>
              </w:rPr>
              <w:t>Addition</w:t>
            </w:r>
          </w:p>
        </w:tc>
        <w:tc>
          <w:tcPr>
            <w:tcW w:w="1622" w:type="dxa"/>
            <w:tcBorders>
              <w:top w:val="single" w:sz="4" w:space="0" w:color="auto"/>
              <w:left w:val="nil"/>
              <w:bottom w:val="single" w:sz="4" w:space="0" w:color="auto"/>
              <w:right w:val="single" w:sz="4" w:space="0" w:color="auto"/>
            </w:tcBorders>
            <w:shd w:val="clear" w:color="auto" w:fill="auto"/>
            <w:vAlign w:val="center"/>
            <w:hideMark/>
          </w:tcPr>
          <w:p w14:paraId="0ACB3686" w14:textId="77777777" w:rsidR="00F773C9" w:rsidRPr="00B45CEA" w:rsidRDefault="00F773C9" w:rsidP="00AB356A">
            <w:pPr>
              <w:jc w:val="center"/>
              <w:rPr>
                <w:rFonts w:ascii="Times New Roman" w:hAnsi="Times New Roman" w:cs="Times New Roman"/>
                <w:color w:val="000000"/>
                <w:sz w:val="24"/>
                <w:szCs w:val="24"/>
              </w:rPr>
            </w:pPr>
            <w:r w:rsidRPr="00B45CEA">
              <w:rPr>
                <w:rFonts w:ascii="Times New Roman" w:hAnsi="Times New Roman" w:cs="Times New Roman"/>
                <w:color w:val="000000"/>
                <w:sz w:val="24"/>
                <w:szCs w:val="24"/>
              </w:rPr>
              <w:t>$222.67</w:t>
            </w:r>
          </w:p>
        </w:tc>
        <w:tc>
          <w:tcPr>
            <w:tcW w:w="5850" w:type="dxa"/>
            <w:tcBorders>
              <w:top w:val="single" w:sz="4" w:space="0" w:color="auto"/>
              <w:left w:val="nil"/>
              <w:bottom w:val="single" w:sz="4" w:space="0" w:color="auto"/>
              <w:right w:val="single" w:sz="4" w:space="0" w:color="auto"/>
            </w:tcBorders>
            <w:shd w:val="clear" w:color="auto" w:fill="auto"/>
            <w:vAlign w:val="center"/>
            <w:hideMark/>
          </w:tcPr>
          <w:p w14:paraId="30F76302" w14:textId="77777777" w:rsidR="00F773C9" w:rsidRPr="00B45CEA" w:rsidRDefault="00F773C9" w:rsidP="00F773C9">
            <w:pPr>
              <w:rPr>
                <w:rFonts w:ascii="Times New Roman" w:hAnsi="Times New Roman" w:cs="Times New Roman"/>
                <w:color w:val="000000"/>
                <w:sz w:val="24"/>
                <w:szCs w:val="24"/>
              </w:rPr>
            </w:pPr>
            <w:r w:rsidRPr="00B45CEA">
              <w:rPr>
                <w:rFonts w:ascii="Times New Roman" w:hAnsi="Times New Roman" w:cs="Times New Roman"/>
                <w:color w:val="000000"/>
                <w:sz w:val="24"/>
                <w:szCs w:val="24"/>
              </w:rPr>
              <w:t>PALB2 (partner and localizer of BRCA2) (</w:t>
            </w:r>
            <w:proofErr w:type="spellStart"/>
            <w:r w:rsidRPr="00B45CEA">
              <w:rPr>
                <w:rFonts w:ascii="Times New Roman" w:hAnsi="Times New Roman" w:cs="Times New Roman"/>
                <w:color w:val="000000"/>
                <w:sz w:val="24"/>
                <w:szCs w:val="24"/>
              </w:rPr>
              <w:t>eg</w:t>
            </w:r>
            <w:proofErr w:type="spellEnd"/>
            <w:r w:rsidRPr="00B45CEA">
              <w:rPr>
                <w:rFonts w:ascii="Times New Roman" w:hAnsi="Times New Roman" w:cs="Times New Roman"/>
                <w:color w:val="000000"/>
                <w:sz w:val="24"/>
                <w:szCs w:val="24"/>
              </w:rPr>
              <w:t>, breast and pancreatic cancer) gene analysis; known familial variant</w:t>
            </w:r>
          </w:p>
        </w:tc>
      </w:tr>
      <w:tr w:rsidR="00F773C9" w:rsidRPr="008D5656" w14:paraId="385CFBAA" w14:textId="77777777" w:rsidTr="00113E43">
        <w:trPr>
          <w:trHeight w:val="1160"/>
        </w:trPr>
        <w:tc>
          <w:tcPr>
            <w:tcW w:w="1073" w:type="dxa"/>
            <w:tcBorders>
              <w:top w:val="nil"/>
              <w:left w:val="single" w:sz="4" w:space="0" w:color="auto"/>
              <w:bottom w:val="single" w:sz="4" w:space="0" w:color="auto"/>
              <w:right w:val="single" w:sz="4" w:space="0" w:color="auto"/>
            </w:tcBorders>
            <w:shd w:val="clear" w:color="auto" w:fill="auto"/>
            <w:vAlign w:val="center"/>
            <w:hideMark/>
          </w:tcPr>
          <w:p w14:paraId="56C9EADF" w14:textId="77777777" w:rsidR="00F773C9" w:rsidRPr="00B45CEA" w:rsidRDefault="00F773C9" w:rsidP="00AB356A">
            <w:pPr>
              <w:jc w:val="center"/>
              <w:rPr>
                <w:rFonts w:ascii="Times New Roman" w:hAnsi="Times New Roman" w:cs="Times New Roman"/>
                <w:color w:val="000000"/>
                <w:sz w:val="24"/>
                <w:szCs w:val="24"/>
              </w:rPr>
            </w:pPr>
            <w:r w:rsidRPr="00B45CEA">
              <w:rPr>
                <w:rFonts w:ascii="Times New Roman" w:hAnsi="Times New Roman" w:cs="Times New Roman"/>
                <w:color w:val="000000"/>
                <w:sz w:val="24"/>
                <w:szCs w:val="24"/>
              </w:rPr>
              <w:t>81309</w:t>
            </w:r>
          </w:p>
        </w:tc>
        <w:tc>
          <w:tcPr>
            <w:tcW w:w="1170" w:type="dxa"/>
            <w:tcBorders>
              <w:top w:val="nil"/>
              <w:left w:val="nil"/>
              <w:bottom w:val="single" w:sz="4" w:space="0" w:color="auto"/>
              <w:right w:val="single" w:sz="4" w:space="0" w:color="auto"/>
            </w:tcBorders>
            <w:shd w:val="clear" w:color="auto" w:fill="auto"/>
            <w:vAlign w:val="center"/>
            <w:hideMark/>
          </w:tcPr>
          <w:p w14:paraId="1B4451DE" w14:textId="77777777" w:rsidR="00F773C9" w:rsidRPr="00B45CEA" w:rsidRDefault="00F773C9" w:rsidP="00AB356A">
            <w:pPr>
              <w:jc w:val="center"/>
              <w:rPr>
                <w:rFonts w:ascii="Times New Roman" w:hAnsi="Times New Roman" w:cs="Times New Roman"/>
                <w:color w:val="000000"/>
                <w:sz w:val="24"/>
                <w:szCs w:val="24"/>
              </w:rPr>
            </w:pPr>
            <w:r w:rsidRPr="00B45CEA">
              <w:rPr>
                <w:rFonts w:ascii="Times New Roman" w:hAnsi="Times New Roman" w:cs="Times New Roman"/>
                <w:color w:val="000000"/>
                <w:sz w:val="24"/>
                <w:szCs w:val="24"/>
              </w:rPr>
              <w:t>Addition</w:t>
            </w:r>
          </w:p>
        </w:tc>
        <w:tc>
          <w:tcPr>
            <w:tcW w:w="1622" w:type="dxa"/>
            <w:tcBorders>
              <w:top w:val="nil"/>
              <w:left w:val="nil"/>
              <w:bottom w:val="single" w:sz="4" w:space="0" w:color="auto"/>
              <w:right w:val="single" w:sz="4" w:space="0" w:color="auto"/>
            </w:tcBorders>
            <w:shd w:val="clear" w:color="auto" w:fill="auto"/>
            <w:vAlign w:val="center"/>
            <w:hideMark/>
          </w:tcPr>
          <w:p w14:paraId="270577DC" w14:textId="77777777" w:rsidR="00F773C9" w:rsidRPr="00B45CEA" w:rsidRDefault="00F773C9" w:rsidP="00AB356A">
            <w:pPr>
              <w:jc w:val="center"/>
              <w:rPr>
                <w:rFonts w:ascii="Times New Roman" w:hAnsi="Times New Roman" w:cs="Times New Roman"/>
                <w:color w:val="000000"/>
                <w:sz w:val="24"/>
                <w:szCs w:val="24"/>
              </w:rPr>
            </w:pPr>
            <w:r w:rsidRPr="00B45CEA">
              <w:rPr>
                <w:rFonts w:ascii="Times New Roman" w:hAnsi="Times New Roman" w:cs="Times New Roman"/>
                <w:color w:val="000000"/>
                <w:sz w:val="24"/>
                <w:szCs w:val="24"/>
              </w:rPr>
              <w:t>$203.07</w:t>
            </w:r>
          </w:p>
        </w:tc>
        <w:tc>
          <w:tcPr>
            <w:tcW w:w="5850" w:type="dxa"/>
            <w:tcBorders>
              <w:top w:val="nil"/>
              <w:left w:val="nil"/>
              <w:bottom w:val="single" w:sz="4" w:space="0" w:color="auto"/>
              <w:right w:val="single" w:sz="4" w:space="0" w:color="auto"/>
            </w:tcBorders>
            <w:shd w:val="clear" w:color="auto" w:fill="auto"/>
            <w:vAlign w:val="center"/>
            <w:hideMark/>
          </w:tcPr>
          <w:p w14:paraId="17D3EDF8" w14:textId="77777777" w:rsidR="00F773C9" w:rsidRPr="00B45CEA" w:rsidRDefault="00F773C9" w:rsidP="00F773C9">
            <w:pPr>
              <w:rPr>
                <w:rFonts w:ascii="Times New Roman" w:hAnsi="Times New Roman" w:cs="Times New Roman"/>
                <w:color w:val="000000"/>
                <w:sz w:val="24"/>
                <w:szCs w:val="24"/>
              </w:rPr>
            </w:pPr>
            <w:r w:rsidRPr="00B45CEA">
              <w:rPr>
                <w:rFonts w:ascii="Times New Roman" w:hAnsi="Times New Roman" w:cs="Times New Roman"/>
                <w:color w:val="000000"/>
                <w:sz w:val="24"/>
                <w:szCs w:val="24"/>
              </w:rPr>
              <w:t>PIK3CA (phosphatidylinositol-4, 5-biphosphate 3-kinase, catalytic subunit alpha) (</w:t>
            </w:r>
            <w:proofErr w:type="spellStart"/>
            <w:r w:rsidRPr="00B45CEA">
              <w:rPr>
                <w:rFonts w:ascii="Times New Roman" w:hAnsi="Times New Roman" w:cs="Times New Roman"/>
                <w:color w:val="000000"/>
                <w:sz w:val="24"/>
                <w:szCs w:val="24"/>
              </w:rPr>
              <w:t>eg</w:t>
            </w:r>
            <w:proofErr w:type="spellEnd"/>
            <w:r w:rsidRPr="00B45CEA">
              <w:rPr>
                <w:rFonts w:ascii="Times New Roman" w:hAnsi="Times New Roman" w:cs="Times New Roman"/>
                <w:color w:val="000000"/>
                <w:sz w:val="24"/>
                <w:szCs w:val="24"/>
              </w:rPr>
              <w:t>, colorectal and breast cancer) gene analysis, targeted sequence analysis (</w:t>
            </w:r>
            <w:proofErr w:type="spellStart"/>
            <w:r w:rsidRPr="00B45CEA">
              <w:rPr>
                <w:rFonts w:ascii="Times New Roman" w:hAnsi="Times New Roman" w:cs="Times New Roman"/>
                <w:color w:val="000000"/>
                <w:sz w:val="24"/>
                <w:szCs w:val="24"/>
              </w:rPr>
              <w:t>eg</w:t>
            </w:r>
            <w:proofErr w:type="spellEnd"/>
            <w:r w:rsidRPr="00B45CEA">
              <w:rPr>
                <w:rFonts w:ascii="Times New Roman" w:hAnsi="Times New Roman" w:cs="Times New Roman"/>
                <w:color w:val="000000"/>
                <w:sz w:val="24"/>
                <w:szCs w:val="24"/>
              </w:rPr>
              <w:t>, exons 7, 9, 20)</w:t>
            </w:r>
          </w:p>
        </w:tc>
      </w:tr>
      <w:tr w:rsidR="00F773C9" w:rsidRPr="008D5656" w14:paraId="34E537CF" w14:textId="77777777" w:rsidTr="00113E43">
        <w:trPr>
          <w:trHeight w:val="1340"/>
        </w:trPr>
        <w:tc>
          <w:tcPr>
            <w:tcW w:w="1073" w:type="dxa"/>
            <w:tcBorders>
              <w:top w:val="nil"/>
              <w:left w:val="single" w:sz="4" w:space="0" w:color="auto"/>
              <w:bottom w:val="single" w:sz="4" w:space="0" w:color="auto"/>
              <w:right w:val="single" w:sz="4" w:space="0" w:color="auto"/>
            </w:tcBorders>
            <w:shd w:val="clear" w:color="auto" w:fill="auto"/>
            <w:vAlign w:val="center"/>
            <w:hideMark/>
          </w:tcPr>
          <w:p w14:paraId="622F87EA" w14:textId="77777777" w:rsidR="00F773C9" w:rsidRPr="00B45CEA" w:rsidRDefault="00F773C9" w:rsidP="00AB356A">
            <w:pPr>
              <w:jc w:val="center"/>
              <w:rPr>
                <w:rFonts w:ascii="Times New Roman" w:hAnsi="Times New Roman" w:cs="Times New Roman"/>
                <w:color w:val="000000"/>
                <w:sz w:val="24"/>
                <w:szCs w:val="24"/>
              </w:rPr>
            </w:pPr>
            <w:r w:rsidRPr="00B45CEA">
              <w:rPr>
                <w:rFonts w:ascii="Times New Roman" w:hAnsi="Times New Roman" w:cs="Times New Roman"/>
                <w:color w:val="000000"/>
                <w:sz w:val="24"/>
                <w:szCs w:val="24"/>
              </w:rPr>
              <w:t>81522</w:t>
            </w:r>
          </w:p>
        </w:tc>
        <w:tc>
          <w:tcPr>
            <w:tcW w:w="1170" w:type="dxa"/>
            <w:tcBorders>
              <w:top w:val="nil"/>
              <w:left w:val="nil"/>
              <w:bottom w:val="single" w:sz="4" w:space="0" w:color="auto"/>
              <w:right w:val="single" w:sz="4" w:space="0" w:color="auto"/>
            </w:tcBorders>
            <w:shd w:val="clear" w:color="auto" w:fill="auto"/>
            <w:vAlign w:val="center"/>
            <w:hideMark/>
          </w:tcPr>
          <w:p w14:paraId="547E1012" w14:textId="77777777" w:rsidR="00F773C9" w:rsidRPr="00B45CEA" w:rsidRDefault="00F773C9" w:rsidP="00AB356A">
            <w:pPr>
              <w:jc w:val="center"/>
              <w:rPr>
                <w:rFonts w:ascii="Times New Roman" w:hAnsi="Times New Roman" w:cs="Times New Roman"/>
                <w:color w:val="000000"/>
                <w:sz w:val="24"/>
                <w:szCs w:val="24"/>
              </w:rPr>
            </w:pPr>
            <w:r w:rsidRPr="00B45CEA">
              <w:rPr>
                <w:rFonts w:ascii="Times New Roman" w:hAnsi="Times New Roman" w:cs="Times New Roman"/>
                <w:color w:val="000000"/>
                <w:sz w:val="24"/>
                <w:szCs w:val="24"/>
              </w:rPr>
              <w:t>Addition</w:t>
            </w:r>
          </w:p>
        </w:tc>
        <w:tc>
          <w:tcPr>
            <w:tcW w:w="1622" w:type="dxa"/>
            <w:tcBorders>
              <w:top w:val="nil"/>
              <w:left w:val="nil"/>
              <w:bottom w:val="single" w:sz="4" w:space="0" w:color="auto"/>
              <w:right w:val="single" w:sz="4" w:space="0" w:color="auto"/>
            </w:tcBorders>
            <w:shd w:val="clear" w:color="auto" w:fill="auto"/>
            <w:vAlign w:val="center"/>
            <w:hideMark/>
          </w:tcPr>
          <w:p w14:paraId="033B6A3E" w14:textId="77777777" w:rsidR="00F773C9" w:rsidRPr="00B45CEA" w:rsidRDefault="00F773C9" w:rsidP="00AB356A">
            <w:pPr>
              <w:jc w:val="center"/>
              <w:rPr>
                <w:rFonts w:ascii="Times New Roman" w:hAnsi="Times New Roman" w:cs="Times New Roman"/>
                <w:color w:val="000000"/>
                <w:sz w:val="24"/>
                <w:szCs w:val="24"/>
              </w:rPr>
            </w:pPr>
            <w:r w:rsidRPr="00B45CEA">
              <w:rPr>
                <w:rFonts w:ascii="Times New Roman" w:hAnsi="Times New Roman" w:cs="Times New Roman"/>
                <w:color w:val="000000"/>
                <w:sz w:val="24"/>
                <w:szCs w:val="24"/>
              </w:rPr>
              <w:t>$2,861.76</w:t>
            </w:r>
          </w:p>
        </w:tc>
        <w:tc>
          <w:tcPr>
            <w:tcW w:w="5850" w:type="dxa"/>
            <w:tcBorders>
              <w:top w:val="nil"/>
              <w:left w:val="nil"/>
              <w:bottom w:val="single" w:sz="4" w:space="0" w:color="auto"/>
              <w:right w:val="single" w:sz="4" w:space="0" w:color="auto"/>
            </w:tcBorders>
            <w:shd w:val="clear" w:color="auto" w:fill="auto"/>
            <w:vAlign w:val="center"/>
            <w:hideMark/>
          </w:tcPr>
          <w:p w14:paraId="19678EFD" w14:textId="77777777" w:rsidR="00F773C9" w:rsidRPr="00B45CEA" w:rsidRDefault="00F773C9" w:rsidP="00F773C9">
            <w:pPr>
              <w:rPr>
                <w:rFonts w:ascii="Times New Roman" w:hAnsi="Times New Roman" w:cs="Times New Roman"/>
                <w:color w:val="000000"/>
                <w:sz w:val="24"/>
                <w:szCs w:val="24"/>
              </w:rPr>
            </w:pPr>
            <w:r w:rsidRPr="00B45CEA">
              <w:rPr>
                <w:rFonts w:ascii="Times New Roman" w:hAnsi="Times New Roman" w:cs="Times New Roman"/>
                <w:color w:val="000000"/>
                <w:sz w:val="24"/>
                <w:szCs w:val="24"/>
              </w:rPr>
              <w:t>Oncology (breast), mRNA, gene expression profiling by RT-PCR of 12 genes (8 content and 4 housekeeping), utilizing formalin-fixed paraffin-embedded tissue, algorithm reported as recurrence risk score</w:t>
            </w:r>
          </w:p>
        </w:tc>
      </w:tr>
      <w:tr w:rsidR="00F773C9" w:rsidRPr="008D5656" w14:paraId="5A06ED7E" w14:textId="77777777" w:rsidTr="00113E43">
        <w:trPr>
          <w:trHeight w:val="1160"/>
        </w:trPr>
        <w:tc>
          <w:tcPr>
            <w:tcW w:w="1073" w:type="dxa"/>
            <w:tcBorders>
              <w:top w:val="nil"/>
              <w:left w:val="single" w:sz="4" w:space="0" w:color="auto"/>
              <w:bottom w:val="single" w:sz="4" w:space="0" w:color="auto"/>
              <w:right w:val="single" w:sz="4" w:space="0" w:color="auto"/>
            </w:tcBorders>
            <w:shd w:val="clear" w:color="auto" w:fill="auto"/>
            <w:vAlign w:val="center"/>
            <w:hideMark/>
          </w:tcPr>
          <w:p w14:paraId="589ADE02" w14:textId="77777777" w:rsidR="00F773C9" w:rsidRPr="00B45CEA" w:rsidRDefault="00F773C9" w:rsidP="00AB356A">
            <w:pPr>
              <w:jc w:val="center"/>
              <w:rPr>
                <w:rFonts w:ascii="Times New Roman" w:hAnsi="Times New Roman" w:cs="Times New Roman"/>
                <w:color w:val="000000"/>
                <w:sz w:val="24"/>
                <w:szCs w:val="24"/>
              </w:rPr>
            </w:pPr>
            <w:r w:rsidRPr="00B45CEA">
              <w:rPr>
                <w:rFonts w:ascii="Times New Roman" w:hAnsi="Times New Roman" w:cs="Times New Roman"/>
                <w:color w:val="000000"/>
                <w:sz w:val="24"/>
                <w:szCs w:val="24"/>
              </w:rPr>
              <w:t>81542</w:t>
            </w:r>
          </w:p>
        </w:tc>
        <w:tc>
          <w:tcPr>
            <w:tcW w:w="1170" w:type="dxa"/>
            <w:tcBorders>
              <w:top w:val="nil"/>
              <w:left w:val="nil"/>
              <w:bottom w:val="single" w:sz="4" w:space="0" w:color="auto"/>
              <w:right w:val="single" w:sz="4" w:space="0" w:color="auto"/>
            </w:tcBorders>
            <w:shd w:val="clear" w:color="auto" w:fill="auto"/>
            <w:vAlign w:val="center"/>
            <w:hideMark/>
          </w:tcPr>
          <w:p w14:paraId="4843DC73" w14:textId="77777777" w:rsidR="00F773C9" w:rsidRPr="00B45CEA" w:rsidRDefault="00F773C9" w:rsidP="00AB356A">
            <w:pPr>
              <w:jc w:val="center"/>
              <w:rPr>
                <w:rFonts w:ascii="Times New Roman" w:hAnsi="Times New Roman" w:cs="Times New Roman"/>
                <w:color w:val="000000"/>
                <w:sz w:val="24"/>
                <w:szCs w:val="24"/>
              </w:rPr>
            </w:pPr>
            <w:r w:rsidRPr="00B45CEA">
              <w:rPr>
                <w:rFonts w:ascii="Times New Roman" w:hAnsi="Times New Roman" w:cs="Times New Roman"/>
                <w:color w:val="000000"/>
                <w:sz w:val="24"/>
                <w:szCs w:val="24"/>
              </w:rPr>
              <w:t>Addition</w:t>
            </w:r>
          </w:p>
        </w:tc>
        <w:tc>
          <w:tcPr>
            <w:tcW w:w="1622" w:type="dxa"/>
            <w:tcBorders>
              <w:top w:val="nil"/>
              <w:left w:val="nil"/>
              <w:bottom w:val="single" w:sz="4" w:space="0" w:color="auto"/>
              <w:right w:val="single" w:sz="4" w:space="0" w:color="auto"/>
            </w:tcBorders>
            <w:shd w:val="clear" w:color="auto" w:fill="auto"/>
            <w:vAlign w:val="center"/>
            <w:hideMark/>
          </w:tcPr>
          <w:p w14:paraId="6E6D0CEE" w14:textId="582C53D9" w:rsidR="00F773C9" w:rsidRPr="00B45CEA" w:rsidRDefault="007F1FD1" w:rsidP="00AB356A">
            <w:pPr>
              <w:jc w:val="center"/>
              <w:rPr>
                <w:rFonts w:ascii="Times New Roman" w:hAnsi="Times New Roman" w:cs="Times New Roman"/>
                <w:color w:val="000000"/>
                <w:sz w:val="24"/>
                <w:szCs w:val="24"/>
              </w:rPr>
            </w:pPr>
            <w:r w:rsidRPr="00B45CEA">
              <w:rPr>
                <w:rFonts w:ascii="Times New Roman" w:hAnsi="Times New Roman" w:cs="Times New Roman"/>
                <w:color w:val="000000"/>
                <w:sz w:val="24"/>
                <w:szCs w:val="24"/>
              </w:rPr>
              <w:t>I.C.</w:t>
            </w:r>
          </w:p>
        </w:tc>
        <w:tc>
          <w:tcPr>
            <w:tcW w:w="5850" w:type="dxa"/>
            <w:tcBorders>
              <w:top w:val="nil"/>
              <w:left w:val="nil"/>
              <w:bottom w:val="single" w:sz="4" w:space="0" w:color="auto"/>
              <w:right w:val="single" w:sz="4" w:space="0" w:color="auto"/>
            </w:tcBorders>
            <w:shd w:val="clear" w:color="auto" w:fill="auto"/>
            <w:vAlign w:val="center"/>
            <w:hideMark/>
          </w:tcPr>
          <w:p w14:paraId="6895E88A" w14:textId="77777777" w:rsidR="00F773C9" w:rsidRPr="00B45CEA" w:rsidRDefault="00F773C9" w:rsidP="00F773C9">
            <w:pPr>
              <w:rPr>
                <w:rFonts w:ascii="Times New Roman" w:hAnsi="Times New Roman" w:cs="Times New Roman"/>
                <w:color w:val="000000"/>
                <w:sz w:val="24"/>
                <w:szCs w:val="24"/>
              </w:rPr>
            </w:pPr>
            <w:r w:rsidRPr="00B45CEA">
              <w:rPr>
                <w:rFonts w:ascii="Times New Roman" w:hAnsi="Times New Roman" w:cs="Times New Roman"/>
                <w:color w:val="000000"/>
                <w:sz w:val="24"/>
                <w:szCs w:val="24"/>
              </w:rPr>
              <w:t>Oncology (prostate), mRNA, microarray gene expression profiling of 22 content genes, utilizing formalin-fixed paraffin-embedded tissue, algorithm reported as metastasis risk score</w:t>
            </w:r>
          </w:p>
        </w:tc>
      </w:tr>
      <w:tr w:rsidR="00F773C9" w:rsidRPr="008D5656" w14:paraId="380653AA" w14:textId="77777777" w:rsidTr="00113E43">
        <w:trPr>
          <w:trHeight w:val="1430"/>
        </w:trPr>
        <w:tc>
          <w:tcPr>
            <w:tcW w:w="1073" w:type="dxa"/>
            <w:tcBorders>
              <w:top w:val="nil"/>
              <w:left w:val="single" w:sz="4" w:space="0" w:color="auto"/>
              <w:bottom w:val="single" w:sz="4" w:space="0" w:color="auto"/>
              <w:right w:val="single" w:sz="4" w:space="0" w:color="auto"/>
            </w:tcBorders>
            <w:shd w:val="clear" w:color="auto" w:fill="auto"/>
            <w:vAlign w:val="center"/>
            <w:hideMark/>
          </w:tcPr>
          <w:p w14:paraId="56D1E22C" w14:textId="77777777" w:rsidR="00F773C9" w:rsidRPr="00B45CEA" w:rsidRDefault="00F773C9" w:rsidP="00AB356A">
            <w:pPr>
              <w:jc w:val="center"/>
              <w:rPr>
                <w:rFonts w:ascii="Times New Roman" w:hAnsi="Times New Roman" w:cs="Times New Roman"/>
                <w:color w:val="000000"/>
                <w:sz w:val="24"/>
                <w:szCs w:val="24"/>
              </w:rPr>
            </w:pPr>
            <w:r w:rsidRPr="00B45CEA">
              <w:rPr>
                <w:rFonts w:ascii="Times New Roman" w:hAnsi="Times New Roman" w:cs="Times New Roman"/>
                <w:color w:val="000000"/>
                <w:sz w:val="24"/>
                <w:szCs w:val="24"/>
              </w:rPr>
              <w:t>81552</w:t>
            </w:r>
          </w:p>
        </w:tc>
        <w:tc>
          <w:tcPr>
            <w:tcW w:w="1170" w:type="dxa"/>
            <w:tcBorders>
              <w:top w:val="nil"/>
              <w:left w:val="nil"/>
              <w:bottom w:val="single" w:sz="4" w:space="0" w:color="auto"/>
              <w:right w:val="single" w:sz="4" w:space="0" w:color="auto"/>
            </w:tcBorders>
            <w:shd w:val="clear" w:color="auto" w:fill="auto"/>
            <w:vAlign w:val="center"/>
            <w:hideMark/>
          </w:tcPr>
          <w:p w14:paraId="4CDEA54C" w14:textId="77777777" w:rsidR="00F773C9" w:rsidRPr="00B45CEA" w:rsidRDefault="00F773C9" w:rsidP="00AB356A">
            <w:pPr>
              <w:jc w:val="center"/>
              <w:rPr>
                <w:rFonts w:ascii="Times New Roman" w:hAnsi="Times New Roman" w:cs="Times New Roman"/>
                <w:color w:val="000000"/>
                <w:sz w:val="24"/>
                <w:szCs w:val="24"/>
              </w:rPr>
            </w:pPr>
            <w:r w:rsidRPr="00B45CEA">
              <w:rPr>
                <w:rFonts w:ascii="Times New Roman" w:hAnsi="Times New Roman" w:cs="Times New Roman"/>
                <w:color w:val="000000"/>
                <w:sz w:val="24"/>
                <w:szCs w:val="24"/>
              </w:rPr>
              <w:t>Addition</w:t>
            </w:r>
          </w:p>
        </w:tc>
        <w:tc>
          <w:tcPr>
            <w:tcW w:w="1622" w:type="dxa"/>
            <w:tcBorders>
              <w:top w:val="nil"/>
              <w:left w:val="nil"/>
              <w:bottom w:val="single" w:sz="4" w:space="0" w:color="auto"/>
              <w:right w:val="single" w:sz="4" w:space="0" w:color="auto"/>
            </w:tcBorders>
            <w:shd w:val="clear" w:color="auto" w:fill="auto"/>
            <w:vAlign w:val="center"/>
            <w:hideMark/>
          </w:tcPr>
          <w:p w14:paraId="1478435B" w14:textId="37999628" w:rsidR="00F773C9" w:rsidRPr="00B45CEA" w:rsidRDefault="007F1FD1" w:rsidP="00AB356A">
            <w:pPr>
              <w:jc w:val="center"/>
              <w:rPr>
                <w:rFonts w:ascii="Times New Roman" w:hAnsi="Times New Roman" w:cs="Times New Roman"/>
                <w:color w:val="000000"/>
                <w:sz w:val="24"/>
                <w:szCs w:val="24"/>
              </w:rPr>
            </w:pPr>
            <w:r w:rsidRPr="00B45CEA">
              <w:rPr>
                <w:rFonts w:ascii="Times New Roman" w:hAnsi="Times New Roman" w:cs="Times New Roman"/>
                <w:color w:val="000000"/>
                <w:sz w:val="24"/>
                <w:szCs w:val="24"/>
              </w:rPr>
              <w:t>I.C.</w:t>
            </w:r>
          </w:p>
        </w:tc>
        <w:tc>
          <w:tcPr>
            <w:tcW w:w="5850" w:type="dxa"/>
            <w:tcBorders>
              <w:top w:val="nil"/>
              <w:left w:val="nil"/>
              <w:bottom w:val="single" w:sz="4" w:space="0" w:color="auto"/>
              <w:right w:val="single" w:sz="4" w:space="0" w:color="auto"/>
            </w:tcBorders>
            <w:shd w:val="clear" w:color="auto" w:fill="auto"/>
            <w:vAlign w:val="center"/>
            <w:hideMark/>
          </w:tcPr>
          <w:p w14:paraId="64BCBF5E" w14:textId="77777777" w:rsidR="00F773C9" w:rsidRPr="00B45CEA" w:rsidRDefault="00F773C9" w:rsidP="00F773C9">
            <w:pPr>
              <w:rPr>
                <w:rFonts w:ascii="Times New Roman" w:hAnsi="Times New Roman" w:cs="Times New Roman"/>
                <w:color w:val="000000"/>
                <w:sz w:val="24"/>
                <w:szCs w:val="24"/>
              </w:rPr>
            </w:pPr>
            <w:r w:rsidRPr="00B45CEA">
              <w:rPr>
                <w:rFonts w:ascii="Times New Roman" w:hAnsi="Times New Roman" w:cs="Times New Roman"/>
                <w:color w:val="000000"/>
                <w:sz w:val="24"/>
                <w:szCs w:val="24"/>
              </w:rPr>
              <w:t>Oncology (uveal melanoma), mRNA, gene expression profiling by real-time RT-PCR of 15 genes (12 content and 3 housekeeping), utilizing fine needle aspirate or formalin-fixed paraffin-embedded tissue, algorithm reported as risk of metastasis</w:t>
            </w:r>
          </w:p>
        </w:tc>
      </w:tr>
      <w:tr w:rsidR="00F773C9" w:rsidRPr="008D5656" w14:paraId="10B6EF63" w14:textId="77777777" w:rsidTr="00113E43">
        <w:trPr>
          <w:trHeight w:val="890"/>
        </w:trPr>
        <w:tc>
          <w:tcPr>
            <w:tcW w:w="1073" w:type="dxa"/>
            <w:tcBorders>
              <w:top w:val="nil"/>
              <w:left w:val="single" w:sz="4" w:space="0" w:color="auto"/>
              <w:bottom w:val="single" w:sz="4" w:space="0" w:color="auto"/>
              <w:right w:val="single" w:sz="4" w:space="0" w:color="auto"/>
            </w:tcBorders>
            <w:shd w:val="clear" w:color="auto" w:fill="auto"/>
            <w:vAlign w:val="center"/>
            <w:hideMark/>
          </w:tcPr>
          <w:p w14:paraId="65C4646B" w14:textId="77777777" w:rsidR="00F773C9" w:rsidRPr="00B45CEA" w:rsidRDefault="00F773C9" w:rsidP="00AB356A">
            <w:pPr>
              <w:jc w:val="center"/>
              <w:rPr>
                <w:rFonts w:ascii="Times New Roman" w:hAnsi="Times New Roman" w:cs="Times New Roman"/>
                <w:color w:val="000000"/>
                <w:sz w:val="24"/>
                <w:szCs w:val="24"/>
              </w:rPr>
            </w:pPr>
            <w:r w:rsidRPr="00B45CEA">
              <w:rPr>
                <w:rFonts w:ascii="Times New Roman" w:hAnsi="Times New Roman" w:cs="Times New Roman"/>
                <w:color w:val="000000"/>
                <w:sz w:val="24"/>
                <w:szCs w:val="24"/>
              </w:rPr>
              <w:t>87563</w:t>
            </w:r>
          </w:p>
        </w:tc>
        <w:tc>
          <w:tcPr>
            <w:tcW w:w="1170" w:type="dxa"/>
            <w:tcBorders>
              <w:top w:val="nil"/>
              <w:left w:val="nil"/>
              <w:bottom w:val="single" w:sz="4" w:space="0" w:color="auto"/>
              <w:right w:val="single" w:sz="4" w:space="0" w:color="auto"/>
            </w:tcBorders>
            <w:shd w:val="clear" w:color="auto" w:fill="auto"/>
            <w:vAlign w:val="center"/>
            <w:hideMark/>
          </w:tcPr>
          <w:p w14:paraId="3A4D3789" w14:textId="77777777" w:rsidR="00F773C9" w:rsidRPr="00B45CEA" w:rsidRDefault="00F773C9" w:rsidP="00AB356A">
            <w:pPr>
              <w:jc w:val="center"/>
              <w:rPr>
                <w:rFonts w:ascii="Times New Roman" w:hAnsi="Times New Roman" w:cs="Times New Roman"/>
                <w:color w:val="000000"/>
                <w:sz w:val="24"/>
                <w:szCs w:val="24"/>
              </w:rPr>
            </w:pPr>
            <w:r w:rsidRPr="00B45CEA">
              <w:rPr>
                <w:rFonts w:ascii="Times New Roman" w:hAnsi="Times New Roman" w:cs="Times New Roman"/>
                <w:color w:val="000000"/>
                <w:sz w:val="24"/>
                <w:szCs w:val="24"/>
              </w:rPr>
              <w:t>Addition</w:t>
            </w:r>
          </w:p>
        </w:tc>
        <w:tc>
          <w:tcPr>
            <w:tcW w:w="1622" w:type="dxa"/>
            <w:tcBorders>
              <w:top w:val="nil"/>
              <w:left w:val="nil"/>
              <w:bottom w:val="single" w:sz="4" w:space="0" w:color="auto"/>
              <w:right w:val="single" w:sz="4" w:space="0" w:color="auto"/>
            </w:tcBorders>
            <w:shd w:val="clear" w:color="auto" w:fill="auto"/>
            <w:vAlign w:val="center"/>
            <w:hideMark/>
          </w:tcPr>
          <w:p w14:paraId="3F58545E" w14:textId="77777777" w:rsidR="00F773C9" w:rsidRPr="00B45CEA" w:rsidRDefault="00F773C9" w:rsidP="00AB356A">
            <w:pPr>
              <w:jc w:val="center"/>
              <w:rPr>
                <w:rFonts w:ascii="Times New Roman" w:hAnsi="Times New Roman" w:cs="Times New Roman"/>
                <w:color w:val="000000"/>
                <w:sz w:val="24"/>
                <w:szCs w:val="24"/>
              </w:rPr>
            </w:pPr>
            <w:r w:rsidRPr="00B45CEA">
              <w:rPr>
                <w:rFonts w:ascii="Times New Roman" w:hAnsi="Times New Roman" w:cs="Times New Roman"/>
                <w:color w:val="000000"/>
                <w:sz w:val="24"/>
                <w:szCs w:val="24"/>
              </w:rPr>
              <w:t>$25.93</w:t>
            </w:r>
          </w:p>
        </w:tc>
        <w:tc>
          <w:tcPr>
            <w:tcW w:w="5850" w:type="dxa"/>
            <w:tcBorders>
              <w:top w:val="nil"/>
              <w:left w:val="nil"/>
              <w:bottom w:val="single" w:sz="4" w:space="0" w:color="auto"/>
              <w:right w:val="single" w:sz="4" w:space="0" w:color="auto"/>
            </w:tcBorders>
            <w:shd w:val="clear" w:color="auto" w:fill="auto"/>
            <w:vAlign w:val="center"/>
            <w:hideMark/>
          </w:tcPr>
          <w:p w14:paraId="3AA96C92" w14:textId="77777777" w:rsidR="00F773C9" w:rsidRPr="00B45CEA" w:rsidRDefault="00F773C9" w:rsidP="00F773C9">
            <w:pPr>
              <w:rPr>
                <w:rFonts w:ascii="Times New Roman" w:hAnsi="Times New Roman" w:cs="Times New Roman"/>
                <w:color w:val="000000"/>
                <w:sz w:val="24"/>
                <w:szCs w:val="24"/>
              </w:rPr>
            </w:pPr>
            <w:r w:rsidRPr="00B45CEA">
              <w:rPr>
                <w:rFonts w:ascii="Times New Roman" w:hAnsi="Times New Roman" w:cs="Times New Roman"/>
                <w:color w:val="000000"/>
                <w:sz w:val="24"/>
                <w:szCs w:val="24"/>
              </w:rPr>
              <w:t xml:space="preserve">Infectious agent detection by nucleic acid (DNA or RNA); Mycoplasma </w:t>
            </w:r>
            <w:proofErr w:type="spellStart"/>
            <w:r w:rsidRPr="00B45CEA">
              <w:rPr>
                <w:rFonts w:ascii="Times New Roman" w:hAnsi="Times New Roman" w:cs="Times New Roman"/>
                <w:color w:val="000000"/>
                <w:sz w:val="24"/>
                <w:szCs w:val="24"/>
              </w:rPr>
              <w:t>genitalium</w:t>
            </w:r>
            <w:proofErr w:type="spellEnd"/>
            <w:r w:rsidRPr="00B45CEA">
              <w:rPr>
                <w:rFonts w:ascii="Times New Roman" w:hAnsi="Times New Roman" w:cs="Times New Roman"/>
                <w:color w:val="000000"/>
                <w:sz w:val="24"/>
                <w:szCs w:val="24"/>
              </w:rPr>
              <w:t>, amplified probe technique</w:t>
            </w:r>
          </w:p>
        </w:tc>
      </w:tr>
    </w:tbl>
    <w:p w14:paraId="550A7457" w14:textId="77777777" w:rsidR="00102C33" w:rsidRPr="001B268D" w:rsidRDefault="00102C33" w:rsidP="00102C33">
      <w:pPr>
        <w:tabs>
          <w:tab w:val="left" w:pos="5955"/>
        </w:tabs>
        <w:autoSpaceDE w:val="0"/>
        <w:autoSpaceDN w:val="0"/>
        <w:adjustRightInd w:val="0"/>
        <w:ind w:right="-720"/>
        <w:rPr>
          <w:szCs w:val="22"/>
        </w:rPr>
      </w:pPr>
    </w:p>
    <w:p w14:paraId="0D1E2379" w14:textId="77777777" w:rsidR="00760514" w:rsidRPr="001B268D" w:rsidRDefault="00760514" w:rsidP="00962923">
      <w:pPr>
        <w:tabs>
          <w:tab w:val="left" w:pos="1440"/>
          <w:tab w:val="center" w:pos="4925"/>
        </w:tabs>
        <w:rPr>
          <w:rFonts w:ascii="Times New Roman" w:hAnsi="Times New Roman" w:cs="Times New Roman"/>
          <w:sz w:val="24"/>
          <w:szCs w:val="24"/>
        </w:rPr>
      </w:pPr>
    </w:p>
    <w:sectPr w:rsidR="00760514" w:rsidRPr="001B268D" w:rsidSect="007816C6">
      <w:footerReference w:type="even" r:id="rId10"/>
      <w:footerReference w:type="default" r:id="rId11"/>
      <w:footerReference w:type="first" r:id="rId12"/>
      <w:pgSz w:w="12240" w:h="15840" w:code="1"/>
      <w:pgMar w:top="1440" w:right="1296" w:bottom="1440" w:left="1296"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624B5" w14:textId="77777777" w:rsidR="003F1D12" w:rsidRDefault="003F1D12">
      <w:r>
        <w:separator/>
      </w:r>
    </w:p>
  </w:endnote>
  <w:endnote w:type="continuationSeparator" w:id="0">
    <w:p w14:paraId="643FCC63" w14:textId="77777777" w:rsidR="003F1D12" w:rsidRDefault="003F1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DE74E"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EF9C37" w14:textId="77777777"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A473D"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387F70">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05CBE720" w14:textId="77777777"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F85CA" w14:textId="77777777" w:rsidR="001B3F94" w:rsidRDefault="00B90025">
    <w:pPr>
      <w:pStyle w:val="Footer"/>
    </w:pPr>
    <w:r>
      <w:rPr>
        <w:noProof/>
      </w:rPr>
      <w:drawing>
        <wp:inline distT="0" distB="0" distL="0" distR="0" wp14:anchorId="37D9D1B6" wp14:editId="3A4EF401">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64C788" w14:textId="77777777" w:rsidR="003F1D12" w:rsidRDefault="003F1D12">
      <w:r>
        <w:separator/>
      </w:r>
    </w:p>
  </w:footnote>
  <w:footnote w:type="continuationSeparator" w:id="0">
    <w:p w14:paraId="63B910BE" w14:textId="77777777" w:rsidR="003F1D12" w:rsidRDefault="003F1D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218F6"/>
    <w:rsid w:val="0003631E"/>
    <w:rsid w:val="00060CB1"/>
    <w:rsid w:val="00064F04"/>
    <w:rsid w:val="0007496A"/>
    <w:rsid w:val="00085FC7"/>
    <w:rsid w:val="00087BDD"/>
    <w:rsid w:val="000B3AE8"/>
    <w:rsid w:val="000C5716"/>
    <w:rsid w:val="000D1437"/>
    <w:rsid w:val="000D2584"/>
    <w:rsid w:val="000E02D6"/>
    <w:rsid w:val="000F2FB3"/>
    <w:rsid w:val="00102C33"/>
    <w:rsid w:val="001066DC"/>
    <w:rsid w:val="0011159B"/>
    <w:rsid w:val="00111EDB"/>
    <w:rsid w:val="00113E43"/>
    <w:rsid w:val="001145CC"/>
    <w:rsid w:val="0014797B"/>
    <w:rsid w:val="00151378"/>
    <w:rsid w:val="00170C17"/>
    <w:rsid w:val="00186186"/>
    <w:rsid w:val="001A4FFD"/>
    <w:rsid w:val="001B1E05"/>
    <w:rsid w:val="001B268D"/>
    <w:rsid w:val="001B3F94"/>
    <w:rsid w:val="001C3CAB"/>
    <w:rsid w:val="001D1F7B"/>
    <w:rsid w:val="001E1019"/>
    <w:rsid w:val="001E7C3D"/>
    <w:rsid w:val="00204D93"/>
    <w:rsid w:val="00206158"/>
    <w:rsid w:val="00206A7D"/>
    <w:rsid w:val="0020717F"/>
    <w:rsid w:val="00215CAD"/>
    <w:rsid w:val="00223B9F"/>
    <w:rsid w:val="0022417C"/>
    <w:rsid w:val="00230E81"/>
    <w:rsid w:val="002520D5"/>
    <w:rsid w:val="002555B1"/>
    <w:rsid w:val="002630E2"/>
    <w:rsid w:val="00266394"/>
    <w:rsid w:val="00266A2F"/>
    <w:rsid w:val="00266AB2"/>
    <w:rsid w:val="002A53A2"/>
    <w:rsid w:val="002B591E"/>
    <w:rsid w:val="002C6A55"/>
    <w:rsid w:val="002D360A"/>
    <w:rsid w:val="002E662F"/>
    <w:rsid w:val="002F28A5"/>
    <w:rsid w:val="002F59CD"/>
    <w:rsid w:val="00306619"/>
    <w:rsid w:val="00311FEC"/>
    <w:rsid w:val="00321E6E"/>
    <w:rsid w:val="00330313"/>
    <w:rsid w:val="00333199"/>
    <w:rsid w:val="00337EFA"/>
    <w:rsid w:val="00386BCD"/>
    <w:rsid w:val="00387F70"/>
    <w:rsid w:val="00391DB6"/>
    <w:rsid w:val="00395400"/>
    <w:rsid w:val="003C2E3A"/>
    <w:rsid w:val="003C770E"/>
    <w:rsid w:val="003D6EEC"/>
    <w:rsid w:val="003F1D12"/>
    <w:rsid w:val="004016AD"/>
    <w:rsid w:val="004078AF"/>
    <w:rsid w:val="00412D37"/>
    <w:rsid w:val="00460463"/>
    <w:rsid w:val="00466B35"/>
    <w:rsid w:val="0047119B"/>
    <w:rsid w:val="004B2B19"/>
    <w:rsid w:val="004B6AAF"/>
    <w:rsid w:val="005049C6"/>
    <w:rsid w:val="00535125"/>
    <w:rsid w:val="0054227E"/>
    <w:rsid w:val="0054689D"/>
    <w:rsid w:val="00556A92"/>
    <w:rsid w:val="00561E84"/>
    <w:rsid w:val="00564F8A"/>
    <w:rsid w:val="00565008"/>
    <w:rsid w:val="00580FEB"/>
    <w:rsid w:val="005A0778"/>
    <w:rsid w:val="005F1E7D"/>
    <w:rsid w:val="005F2412"/>
    <w:rsid w:val="006056CD"/>
    <w:rsid w:val="00605AAA"/>
    <w:rsid w:val="00613AFF"/>
    <w:rsid w:val="00627028"/>
    <w:rsid w:val="0067334C"/>
    <w:rsid w:val="006950AA"/>
    <w:rsid w:val="006B535E"/>
    <w:rsid w:val="006C043F"/>
    <w:rsid w:val="006C2607"/>
    <w:rsid w:val="006F1DC0"/>
    <w:rsid w:val="006F7489"/>
    <w:rsid w:val="00700354"/>
    <w:rsid w:val="007302B1"/>
    <w:rsid w:val="00731C16"/>
    <w:rsid w:val="00732D6E"/>
    <w:rsid w:val="00751542"/>
    <w:rsid w:val="00751EAB"/>
    <w:rsid w:val="00760514"/>
    <w:rsid w:val="007648C8"/>
    <w:rsid w:val="00773BF3"/>
    <w:rsid w:val="007802E3"/>
    <w:rsid w:val="007816C6"/>
    <w:rsid w:val="00782041"/>
    <w:rsid w:val="00790DDE"/>
    <w:rsid w:val="007A097E"/>
    <w:rsid w:val="007A44F0"/>
    <w:rsid w:val="007D5150"/>
    <w:rsid w:val="007D5819"/>
    <w:rsid w:val="007E3366"/>
    <w:rsid w:val="007F1FD1"/>
    <w:rsid w:val="007F34FB"/>
    <w:rsid w:val="007F4C57"/>
    <w:rsid w:val="007F7071"/>
    <w:rsid w:val="008065C3"/>
    <w:rsid w:val="008138ED"/>
    <w:rsid w:val="0082262F"/>
    <w:rsid w:val="00840BA7"/>
    <w:rsid w:val="00846EFD"/>
    <w:rsid w:val="00866E0D"/>
    <w:rsid w:val="008747C6"/>
    <w:rsid w:val="00882DB4"/>
    <w:rsid w:val="00894A3E"/>
    <w:rsid w:val="00896091"/>
    <w:rsid w:val="008A2608"/>
    <w:rsid w:val="008C5ED6"/>
    <w:rsid w:val="008D5656"/>
    <w:rsid w:val="008E40D9"/>
    <w:rsid w:val="008E4A82"/>
    <w:rsid w:val="00912F6B"/>
    <w:rsid w:val="009271D7"/>
    <w:rsid w:val="009273A0"/>
    <w:rsid w:val="0093212C"/>
    <w:rsid w:val="0093489F"/>
    <w:rsid w:val="00947481"/>
    <w:rsid w:val="00951C89"/>
    <w:rsid w:val="00955834"/>
    <w:rsid w:val="00960FD3"/>
    <w:rsid w:val="00961654"/>
    <w:rsid w:val="00962730"/>
    <w:rsid w:val="00962923"/>
    <w:rsid w:val="00983941"/>
    <w:rsid w:val="0099568A"/>
    <w:rsid w:val="0099721B"/>
    <w:rsid w:val="00997297"/>
    <w:rsid w:val="009A0800"/>
    <w:rsid w:val="009B5726"/>
    <w:rsid w:val="009E5F63"/>
    <w:rsid w:val="009E7BED"/>
    <w:rsid w:val="009F243C"/>
    <w:rsid w:val="009F3A8C"/>
    <w:rsid w:val="009F77FD"/>
    <w:rsid w:val="009F7DCC"/>
    <w:rsid w:val="00A14BAF"/>
    <w:rsid w:val="00A152D4"/>
    <w:rsid w:val="00A20582"/>
    <w:rsid w:val="00A32FEA"/>
    <w:rsid w:val="00A36F65"/>
    <w:rsid w:val="00A42891"/>
    <w:rsid w:val="00A52D97"/>
    <w:rsid w:val="00A575F7"/>
    <w:rsid w:val="00A60384"/>
    <w:rsid w:val="00A65D75"/>
    <w:rsid w:val="00A77971"/>
    <w:rsid w:val="00A934F9"/>
    <w:rsid w:val="00AA115F"/>
    <w:rsid w:val="00AB0061"/>
    <w:rsid w:val="00AB356A"/>
    <w:rsid w:val="00AB387F"/>
    <w:rsid w:val="00AB687F"/>
    <w:rsid w:val="00AB721E"/>
    <w:rsid w:val="00AD6895"/>
    <w:rsid w:val="00AE0DA5"/>
    <w:rsid w:val="00AE3401"/>
    <w:rsid w:val="00AE64ED"/>
    <w:rsid w:val="00AF0179"/>
    <w:rsid w:val="00B05F5D"/>
    <w:rsid w:val="00B308F1"/>
    <w:rsid w:val="00B43A86"/>
    <w:rsid w:val="00B45CEA"/>
    <w:rsid w:val="00B5467F"/>
    <w:rsid w:val="00B67BA9"/>
    <w:rsid w:val="00B90025"/>
    <w:rsid w:val="00B95039"/>
    <w:rsid w:val="00BA2E76"/>
    <w:rsid w:val="00BA585A"/>
    <w:rsid w:val="00BB6F19"/>
    <w:rsid w:val="00C06EBB"/>
    <w:rsid w:val="00C1559B"/>
    <w:rsid w:val="00C31BCC"/>
    <w:rsid w:val="00C4145B"/>
    <w:rsid w:val="00C43D89"/>
    <w:rsid w:val="00C45A45"/>
    <w:rsid w:val="00C46D18"/>
    <w:rsid w:val="00C54AED"/>
    <w:rsid w:val="00C576E5"/>
    <w:rsid w:val="00C60F2D"/>
    <w:rsid w:val="00C62306"/>
    <w:rsid w:val="00C80D4D"/>
    <w:rsid w:val="00C91491"/>
    <w:rsid w:val="00C92130"/>
    <w:rsid w:val="00C95BD9"/>
    <w:rsid w:val="00CB2C18"/>
    <w:rsid w:val="00CB7F31"/>
    <w:rsid w:val="00CC1031"/>
    <w:rsid w:val="00D214F0"/>
    <w:rsid w:val="00D2459B"/>
    <w:rsid w:val="00D73367"/>
    <w:rsid w:val="00D75A94"/>
    <w:rsid w:val="00D764D3"/>
    <w:rsid w:val="00D87E5A"/>
    <w:rsid w:val="00D911CD"/>
    <w:rsid w:val="00D9168C"/>
    <w:rsid w:val="00D967D8"/>
    <w:rsid w:val="00DA27AF"/>
    <w:rsid w:val="00DA39D8"/>
    <w:rsid w:val="00DB0922"/>
    <w:rsid w:val="00DC4C74"/>
    <w:rsid w:val="00DC7E3F"/>
    <w:rsid w:val="00DE096B"/>
    <w:rsid w:val="00DE0FB9"/>
    <w:rsid w:val="00DE2B81"/>
    <w:rsid w:val="00E20B5A"/>
    <w:rsid w:val="00E236AA"/>
    <w:rsid w:val="00E3082D"/>
    <w:rsid w:val="00E8458C"/>
    <w:rsid w:val="00E90C92"/>
    <w:rsid w:val="00E93963"/>
    <w:rsid w:val="00EA042C"/>
    <w:rsid w:val="00EB008B"/>
    <w:rsid w:val="00EB1CEA"/>
    <w:rsid w:val="00EB47C8"/>
    <w:rsid w:val="00F0626C"/>
    <w:rsid w:val="00F243E6"/>
    <w:rsid w:val="00F27557"/>
    <w:rsid w:val="00F32956"/>
    <w:rsid w:val="00F34242"/>
    <w:rsid w:val="00F577D6"/>
    <w:rsid w:val="00F65CA3"/>
    <w:rsid w:val="00F773C9"/>
    <w:rsid w:val="00F8017E"/>
    <w:rsid w:val="00F87454"/>
    <w:rsid w:val="00FC12A0"/>
    <w:rsid w:val="00FC1F58"/>
    <w:rsid w:val="00FC25AE"/>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A9D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styleId="CommentReference">
    <w:name w:val="annotation reference"/>
    <w:basedOn w:val="DefaultParagraphFont"/>
    <w:semiHidden/>
    <w:unhideWhenUsed/>
    <w:rsid w:val="00D75A94"/>
    <w:rPr>
      <w:sz w:val="16"/>
      <w:szCs w:val="16"/>
    </w:rPr>
  </w:style>
  <w:style w:type="paragraph" w:styleId="CommentText">
    <w:name w:val="annotation text"/>
    <w:basedOn w:val="Normal"/>
    <w:link w:val="CommentTextChar"/>
    <w:semiHidden/>
    <w:unhideWhenUsed/>
    <w:rsid w:val="00D75A94"/>
    <w:rPr>
      <w:sz w:val="20"/>
    </w:rPr>
  </w:style>
  <w:style w:type="character" w:customStyle="1" w:styleId="CommentTextChar">
    <w:name w:val="Comment Text Char"/>
    <w:basedOn w:val="DefaultParagraphFont"/>
    <w:link w:val="CommentText"/>
    <w:semiHidden/>
    <w:rsid w:val="00D75A94"/>
    <w:rPr>
      <w:rFonts w:ascii="Arial" w:hAnsi="Arial" w:cs="Arial"/>
    </w:rPr>
  </w:style>
  <w:style w:type="paragraph" w:styleId="CommentSubject">
    <w:name w:val="annotation subject"/>
    <w:basedOn w:val="CommentText"/>
    <w:next w:val="CommentText"/>
    <w:link w:val="CommentSubjectChar"/>
    <w:semiHidden/>
    <w:unhideWhenUsed/>
    <w:rsid w:val="00D75A94"/>
    <w:rPr>
      <w:b/>
      <w:bCs/>
    </w:rPr>
  </w:style>
  <w:style w:type="character" w:customStyle="1" w:styleId="CommentSubjectChar">
    <w:name w:val="Comment Subject Char"/>
    <w:basedOn w:val="CommentTextChar"/>
    <w:link w:val="CommentSubject"/>
    <w:semiHidden/>
    <w:rsid w:val="00D75A94"/>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styleId="CommentReference">
    <w:name w:val="annotation reference"/>
    <w:basedOn w:val="DefaultParagraphFont"/>
    <w:semiHidden/>
    <w:unhideWhenUsed/>
    <w:rsid w:val="00D75A94"/>
    <w:rPr>
      <w:sz w:val="16"/>
      <w:szCs w:val="16"/>
    </w:rPr>
  </w:style>
  <w:style w:type="paragraph" w:styleId="CommentText">
    <w:name w:val="annotation text"/>
    <w:basedOn w:val="Normal"/>
    <w:link w:val="CommentTextChar"/>
    <w:semiHidden/>
    <w:unhideWhenUsed/>
    <w:rsid w:val="00D75A94"/>
    <w:rPr>
      <w:sz w:val="20"/>
    </w:rPr>
  </w:style>
  <w:style w:type="character" w:customStyle="1" w:styleId="CommentTextChar">
    <w:name w:val="Comment Text Char"/>
    <w:basedOn w:val="DefaultParagraphFont"/>
    <w:link w:val="CommentText"/>
    <w:semiHidden/>
    <w:rsid w:val="00D75A94"/>
    <w:rPr>
      <w:rFonts w:ascii="Arial" w:hAnsi="Arial" w:cs="Arial"/>
    </w:rPr>
  </w:style>
  <w:style w:type="paragraph" w:styleId="CommentSubject">
    <w:name w:val="annotation subject"/>
    <w:basedOn w:val="CommentText"/>
    <w:next w:val="CommentText"/>
    <w:link w:val="CommentSubjectChar"/>
    <w:semiHidden/>
    <w:unhideWhenUsed/>
    <w:rsid w:val="00D75A94"/>
    <w:rPr>
      <w:b/>
      <w:bCs/>
    </w:rPr>
  </w:style>
  <w:style w:type="character" w:customStyle="1" w:styleId="CommentSubjectChar">
    <w:name w:val="Comment Subject Char"/>
    <w:basedOn w:val="CommentTextChar"/>
    <w:link w:val="CommentSubject"/>
    <w:semiHidden/>
    <w:rsid w:val="00D75A94"/>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97552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9E136-51B1-4CE7-B2B2-1D214658B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EHS</cp:lastModifiedBy>
  <cp:revision>2</cp:revision>
  <cp:lastPrinted>2016-03-10T17:00:00Z</cp:lastPrinted>
  <dcterms:created xsi:type="dcterms:W3CDTF">2020-03-23T14:12:00Z</dcterms:created>
  <dcterms:modified xsi:type="dcterms:W3CDTF">2020-03-23T14:12:00Z</dcterms:modified>
</cp:coreProperties>
</file>