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225EF9" w14:textId="70455FE9" w:rsidR="00BD47DD" w:rsidRPr="000A72FF" w:rsidRDefault="00BD47DD" w:rsidP="0058679F">
      <w:pPr>
        <w:pStyle w:val="BodyText"/>
        <w:ind w:left="144" w:right="169"/>
        <w:rPr>
          <w:b/>
          <w:w w:val="105"/>
          <w:sz w:val="22"/>
          <w:szCs w:val="22"/>
        </w:rPr>
      </w:pPr>
    </w:p>
    <w:p w14:paraId="2896B87A" w14:textId="188E93FD" w:rsidR="00572623" w:rsidRDefault="00572623" w:rsidP="00572623">
      <w:pPr>
        <w:jc w:val="center"/>
        <w:rPr>
          <w:rFonts w:eastAsia="Calibri"/>
          <w:b/>
        </w:rPr>
      </w:pPr>
      <w:bookmarkStart w:id="0" w:name="_GoBack"/>
      <w:r w:rsidRPr="000A72FF">
        <w:rPr>
          <w:noProof/>
        </w:rPr>
        <w:drawing>
          <wp:anchor distT="0" distB="0" distL="114300" distR="114300" simplePos="0" relativeHeight="251668480" behindDoc="1" locked="0" layoutInCell="1" allowOverlap="1" wp14:anchorId="08ECDA7E" wp14:editId="0186B8F1">
            <wp:simplePos x="0" y="0"/>
            <wp:positionH relativeFrom="column">
              <wp:posOffset>-737235</wp:posOffset>
            </wp:positionH>
            <wp:positionV relativeFrom="paragraph">
              <wp:posOffset>-215900</wp:posOffset>
            </wp:positionV>
            <wp:extent cx="6935470" cy="2389505"/>
            <wp:effectExtent l="0" t="0" r="0" b="0"/>
            <wp:wrapThrough wrapText="bothSides">
              <wp:wrapPolygon edited="0">
                <wp:start x="0" y="0"/>
                <wp:lineTo x="0" y="21353"/>
                <wp:lineTo x="21537" y="21353"/>
                <wp:lineTo x="21537" y="0"/>
                <wp:lineTo x="0" y="0"/>
              </wp:wrapPolygon>
            </wp:wrapThrough>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7" cstate="print">
                      <a:extLst>
                        <a:ext uri="{28A0092B-C50C-407E-A947-70E740481C1C}">
                          <a14:useLocalDpi xmlns:a14="http://schemas.microsoft.com/office/drawing/2010/main" val="0"/>
                        </a:ext>
                      </a:extLst>
                    </a:blip>
                    <a:srcRect t="12219" r="2888"/>
                    <a:stretch/>
                  </pic:blipFill>
                  <pic:spPr bwMode="auto">
                    <a:xfrm>
                      <a:off x="0" y="0"/>
                      <a:ext cx="6935470" cy="2389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0A72FF">
        <w:rPr>
          <w:rFonts w:eastAsia="Calibri"/>
          <w:b/>
        </w:rPr>
        <w:t>Administrative Bulletin 20-</w:t>
      </w:r>
      <w:r w:rsidR="002A1B46">
        <w:rPr>
          <w:rFonts w:eastAsia="Calibri"/>
          <w:b/>
        </w:rPr>
        <w:t>1</w:t>
      </w:r>
      <w:r w:rsidR="00C248B1">
        <w:rPr>
          <w:rFonts w:eastAsia="Calibri"/>
          <w:b/>
        </w:rPr>
        <w:t>9</w:t>
      </w:r>
    </w:p>
    <w:p w14:paraId="13F60E8B" w14:textId="77777777" w:rsidR="00E817C8" w:rsidRPr="000A72FF" w:rsidRDefault="00E817C8" w:rsidP="00572623">
      <w:pPr>
        <w:jc w:val="center"/>
        <w:rPr>
          <w:rFonts w:eastAsia="Calibri"/>
          <w:b/>
        </w:rPr>
      </w:pPr>
    </w:p>
    <w:p w14:paraId="392FF7EA" w14:textId="18F1EC81" w:rsidR="00572623" w:rsidRPr="00C952F2" w:rsidRDefault="00572623" w:rsidP="00572623">
      <w:pPr>
        <w:spacing w:line="480" w:lineRule="auto"/>
        <w:ind w:left="360"/>
        <w:jc w:val="center"/>
        <w:rPr>
          <w:b/>
          <w:bCs/>
        </w:rPr>
      </w:pPr>
      <w:r w:rsidRPr="00C952F2">
        <w:rPr>
          <w:b/>
          <w:bCs/>
        </w:rPr>
        <w:t>101 CMR 206.00</w:t>
      </w:r>
      <w:r w:rsidR="00413FCD" w:rsidRPr="00C952F2">
        <w:rPr>
          <w:b/>
          <w:bCs/>
        </w:rPr>
        <w:t>:</w:t>
      </w:r>
      <w:r w:rsidRPr="00C952F2">
        <w:rPr>
          <w:b/>
          <w:bCs/>
        </w:rPr>
        <w:t xml:space="preserve"> </w:t>
      </w:r>
      <w:r w:rsidRPr="005E1D9B">
        <w:rPr>
          <w:b/>
          <w:bCs/>
          <w:iCs/>
        </w:rPr>
        <w:t>Standard Payments to Nursing Facilities</w:t>
      </w:r>
    </w:p>
    <w:p w14:paraId="00468C73" w14:textId="5D503248" w:rsidR="00572623" w:rsidRPr="00C657DF" w:rsidRDefault="00572623" w:rsidP="00572623">
      <w:pPr>
        <w:spacing w:line="480" w:lineRule="auto"/>
        <w:jc w:val="center"/>
        <w:rPr>
          <w:rFonts w:eastAsia="Calibri"/>
          <w:b/>
        </w:rPr>
      </w:pPr>
      <w:r w:rsidRPr="000A72FF">
        <w:rPr>
          <w:rFonts w:eastAsia="Calibri"/>
          <w:b/>
        </w:rPr>
        <w:t xml:space="preserve">Effective </w:t>
      </w:r>
      <w:r w:rsidR="006648DC" w:rsidRPr="00C657DF">
        <w:rPr>
          <w:rFonts w:eastAsia="Calibri"/>
          <w:b/>
        </w:rPr>
        <w:t>April</w:t>
      </w:r>
      <w:r w:rsidRPr="00C657DF">
        <w:rPr>
          <w:rFonts w:eastAsia="Calibri"/>
          <w:b/>
        </w:rPr>
        <w:t xml:space="preserve"> </w:t>
      </w:r>
      <w:r w:rsidR="000C4112">
        <w:rPr>
          <w:rFonts w:eastAsia="Calibri"/>
          <w:b/>
        </w:rPr>
        <w:t>16</w:t>
      </w:r>
      <w:r w:rsidRPr="00C657DF">
        <w:rPr>
          <w:rFonts w:eastAsia="Calibri"/>
          <w:b/>
        </w:rPr>
        <w:t>, 2020</w:t>
      </w:r>
    </w:p>
    <w:p w14:paraId="2D86D359" w14:textId="383BA5D8" w:rsidR="00572623" w:rsidRPr="000A72FF" w:rsidRDefault="0023641F" w:rsidP="00572623">
      <w:pPr>
        <w:pStyle w:val="Title"/>
        <w:rPr>
          <w:sz w:val="22"/>
          <w:szCs w:val="22"/>
        </w:rPr>
      </w:pPr>
      <w:r w:rsidRPr="000A72FF">
        <w:rPr>
          <w:sz w:val="22"/>
          <w:szCs w:val="22"/>
        </w:rPr>
        <w:t>Payments</w:t>
      </w:r>
      <w:r w:rsidR="00572623" w:rsidRPr="000A72FF">
        <w:rPr>
          <w:sz w:val="22"/>
          <w:szCs w:val="22"/>
        </w:rPr>
        <w:t xml:space="preserve"> for </w:t>
      </w:r>
      <w:r w:rsidRPr="000A72FF">
        <w:rPr>
          <w:sz w:val="22"/>
          <w:szCs w:val="22"/>
        </w:rPr>
        <w:t xml:space="preserve">COVID-19 </w:t>
      </w:r>
      <w:r w:rsidR="00572623" w:rsidRPr="000A72FF">
        <w:rPr>
          <w:sz w:val="22"/>
          <w:szCs w:val="22"/>
        </w:rPr>
        <w:t>Nursing Facilities</w:t>
      </w:r>
    </w:p>
    <w:p w14:paraId="2866C052" w14:textId="635625A2" w:rsidR="00572623" w:rsidRPr="00C657DF" w:rsidRDefault="00C94A6B" w:rsidP="00572623">
      <w:pPr>
        <w:pStyle w:val="Title"/>
        <w:rPr>
          <w:sz w:val="22"/>
          <w:szCs w:val="22"/>
        </w:rPr>
      </w:pPr>
      <w:r w:rsidRPr="00543DE2">
        <w:rPr>
          <w:sz w:val="22"/>
          <w:szCs w:val="22"/>
        </w:rPr>
        <w:t>Purpose, Scope, and Effective Period</w:t>
      </w:r>
    </w:p>
    <w:p w14:paraId="044548B0" w14:textId="4CE55D7B" w:rsidR="00572623" w:rsidRPr="000A72FF" w:rsidRDefault="0023641F" w:rsidP="00572623">
      <w:pPr>
        <w:spacing w:after="240"/>
      </w:pPr>
      <w:r w:rsidRPr="000A72FF">
        <w:t xml:space="preserve">The Executive Office of Health and Human Services (EOHHS) is issuing this </w:t>
      </w:r>
      <w:r w:rsidR="006977C6">
        <w:t xml:space="preserve">administrative </w:t>
      </w:r>
      <w:r w:rsidRPr="000A72FF">
        <w:t xml:space="preserve">bulletin pursuant to the authority of </w:t>
      </w:r>
      <w:hyperlink r:id="rId8" w:history="1">
        <w:r w:rsidRPr="00CA7381">
          <w:rPr>
            <w:rStyle w:val="Hyperlink"/>
          </w:rPr>
          <w:t>COVID-19 Order No. 20</w:t>
        </w:r>
      </w:hyperlink>
      <w:r w:rsidRPr="000A72FF">
        <w:t xml:space="preserve">: </w:t>
      </w:r>
      <w:r w:rsidRPr="000A72FF">
        <w:rPr>
          <w:bCs/>
          <w:i/>
          <w:kern w:val="36"/>
        </w:rPr>
        <w:t xml:space="preserve">Order Authorizing the Executive Office of Health and Human Services to Adjust Essential Provider Rates During the COVID-19 Public Health Emergency </w:t>
      </w:r>
      <w:r w:rsidRPr="000A72FF">
        <w:rPr>
          <w:bCs/>
          <w:iCs/>
          <w:kern w:val="36"/>
        </w:rPr>
        <w:t>and</w:t>
      </w:r>
      <w:r w:rsidRPr="000A72FF">
        <w:rPr>
          <w:bCs/>
          <w:i/>
          <w:kern w:val="36"/>
        </w:rPr>
        <w:t xml:space="preserve"> </w:t>
      </w:r>
      <w:hyperlink r:id="rId9" w:history="1">
        <w:r w:rsidRPr="008D35C2">
          <w:rPr>
            <w:rStyle w:val="Hyperlink"/>
            <w:bCs/>
            <w:kern w:val="36"/>
          </w:rPr>
          <w:t>Executive Order 591</w:t>
        </w:r>
      </w:hyperlink>
      <w:r w:rsidRPr="00A93563">
        <w:rPr>
          <w:bCs/>
          <w:kern w:val="36"/>
        </w:rPr>
        <w:t>:</w:t>
      </w:r>
      <w:r w:rsidRPr="00C657DF">
        <w:rPr>
          <w:bCs/>
          <w:i/>
          <w:kern w:val="36"/>
        </w:rPr>
        <w:t xml:space="preserve"> Declaration of State of Emergency to Respond to COVID-19</w:t>
      </w:r>
      <w:r w:rsidRPr="00C657DF">
        <w:t xml:space="preserve">. </w:t>
      </w:r>
      <w:r w:rsidR="00572623" w:rsidRPr="000A72FF">
        <w:t xml:space="preserve">Pursuant to </w:t>
      </w:r>
      <w:r w:rsidR="0003038B" w:rsidRPr="000A72FF">
        <w:t>COVID-19</w:t>
      </w:r>
      <w:r w:rsidR="00572623" w:rsidRPr="000A72FF">
        <w:t xml:space="preserve"> Order </w:t>
      </w:r>
      <w:r w:rsidR="0003038B" w:rsidRPr="000A72FF">
        <w:t>No. 20</w:t>
      </w:r>
      <w:r w:rsidR="00572623" w:rsidRPr="000A72FF">
        <w:t xml:space="preserve">, EOHHS </w:t>
      </w:r>
      <w:r w:rsidRPr="000A72FF">
        <w:t xml:space="preserve">has </w:t>
      </w:r>
      <w:r w:rsidR="00572623" w:rsidRPr="000A72FF">
        <w:t>designate</w:t>
      </w:r>
      <w:r w:rsidRPr="000A72FF">
        <w:t>d certain nursing facilities as</w:t>
      </w:r>
      <w:r w:rsidR="00572623" w:rsidRPr="000A72FF">
        <w:t xml:space="preserve"> </w:t>
      </w:r>
      <w:r w:rsidRPr="000A72FF">
        <w:t>eligible for</w:t>
      </w:r>
      <w:r w:rsidR="00572623" w:rsidRPr="000A72FF">
        <w:t xml:space="preserve"> temporary rates and supplemental payments</w:t>
      </w:r>
      <w:r w:rsidR="00BC1A2A" w:rsidRPr="000A72FF">
        <w:t xml:space="preserve">, as further described in this </w:t>
      </w:r>
      <w:r w:rsidR="006977C6">
        <w:t xml:space="preserve">administrative </w:t>
      </w:r>
      <w:r w:rsidR="00BC1A2A" w:rsidRPr="000A72FF">
        <w:t>bulletin</w:t>
      </w:r>
      <w:r w:rsidR="00572623" w:rsidRPr="000A72FF">
        <w:t>.</w:t>
      </w:r>
    </w:p>
    <w:p w14:paraId="67353904" w14:textId="31AB21D6" w:rsidR="003228E8" w:rsidRPr="00CA7381" w:rsidRDefault="00BC1A2A" w:rsidP="00543DE2">
      <w:pPr>
        <w:pStyle w:val="BodyText"/>
        <w:ind w:right="169"/>
        <w:rPr>
          <w:sz w:val="22"/>
          <w:szCs w:val="22"/>
        </w:rPr>
      </w:pPr>
      <w:r w:rsidRPr="00CA7381">
        <w:rPr>
          <w:sz w:val="22"/>
          <w:szCs w:val="22"/>
        </w:rPr>
        <w:t xml:space="preserve">Specifically, </w:t>
      </w:r>
      <w:r w:rsidR="00CB6A7C" w:rsidRPr="00CA7381">
        <w:rPr>
          <w:sz w:val="22"/>
          <w:szCs w:val="22"/>
        </w:rPr>
        <w:t xml:space="preserve">and notwithstanding 101 CMR 206.00: </w:t>
      </w:r>
      <w:r w:rsidR="00CB6A7C" w:rsidRPr="00CA7381">
        <w:rPr>
          <w:i/>
          <w:sz w:val="22"/>
          <w:szCs w:val="22"/>
        </w:rPr>
        <w:t xml:space="preserve">Standard Payments to Nursing Facilities, </w:t>
      </w:r>
      <w:r w:rsidRPr="00CA7381">
        <w:rPr>
          <w:sz w:val="22"/>
          <w:szCs w:val="22"/>
        </w:rPr>
        <w:t>t</w:t>
      </w:r>
      <w:r w:rsidR="00572623" w:rsidRPr="00CA7381">
        <w:rPr>
          <w:sz w:val="22"/>
          <w:szCs w:val="22"/>
        </w:rPr>
        <w:t xml:space="preserve">his </w:t>
      </w:r>
      <w:r w:rsidR="006977C6">
        <w:t xml:space="preserve">administrative </w:t>
      </w:r>
      <w:r w:rsidR="00572623" w:rsidRPr="00CA7381">
        <w:rPr>
          <w:sz w:val="22"/>
          <w:szCs w:val="22"/>
        </w:rPr>
        <w:t xml:space="preserve">bulletin </w:t>
      </w:r>
      <w:r w:rsidRPr="00CA7381">
        <w:rPr>
          <w:sz w:val="22"/>
          <w:szCs w:val="22"/>
        </w:rPr>
        <w:t>establishes temporary per diem</w:t>
      </w:r>
      <w:r w:rsidR="0003038B" w:rsidRPr="00CA7381">
        <w:rPr>
          <w:sz w:val="22"/>
          <w:szCs w:val="22"/>
        </w:rPr>
        <w:t xml:space="preserve"> rates and supplemental payments</w:t>
      </w:r>
      <w:r w:rsidR="00572623" w:rsidRPr="00CA7381">
        <w:rPr>
          <w:sz w:val="22"/>
          <w:szCs w:val="22"/>
        </w:rPr>
        <w:t xml:space="preserve"> </w:t>
      </w:r>
      <w:r w:rsidR="0003038B" w:rsidRPr="00CA7381">
        <w:rPr>
          <w:sz w:val="22"/>
          <w:szCs w:val="22"/>
        </w:rPr>
        <w:t>for</w:t>
      </w:r>
      <w:r w:rsidR="00572623" w:rsidRPr="00CA7381">
        <w:rPr>
          <w:sz w:val="22"/>
          <w:szCs w:val="22"/>
        </w:rPr>
        <w:t xml:space="preserve"> </w:t>
      </w:r>
      <w:r w:rsidR="008141FF" w:rsidRPr="00CA7381">
        <w:rPr>
          <w:sz w:val="22"/>
          <w:szCs w:val="22"/>
        </w:rPr>
        <w:t>COVID-19</w:t>
      </w:r>
      <w:r w:rsidR="00572623" w:rsidRPr="00CA7381">
        <w:rPr>
          <w:sz w:val="22"/>
          <w:szCs w:val="22"/>
        </w:rPr>
        <w:t xml:space="preserve"> </w:t>
      </w:r>
      <w:r w:rsidR="00C155FB" w:rsidRPr="00CA7381">
        <w:rPr>
          <w:sz w:val="22"/>
          <w:szCs w:val="22"/>
        </w:rPr>
        <w:t>P</w:t>
      </w:r>
      <w:r w:rsidR="00572623" w:rsidRPr="00CA7381">
        <w:rPr>
          <w:sz w:val="22"/>
          <w:szCs w:val="22"/>
        </w:rPr>
        <w:t xml:space="preserve">roviders </w:t>
      </w:r>
      <w:r w:rsidR="004943C5">
        <w:rPr>
          <w:sz w:val="22"/>
          <w:szCs w:val="22"/>
        </w:rPr>
        <w:t xml:space="preserve">who </w:t>
      </w:r>
      <w:r w:rsidR="008141FF" w:rsidRPr="00CA7381">
        <w:rPr>
          <w:sz w:val="22"/>
          <w:szCs w:val="22"/>
        </w:rPr>
        <w:t>operate a COVID-19 Nursing Facility providing</w:t>
      </w:r>
      <w:r w:rsidR="00572623" w:rsidRPr="00CA7381">
        <w:rPr>
          <w:sz w:val="22"/>
          <w:szCs w:val="22"/>
        </w:rPr>
        <w:t xml:space="preserve"> </w:t>
      </w:r>
      <w:r w:rsidR="00C14751" w:rsidRPr="00CA7381">
        <w:rPr>
          <w:sz w:val="22"/>
          <w:szCs w:val="22"/>
        </w:rPr>
        <w:t>N</w:t>
      </w:r>
      <w:r w:rsidR="00572623" w:rsidRPr="00CA7381">
        <w:rPr>
          <w:sz w:val="22"/>
          <w:szCs w:val="22"/>
        </w:rPr>
        <w:t xml:space="preserve">ursing </w:t>
      </w:r>
      <w:r w:rsidR="00C14751" w:rsidRPr="00CA7381">
        <w:rPr>
          <w:sz w:val="22"/>
          <w:szCs w:val="22"/>
        </w:rPr>
        <w:t>F</w:t>
      </w:r>
      <w:r w:rsidR="00572623" w:rsidRPr="00CA7381">
        <w:rPr>
          <w:sz w:val="22"/>
          <w:szCs w:val="22"/>
        </w:rPr>
        <w:t xml:space="preserve">acility services to </w:t>
      </w:r>
      <w:r w:rsidR="00C155FB" w:rsidRPr="00CA7381">
        <w:rPr>
          <w:sz w:val="22"/>
          <w:szCs w:val="22"/>
        </w:rPr>
        <w:t>COVID-19 Residents, as such capitalized terms are defined below.</w:t>
      </w:r>
      <w:r w:rsidR="00236AC5" w:rsidRPr="00CA7381">
        <w:rPr>
          <w:sz w:val="22"/>
          <w:szCs w:val="22"/>
        </w:rPr>
        <w:t xml:space="preserve"> </w:t>
      </w:r>
    </w:p>
    <w:p w14:paraId="33B5D7BB" w14:textId="77777777" w:rsidR="00BC1A2A" w:rsidRPr="000A72FF" w:rsidRDefault="00BC1A2A" w:rsidP="00543DE2">
      <w:pPr>
        <w:pStyle w:val="BodyText"/>
        <w:ind w:right="169"/>
      </w:pPr>
    </w:p>
    <w:p w14:paraId="4F1C9E82" w14:textId="16400922" w:rsidR="0063754D" w:rsidRPr="000A72FF" w:rsidRDefault="00290CC6" w:rsidP="00572623">
      <w:pPr>
        <w:spacing w:after="240"/>
        <w:rPr>
          <w:bCs/>
          <w:kern w:val="36"/>
        </w:rPr>
      </w:pPr>
      <w:r w:rsidRPr="00C657DF">
        <w:t>Th</w:t>
      </w:r>
      <w:r w:rsidR="00FD398C" w:rsidRPr="00C657DF">
        <w:t>e per diem rates and supplemental payments established by this</w:t>
      </w:r>
      <w:r w:rsidR="00BC1A2A" w:rsidRPr="00C657DF">
        <w:t xml:space="preserve"> </w:t>
      </w:r>
      <w:r w:rsidR="006977C6">
        <w:t xml:space="preserve">administrative </w:t>
      </w:r>
      <w:r w:rsidR="00BC1A2A" w:rsidRPr="00C657DF">
        <w:t>bulletin will remain effective for the duration of COVID-19 Order No. 20</w:t>
      </w:r>
      <w:r w:rsidR="00BC1A2A" w:rsidRPr="000A72FF">
        <w:rPr>
          <w:bCs/>
          <w:kern w:val="36"/>
        </w:rPr>
        <w:t xml:space="preserve">, </w:t>
      </w:r>
      <w:r w:rsidR="00FD398C" w:rsidRPr="000A72FF">
        <w:rPr>
          <w:bCs/>
          <w:kern w:val="36"/>
        </w:rPr>
        <w:t>p</w:t>
      </w:r>
      <w:r w:rsidR="006648DC" w:rsidRPr="000A72FF">
        <w:rPr>
          <w:bCs/>
          <w:kern w:val="36"/>
        </w:rPr>
        <w:t xml:space="preserve">rovided that notwithstanding the expiration of COVID-19 Order No. 20, the per diem rates and </w:t>
      </w:r>
      <w:r w:rsidR="00FD398C" w:rsidRPr="000A72FF">
        <w:rPr>
          <w:bCs/>
          <w:kern w:val="36"/>
        </w:rPr>
        <w:t>supplemental payments described in this bulletin shall</w:t>
      </w:r>
      <w:r w:rsidR="000B6BB6" w:rsidRPr="000A72FF">
        <w:rPr>
          <w:bCs/>
          <w:kern w:val="36"/>
        </w:rPr>
        <w:t xml:space="preserve"> continue to</w:t>
      </w:r>
      <w:r w:rsidR="00FD398C" w:rsidRPr="000A72FF">
        <w:rPr>
          <w:bCs/>
          <w:kern w:val="36"/>
        </w:rPr>
        <w:t xml:space="preserve"> be paid</w:t>
      </w:r>
      <w:r w:rsidR="006648DC" w:rsidRPr="000A72FF">
        <w:rPr>
          <w:bCs/>
          <w:kern w:val="36"/>
        </w:rPr>
        <w:t xml:space="preserve"> to COVID-19 Providers</w:t>
      </w:r>
      <w:r w:rsidR="00FD398C" w:rsidRPr="000A72FF">
        <w:rPr>
          <w:bCs/>
          <w:kern w:val="36"/>
        </w:rPr>
        <w:t xml:space="preserve"> in</w:t>
      </w:r>
      <w:r w:rsidR="006648DC" w:rsidRPr="000A72FF">
        <w:rPr>
          <w:bCs/>
          <w:kern w:val="36"/>
        </w:rPr>
        <w:t xml:space="preserve"> accordance with the methodologies</w:t>
      </w:r>
      <w:r w:rsidR="00FD398C" w:rsidRPr="000A72FF">
        <w:rPr>
          <w:bCs/>
          <w:kern w:val="36"/>
        </w:rPr>
        <w:t xml:space="preserve"> described </w:t>
      </w:r>
      <w:r w:rsidR="000B6BB6" w:rsidRPr="000A72FF">
        <w:rPr>
          <w:bCs/>
          <w:kern w:val="36"/>
        </w:rPr>
        <w:t>herein</w:t>
      </w:r>
      <w:r w:rsidR="00F77DD4" w:rsidRPr="000A72FF">
        <w:rPr>
          <w:bCs/>
          <w:kern w:val="36"/>
        </w:rPr>
        <w:t>.</w:t>
      </w:r>
    </w:p>
    <w:p w14:paraId="374EA354" w14:textId="6842D8DA" w:rsidR="00C94A6B" w:rsidRPr="00C657DF" w:rsidRDefault="0063754D" w:rsidP="00572623">
      <w:pPr>
        <w:spacing w:after="240"/>
        <w:rPr>
          <w:bCs/>
          <w:kern w:val="36"/>
        </w:rPr>
      </w:pPr>
      <w:r w:rsidRPr="000A72FF">
        <w:t>Disclaimer: This bulletin is not authorization of a provider’s eligibility for the temporary rates and supplemental payments described herein.</w:t>
      </w:r>
      <w:r w:rsidR="00527389">
        <w:t xml:space="preserve"> Eligibility for these rates and supplemental payments</w:t>
      </w:r>
      <w:r w:rsidR="00527389" w:rsidRPr="00527389">
        <w:t xml:space="preserve"> is governed by</w:t>
      </w:r>
      <w:r w:rsidR="00527389">
        <w:t xml:space="preserve"> </w:t>
      </w:r>
      <w:r w:rsidR="00527389">
        <w:rPr>
          <w:bCs/>
          <w:w w:val="105"/>
        </w:rPr>
        <w:t>special amendment to the provider’s MassHealth provider contract.</w:t>
      </w:r>
    </w:p>
    <w:p w14:paraId="77BCF232" w14:textId="0AC3813A" w:rsidR="00C94A6B" w:rsidRPr="00543DE2" w:rsidRDefault="00C94A6B" w:rsidP="00C94A6B">
      <w:pPr>
        <w:pStyle w:val="Title"/>
        <w:rPr>
          <w:sz w:val="22"/>
          <w:szCs w:val="22"/>
        </w:rPr>
      </w:pPr>
      <w:r w:rsidRPr="00AA47A2">
        <w:rPr>
          <w:sz w:val="22"/>
          <w:szCs w:val="22"/>
        </w:rPr>
        <w:t xml:space="preserve"> Background</w:t>
      </w:r>
    </w:p>
    <w:p w14:paraId="14A00E07" w14:textId="678619F4" w:rsidR="0003309C" w:rsidRPr="00C657DF" w:rsidRDefault="00C94A6B" w:rsidP="00C94A6B">
      <w:pPr>
        <w:spacing w:after="240"/>
      </w:pPr>
      <w:r w:rsidRPr="00C657DF">
        <w:t xml:space="preserve">In response to the public health emergency, </w:t>
      </w:r>
      <w:r w:rsidR="00B7447E" w:rsidRPr="00C657DF">
        <w:t xml:space="preserve">Massachusetts is taking unprecedented steps </w:t>
      </w:r>
      <w:r w:rsidRPr="00C657DF">
        <w:t xml:space="preserve">to establish </w:t>
      </w:r>
      <w:r w:rsidRPr="000A72FF">
        <w:t>dedicate</w:t>
      </w:r>
      <w:r w:rsidR="00B7447E" w:rsidRPr="000A72FF">
        <w:t>d COVID-19 Nursing Facilities to care for COVID-19 Residents</w:t>
      </w:r>
      <w:r w:rsidRPr="000A72FF">
        <w:t xml:space="preserve">. </w:t>
      </w:r>
      <w:r w:rsidR="00331313" w:rsidRPr="000A72FF">
        <w:t xml:space="preserve">These measures are being taken </w:t>
      </w:r>
      <w:r w:rsidR="00331313" w:rsidRPr="000A72FF">
        <w:lastRenderedPageBreak/>
        <w:t xml:space="preserve">primarily to </w:t>
      </w:r>
      <w:r w:rsidR="00CA7381">
        <w:t>offset the anticipated surge in demand</w:t>
      </w:r>
      <w:r w:rsidR="00331313" w:rsidRPr="000A72FF">
        <w:t xml:space="preserve"> at acute care hospitals. The</w:t>
      </w:r>
      <w:r w:rsidR="00B7447E" w:rsidRPr="000A72FF">
        <w:t xml:space="preserve"> </w:t>
      </w:r>
      <w:r w:rsidR="00331313" w:rsidRPr="000A72FF">
        <w:t>dedicated COVID-19 Nursing Facilities</w:t>
      </w:r>
      <w:r w:rsidR="00B7447E" w:rsidRPr="000A72FF">
        <w:t xml:space="preserve"> are </w:t>
      </w:r>
      <w:r w:rsidR="00331313" w:rsidRPr="00AA47A2">
        <w:t xml:space="preserve">themselves </w:t>
      </w:r>
      <w:r w:rsidR="00B7447E" w:rsidRPr="00AA47A2">
        <w:t xml:space="preserve">anticipated to face extraordinary demand </w:t>
      </w:r>
      <w:r w:rsidR="00331313" w:rsidRPr="00AA47A2">
        <w:t xml:space="preserve">due to the </w:t>
      </w:r>
      <w:r w:rsidR="00B7447E" w:rsidRPr="00AA47A2">
        <w:t xml:space="preserve">public health emergency, while </w:t>
      </w:r>
      <w:r w:rsidR="00331313" w:rsidRPr="00AA47A2">
        <w:t>in many cases simultaneously</w:t>
      </w:r>
      <w:r w:rsidR="00B7447E" w:rsidRPr="00AA47A2">
        <w:t xml:space="preserve"> suffering disruption to their normal operation</w:t>
      </w:r>
      <w:r w:rsidR="00331313" w:rsidRPr="00AA47A2">
        <w:t xml:space="preserve">.  </w:t>
      </w:r>
      <w:r w:rsidRPr="00C657DF">
        <w:t>Accordingly, EOHHS is establishing updated rates and methodologies as described below.</w:t>
      </w:r>
    </w:p>
    <w:p w14:paraId="36A950AB" w14:textId="2D3B543A" w:rsidR="00103DD1" w:rsidRPr="00AA47A2" w:rsidRDefault="00C657DF" w:rsidP="00AA47A2">
      <w:pPr>
        <w:spacing w:after="240"/>
        <w:jc w:val="center"/>
        <w:rPr>
          <w:b/>
          <w:bCs/>
          <w:kern w:val="36"/>
        </w:rPr>
      </w:pPr>
      <w:r>
        <w:rPr>
          <w:b/>
          <w:bCs/>
          <w:kern w:val="36"/>
        </w:rPr>
        <w:t>Definitions, Payment Methodologies</w:t>
      </w:r>
      <w:r w:rsidR="000A72FF">
        <w:rPr>
          <w:b/>
          <w:bCs/>
          <w:kern w:val="36"/>
        </w:rPr>
        <w:t xml:space="preserve">, </w:t>
      </w:r>
      <w:r>
        <w:rPr>
          <w:b/>
          <w:bCs/>
          <w:kern w:val="36"/>
        </w:rPr>
        <w:t>and Allowable Costs for COVID-19 Providers</w:t>
      </w:r>
    </w:p>
    <w:p w14:paraId="0CB75068" w14:textId="5CAFCBB9" w:rsidR="00572623" w:rsidRPr="00C657DF" w:rsidRDefault="00572623" w:rsidP="00351916">
      <w:pPr>
        <w:pStyle w:val="BodyText"/>
        <w:numPr>
          <w:ilvl w:val="0"/>
          <w:numId w:val="17"/>
        </w:numPr>
        <w:ind w:left="360" w:right="169"/>
        <w:rPr>
          <w:b/>
          <w:bCs/>
          <w:sz w:val="22"/>
          <w:szCs w:val="22"/>
        </w:rPr>
      </w:pPr>
      <w:r w:rsidRPr="00C657DF">
        <w:rPr>
          <w:b/>
          <w:bCs/>
          <w:sz w:val="22"/>
          <w:szCs w:val="22"/>
        </w:rPr>
        <w:t>Definitions</w:t>
      </w:r>
    </w:p>
    <w:p w14:paraId="0DDA49DF" w14:textId="77777777" w:rsidR="00572623" w:rsidRPr="000A72FF" w:rsidRDefault="00572623" w:rsidP="0058679F">
      <w:pPr>
        <w:pStyle w:val="BodyText"/>
        <w:ind w:left="144" w:right="169"/>
        <w:rPr>
          <w:sz w:val="22"/>
          <w:szCs w:val="22"/>
        </w:rPr>
      </w:pPr>
    </w:p>
    <w:p w14:paraId="359982E1" w14:textId="0D3DE955" w:rsidR="00F77DD4" w:rsidRPr="000A72FF" w:rsidRDefault="00F77DD4" w:rsidP="00F77DD4">
      <w:pPr>
        <w:pStyle w:val="BodyText"/>
        <w:ind w:right="169"/>
        <w:rPr>
          <w:bCs/>
          <w:kern w:val="36"/>
          <w:sz w:val="22"/>
          <w:szCs w:val="22"/>
        </w:rPr>
      </w:pPr>
      <w:r w:rsidRPr="000A72FF">
        <w:rPr>
          <w:bCs/>
          <w:kern w:val="36"/>
          <w:sz w:val="22"/>
          <w:szCs w:val="22"/>
        </w:rPr>
        <w:t xml:space="preserve">For the purposes of this </w:t>
      </w:r>
      <w:r w:rsidR="006977C6">
        <w:t xml:space="preserve">administrative </w:t>
      </w:r>
      <w:r w:rsidRPr="000A72FF">
        <w:rPr>
          <w:bCs/>
          <w:kern w:val="36"/>
          <w:sz w:val="22"/>
          <w:szCs w:val="22"/>
        </w:rPr>
        <w:t>bulletin,</w:t>
      </w:r>
      <w:r w:rsidR="00D7138B" w:rsidRPr="000A72FF">
        <w:rPr>
          <w:bCs/>
          <w:kern w:val="36"/>
          <w:sz w:val="22"/>
          <w:szCs w:val="22"/>
        </w:rPr>
        <w:t xml:space="preserve"> the following terms have the meanings specified below</w:t>
      </w:r>
      <w:r w:rsidR="00572623" w:rsidRPr="000A72FF">
        <w:rPr>
          <w:bCs/>
          <w:kern w:val="36"/>
          <w:sz w:val="22"/>
          <w:szCs w:val="22"/>
        </w:rPr>
        <w:t>.</w:t>
      </w:r>
      <w:r w:rsidRPr="000A72FF">
        <w:rPr>
          <w:bCs/>
          <w:kern w:val="36"/>
          <w:sz w:val="22"/>
          <w:szCs w:val="22"/>
        </w:rPr>
        <w:t xml:space="preserve"> All capitalized terms not defined herein shall have the meanings ascribed to those terms by </w:t>
      </w:r>
      <w:r w:rsidR="00221091" w:rsidRPr="000A72FF">
        <w:rPr>
          <w:bCs/>
          <w:kern w:val="36"/>
          <w:sz w:val="22"/>
          <w:szCs w:val="22"/>
        </w:rPr>
        <w:t xml:space="preserve">101 CMR 206:00: </w:t>
      </w:r>
      <w:r w:rsidR="008141FF" w:rsidRPr="000A72FF">
        <w:rPr>
          <w:bCs/>
          <w:i/>
          <w:iCs/>
          <w:kern w:val="36"/>
          <w:sz w:val="22"/>
          <w:szCs w:val="22"/>
        </w:rPr>
        <w:t>Standard Payments to Nursing Facilities</w:t>
      </w:r>
      <w:r w:rsidR="008141FF" w:rsidRPr="000A72FF">
        <w:rPr>
          <w:bCs/>
          <w:kern w:val="36"/>
          <w:sz w:val="22"/>
          <w:szCs w:val="22"/>
        </w:rPr>
        <w:t xml:space="preserve">, </w:t>
      </w:r>
      <w:r w:rsidRPr="000A72FF">
        <w:rPr>
          <w:bCs/>
          <w:kern w:val="36"/>
          <w:sz w:val="22"/>
          <w:szCs w:val="22"/>
        </w:rPr>
        <w:t>130 CMR 456.000</w:t>
      </w:r>
      <w:r w:rsidR="008141FF" w:rsidRPr="000A72FF">
        <w:rPr>
          <w:bCs/>
          <w:kern w:val="36"/>
          <w:sz w:val="22"/>
          <w:szCs w:val="22"/>
        </w:rPr>
        <w:t xml:space="preserve">: </w:t>
      </w:r>
      <w:r w:rsidR="008141FF" w:rsidRPr="000A72FF">
        <w:rPr>
          <w:bCs/>
          <w:i/>
          <w:iCs/>
          <w:kern w:val="36"/>
          <w:sz w:val="22"/>
          <w:szCs w:val="22"/>
        </w:rPr>
        <w:t>Long Term Care Services</w:t>
      </w:r>
      <w:r w:rsidR="008141FF" w:rsidRPr="000A72FF">
        <w:rPr>
          <w:bCs/>
          <w:kern w:val="36"/>
          <w:sz w:val="22"/>
          <w:szCs w:val="22"/>
        </w:rPr>
        <w:t>,</w:t>
      </w:r>
      <w:r w:rsidRPr="000A72FF">
        <w:rPr>
          <w:bCs/>
          <w:kern w:val="36"/>
          <w:sz w:val="22"/>
          <w:szCs w:val="22"/>
        </w:rPr>
        <w:t xml:space="preserve"> </w:t>
      </w:r>
      <w:r w:rsidR="008141FF" w:rsidRPr="000A72FF">
        <w:rPr>
          <w:bCs/>
          <w:kern w:val="36"/>
          <w:sz w:val="22"/>
          <w:szCs w:val="22"/>
        </w:rPr>
        <w:t>or</w:t>
      </w:r>
      <w:r w:rsidRPr="000A72FF">
        <w:rPr>
          <w:bCs/>
          <w:kern w:val="36"/>
          <w:sz w:val="22"/>
          <w:szCs w:val="22"/>
        </w:rPr>
        <w:t xml:space="preserve"> 130 CMR 450.000</w:t>
      </w:r>
      <w:r w:rsidR="008141FF" w:rsidRPr="000A72FF">
        <w:rPr>
          <w:bCs/>
          <w:kern w:val="36"/>
          <w:sz w:val="22"/>
          <w:szCs w:val="22"/>
        </w:rPr>
        <w:t xml:space="preserve">: </w:t>
      </w:r>
      <w:r w:rsidR="008141FF" w:rsidRPr="000A72FF">
        <w:rPr>
          <w:bCs/>
          <w:i/>
          <w:iCs/>
          <w:kern w:val="36"/>
          <w:sz w:val="22"/>
          <w:szCs w:val="22"/>
        </w:rPr>
        <w:t>Administrative and Billing Regulations</w:t>
      </w:r>
      <w:r w:rsidRPr="000A72FF">
        <w:rPr>
          <w:bCs/>
          <w:kern w:val="36"/>
          <w:sz w:val="22"/>
          <w:szCs w:val="22"/>
        </w:rPr>
        <w:t>.</w:t>
      </w:r>
    </w:p>
    <w:p w14:paraId="0E36047C" w14:textId="77777777" w:rsidR="00573CF0" w:rsidRPr="000A72FF" w:rsidRDefault="00573CF0" w:rsidP="00F77DD4">
      <w:pPr>
        <w:pStyle w:val="BodyText"/>
        <w:ind w:right="169"/>
        <w:rPr>
          <w:bCs/>
          <w:kern w:val="36"/>
          <w:sz w:val="22"/>
          <w:szCs w:val="22"/>
        </w:rPr>
      </w:pPr>
    </w:p>
    <w:p w14:paraId="60EFA55E" w14:textId="6A09645F" w:rsidR="00573CF0" w:rsidRPr="00AA47A2" w:rsidRDefault="00573CF0" w:rsidP="00AA47A2">
      <w:pPr>
        <w:pStyle w:val="BodyText"/>
        <w:ind w:right="169"/>
        <w:rPr>
          <w:bCs/>
          <w:w w:val="105"/>
          <w:sz w:val="22"/>
          <w:szCs w:val="22"/>
        </w:rPr>
      </w:pPr>
      <w:r w:rsidRPr="00AA47A2">
        <w:rPr>
          <w:bCs/>
          <w:w w:val="105"/>
          <w:sz w:val="22"/>
          <w:szCs w:val="22"/>
        </w:rPr>
        <w:t xml:space="preserve">“Baseline Facility Revenue” (BFR) shall mean the </w:t>
      </w:r>
      <w:r w:rsidR="00D745BE">
        <w:rPr>
          <w:bCs/>
          <w:w w:val="105"/>
          <w:sz w:val="22"/>
          <w:szCs w:val="22"/>
        </w:rPr>
        <w:t>Nursing Facility</w:t>
      </w:r>
      <w:r w:rsidRPr="00AA47A2">
        <w:rPr>
          <w:bCs/>
          <w:w w:val="105"/>
          <w:sz w:val="22"/>
          <w:szCs w:val="22"/>
        </w:rPr>
        <w:t>’s annualized fourth quarter 2019 net patient services revenue</w:t>
      </w:r>
      <w:r w:rsidR="00833999" w:rsidRPr="00C657DF">
        <w:rPr>
          <w:bCs/>
          <w:w w:val="105"/>
          <w:sz w:val="22"/>
          <w:szCs w:val="22"/>
        </w:rPr>
        <w:t>, or another quarter determined by EOHHS if the fourth quarter of 2019 does not accurately represent the facility’s baseline revenue</w:t>
      </w:r>
      <w:r w:rsidRPr="00AA47A2">
        <w:rPr>
          <w:bCs/>
          <w:w w:val="105"/>
          <w:sz w:val="22"/>
          <w:szCs w:val="22"/>
        </w:rPr>
        <w:t>.</w:t>
      </w:r>
      <w:r w:rsidR="00FA6622">
        <w:rPr>
          <w:bCs/>
          <w:w w:val="105"/>
          <w:sz w:val="22"/>
          <w:szCs w:val="22"/>
        </w:rPr>
        <w:t xml:space="preserve"> Net patient services revenue includes </w:t>
      </w:r>
      <w:r w:rsidR="008E306B" w:rsidRPr="008E306B">
        <w:rPr>
          <w:bCs/>
          <w:w w:val="105"/>
          <w:sz w:val="22"/>
          <w:szCs w:val="22"/>
        </w:rPr>
        <w:t>non-</w:t>
      </w:r>
      <w:r w:rsidR="00027FFB">
        <w:rPr>
          <w:bCs/>
          <w:w w:val="105"/>
          <w:sz w:val="22"/>
          <w:szCs w:val="22"/>
        </w:rPr>
        <w:t>N</w:t>
      </w:r>
      <w:r w:rsidR="008E306B" w:rsidRPr="008E306B">
        <w:rPr>
          <w:bCs/>
          <w:w w:val="105"/>
          <w:sz w:val="22"/>
          <w:szCs w:val="22"/>
        </w:rPr>
        <w:t xml:space="preserve">ursing </w:t>
      </w:r>
      <w:r w:rsidR="00027FFB">
        <w:rPr>
          <w:bCs/>
          <w:w w:val="105"/>
          <w:sz w:val="22"/>
          <w:szCs w:val="22"/>
        </w:rPr>
        <w:t>F</w:t>
      </w:r>
      <w:r w:rsidR="008E306B" w:rsidRPr="008E306B">
        <w:rPr>
          <w:bCs/>
          <w:w w:val="105"/>
          <w:sz w:val="22"/>
          <w:szCs w:val="22"/>
        </w:rPr>
        <w:t xml:space="preserve">acility </w:t>
      </w:r>
      <w:r w:rsidR="00027FFB">
        <w:rPr>
          <w:bCs/>
          <w:w w:val="105"/>
          <w:sz w:val="22"/>
          <w:szCs w:val="22"/>
        </w:rPr>
        <w:t>R</w:t>
      </w:r>
      <w:r w:rsidR="008E306B" w:rsidRPr="008E306B">
        <w:rPr>
          <w:bCs/>
          <w:w w:val="105"/>
          <w:sz w:val="22"/>
          <w:szCs w:val="22"/>
        </w:rPr>
        <w:t>esident care services</w:t>
      </w:r>
      <w:r w:rsidR="008E306B">
        <w:rPr>
          <w:bCs/>
          <w:w w:val="105"/>
          <w:sz w:val="22"/>
          <w:szCs w:val="22"/>
        </w:rPr>
        <w:t>.</w:t>
      </w:r>
      <w:r w:rsidRPr="00AA47A2">
        <w:rPr>
          <w:bCs/>
          <w:w w:val="105"/>
          <w:sz w:val="22"/>
          <w:szCs w:val="22"/>
        </w:rPr>
        <w:t xml:space="preserve"> Baseline Facility Revenue shall not include investment or interest income. </w:t>
      </w:r>
    </w:p>
    <w:p w14:paraId="67486FA3" w14:textId="77777777" w:rsidR="00573CF0" w:rsidRPr="00AA47A2" w:rsidRDefault="00573CF0" w:rsidP="003B6DDA">
      <w:pPr>
        <w:pStyle w:val="BodyText"/>
        <w:ind w:right="169"/>
        <w:rPr>
          <w:bCs/>
          <w:w w:val="105"/>
          <w:sz w:val="22"/>
          <w:szCs w:val="22"/>
        </w:rPr>
      </w:pPr>
    </w:p>
    <w:p w14:paraId="573CE42E" w14:textId="45EFEA4A" w:rsidR="00CC6023" w:rsidRDefault="00CC6023" w:rsidP="008C4129">
      <w:pPr>
        <w:pStyle w:val="BodyText"/>
        <w:ind w:right="169"/>
        <w:rPr>
          <w:bCs/>
          <w:w w:val="105"/>
          <w:sz w:val="22"/>
          <w:szCs w:val="22"/>
        </w:rPr>
      </w:pPr>
      <w:r>
        <w:rPr>
          <w:bCs/>
          <w:w w:val="105"/>
          <w:sz w:val="22"/>
          <w:szCs w:val="22"/>
        </w:rPr>
        <w:t xml:space="preserve">“COVID-19 Nursing Facility Beds” is </w:t>
      </w:r>
      <w:r w:rsidR="008E306B">
        <w:rPr>
          <w:bCs/>
          <w:w w:val="105"/>
          <w:sz w:val="22"/>
          <w:szCs w:val="22"/>
        </w:rPr>
        <w:t>the total number of beds in the COVID-19 Nursing Facility as stated in the special amendment to the</w:t>
      </w:r>
      <w:r w:rsidR="00E2626D">
        <w:rPr>
          <w:bCs/>
          <w:w w:val="105"/>
          <w:sz w:val="22"/>
          <w:szCs w:val="22"/>
        </w:rPr>
        <w:t xml:space="preserve"> COVID-19 Provider’s</w:t>
      </w:r>
      <w:r w:rsidR="008E306B">
        <w:rPr>
          <w:bCs/>
          <w:w w:val="105"/>
          <w:sz w:val="22"/>
          <w:szCs w:val="22"/>
        </w:rPr>
        <w:t xml:space="preserve"> MassHealth Provider Contract. The number of beds shall be maintained </w:t>
      </w:r>
      <w:r w:rsidR="0070701F">
        <w:rPr>
          <w:bCs/>
          <w:w w:val="105"/>
          <w:sz w:val="22"/>
          <w:szCs w:val="22"/>
        </w:rPr>
        <w:t xml:space="preserve">by the </w:t>
      </w:r>
      <w:r w:rsidR="00E2626D">
        <w:rPr>
          <w:bCs/>
          <w:w w:val="105"/>
          <w:sz w:val="22"/>
          <w:szCs w:val="22"/>
        </w:rPr>
        <w:t xml:space="preserve">COVID-19 </w:t>
      </w:r>
      <w:r w:rsidR="0070701F">
        <w:rPr>
          <w:bCs/>
          <w:w w:val="105"/>
          <w:sz w:val="22"/>
          <w:szCs w:val="22"/>
        </w:rPr>
        <w:t xml:space="preserve">Provider </w:t>
      </w:r>
      <w:r w:rsidR="008E306B">
        <w:rPr>
          <w:bCs/>
          <w:w w:val="105"/>
          <w:sz w:val="22"/>
          <w:szCs w:val="22"/>
        </w:rPr>
        <w:t xml:space="preserve">and fixed for the duration of the contract, unless </w:t>
      </w:r>
      <w:r w:rsidR="00E2626D">
        <w:rPr>
          <w:bCs/>
          <w:w w:val="105"/>
          <w:sz w:val="22"/>
          <w:szCs w:val="22"/>
        </w:rPr>
        <w:t xml:space="preserve">a change in the number of beds is </w:t>
      </w:r>
      <w:r w:rsidR="008E306B">
        <w:rPr>
          <w:bCs/>
          <w:w w:val="105"/>
          <w:sz w:val="22"/>
          <w:szCs w:val="22"/>
        </w:rPr>
        <w:t xml:space="preserve">mutually agreed upon by the </w:t>
      </w:r>
      <w:r w:rsidR="00E2626D">
        <w:rPr>
          <w:bCs/>
          <w:w w:val="105"/>
          <w:sz w:val="22"/>
          <w:szCs w:val="22"/>
        </w:rPr>
        <w:t xml:space="preserve">COVID-19 </w:t>
      </w:r>
      <w:r w:rsidR="008E306B">
        <w:rPr>
          <w:bCs/>
          <w:w w:val="105"/>
          <w:sz w:val="22"/>
          <w:szCs w:val="22"/>
        </w:rPr>
        <w:t>Provider and EOHHS.</w:t>
      </w:r>
    </w:p>
    <w:p w14:paraId="70120C78" w14:textId="77777777" w:rsidR="00CC6023" w:rsidRDefault="00CC6023" w:rsidP="008C4129">
      <w:pPr>
        <w:pStyle w:val="BodyText"/>
        <w:ind w:right="169"/>
        <w:rPr>
          <w:bCs/>
          <w:w w:val="105"/>
          <w:sz w:val="22"/>
          <w:szCs w:val="22"/>
        </w:rPr>
      </w:pPr>
    </w:p>
    <w:p w14:paraId="7AB965FF" w14:textId="2EB1A5F9" w:rsidR="008C4129" w:rsidRPr="00796C4E" w:rsidRDefault="008C4129" w:rsidP="008C4129">
      <w:pPr>
        <w:pStyle w:val="BodyText"/>
        <w:ind w:right="169"/>
        <w:rPr>
          <w:bCs/>
          <w:w w:val="105"/>
          <w:sz w:val="22"/>
          <w:szCs w:val="22"/>
        </w:rPr>
      </w:pPr>
      <w:r w:rsidRPr="00796C4E">
        <w:rPr>
          <w:bCs/>
          <w:w w:val="105"/>
          <w:sz w:val="22"/>
          <w:szCs w:val="22"/>
        </w:rPr>
        <w:t>“</w:t>
      </w:r>
      <w:bookmarkStart w:id="1" w:name="_Hlk36899710"/>
      <w:r w:rsidRPr="00796C4E">
        <w:rPr>
          <w:bCs/>
          <w:w w:val="105"/>
          <w:sz w:val="22"/>
          <w:szCs w:val="22"/>
        </w:rPr>
        <w:t>COVID-19 Nursing Facilit</w:t>
      </w:r>
      <w:r>
        <w:rPr>
          <w:bCs/>
          <w:w w:val="105"/>
          <w:sz w:val="22"/>
          <w:szCs w:val="22"/>
        </w:rPr>
        <w:t>y</w:t>
      </w:r>
      <w:bookmarkEnd w:id="1"/>
      <w:r w:rsidRPr="00796C4E">
        <w:rPr>
          <w:bCs/>
          <w:w w:val="105"/>
          <w:sz w:val="22"/>
          <w:szCs w:val="22"/>
        </w:rPr>
        <w:t xml:space="preserve">” </w:t>
      </w:r>
      <w:r>
        <w:rPr>
          <w:bCs/>
          <w:w w:val="105"/>
          <w:sz w:val="22"/>
          <w:szCs w:val="22"/>
        </w:rPr>
        <w:t xml:space="preserve">is a stand-alone </w:t>
      </w:r>
      <w:r w:rsidRPr="00796C4E">
        <w:rPr>
          <w:bCs/>
          <w:w w:val="105"/>
          <w:sz w:val="22"/>
          <w:szCs w:val="22"/>
        </w:rPr>
        <w:t>facilit</w:t>
      </w:r>
      <w:r>
        <w:rPr>
          <w:bCs/>
          <w:w w:val="105"/>
          <w:sz w:val="22"/>
          <w:szCs w:val="22"/>
        </w:rPr>
        <w:t>y</w:t>
      </w:r>
      <w:r w:rsidRPr="00796C4E">
        <w:rPr>
          <w:bCs/>
          <w:w w:val="105"/>
          <w:sz w:val="22"/>
          <w:szCs w:val="22"/>
        </w:rPr>
        <w:t xml:space="preserve"> </w:t>
      </w:r>
      <w:r>
        <w:rPr>
          <w:bCs/>
          <w:w w:val="105"/>
          <w:sz w:val="22"/>
          <w:szCs w:val="22"/>
        </w:rPr>
        <w:t>that has been deemed appropriate for providing Nursing Facility services to COVID-19 Residents, and that is operated by a COVID-19 Provider to provide such services.</w:t>
      </w:r>
      <w:r w:rsidRPr="003228E8">
        <w:rPr>
          <w:bCs/>
          <w:kern w:val="36"/>
          <w:sz w:val="22"/>
          <w:szCs w:val="22"/>
        </w:rPr>
        <w:t xml:space="preserve"> </w:t>
      </w:r>
      <w:r>
        <w:rPr>
          <w:bCs/>
          <w:kern w:val="36"/>
          <w:sz w:val="22"/>
          <w:szCs w:val="22"/>
        </w:rPr>
        <w:t>A COVID-19 Nursing Facility</w:t>
      </w:r>
      <w:r w:rsidRPr="007C30ED">
        <w:rPr>
          <w:bCs/>
          <w:kern w:val="36"/>
          <w:sz w:val="22"/>
          <w:szCs w:val="22"/>
        </w:rPr>
        <w:t xml:space="preserve"> </w:t>
      </w:r>
      <w:r>
        <w:rPr>
          <w:bCs/>
          <w:kern w:val="36"/>
          <w:sz w:val="22"/>
          <w:szCs w:val="22"/>
        </w:rPr>
        <w:t>must</w:t>
      </w:r>
      <w:r w:rsidRPr="007C30ED">
        <w:rPr>
          <w:bCs/>
          <w:kern w:val="36"/>
          <w:sz w:val="22"/>
          <w:szCs w:val="22"/>
        </w:rPr>
        <w:t xml:space="preserve"> meet all </w:t>
      </w:r>
      <w:r>
        <w:rPr>
          <w:bCs/>
          <w:kern w:val="36"/>
          <w:sz w:val="22"/>
          <w:szCs w:val="22"/>
        </w:rPr>
        <w:t xml:space="preserve">federal and state </w:t>
      </w:r>
      <w:r w:rsidRPr="007C30ED">
        <w:rPr>
          <w:bCs/>
          <w:kern w:val="36"/>
          <w:sz w:val="22"/>
          <w:szCs w:val="22"/>
        </w:rPr>
        <w:t>statutory and regulatory requirements</w:t>
      </w:r>
      <w:r w:rsidRPr="0030678E">
        <w:rPr>
          <w:bCs/>
          <w:kern w:val="36"/>
          <w:sz w:val="22"/>
          <w:szCs w:val="22"/>
        </w:rPr>
        <w:t xml:space="preserve"> </w:t>
      </w:r>
      <w:r w:rsidRPr="007C30ED">
        <w:rPr>
          <w:bCs/>
          <w:kern w:val="36"/>
          <w:sz w:val="22"/>
          <w:szCs w:val="22"/>
        </w:rPr>
        <w:t xml:space="preserve">as such requirements apply and are in effect during the State of Emergency, including those in 101 CMR 206.00: </w:t>
      </w:r>
      <w:r w:rsidRPr="007C30ED">
        <w:rPr>
          <w:bCs/>
          <w:i/>
          <w:iCs/>
          <w:kern w:val="36"/>
          <w:sz w:val="22"/>
          <w:szCs w:val="22"/>
        </w:rPr>
        <w:t>Standard Payments to Nursing Facilities</w:t>
      </w:r>
      <w:r w:rsidRPr="007C30ED">
        <w:rPr>
          <w:bCs/>
          <w:kern w:val="36"/>
          <w:sz w:val="22"/>
          <w:szCs w:val="22"/>
        </w:rPr>
        <w:t>, 130 CMR 456.00:</w:t>
      </w:r>
      <w:r w:rsidRPr="007C30ED">
        <w:rPr>
          <w:bCs/>
          <w:i/>
          <w:iCs/>
          <w:kern w:val="36"/>
          <w:sz w:val="22"/>
          <w:szCs w:val="22"/>
        </w:rPr>
        <w:t xml:space="preserve"> Long Term Care Services</w:t>
      </w:r>
      <w:r w:rsidRPr="007C30ED">
        <w:rPr>
          <w:bCs/>
          <w:kern w:val="36"/>
          <w:sz w:val="22"/>
          <w:szCs w:val="22"/>
        </w:rPr>
        <w:t xml:space="preserve">, 130 CMR 450.00: </w:t>
      </w:r>
      <w:r w:rsidRPr="007C30ED">
        <w:rPr>
          <w:bCs/>
          <w:i/>
          <w:iCs/>
          <w:kern w:val="36"/>
          <w:sz w:val="22"/>
          <w:szCs w:val="22"/>
        </w:rPr>
        <w:t>Administrative and Billing Regulations</w:t>
      </w:r>
      <w:r w:rsidRPr="007C30ED">
        <w:rPr>
          <w:bCs/>
          <w:kern w:val="36"/>
          <w:sz w:val="22"/>
          <w:szCs w:val="22"/>
        </w:rPr>
        <w:t>.</w:t>
      </w:r>
    </w:p>
    <w:p w14:paraId="298F5C09" w14:textId="77777777" w:rsidR="008C4129" w:rsidRDefault="008C4129" w:rsidP="008C4129">
      <w:pPr>
        <w:pStyle w:val="BodyText"/>
        <w:ind w:right="169"/>
        <w:rPr>
          <w:bCs/>
          <w:w w:val="105"/>
          <w:sz w:val="22"/>
          <w:szCs w:val="22"/>
        </w:rPr>
      </w:pPr>
    </w:p>
    <w:p w14:paraId="05E3E181" w14:textId="2D629CF8" w:rsidR="008C4129" w:rsidRPr="00796C4E" w:rsidRDefault="008C4129" w:rsidP="008C4129">
      <w:pPr>
        <w:pStyle w:val="BodyText"/>
        <w:ind w:right="169"/>
        <w:rPr>
          <w:bCs/>
          <w:w w:val="105"/>
          <w:sz w:val="22"/>
          <w:szCs w:val="22"/>
        </w:rPr>
      </w:pPr>
      <w:r w:rsidRPr="00796C4E">
        <w:rPr>
          <w:bCs/>
          <w:w w:val="105"/>
          <w:sz w:val="22"/>
          <w:szCs w:val="22"/>
        </w:rPr>
        <w:t xml:space="preserve">“COVID-19 Provider” </w:t>
      </w:r>
      <w:r>
        <w:rPr>
          <w:bCs/>
          <w:w w:val="105"/>
          <w:sz w:val="22"/>
          <w:szCs w:val="22"/>
        </w:rPr>
        <w:t>is a</w:t>
      </w:r>
      <w:r w:rsidRPr="00796C4E">
        <w:rPr>
          <w:bCs/>
          <w:w w:val="105"/>
          <w:sz w:val="22"/>
          <w:szCs w:val="22"/>
        </w:rPr>
        <w:t xml:space="preserve"> Provider </w:t>
      </w:r>
      <w:r>
        <w:rPr>
          <w:bCs/>
          <w:w w:val="105"/>
          <w:sz w:val="22"/>
          <w:szCs w:val="22"/>
        </w:rPr>
        <w:t xml:space="preserve">that has executed a special amendment to their MassHealth Provider Contract to </w:t>
      </w:r>
      <w:r w:rsidRPr="00796C4E">
        <w:rPr>
          <w:bCs/>
          <w:w w:val="105"/>
          <w:sz w:val="22"/>
          <w:szCs w:val="22"/>
        </w:rPr>
        <w:t>provid</w:t>
      </w:r>
      <w:r>
        <w:rPr>
          <w:bCs/>
          <w:w w:val="105"/>
          <w:sz w:val="22"/>
          <w:szCs w:val="22"/>
        </w:rPr>
        <w:t>e</w:t>
      </w:r>
      <w:r w:rsidRPr="00796C4E">
        <w:rPr>
          <w:bCs/>
          <w:w w:val="105"/>
          <w:sz w:val="22"/>
          <w:szCs w:val="22"/>
        </w:rPr>
        <w:t xml:space="preserve"> Nursing Facility services to COVID-19 Residents in</w:t>
      </w:r>
      <w:r>
        <w:rPr>
          <w:bCs/>
          <w:w w:val="105"/>
          <w:sz w:val="22"/>
          <w:szCs w:val="22"/>
        </w:rPr>
        <w:t xml:space="preserve"> a</w:t>
      </w:r>
      <w:r w:rsidRPr="00796C4E">
        <w:rPr>
          <w:bCs/>
          <w:w w:val="105"/>
          <w:sz w:val="22"/>
          <w:szCs w:val="22"/>
        </w:rPr>
        <w:t xml:space="preserve"> COVID-19 </w:t>
      </w:r>
      <w:r>
        <w:rPr>
          <w:bCs/>
          <w:w w:val="105"/>
          <w:sz w:val="22"/>
          <w:szCs w:val="22"/>
        </w:rPr>
        <w:t>Nursing Facility</w:t>
      </w:r>
      <w:r w:rsidRPr="00796C4E">
        <w:rPr>
          <w:bCs/>
          <w:w w:val="105"/>
          <w:sz w:val="22"/>
          <w:szCs w:val="22"/>
        </w:rPr>
        <w:t>.</w:t>
      </w:r>
    </w:p>
    <w:p w14:paraId="4248D070" w14:textId="77777777" w:rsidR="008C4129" w:rsidRPr="00796C4E" w:rsidRDefault="008C4129" w:rsidP="008C4129">
      <w:pPr>
        <w:pStyle w:val="BodyText"/>
        <w:ind w:right="169"/>
        <w:rPr>
          <w:bCs/>
          <w:w w:val="105"/>
          <w:sz w:val="22"/>
          <w:szCs w:val="22"/>
        </w:rPr>
      </w:pPr>
    </w:p>
    <w:p w14:paraId="7A81B755" w14:textId="1E9EA206" w:rsidR="00F5082C" w:rsidRPr="000A72FF" w:rsidRDefault="008C4129" w:rsidP="003B6DDA">
      <w:pPr>
        <w:pStyle w:val="BodyText"/>
        <w:ind w:right="169"/>
        <w:rPr>
          <w:bCs/>
          <w:w w:val="105"/>
          <w:sz w:val="22"/>
          <w:szCs w:val="22"/>
        </w:rPr>
      </w:pPr>
      <w:r w:rsidRPr="00796C4E">
        <w:rPr>
          <w:bCs/>
          <w:w w:val="105"/>
          <w:sz w:val="22"/>
          <w:szCs w:val="22"/>
        </w:rPr>
        <w:t xml:space="preserve">“COVID-19 Resident” </w:t>
      </w:r>
      <w:r>
        <w:rPr>
          <w:bCs/>
          <w:w w:val="105"/>
          <w:sz w:val="22"/>
          <w:szCs w:val="22"/>
        </w:rPr>
        <w:t>is an individual</w:t>
      </w:r>
      <w:r w:rsidRPr="00796C4E">
        <w:rPr>
          <w:bCs/>
          <w:w w:val="105"/>
          <w:sz w:val="22"/>
          <w:szCs w:val="22"/>
        </w:rPr>
        <w:t xml:space="preserve"> who is admitted to the </w:t>
      </w:r>
      <w:r>
        <w:rPr>
          <w:bCs/>
          <w:w w:val="105"/>
          <w:sz w:val="22"/>
          <w:szCs w:val="22"/>
        </w:rPr>
        <w:t>COVID-19 Nursing Facility</w:t>
      </w:r>
      <w:r w:rsidRPr="00796C4E">
        <w:rPr>
          <w:bCs/>
          <w:w w:val="105"/>
          <w:sz w:val="22"/>
          <w:szCs w:val="22"/>
        </w:rPr>
        <w:t xml:space="preserve"> to receive </w:t>
      </w:r>
      <w:r>
        <w:rPr>
          <w:bCs/>
          <w:w w:val="105"/>
          <w:sz w:val="22"/>
          <w:szCs w:val="22"/>
        </w:rPr>
        <w:t>N</w:t>
      </w:r>
      <w:r w:rsidRPr="00796C4E">
        <w:rPr>
          <w:bCs/>
          <w:w w:val="105"/>
          <w:sz w:val="22"/>
          <w:szCs w:val="22"/>
        </w:rPr>
        <w:t xml:space="preserve">ursing </w:t>
      </w:r>
      <w:r>
        <w:rPr>
          <w:bCs/>
          <w:w w:val="105"/>
          <w:sz w:val="22"/>
          <w:szCs w:val="22"/>
        </w:rPr>
        <w:t>F</w:t>
      </w:r>
      <w:r w:rsidRPr="00796C4E">
        <w:rPr>
          <w:bCs/>
          <w:w w:val="105"/>
          <w:sz w:val="22"/>
          <w:szCs w:val="22"/>
        </w:rPr>
        <w:t>acility services</w:t>
      </w:r>
      <w:r>
        <w:rPr>
          <w:bCs/>
          <w:w w:val="105"/>
          <w:sz w:val="22"/>
          <w:szCs w:val="22"/>
        </w:rPr>
        <w:t>,</w:t>
      </w:r>
      <w:r w:rsidRPr="00796C4E">
        <w:rPr>
          <w:bCs/>
          <w:w w:val="105"/>
          <w:sz w:val="22"/>
          <w:szCs w:val="22"/>
        </w:rPr>
        <w:t xml:space="preserve"> consistent with 130 CMR 456.000: </w:t>
      </w:r>
      <w:r w:rsidRPr="00796C4E">
        <w:rPr>
          <w:bCs/>
          <w:i/>
          <w:iCs/>
          <w:w w:val="105"/>
          <w:sz w:val="22"/>
          <w:szCs w:val="22"/>
        </w:rPr>
        <w:t>Long Term Care Services</w:t>
      </w:r>
      <w:r>
        <w:rPr>
          <w:bCs/>
          <w:w w:val="105"/>
          <w:sz w:val="22"/>
          <w:szCs w:val="22"/>
        </w:rPr>
        <w:t>,</w:t>
      </w:r>
      <w:r w:rsidRPr="00796C4E">
        <w:rPr>
          <w:bCs/>
          <w:w w:val="105"/>
          <w:sz w:val="22"/>
          <w:szCs w:val="22"/>
        </w:rPr>
        <w:t xml:space="preserve"> and who </w:t>
      </w:r>
      <w:r>
        <w:rPr>
          <w:bCs/>
          <w:w w:val="105"/>
          <w:sz w:val="22"/>
          <w:szCs w:val="22"/>
        </w:rPr>
        <w:t>is being</w:t>
      </w:r>
      <w:r w:rsidRPr="00796C4E">
        <w:rPr>
          <w:bCs/>
          <w:w w:val="105"/>
          <w:sz w:val="22"/>
          <w:szCs w:val="22"/>
        </w:rPr>
        <w:t xml:space="preserve"> treated in a contained area due to COVID-19 exposure, diagnosis, or recovery. Any </w:t>
      </w:r>
      <w:r>
        <w:rPr>
          <w:bCs/>
          <w:w w:val="105"/>
          <w:sz w:val="22"/>
          <w:szCs w:val="22"/>
        </w:rPr>
        <w:t>individual</w:t>
      </w:r>
      <w:r w:rsidRPr="00796C4E">
        <w:rPr>
          <w:bCs/>
          <w:w w:val="105"/>
          <w:sz w:val="22"/>
          <w:szCs w:val="22"/>
        </w:rPr>
        <w:t xml:space="preserve"> admitted to </w:t>
      </w:r>
      <w:r>
        <w:rPr>
          <w:bCs/>
          <w:w w:val="105"/>
          <w:sz w:val="22"/>
          <w:szCs w:val="22"/>
        </w:rPr>
        <w:t>a COVID-19 Nursing Facility</w:t>
      </w:r>
      <w:r w:rsidRPr="00796C4E">
        <w:rPr>
          <w:bCs/>
          <w:w w:val="105"/>
          <w:sz w:val="22"/>
          <w:szCs w:val="22"/>
        </w:rPr>
        <w:t xml:space="preserve"> shall be considered a COVID-19 Resident, regardless of whether the services rendered are specific to treating COVID-19 symptoms or specialized COVID-19 related needs. </w:t>
      </w:r>
      <w:r>
        <w:rPr>
          <w:bCs/>
          <w:w w:val="105"/>
          <w:sz w:val="22"/>
          <w:szCs w:val="22"/>
        </w:rPr>
        <w:t>COVID-19 Residents</w:t>
      </w:r>
      <w:r w:rsidRPr="00796C4E">
        <w:rPr>
          <w:bCs/>
          <w:w w:val="105"/>
          <w:sz w:val="22"/>
          <w:szCs w:val="22"/>
        </w:rPr>
        <w:t xml:space="preserve"> include both MassHealth </w:t>
      </w:r>
      <w:r>
        <w:rPr>
          <w:bCs/>
          <w:w w:val="105"/>
          <w:sz w:val="22"/>
          <w:szCs w:val="22"/>
        </w:rPr>
        <w:t>M</w:t>
      </w:r>
      <w:r w:rsidRPr="00796C4E">
        <w:rPr>
          <w:bCs/>
          <w:w w:val="105"/>
          <w:sz w:val="22"/>
          <w:szCs w:val="22"/>
        </w:rPr>
        <w:t>embers and non-</w:t>
      </w:r>
      <w:r>
        <w:rPr>
          <w:bCs/>
          <w:w w:val="105"/>
          <w:sz w:val="22"/>
          <w:szCs w:val="22"/>
        </w:rPr>
        <w:t>M</w:t>
      </w:r>
      <w:r w:rsidRPr="00796C4E">
        <w:rPr>
          <w:bCs/>
          <w:w w:val="105"/>
          <w:sz w:val="22"/>
          <w:szCs w:val="22"/>
        </w:rPr>
        <w:t xml:space="preserve">embers who are </w:t>
      </w:r>
      <w:r>
        <w:rPr>
          <w:bCs/>
          <w:w w:val="105"/>
          <w:sz w:val="22"/>
          <w:szCs w:val="22"/>
        </w:rPr>
        <w:t>R</w:t>
      </w:r>
      <w:r w:rsidRPr="00796C4E">
        <w:rPr>
          <w:bCs/>
          <w:w w:val="105"/>
          <w:sz w:val="22"/>
          <w:szCs w:val="22"/>
        </w:rPr>
        <w:t xml:space="preserve">esidents of the </w:t>
      </w:r>
      <w:r>
        <w:rPr>
          <w:bCs/>
          <w:w w:val="105"/>
          <w:sz w:val="22"/>
          <w:szCs w:val="22"/>
        </w:rPr>
        <w:t>COVID-19 Nursing Facility</w:t>
      </w:r>
      <w:r w:rsidRPr="00796C4E">
        <w:rPr>
          <w:bCs/>
          <w:w w:val="105"/>
          <w:sz w:val="22"/>
          <w:szCs w:val="22"/>
        </w:rPr>
        <w:t>.</w:t>
      </w:r>
    </w:p>
    <w:p w14:paraId="2A8A4084" w14:textId="77777777" w:rsidR="00AA47A2" w:rsidRDefault="00AA47A2" w:rsidP="003B6DDA">
      <w:pPr>
        <w:pStyle w:val="BodyText"/>
        <w:ind w:right="169"/>
        <w:rPr>
          <w:bCs/>
          <w:w w:val="105"/>
          <w:sz w:val="22"/>
          <w:szCs w:val="22"/>
        </w:rPr>
      </w:pPr>
    </w:p>
    <w:p w14:paraId="436B23CA" w14:textId="096C3F0C" w:rsidR="00F5082C" w:rsidRPr="000A72FF" w:rsidRDefault="00F5082C" w:rsidP="003B6DDA">
      <w:pPr>
        <w:pStyle w:val="BodyText"/>
        <w:ind w:right="169"/>
        <w:rPr>
          <w:bCs/>
          <w:w w:val="105"/>
          <w:sz w:val="22"/>
          <w:szCs w:val="22"/>
        </w:rPr>
      </w:pPr>
      <w:r w:rsidRPr="000A72FF">
        <w:rPr>
          <w:bCs/>
          <w:w w:val="105"/>
          <w:sz w:val="22"/>
          <w:szCs w:val="22"/>
        </w:rPr>
        <w:t>“Occupancy Rate” shall mean</w:t>
      </w:r>
      <w:r w:rsidR="00E163B2" w:rsidRPr="000A72FF">
        <w:rPr>
          <w:bCs/>
          <w:w w:val="105"/>
          <w:sz w:val="22"/>
          <w:szCs w:val="22"/>
        </w:rPr>
        <w:t>, for a given time period,</w:t>
      </w:r>
      <w:r w:rsidRPr="000A72FF">
        <w:rPr>
          <w:bCs/>
          <w:w w:val="105"/>
          <w:sz w:val="22"/>
          <w:szCs w:val="22"/>
        </w:rPr>
        <w:t xml:space="preserve"> </w:t>
      </w:r>
      <w:r w:rsidR="00C815A7" w:rsidRPr="000A72FF">
        <w:rPr>
          <w:bCs/>
          <w:w w:val="105"/>
          <w:sz w:val="22"/>
          <w:szCs w:val="22"/>
        </w:rPr>
        <w:t xml:space="preserve">Patient </w:t>
      </w:r>
      <w:r w:rsidR="009622B4" w:rsidRPr="000A72FF">
        <w:rPr>
          <w:bCs/>
          <w:w w:val="105"/>
          <w:sz w:val="22"/>
          <w:szCs w:val="22"/>
        </w:rPr>
        <w:t xml:space="preserve">Days </w:t>
      </w:r>
      <w:r w:rsidR="00E163B2" w:rsidRPr="000A72FF">
        <w:rPr>
          <w:bCs/>
          <w:w w:val="105"/>
          <w:sz w:val="22"/>
          <w:szCs w:val="22"/>
        </w:rPr>
        <w:t xml:space="preserve">divided by the total number of </w:t>
      </w:r>
      <w:r w:rsidR="00F515AF">
        <w:rPr>
          <w:bCs/>
          <w:w w:val="105"/>
          <w:sz w:val="22"/>
          <w:szCs w:val="22"/>
        </w:rPr>
        <w:t>COVID-19 Nursing Facility</w:t>
      </w:r>
      <w:r w:rsidR="00F515AF" w:rsidRPr="000A72FF">
        <w:rPr>
          <w:bCs/>
          <w:w w:val="105"/>
          <w:sz w:val="22"/>
          <w:szCs w:val="22"/>
        </w:rPr>
        <w:t xml:space="preserve"> </w:t>
      </w:r>
      <w:r w:rsidR="00F515AF">
        <w:rPr>
          <w:bCs/>
          <w:w w:val="105"/>
          <w:sz w:val="22"/>
          <w:szCs w:val="22"/>
        </w:rPr>
        <w:t>B</w:t>
      </w:r>
      <w:r w:rsidR="00E163B2" w:rsidRPr="000A72FF">
        <w:rPr>
          <w:bCs/>
          <w:w w:val="105"/>
          <w:sz w:val="22"/>
          <w:szCs w:val="22"/>
        </w:rPr>
        <w:t xml:space="preserve">eds in the COVID-19 </w:t>
      </w:r>
      <w:r w:rsidR="00CC6023">
        <w:rPr>
          <w:bCs/>
          <w:w w:val="105"/>
          <w:sz w:val="22"/>
          <w:szCs w:val="22"/>
        </w:rPr>
        <w:t>Nursing Facility</w:t>
      </w:r>
      <w:r w:rsidR="00DA09FA" w:rsidRPr="000A72FF">
        <w:rPr>
          <w:bCs/>
          <w:w w:val="105"/>
          <w:sz w:val="22"/>
          <w:szCs w:val="22"/>
        </w:rPr>
        <w:t>.</w:t>
      </w:r>
    </w:p>
    <w:p w14:paraId="1622A080" w14:textId="77777777" w:rsidR="00573CF0" w:rsidRPr="000A72FF" w:rsidRDefault="00573CF0" w:rsidP="003B6DDA">
      <w:pPr>
        <w:pStyle w:val="BodyText"/>
        <w:ind w:right="169"/>
        <w:rPr>
          <w:bCs/>
          <w:w w:val="105"/>
          <w:sz w:val="22"/>
          <w:szCs w:val="22"/>
        </w:rPr>
      </w:pPr>
    </w:p>
    <w:p w14:paraId="7195AD34" w14:textId="09C481A2" w:rsidR="00573CF0" w:rsidRPr="000A72FF" w:rsidRDefault="00573CF0" w:rsidP="00952FFE">
      <w:pPr>
        <w:pStyle w:val="BodyText"/>
        <w:ind w:right="169"/>
        <w:rPr>
          <w:bCs/>
          <w:w w:val="105"/>
          <w:sz w:val="22"/>
          <w:szCs w:val="22"/>
        </w:rPr>
      </w:pPr>
      <w:r w:rsidRPr="000A72FF">
        <w:rPr>
          <w:bCs/>
          <w:w w:val="105"/>
          <w:sz w:val="22"/>
          <w:szCs w:val="22"/>
        </w:rPr>
        <w:t xml:space="preserve">“Profit” shall mean net patient service revenue for the </w:t>
      </w:r>
      <w:r w:rsidR="00236AC5" w:rsidRPr="000A72FF">
        <w:rPr>
          <w:bCs/>
          <w:w w:val="105"/>
          <w:sz w:val="22"/>
          <w:szCs w:val="22"/>
        </w:rPr>
        <w:t>COVID-19 Nursing Facility</w:t>
      </w:r>
      <w:r w:rsidRPr="000A72FF">
        <w:rPr>
          <w:bCs/>
          <w:w w:val="105"/>
          <w:sz w:val="22"/>
          <w:szCs w:val="22"/>
        </w:rPr>
        <w:t xml:space="preserve"> minus allowable operating expenses, </w:t>
      </w:r>
      <w:r w:rsidR="00236AC5" w:rsidRPr="000A72FF">
        <w:rPr>
          <w:bCs/>
          <w:w w:val="105"/>
          <w:sz w:val="22"/>
          <w:szCs w:val="22"/>
        </w:rPr>
        <w:t xml:space="preserve">as described in </w:t>
      </w:r>
      <w:r w:rsidR="00236AC5" w:rsidRPr="00952FFE">
        <w:rPr>
          <w:b/>
          <w:bCs/>
          <w:w w:val="105"/>
          <w:sz w:val="22"/>
          <w:szCs w:val="22"/>
        </w:rPr>
        <w:t>Section 4</w:t>
      </w:r>
      <w:r w:rsidRPr="000A72FF">
        <w:rPr>
          <w:bCs/>
          <w:w w:val="105"/>
          <w:sz w:val="22"/>
          <w:szCs w:val="22"/>
        </w:rPr>
        <w:t xml:space="preserve">, for the </w:t>
      </w:r>
      <w:r w:rsidR="00236AC5" w:rsidRPr="000A72FF">
        <w:rPr>
          <w:bCs/>
          <w:w w:val="105"/>
          <w:sz w:val="22"/>
          <w:szCs w:val="22"/>
        </w:rPr>
        <w:t>COVID-19 Nursing Facility</w:t>
      </w:r>
      <w:r w:rsidRPr="000A72FF">
        <w:rPr>
          <w:bCs/>
          <w:w w:val="105"/>
          <w:sz w:val="22"/>
          <w:szCs w:val="22"/>
        </w:rPr>
        <w:t xml:space="preserve">. </w:t>
      </w:r>
    </w:p>
    <w:p w14:paraId="18830B2B" w14:textId="77777777" w:rsidR="00B208C9" w:rsidRPr="000A72FF" w:rsidRDefault="00B208C9" w:rsidP="003B6DDA">
      <w:pPr>
        <w:pStyle w:val="BodyText"/>
        <w:ind w:right="169"/>
        <w:rPr>
          <w:bCs/>
          <w:w w:val="105"/>
          <w:sz w:val="22"/>
          <w:szCs w:val="22"/>
        </w:rPr>
      </w:pPr>
    </w:p>
    <w:p w14:paraId="3C0E6FA4" w14:textId="6C5819E8" w:rsidR="00C155FB" w:rsidRPr="000A72FF" w:rsidRDefault="00573CF0" w:rsidP="00952FFE">
      <w:pPr>
        <w:pStyle w:val="BodyText"/>
        <w:ind w:right="169"/>
        <w:rPr>
          <w:bCs/>
          <w:w w:val="105"/>
          <w:sz w:val="22"/>
          <w:szCs w:val="22"/>
        </w:rPr>
      </w:pPr>
      <w:bookmarkStart w:id="2" w:name="_Hlk36894603"/>
      <w:r w:rsidRPr="00FA706C">
        <w:rPr>
          <w:bCs/>
          <w:w w:val="105"/>
          <w:sz w:val="22"/>
          <w:szCs w:val="22"/>
        </w:rPr>
        <w:lastRenderedPageBreak/>
        <w:t xml:space="preserve">“Transition Day” </w:t>
      </w:r>
      <w:r w:rsidRPr="00C657DF">
        <w:rPr>
          <w:bCs/>
          <w:w w:val="105"/>
          <w:sz w:val="22"/>
          <w:szCs w:val="22"/>
        </w:rPr>
        <w:t xml:space="preserve">shall mean the day after the last COVID-19 Resident is transferred or discharged from the </w:t>
      </w:r>
      <w:r w:rsidR="00D87A5E" w:rsidRPr="00796C4E">
        <w:rPr>
          <w:bCs/>
          <w:w w:val="105"/>
          <w:sz w:val="22"/>
          <w:szCs w:val="22"/>
        </w:rPr>
        <w:t>COVID-19 Nursing Facilit</w:t>
      </w:r>
      <w:r w:rsidR="00D87A5E">
        <w:rPr>
          <w:bCs/>
          <w:w w:val="105"/>
          <w:sz w:val="22"/>
          <w:szCs w:val="22"/>
        </w:rPr>
        <w:t>y</w:t>
      </w:r>
      <w:r w:rsidRPr="00C657DF">
        <w:rPr>
          <w:bCs/>
          <w:w w:val="105"/>
          <w:sz w:val="22"/>
          <w:szCs w:val="22"/>
        </w:rPr>
        <w:t>,</w:t>
      </w:r>
      <w:r w:rsidR="00DE3193">
        <w:rPr>
          <w:bCs/>
          <w:w w:val="105"/>
          <w:sz w:val="22"/>
          <w:szCs w:val="22"/>
        </w:rPr>
        <w:t xml:space="preserve"> </w:t>
      </w:r>
      <w:r w:rsidR="007841B9">
        <w:rPr>
          <w:bCs/>
          <w:w w:val="105"/>
          <w:sz w:val="22"/>
          <w:szCs w:val="22"/>
        </w:rPr>
        <w:t xml:space="preserve">or </w:t>
      </w:r>
      <w:r w:rsidR="00D61062" w:rsidRPr="00D61062">
        <w:rPr>
          <w:bCs/>
          <w:w w:val="105"/>
          <w:sz w:val="22"/>
          <w:szCs w:val="22"/>
        </w:rPr>
        <w:t>on the day that testing or provider's clinical assessment, using the Department of Public Health's clearance guidance, demonstrates that no residents have an active diagnosis of COVID-19</w:t>
      </w:r>
      <w:r w:rsidR="00D61062">
        <w:rPr>
          <w:bCs/>
          <w:w w:val="105"/>
          <w:sz w:val="22"/>
          <w:szCs w:val="22"/>
        </w:rPr>
        <w:t xml:space="preserve">, </w:t>
      </w:r>
      <w:r w:rsidRPr="00C657DF">
        <w:rPr>
          <w:bCs/>
          <w:w w:val="105"/>
          <w:sz w:val="22"/>
          <w:szCs w:val="22"/>
        </w:rPr>
        <w:t>with no further COVID-19 Residents expected to be admitted</w:t>
      </w:r>
      <w:r w:rsidR="00723A7D" w:rsidRPr="000A72FF">
        <w:rPr>
          <w:bCs/>
          <w:w w:val="105"/>
        </w:rPr>
        <w:t xml:space="preserve"> as determined by EOHHS.</w:t>
      </w:r>
      <w:bookmarkEnd w:id="2"/>
    </w:p>
    <w:p w14:paraId="7033B7B2" w14:textId="77777777" w:rsidR="00F5082C" w:rsidRPr="000A72FF" w:rsidRDefault="00F5082C" w:rsidP="00F5082C">
      <w:pPr>
        <w:pStyle w:val="BodyText"/>
        <w:ind w:right="169"/>
        <w:rPr>
          <w:bCs/>
          <w:kern w:val="36"/>
          <w:sz w:val="22"/>
          <w:szCs w:val="22"/>
        </w:rPr>
      </w:pPr>
    </w:p>
    <w:p w14:paraId="7DA4A5D2" w14:textId="695E79C9" w:rsidR="00AE3DA0" w:rsidRPr="000A72FF" w:rsidRDefault="00AE3DA0" w:rsidP="00351916">
      <w:pPr>
        <w:pStyle w:val="ListParagraph"/>
        <w:numPr>
          <w:ilvl w:val="0"/>
          <w:numId w:val="17"/>
        </w:numPr>
        <w:ind w:left="360"/>
        <w:rPr>
          <w:b/>
          <w:kern w:val="36"/>
        </w:rPr>
      </w:pPr>
      <w:r w:rsidRPr="000A72FF">
        <w:rPr>
          <w:b/>
          <w:kern w:val="36"/>
        </w:rPr>
        <w:t>Per Diem Rates for COVID-19 Residents who are MassHealth Members</w:t>
      </w:r>
    </w:p>
    <w:p w14:paraId="0E303282" w14:textId="77777777" w:rsidR="004766D2" w:rsidRPr="000A72FF" w:rsidRDefault="004766D2" w:rsidP="00AE3DA0">
      <w:pPr>
        <w:rPr>
          <w:b/>
          <w:kern w:val="36"/>
        </w:rPr>
      </w:pPr>
    </w:p>
    <w:p w14:paraId="307A587C" w14:textId="5DCD8A93" w:rsidR="00AE3DA0" w:rsidRPr="000A72FF" w:rsidRDefault="00F5082C" w:rsidP="00AE3DA0">
      <w:pPr>
        <w:pStyle w:val="BodyText"/>
        <w:ind w:right="169"/>
        <w:rPr>
          <w:bCs/>
          <w:kern w:val="36"/>
          <w:sz w:val="22"/>
          <w:szCs w:val="22"/>
        </w:rPr>
      </w:pPr>
      <w:bookmarkStart w:id="3" w:name="_Hlk36897861"/>
      <w:r w:rsidRPr="000A72FF">
        <w:rPr>
          <w:bCs/>
          <w:kern w:val="36"/>
          <w:sz w:val="22"/>
          <w:szCs w:val="22"/>
        </w:rPr>
        <w:t xml:space="preserve">Effective for dates of service beginning </w:t>
      </w:r>
      <w:r w:rsidR="00FA4A3C">
        <w:rPr>
          <w:bCs/>
          <w:kern w:val="36"/>
          <w:sz w:val="22"/>
          <w:szCs w:val="22"/>
        </w:rPr>
        <w:t>April 1</w:t>
      </w:r>
      <w:r w:rsidRPr="000A72FF">
        <w:rPr>
          <w:bCs/>
          <w:kern w:val="36"/>
          <w:sz w:val="22"/>
          <w:szCs w:val="22"/>
        </w:rPr>
        <w:t>, 2020</w:t>
      </w:r>
      <w:bookmarkEnd w:id="3"/>
      <w:r w:rsidRPr="00C657DF">
        <w:rPr>
          <w:bCs/>
          <w:kern w:val="36"/>
          <w:sz w:val="22"/>
          <w:szCs w:val="22"/>
        </w:rPr>
        <w:t>, and n</w:t>
      </w:r>
      <w:r w:rsidR="00AE3DA0" w:rsidRPr="00C657DF">
        <w:rPr>
          <w:bCs/>
          <w:kern w:val="36"/>
          <w:sz w:val="22"/>
          <w:szCs w:val="22"/>
        </w:rPr>
        <w:t xml:space="preserve">otwithstanding </w:t>
      </w:r>
      <w:r w:rsidR="000B6BB6" w:rsidRPr="000A72FF">
        <w:rPr>
          <w:bCs/>
          <w:kern w:val="36"/>
          <w:sz w:val="22"/>
          <w:szCs w:val="22"/>
        </w:rPr>
        <w:t xml:space="preserve">any </w:t>
      </w:r>
      <w:r w:rsidR="00AE3DA0" w:rsidRPr="000A72FF">
        <w:rPr>
          <w:bCs/>
          <w:kern w:val="36"/>
          <w:sz w:val="22"/>
          <w:szCs w:val="22"/>
        </w:rPr>
        <w:t xml:space="preserve">rates established under 101 CMR 206: </w:t>
      </w:r>
      <w:r w:rsidR="00AE3DA0" w:rsidRPr="000A72FF">
        <w:rPr>
          <w:bCs/>
          <w:i/>
          <w:iCs/>
          <w:kern w:val="36"/>
          <w:sz w:val="22"/>
          <w:szCs w:val="22"/>
        </w:rPr>
        <w:t>Standard Payments to Nursing Facilities</w:t>
      </w:r>
      <w:r w:rsidR="00AE3DA0" w:rsidRPr="000A72FF">
        <w:rPr>
          <w:bCs/>
          <w:kern w:val="36"/>
          <w:sz w:val="22"/>
          <w:szCs w:val="22"/>
        </w:rPr>
        <w:t xml:space="preserve">, the per diem payment rate for MassHealth </w:t>
      </w:r>
      <w:r w:rsidR="003A0A4E" w:rsidRPr="000A72FF">
        <w:rPr>
          <w:bCs/>
          <w:kern w:val="36"/>
          <w:sz w:val="22"/>
          <w:szCs w:val="22"/>
        </w:rPr>
        <w:t>Member</w:t>
      </w:r>
      <w:r w:rsidR="00AE3DA0" w:rsidRPr="000A72FF">
        <w:rPr>
          <w:bCs/>
          <w:kern w:val="36"/>
          <w:sz w:val="22"/>
          <w:szCs w:val="22"/>
        </w:rPr>
        <w:t xml:space="preserve">s who are COVID-19 Residents in a COVID-19 </w:t>
      </w:r>
      <w:r w:rsidR="008F4D39" w:rsidRPr="000A72FF">
        <w:rPr>
          <w:bCs/>
          <w:kern w:val="36"/>
          <w:sz w:val="22"/>
          <w:szCs w:val="22"/>
        </w:rPr>
        <w:t xml:space="preserve">Nursing Facility </w:t>
      </w:r>
      <w:r w:rsidR="00AE3DA0" w:rsidRPr="000A72FF">
        <w:rPr>
          <w:bCs/>
          <w:kern w:val="36"/>
          <w:sz w:val="22"/>
          <w:szCs w:val="22"/>
        </w:rPr>
        <w:t xml:space="preserve">shall be not less than $600 per </w:t>
      </w:r>
      <w:r w:rsidR="003A0A4E" w:rsidRPr="000A72FF">
        <w:rPr>
          <w:bCs/>
          <w:kern w:val="36"/>
          <w:sz w:val="22"/>
          <w:szCs w:val="22"/>
        </w:rPr>
        <w:t>Member</w:t>
      </w:r>
      <w:r w:rsidR="00AE3DA0" w:rsidRPr="000A72FF">
        <w:rPr>
          <w:bCs/>
          <w:kern w:val="36"/>
          <w:sz w:val="22"/>
          <w:szCs w:val="22"/>
        </w:rPr>
        <w:t xml:space="preserve"> per day. </w:t>
      </w:r>
      <w:r w:rsidR="00862818">
        <w:rPr>
          <w:bCs/>
          <w:kern w:val="36"/>
          <w:sz w:val="22"/>
          <w:szCs w:val="22"/>
        </w:rPr>
        <w:t xml:space="preserve">This per diem rate shall apply until the Transition Day, at which point the Nursing Facility’s per diem rates shall revert to the rates applicable to the nursing facility under 101 CMR 206.00: </w:t>
      </w:r>
      <w:r w:rsidR="00862818" w:rsidRPr="000A72FF">
        <w:rPr>
          <w:bCs/>
          <w:i/>
          <w:iCs/>
          <w:kern w:val="36"/>
          <w:sz w:val="22"/>
          <w:szCs w:val="22"/>
        </w:rPr>
        <w:t>Standard Payments to Nursing Facilities</w:t>
      </w:r>
      <w:r w:rsidR="00862818">
        <w:rPr>
          <w:bCs/>
          <w:kern w:val="36"/>
          <w:sz w:val="22"/>
          <w:szCs w:val="22"/>
        </w:rPr>
        <w:t xml:space="preserve"> for services provided to MassHealth Members at the Nursing Facility.</w:t>
      </w:r>
    </w:p>
    <w:p w14:paraId="60A155CD" w14:textId="77777777" w:rsidR="00AE3DA0" w:rsidRPr="000A72FF" w:rsidRDefault="00AE3DA0" w:rsidP="00AE3DA0">
      <w:pPr>
        <w:pStyle w:val="BodyText"/>
        <w:ind w:right="169"/>
        <w:rPr>
          <w:bCs/>
          <w:kern w:val="36"/>
          <w:sz w:val="22"/>
          <w:szCs w:val="22"/>
        </w:rPr>
      </w:pPr>
    </w:p>
    <w:p w14:paraId="09D4506D" w14:textId="4F743AB8" w:rsidR="00351916" w:rsidRPr="000A72FF" w:rsidRDefault="00C155FB" w:rsidP="00351916">
      <w:pPr>
        <w:pStyle w:val="ListParagraph"/>
        <w:numPr>
          <w:ilvl w:val="0"/>
          <w:numId w:val="17"/>
        </w:numPr>
        <w:ind w:left="360"/>
        <w:rPr>
          <w:b/>
          <w:kern w:val="36"/>
        </w:rPr>
      </w:pPr>
      <w:r w:rsidRPr="000A72FF">
        <w:rPr>
          <w:b/>
          <w:kern w:val="36"/>
        </w:rPr>
        <w:t xml:space="preserve">Supplemental Payments to </w:t>
      </w:r>
      <w:r w:rsidR="00DA09FA" w:rsidRPr="000A72FF">
        <w:rPr>
          <w:b/>
          <w:kern w:val="36"/>
        </w:rPr>
        <w:t>COVID-19</w:t>
      </w:r>
      <w:r w:rsidRPr="000A72FF">
        <w:rPr>
          <w:b/>
          <w:kern w:val="36"/>
        </w:rPr>
        <w:t xml:space="preserve"> Providers</w:t>
      </w:r>
    </w:p>
    <w:p w14:paraId="6BFC70D4" w14:textId="77777777" w:rsidR="00351916" w:rsidRPr="000A72FF" w:rsidRDefault="00351916" w:rsidP="00351916">
      <w:pPr>
        <w:pStyle w:val="ListParagraph"/>
        <w:ind w:left="360" w:firstLine="0"/>
        <w:rPr>
          <w:b/>
          <w:kern w:val="36"/>
        </w:rPr>
      </w:pPr>
    </w:p>
    <w:p w14:paraId="48E46A31" w14:textId="097EA495" w:rsidR="00351916" w:rsidRPr="000A72FF" w:rsidRDefault="00483EA6" w:rsidP="00351916">
      <w:pPr>
        <w:pStyle w:val="ListParagraph"/>
        <w:numPr>
          <w:ilvl w:val="1"/>
          <w:numId w:val="17"/>
        </w:numPr>
        <w:ind w:left="720"/>
        <w:rPr>
          <w:b/>
          <w:kern w:val="36"/>
        </w:rPr>
      </w:pPr>
      <w:r w:rsidRPr="000A72FF">
        <w:rPr>
          <w:u w:val="single"/>
        </w:rPr>
        <w:t xml:space="preserve">Weekly supplemental payments for </w:t>
      </w:r>
      <w:r w:rsidR="00DA09FA" w:rsidRPr="000A72FF">
        <w:rPr>
          <w:u w:val="single"/>
        </w:rPr>
        <w:t>COVID-19</w:t>
      </w:r>
      <w:r w:rsidRPr="000A72FF">
        <w:rPr>
          <w:u w:val="single"/>
        </w:rPr>
        <w:t xml:space="preserve"> Providers </w:t>
      </w:r>
      <w:r w:rsidR="003004F7">
        <w:rPr>
          <w:u w:val="single"/>
        </w:rPr>
        <w:t>who</w:t>
      </w:r>
      <w:r w:rsidRPr="000A72FF">
        <w:rPr>
          <w:u w:val="single"/>
        </w:rPr>
        <w:t xml:space="preserve"> transferred </w:t>
      </w:r>
      <w:r w:rsidR="000B6BB6" w:rsidRPr="000A72FF">
        <w:rPr>
          <w:u w:val="single"/>
        </w:rPr>
        <w:t>Residents</w:t>
      </w:r>
      <w:r w:rsidRPr="000A72FF">
        <w:rPr>
          <w:u w:val="single"/>
        </w:rPr>
        <w:t xml:space="preserve"> to establish a COVID-19 </w:t>
      </w:r>
      <w:r w:rsidR="008F4D39" w:rsidRPr="000A72FF">
        <w:rPr>
          <w:u w:val="single"/>
        </w:rPr>
        <w:t>Nursing Facility</w:t>
      </w:r>
      <w:r w:rsidR="00B12ADA" w:rsidRPr="000A72FF">
        <w:rPr>
          <w:u w:val="single"/>
        </w:rPr>
        <w:t xml:space="preserve"> on or before the Transition Day</w:t>
      </w:r>
      <w:r w:rsidRPr="000A72FF">
        <w:rPr>
          <w:u w:val="single"/>
        </w:rPr>
        <w:t>.</w:t>
      </w:r>
      <w:r w:rsidRPr="000A72FF">
        <w:t xml:space="preserve"> </w:t>
      </w:r>
      <w:r w:rsidR="00C155FB" w:rsidRPr="000A72FF">
        <w:t xml:space="preserve">EOHHS shall provide weekly supplemental payments to </w:t>
      </w:r>
      <w:r w:rsidR="00DA09FA" w:rsidRPr="000A72FF">
        <w:rPr>
          <w:bCs/>
          <w:kern w:val="36"/>
        </w:rPr>
        <w:t xml:space="preserve">COVID-19 </w:t>
      </w:r>
      <w:r w:rsidR="00F5082C" w:rsidRPr="000A72FF">
        <w:rPr>
          <w:bCs/>
          <w:kern w:val="36"/>
        </w:rPr>
        <w:t>P</w:t>
      </w:r>
      <w:r w:rsidR="00C155FB" w:rsidRPr="000A72FF">
        <w:rPr>
          <w:bCs/>
          <w:kern w:val="36"/>
        </w:rPr>
        <w:t xml:space="preserve">roviders </w:t>
      </w:r>
      <w:r w:rsidR="003004F7">
        <w:rPr>
          <w:bCs/>
          <w:kern w:val="36"/>
        </w:rPr>
        <w:t>who</w:t>
      </w:r>
      <w:r w:rsidR="00C155FB" w:rsidRPr="000A72FF">
        <w:rPr>
          <w:bCs/>
          <w:kern w:val="36"/>
        </w:rPr>
        <w:t xml:space="preserve"> transferred existing </w:t>
      </w:r>
      <w:r w:rsidR="00B60271" w:rsidRPr="000A72FF">
        <w:rPr>
          <w:bCs/>
          <w:kern w:val="36"/>
        </w:rPr>
        <w:t>R</w:t>
      </w:r>
      <w:r w:rsidR="00C155FB" w:rsidRPr="000A72FF">
        <w:rPr>
          <w:bCs/>
          <w:kern w:val="36"/>
        </w:rPr>
        <w:t xml:space="preserve">esidents out of their </w:t>
      </w:r>
      <w:r w:rsidR="003914AA" w:rsidRPr="000A72FF">
        <w:rPr>
          <w:bCs/>
          <w:kern w:val="36"/>
        </w:rPr>
        <w:t>Nursing F</w:t>
      </w:r>
      <w:r w:rsidR="00C155FB" w:rsidRPr="000A72FF">
        <w:rPr>
          <w:bCs/>
          <w:kern w:val="36"/>
        </w:rPr>
        <w:t xml:space="preserve">acility in order to establish a COVID-19 </w:t>
      </w:r>
      <w:r w:rsidR="008F4D39" w:rsidRPr="000A72FF">
        <w:rPr>
          <w:bCs/>
          <w:kern w:val="36"/>
        </w:rPr>
        <w:t>Nursing Facility</w:t>
      </w:r>
      <w:r w:rsidR="00C155FB" w:rsidRPr="000A72FF">
        <w:rPr>
          <w:bCs/>
          <w:kern w:val="36"/>
        </w:rPr>
        <w:t xml:space="preserve"> as follows</w:t>
      </w:r>
      <w:r w:rsidR="00F5082C" w:rsidRPr="000A72FF">
        <w:rPr>
          <w:bCs/>
          <w:kern w:val="36"/>
        </w:rPr>
        <w:t>:</w:t>
      </w:r>
    </w:p>
    <w:p w14:paraId="3D5074F8" w14:textId="5B77A24A" w:rsidR="00351916" w:rsidRPr="000A72FF" w:rsidRDefault="00F5082C" w:rsidP="00351916">
      <w:pPr>
        <w:pStyle w:val="ListParagraph"/>
        <w:numPr>
          <w:ilvl w:val="2"/>
          <w:numId w:val="17"/>
        </w:numPr>
        <w:ind w:left="990"/>
        <w:rPr>
          <w:b/>
          <w:kern w:val="36"/>
        </w:rPr>
      </w:pPr>
      <w:r w:rsidRPr="000A72FF">
        <w:rPr>
          <w:bCs/>
          <w:kern w:val="36"/>
        </w:rPr>
        <w:t>For dates beginning March 2</w:t>
      </w:r>
      <w:r w:rsidR="008F4D39" w:rsidRPr="000A72FF">
        <w:rPr>
          <w:bCs/>
          <w:kern w:val="36"/>
        </w:rPr>
        <w:t>7</w:t>
      </w:r>
      <w:r w:rsidRPr="000A72FF">
        <w:rPr>
          <w:bCs/>
          <w:kern w:val="36"/>
        </w:rPr>
        <w:t xml:space="preserve">, 2020 until the date the </w:t>
      </w:r>
      <w:r w:rsidR="008175B2" w:rsidRPr="000A72FF">
        <w:rPr>
          <w:bCs/>
          <w:kern w:val="36"/>
        </w:rPr>
        <w:t>Transition Day:</w:t>
      </w:r>
    </w:p>
    <w:p w14:paraId="0ECE6960" w14:textId="4AA4E37A" w:rsidR="00351916" w:rsidRPr="003E5AA4" w:rsidRDefault="00E163B2" w:rsidP="00351916">
      <w:pPr>
        <w:pStyle w:val="ListParagraph"/>
        <w:numPr>
          <w:ilvl w:val="3"/>
          <w:numId w:val="17"/>
        </w:numPr>
        <w:ind w:left="1350"/>
        <w:rPr>
          <w:kern w:val="36"/>
        </w:rPr>
      </w:pPr>
      <w:r w:rsidRPr="000A72FF">
        <w:rPr>
          <w:bCs/>
          <w:kern w:val="36"/>
        </w:rPr>
        <w:t xml:space="preserve">Multiply the total number </w:t>
      </w:r>
      <w:r w:rsidRPr="003E5AA4">
        <w:rPr>
          <w:bCs/>
          <w:kern w:val="36"/>
        </w:rPr>
        <w:t xml:space="preserve">of </w:t>
      </w:r>
      <w:r w:rsidR="008F4D39" w:rsidRPr="003E5AA4">
        <w:rPr>
          <w:bCs/>
          <w:kern w:val="36"/>
        </w:rPr>
        <w:t xml:space="preserve">weekly Patient </w:t>
      </w:r>
      <w:r w:rsidRPr="003E5AA4">
        <w:rPr>
          <w:bCs/>
          <w:kern w:val="36"/>
        </w:rPr>
        <w:t xml:space="preserve">Days </w:t>
      </w:r>
      <w:r w:rsidR="008F4D39" w:rsidRPr="003E5AA4">
        <w:rPr>
          <w:bCs/>
          <w:kern w:val="36"/>
        </w:rPr>
        <w:t xml:space="preserve">for the COVID-19 Nursing Facility </w:t>
      </w:r>
      <w:r w:rsidRPr="003E5AA4">
        <w:rPr>
          <w:bCs/>
          <w:kern w:val="36"/>
        </w:rPr>
        <w:t>by $600;</w:t>
      </w:r>
    </w:p>
    <w:p w14:paraId="198BAFF2" w14:textId="0D98C8D2" w:rsidR="00351916" w:rsidRPr="003E5AA4" w:rsidRDefault="00E163B2" w:rsidP="00351916">
      <w:pPr>
        <w:pStyle w:val="ListParagraph"/>
        <w:numPr>
          <w:ilvl w:val="3"/>
          <w:numId w:val="17"/>
        </w:numPr>
        <w:ind w:left="1350"/>
        <w:rPr>
          <w:kern w:val="36"/>
        </w:rPr>
      </w:pPr>
      <w:r w:rsidRPr="003E5AA4">
        <w:rPr>
          <w:bCs/>
          <w:kern w:val="36"/>
        </w:rPr>
        <w:t xml:space="preserve">Subtract the product calculated </w:t>
      </w:r>
      <w:r w:rsidR="004766D2" w:rsidRPr="003E5AA4">
        <w:rPr>
          <w:bCs/>
          <w:kern w:val="36"/>
        </w:rPr>
        <w:t xml:space="preserve">in </w:t>
      </w:r>
      <w:r w:rsidR="00DA09FA" w:rsidRPr="003E5AA4">
        <w:rPr>
          <w:bCs/>
          <w:kern w:val="36"/>
        </w:rPr>
        <w:t>Section</w:t>
      </w:r>
      <w:r w:rsidR="004766D2" w:rsidRPr="003E5AA4">
        <w:rPr>
          <w:bCs/>
          <w:kern w:val="36"/>
        </w:rPr>
        <w:t xml:space="preserve"> </w:t>
      </w:r>
      <w:r w:rsidR="008F4D39" w:rsidRPr="003E5AA4">
        <w:rPr>
          <w:bCs/>
          <w:kern w:val="36"/>
        </w:rPr>
        <w:t>3</w:t>
      </w:r>
      <w:r w:rsidR="004766D2" w:rsidRPr="003E5AA4">
        <w:rPr>
          <w:bCs/>
          <w:kern w:val="36"/>
        </w:rPr>
        <w:t>.a.i</w:t>
      </w:r>
      <w:r w:rsidR="00DA09FA" w:rsidRPr="003E5AA4">
        <w:rPr>
          <w:bCs/>
          <w:kern w:val="36"/>
        </w:rPr>
        <w:t>.A</w:t>
      </w:r>
      <w:r w:rsidRPr="003E5AA4">
        <w:rPr>
          <w:bCs/>
          <w:kern w:val="36"/>
        </w:rPr>
        <w:t xml:space="preserve"> from </w:t>
      </w:r>
      <w:r w:rsidR="003C3E40" w:rsidRPr="003E5AA4">
        <w:rPr>
          <w:bCs/>
          <w:kern w:val="36"/>
        </w:rPr>
        <w:t xml:space="preserve">115% of the </w:t>
      </w:r>
      <w:r w:rsidR="00DA09FA" w:rsidRPr="003E5AA4">
        <w:rPr>
          <w:bCs/>
          <w:kern w:val="36"/>
        </w:rPr>
        <w:t xml:space="preserve">COVID-19 </w:t>
      </w:r>
      <w:r w:rsidR="004766D2" w:rsidRPr="003E5AA4">
        <w:rPr>
          <w:bCs/>
          <w:kern w:val="36"/>
        </w:rPr>
        <w:t xml:space="preserve">Provider’s </w:t>
      </w:r>
      <w:r w:rsidR="0012257E" w:rsidRPr="003E5AA4">
        <w:rPr>
          <w:bCs/>
          <w:kern w:val="36"/>
        </w:rPr>
        <w:t xml:space="preserve">weekly </w:t>
      </w:r>
      <w:r w:rsidR="003C3E40" w:rsidRPr="003E5AA4">
        <w:rPr>
          <w:bCs/>
          <w:kern w:val="36"/>
        </w:rPr>
        <w:t>Baseline Facility Revenue</w:t>
      </w:r>
      <w:r w:rsidR="004766D2" w:rsidRPr="003E5AA4">
        <w:rPr>
          <w:bCs/>
          <w:kern w:val="36"/>
        </w:rPr>
        <w:t>;</w:t>
      </w:r>
    </w:p>
    <w:p w14:paraId="465F7195" w14:textId="5303A814" w:rsidR="00351916" w:rsidRPr="003E5AA4" w:rsidRDefault="004766D2" w:rsidP="00351916">
      <w:pPr>
        <w:pStyle w:val="ListParagraph"/>
        <w:numPr>
          <w:ilvl w:val="3"/>
          <w:numId w:val="17"/>
        </w:numPr>
        <w:ind w:left="1350"/>
        <w:rPr>
          <w:kern w:val="36"/>
        </w:rPr>
      </w:pPr>
      <w:r w:rsidRPr="003E5AA4">
        <w:rPr>
          <w:bCs/>
          <w:kern w:val="36"/>
        </w:rPr>
        <w:t xml:space="preserve">The weekly supplemental payment shall be the greater of $0 or the figure calculated in </w:t>
      </w:r>
      <w:r w:rsidR="008F4D39" w:rsidRPr="003E5AA4">
        <w:rPr>
          <w:bCs/>
          <w:kern w:val="36"/>
        </w:rPr>
        <w:t>Section 3</w:t>
      </w:r>
      <w:r w:rsidRPr="003E5AA4">
        <w:rPr>
          <w:bCs/>
          <w:kern w:val="36"/>
        </w:rPr>
        <w:t>.a.i</w:t>
      </w:r>
      <w:r w:rsidR="00DA09FA" w:rsidRPr="003E5AA4">
        <w:rPr>
          <w:bCs/>
          <w:kern w:val="36"/>
        </w:rPr>
        <w:t>.B</w:t>
      </w:r>
      <w:r w:rsidRPr="003E5AA4">
        <w:rPr>
          <w:bCs/>
          <w:kern w:val="36"/>
        </w:rPr>
        <w:t>.</w:t>
      </w:r>
    </w:p>
    <w:p w14:paraId="64ED6BE3" w14:textId="6D2E430C" w:rsidR="0063791F" w:rsidRPr="003E5AA4" w:rsidRDefault="0063791F" w:rsidP="00351916">
      <w:pPr>
        <w:pStyle w:val="ListParagraph"/>
        <w:numPr>
          <w:ilvl w:val="2"/>
          <w:numId w:val="17"/>
        </w:numPr>
        <w:ind w:left="990"/>
        <w:rPr>
          <w:kern w:val="36"/>
        </w:rPr>
      </w:pPr>
      <w:r w:rsidRPr="003E5AA4">
        <w:rPr>
          <w:bCs/>
          <w:kern w:val="36"/>
        </w:rPr>
        <w:t xml:space="preserve">Weekly supplemental payments may be calculated on a prorated basis for any week that does not fall entirely within the period described in </w:t>
      </w:r>
      <w:r w:rsidR="00B60271" w:rsidRPr="003E5AA4">
        <w:rPr>
          <w:kern w:val="36"/>
        </w:rPr>
        <w:t>Section</w:t>
      </w:r>
      <w:r w:rsidRPr="003E5AA4">
        <w:rPr>
          <w:kern w:val="36"/>
        </w:rPr>
        <w:t xml:space="preserve"> </w:t>
      </w:r>
      <w:r w:rsidR="008F4D39" w:rsidRPr="003E5AA4">
        <w:rPr>
          <w:kern w:val="36"/>
        </w:rPr>
        <w:t>3</w:t>
      </w:r>
      <w:r w:rsidRPr="003E5AA4">
        <w:rPr>
          <w:kern w:val="36"/>
        </w:rPr>
        <w:t>.a</w:t>
      </w:r>
      <w:r w:rsidR="00B60271" w:rsidRPr="003E5AA4">
        <w:rPr>
          <w:kern w:val="36"/>
        </w:rPr>
        <w:t>.i</w:t>
      </w:r>
      <w:r w:rsidRPr="003E5AA4">
        <w:rPr>
          <w:bCs/>
          <w:kern w:val="36"/>
        </w:rPr>
        <w:t xml:space="preserve">, provided that for purposes of this </w:t>
      </w:r>
      <w:r w:rsidR="00B60271" w:rsidRPr="003E5AA4">
        <w:rPr>
          <w:bCs/>
          <w:kern w:val="36"/>
        </w:rPr>
        <w:t>section</w:t>
      </w:r>
      <w:r w:rsidRPr="003E5AA4">
        <w:rPr>
          <w:bCs/>
          <w:kern w:val="36"/>
        </w:rPr>
        <w:t xml:space="preserve">, a week shall begin on </w:t>
      </w:r>
      <w:r w:rsidR="001E0ED0" w:rsidRPr="003E5AA4">
        <w:rPr>
          <w:bCs/>
          <w:kern w:val="36"/>
        </w:rPr>
        <w:t>Friday</w:t>
      </w:r>
      <w:r w:rsidR="000B2F8B" w:rsidRPr="003E5AA4">
        <w:rPr>
          <w:bCs/>
          <w:kern w:val="36"/>
        </w:rPr>
        <w:t>.</w:t>
      </w:r>
    </w:p>
    <w:p w14:paraId="31BFDC90" w14:textId="77777777" w:rsidR="00F44C9C" w:rsidRPr="000A72FF" w:rsidRDefault="00F44C9C" w:rsidP="00F44C9C">
      <w:pPr>
        <w:pStyle w:val="ListParagraph"/>
        <w:ind w:left="990" w:firstLine="0"/>
        <w:rPr>
          <w:b/>
          <w:kern w:val="36"/>
        </w:rPr>
      </w:pPr>
    </w:p>
    <w:p w14:paraId="3BEB33A1" w14:textId="7A30B20E" w:rsidR="00351916" w:rsidRPr="000A72FF" w:rsidRDefault="00F44C9C" w:rsidP="00351916">
      <w:pPr>
        <w:pStyle w:val="ListParagraph"/>
        <w:numPr>
          <w:ilvl w:val="1"/>
          <w:numId w:val="17"/>
        </w:numPr>
        <w:ind w:left="720"/>
      </w:pPr>
      <w:r w:rsidRPr="000A72FF">
        <w:rPr>
          <w:u w:val="single"/>
        </w:rPr>
        <w:t xml:space="preserve">Monthly supplemental payments for </w:t>
      </w:r>
      <w:r w:rsidR="00B60271" w:rsidRPr="000A72FF">
        <w:rPr>
          <w:u w:val="single"/>
        </w:rPr>
        <w:t>COVID-19</w:t>
      </w:r>
      <w:r w:rsidR="00483EA6" w:rsidRPr="000A72FF">
        <w:rPr>
          <w:u w:val="single"/>
        </w:rPr>
        <w:t xml:space="preserve"> Providers</w:t>
      </w:r>
      <w:r w:rsidRPr="000A72FF">
        <w:rPr>
          <w:u w:val="single"/>
        </w:rPr>
        <w:t xml:space="preserve"> </w:t>
      </w:r>
      <w:r w:rsidR="003004F7">
        <w:rPr>
          <w:u w:val="single"/>
        </w:rPr>
        <w:t>who</w:t>
      </w:r>
      <w:r w:rsidRPr="000A72FF">
        <w:rPr>
          <w:u w:val="single"/>
        </w:rPr>
        <w:t xml:space="preserve"> </w:t>
      </w:r>
      <w:r w:rsidR="00483EA6" w:rsidRPr="000A72FF">
        <w:rPr>
          <w:u w:val="single"/>
        </w:rPr>
        <w:t xml:space="preserve">transferred </w:t>
      </w:r>
      <w:r w:rsidR="00F515AF">
        <w:rPr>
          <w:u w:val="single"/>
        </w:rPr>
        <w:t>Residents</w:t>
      </w:r>
      <w:r w:rsidR="00F515AF" w:rsidRPr="000A72FF">
        <w:rPr>
          <w:u w:val="single"/>
        </w:rPr>
        <w:t xml:space="preserve"> </w:t>
      </w:r>
      <w:r w:rsidR="00483EA6" w:rsidRPr="000A72FF">
        <w:rPr>
          <w:u w:val="single"/>
        </w:rPr>
        <w:t xml:space="preserve">to establish a COVID-19 </w:t>
      </w:r>
      <w:r w:rsidR="001E0ED0" w:rsidRPr="000A72FF">
        <w:rPr>
          <w:u w:val="single"/>
        </w:rPr>
        <w:t>Nursing Facility</w:t>
      </w:r>
      <w:r w:rsidR="00B12ADA" w:rsidRPr="000A72FF">
        <w:rPr>
          <w:u w:val="single"/>
        </w:rPr>
        <w:t xml:space="preserve"> after the Transition Day</w:t>
      </w:r>
      <w:r w:rsidR="00483EA6" w:rsidRPr="000A72FF">
        <w:rPr>
          <w:u w:val="single"/>
        </w:rPr>
        <w:t>.</w:t>
      </w:r>
      <w:r w:rsidR="00483EA6" w:rsidRPr="000A72FF">
        <w:t xml:space="preserve"> </w:t>
      </w:r>
      <w:r w:rsidR="0063791F" w:rsidRPr="000A72FF">
        <w:t xml:space="preserve">EOHHS shall provide monthly supplemental payments to </w:t>
      </w:r>
      <w:r w:rsidR="00B60271" w:rsidRPr="000A72FF">
        <w:rPr>
          <w:bCs/>
          <w:kern w:val="36"/>
        </w:rPr>
        <w:t xml:space="preserve">COVID-19 </w:t>
      </w:r>
      <w:r w:rsidR="0063791F" w:rsidRPr="000A72FF">
        <w:t xml:space="preserve">Providers </w:t>
      </w:r>
      <w:r w:rsidR="003004F7">
        <w:t>who</w:t>
      </w:r>
      <w:r w:rsidR="0063791F" w:rsidRPr="000A72FF">
        <w:t xml:space="preserve"> transferred existing </w:t>
      </w:r>
      <w:r w:rsidR="00B60271" w:rsidRPr="000A72FF">
        <w:t>R</w:t>
      </w:r>
      <w:r w:rsidR="0063791F" w:rsidRPr="000A72FF">
        <w:t xml:space="preserve">esidents out of their </w:t>
      </w:r>
      <w:r w:rsidR="003914AA" w:rsidRPr="000A72FF">
        <w:t>Nursing F</w:t>
      </w:r>
      <w:r w:rsidR="0063791F" w:rsidRPr="000A72FF">
        <w:t xml:space="preserve">acility in order to establish a COVID-19 </w:t>
      </w:r>
      <w:r w:rsidR="001E0ED0" w:rsidRPr="000A72FF">
        <w:t>Nursing Facility</w:t>
      </w:r>
      <w:r w:rsidR="0063791F" w:rsidRPr="000A72FF">
        <w:t xml:space="preserve"> as follows:</w:t>
      </w:r>
    </w:p>
    <w:p w14:paraId="74684A4B" w14:textId="11E564A9" w:rsidR="00351916" w:rsidRPr="000A72FF" w:rsidRDefault="00CA1506" w:rsidP="00351916">
      <w:pPr>
        <w:pStyle w:val="ListParagraph"/>
        <w:numPr>
          <w:ilvl w:val="2"/>
          <w:numId w:val="17"/>
        </w:numPr>
        <w:ind w:left="990"/>
      </w:pPr>
      <w:r>
        <w:t xml:space="preserve">Starting with the </w:t>
      </w:r>
      <w:r w:rsidRPr="00CA1506">
        <w:t>first calendar month beginning after the Transition Day, and for the calendar month that follows</w:t>
      </w:r>
      <w:r w:rsidR="002B7902" w:rsidRPr="000A72FF">
        <w:t xml:space="preserve"> on or after the Transition Day</w:t>
      </w:r>
      <w:r w:rsidR="00351916" w:rsidRPr="000A72FF">
        <w:t>:</w:t>
      </w:r>
    </w:p>
    <w:p w14:paraId="09BD0107" w14:textId="5A502D61" w:rsidR="00351916" w:rsidRPr="000A72FF" w:rsidRDefault="00F403D1" w:rsidP="00351916">
      <w:pPr>
        <w:pStyle w:val="ListParagraph"/>
        <w:numPr>
          <w:ilvl w:val="3"/>
          <w:numId w:val="17"/>
        </w:numPr>
        <w:ind w:left="1350"/>
      </w:pPr>
      <w:r w:rsidRPr="000A72FF">
        <w:t xml:space="preserve">Multiply the total number of </w:t>
      </w:r>
      <w:r w:rsidR="001E0ED0" w:rsidRPr="000A72FF">
        <w:t xml:space="preserve">Patient </w:t>
      </w:r>
      <w:r w:rsidRPr="000A72FF">
        <w:t xml:space="preserve">Days in the month by the per diem rates </w:t>
      </w:r>
      <w:r w:rsidR="000B6BB6" w:rsidRPr="000A72FF">
        <w:t>established</w:t>
      </w:r>
      <w:r w:rsidR="007034D4" w:rsidRPr="000A72FF">
        <w:t>, effective October 1, 2019,</w:t>
      </w:r>
      <w:r w:rsidRPr="000A72FF">
        <w:t xml:space="preserve"> for the Nursing Facility under 101 CMR 206.00: </w:t>
      </w:r>
      <w:r w:rsidRPr="000A72FF">
        <w:rPr>
          <w:i/>
          <w:iCs/>
        </w:rPr>
        <w:t>Standard Payment to Nursing Facilities</w:t>
      </w:r>
      <w:r w:rsidR="00112513">
        <w:rPr>
          <w:iCs/>
        </w:rPr>
        <w:t xml:space="preserve"> using the average rate received by all facilities</w:t>
      </w:r>
      <w:r w:rsidRPr="000A72FF">
        <w:t>;</w:t>
      </w:r>
    </w:p>
    <w:p w14:paraId="0A331955" w14:textId="48742AAB" w:rsidR="00351916" w:rsidRPr="000A72FF" w:rsidRDefault="000B2F8B" w:rsidP="00351916">
      <w:pPr>
        <w:pStyle w:val="ListParagraph"/>
        <w:numPr>
          <w:ilvl w:val="3"/>
          <w:numId w:val="17"/>
        </w:numPr>
        <w:ind w:left="1350"/>
      </w:pPr>
      <w:r w:rsidRPr="000A72FF">
        <w:t xml:space="preserve">Subtract the product calculated in </w:t>
      </w:r>
      <w:r w:rsidR="00B60271" w:rsidRPr="000A72FF">
        <w:t xml:space="preserve">Section </w:t>
      </w:r>
      <w:r w:rsidR="001E0ED0" w:rsidRPr="003E5AA4">
        <w:t>3</w:t>
      </w:r>
      <w:r w:rsidR="00B60271" w:rsidRPr="00C657DF">
        <w:t>.b.i.A</w:t>
      </w:r>
      <w:r w:rsidRPr="00C657DF">
        <w:t xml:space="preserve"> from the </w:t>
      </w:r>
      <w:r w:rsidR="00EE7DB1" w:rsidRPr="000A72FF">
        <w:t>monthly BFR</w:t>
      </w:r>
    </w:p>
    <w:p w14:paraId="081B9BCA" w14:textId="3FEF0A67" w:rsidR="000B2F8B" w:rsidRPr="000A72FF" w:rsidRDefault="000B2F8B" w:rsidP="00351916">
      <w:pPr>
        <w:pStyle w:val="ListParagraph"/>
        <w:numPr>
          <w:ilvl w:val="3"/>
          <w:numId w:val="17"/>
        </w:numPr>
        <w:ind w:left="1350"/>
      </w:pPr>
      <w:r w:rsidRPr="000A72FF">
        <w:t xml:space="preserve">The monthly supplemental payment shall be the greater of $0 or the figure calculated in </w:t>
      </w:r>
      <w:r w:rsidR="00B60271" w:rsidRPr="000A72FF">
        <w:t xml:space="preserve">Section </w:t>
      </w:r>
      <w:r w:rsidR="001E0ED0" w:rsidRPr="003E5AA4">
        <w:t>3</w:t>
      </w:r>
      <w:r w:rsidR="00B60271" w:rsidRPr="00C657DF">
        <w:t>.b.i.</w:t>
      </w:r>
      <w:r w:rsidR="00EE7DB1" w:rsidRPr="00C657DF">
        <w:t>B</w:t>
      </w:r>
      <w:r w:rsidR="00B60271" w:rsidRPr="000A72FF">
        <w:t>.</w:t>
      </w:r>
    </w:p>
    <w:p w14:paraId="65AB23A3" w14:textId="34BB3C17" w:rsidR="002B5E09" w:rsidRPr="000A72FF" w:rsidRDefault="007841B9" w:rsidP="00814ECE">
      <w:pPr>
        <w:pStyle w:val="ListParagraph"/>
        <w:numPr>
          <w:ilvl w:val="2"/>
          <w:numId w:val="17"/>
        </w:numPr>
        <w:ind w:left="990" w:right="169"/>
      </w:pPr>
      <w:r>
        <w:t xml:space="preserve">Starting with the </w:t>
      </w:r>
      <w:r w:rsidRPr="00CA1506">
        <w:t xml:space="preserve">first calendar month beginning after the Transition Day, and for the </w:t>
      </w:r>
      <w:r>
        <w:t xml:space="preserve">eight </w:t>
      </w:r>
      <w:r w:rsidRPr="00CA1506">
        <w:t>calendar month</w:t>
      </w:r>
      <w:r>
        <w:t>s</w:t>
      </w:r>
      <w:r w:rsidRPr="00CA1506">
        <w:t xml:space="preserve"> that follow</w:t>
      </w:r>
      <w:r w:rsidR="00F14179" w:rsidRPr="000A72FF">
        <w:t xml:space="preserve">, EOHHS shall provide </w:t>
      </w:r>
      <w:r w:rsidR="003C3E40" w:rsidRPr="000A72FF">
        <w:t xml:space="preserve">monthly payments to the Provider to incentivize the Provider to increase occupancy in the facility. These supplemental payments shall be equal to 1% of BFR for each 10% gain in occupancy using monthly average occupancy </w:t>
      </w:r>
      <w:r w:rsidR="001E0ED0" w:rsidRPr="000A72FF">
        <w:t xml:space="preserve">rate </w:t>
      </w:r>
      <w:r w:rsidR="003C3E40" w:rsidRPr="000A72FF">
        <w:t>rounded to the nearest 10%.</w:t>
      </w:r>
    </w:p>
    <w:p w14:paraId="55498BEE" w14:textId="11F50C21" w:rsidR="00243F95" w:rsidRPr="000A72FF" w:rsidRDefault="00243F95" w:rsidP="00F24D02">
      <w:pPr>
        <w:pStyle w:val="ListParagraph"/>
        <w:ind w:left="990" w:right="169" w:firstLine="0"/>
      </w:pPr>
    </w:p>
    <w:p w14:paraId="5C12844C" w14:textId="5C7FFBC4" w:rsidR="00F44C9C" w:rsidRPr="000A72FF" w:rsidRDefault="00F44C9C" w:rsidP="00F44C9C">
      <w:pPr>
        <w:pStyle w:val="ListParagraph"/>
        <w:numPr>
          <w:ilvl w:val="1"/>
          <w:numId w:val="17"/>
        </w:numPr>
        <w:ind w:left="720"/>
      </w:pPr>
      <w:r w:rsidRPr="000A72FF">
        <w:rPr>
          <w:u w:val="single"/>
        </w:rPr>
        <w:lastRenderedPageBreak/>
        <w:t xml:space="preserve">Weekly supplemental payments for previously vacant </w:t>
      </w:r>
      <w:r w:rsidR="00483EA6" w:rsidRPr="000A72FF">
        <w:rPr>
          <w:u w:val="single"/>
        </w:rPr>
        <w:t xml:space="preserve">COVID-19 </w:t>
      </w:r>
      <w:r w:rsidR="001E0ED0" w:rsidRPr="000A72FF">
        <w:rPr>
          <w:u w:val="single"/>
        </w:rPr>
        <w:t>Nursing Facilities</w:t>
      </w:r>
      <w:r w:rsidR="00B12ADA" w:rsidRPr="000A72FF">
        <w:rPr>
          <w:u w:val="single"/>
        </w:rPr>
        <w:t xml:space="preserve"> on or before the Transition Day</w:t>
      </w:r>
      <w:r w:rsidRPr="000A72FF">
        <w:rPr>
          <w:u w:val="single"/>
        </w:rPr>
        <w:t>.</w:t>
      </w:r>
      <w:r w:rsidRPr="000A72FF">
        <w:t xml:space="preserve"> </w:t>
      </w:r>
      <w:r w:rsidR="00032C63" w:rsidRPr="000A72FF">
        <w:t>For dates beginning March 2</w:t>
      </w:r>
      <w:r w:rsidR="001E0ED0" w:rsidRPr="000A72FF">
        <w:t>7</w:t>
      </w:r>
      <w:r w:rsidR="00032C63" w:rsidRPr="000A72FF">
        <w:t xml:space="preserve">, 2020 until the </w:t>
      </w:r>
      <w:r w:rsidR="008175B2" w:rsidRPr="000A72FF">
        <w:t>Transition Day</w:t>
      </w:r>
      <w:r w:rsidR="00032C63" w:rsidRPr="000A72FF">
        <w:t xml:space="preserve">, </w:t>
      </w:r>
      <w:r w:rsidR="00243F95" w:rsidRPr="000A72FF">
        <w:t xml:space="preserve">EOHHS shall provide weekly supplemental payments to </w:t>
      </w:r>
      <w:r w:rsidR="00B60271" w:rsidRPr="000A72FF">
        <w:rPr>
          <w:bCs/>
          <w:kern w:val="36"/>
        </w:rPr>
        <w:t>COVID-19</w:t>
      </w:r>
      <w:r w:rsidR="00243F95" w:rsidRPr="000A72FF">
        <w:rPr>
          <w:bCs/>
          <w:kern w:val="36"/>
        </w:rPr>
        <w:t xml:space="preserve"> Providers </w:t>
      </w:r>
      <w:r w:rsidR="003004F7">
        <w:rPr>
          <w:bCs/>
          <w:kern w:val="36"/>
        </w:rPr>
        <w:t xml:space="preserve">who </w:t>
      </w:r>
      <w:r w:rsidR="00C43309" w:rsidRPr="000A72FF">
        <w:rPr>
          <w:bCs/>
          <w:kern w:val="36"/>
        </w:rPr>
        <w:t>operate</w:t>
      </w:r>
      <w:r w:rsidR="001E0ED0" w:rsidRPr="000A72FF">
        <w:rPr>
          <w:bCs/>
          <w:kern w:val="36"/>
        </w:rPr>
        <w:t>d</w:t>
      </w:r>
      <w:r w:rsidR="00243F95" w:rsidRPr="000A72FF">
        <w:rPr>
          <w:bCs/>
          <w:kern w:val="36"/>
        </w:rPr>
        <w:t xml:space="preserve"> a COVID-19 </w:t>
      </w:r>
      <w:r w:rsidR="001E0ED0" w:rsidRPr="000A72FF">
        <w:rPr>
          <w:bCs/>
          <w:kern w:val="36"/>
        </w:rPr>
        <w:t>Nursing Facility</w:t>
      </w:r>
      <w:r w:rsidR="00243F95" w:rsidRPr="000A72FF">
        <w:rPr>
          <w:bCs/>
          <w:kern w:val="36"/>
        </w:rPr>
        <w:t xml:space="preserve"> in a previously vacant location as follows:</w:t>
      </w:r>
    </w:p>
    <w:p w14:paraId="4BA7618F" w14:textId="3FE11B7E" w:rsidR="00F44C9C" w:rsidRPr="000A72FF" w:rsidRDefault="00962978" w:rsidP="00F44C9C">
      <w:pPr>
        <w:pStyle w:val="ListParagraph"/>
        <w:numPr>
          <w:ilvl w:val="2"/>
          <w:numId w:val="17"/>
        </w:numPr>
        <w:ind w:left="990"/>
      </w:pPr>
      <w:r w:rsidRPr="000A72FF">
        <w:rPr>
          <w:bCs/>
          <w:kern w:val="36"/>
        </w:rPr>
        <w:t xml:space="preserve">Multiply the total </w:t>
      </w:r>
      <w:r w:rsidR="001E0ED0" w:rsidRPr="000A72FF">
        <w:rPr>
          <w:bCs/>
          <w:kern w:val="36"/>
        </w:rPr>
        <w:t xml:space="preserve">Patient </w:t>
      </w:r>
      <w:r w:rsidRPr="000A72FF">
        <w:rPr>
          <w:bCs/>
          <w:kern w:val="36"/>
        </w:rPr>
        <w:t>Days by $600;</w:t>
      </w:r>
    </w:p>
    <w:p w14:paraId="2861DA72" w14:textId="7B27ABDF" w:rsidR="00F44C9C" w:rsidRPr="000A72FF" w:rsidRDefault="00243F95" w:rsidP="00F44C9C">
      <w:pPr>
        <w:pStyle w:val="ListParagraph"/>
        <w:numPr>
          <w:ilvl w:val="2"/>
          <w:numId w:val="17"/>
        </w:numPr>
        <w:ind w:left="990"/>
      </w:pPr>
      <w:r w:rsidRPr="000A72FF">
        <w:rPr>
          <w:bCs/>
          <w:kern w:val="36"/>
        </w:rPr>
        <w:t xml:space="preserve">Multiply the total number of </w:t>
      </w:r>
      <w:r w:rsidR="001E0ED0" w:rsidRPr="000A72FF">
        <w:rPr>
          <w:bCs/>
          <w:kern w:val="36"/>
        </w:rPr>
        <w:t xml:space="preserve">existing </w:t>
      </w:r>
      <w:r w:rsidR="00F515AF">
        <w:rPr>
          <w:bCs/>
          <w:kern w:val="36"/>
        </w:rPr>
        <w:t>COVID-19 Nursing Facility B</w:t>
      </w:r>
      <w:r w:rsidR="00032C63" w:rsidRPr="000A72FF">
        <w:rPr>
          <w:bCs/>
          <w:kern w:val="36"/>
        </w:rPr>
        <w:t xml:space="preserve">eds </w:t>
      </w:r>
      <w:r w:rsidR="00032C63" w:rsidRPr="00C657DF">
        <w:rPr>
          <w:bCs/>
          <w:kern w:val="36"/>
        </w:rPr>
        <w:t xml:space="preserve">in the COVID-19 </w:t>
      </w:r>
      <w:r w:rsidR="001E0ED0" w:rsidRPr="00903F7A">
        <w:rPr>
          <w:bCs/>
          <w:kern w:val="36"/>
        </w:rPr>
        <w:t>Nursing Facility</w:t>
      </w:r>
      <w:r w:rsidR="00032C63" w:rsidRPr="000A72FF">
        <w:rPr>
          <w:bCs/>
          <w:kern w:val="36"/>
        </w:rPr>
        <w:t xml:space="preserve"> for each day of the week by $</w:t>
      </w:r>
      <w:r w:rsidR="00773617" w:rsidRPr="000A72FF">
        <w:rPr>
          <w:bCs/>
          <w:kern w:val="36"/>
        </w:rPr>
        <w:t>600</w:t>
      </w:r>
      <w:r w:rsidR="00032C63" w:rsidRPr="000A72FF">
        <w:rPr>
          <w:bCs/>
          <w:kern w:val="36"/>
        </w:rPr>
        <w:t>;</w:t>
      </w:r>
    </w:p>
    <w:p w14:paraId="1356CF55" w14:textId="3F621886" w:rsidR="00F44C9C" w:rsidRPr="00903F7A" w:rsidRDefault="00032C63" w:rsidP="00F44C9C">
      <w:pPr>
        <w:pStyle w:val="ListParagraph"/>
        <w:numPr>
          <w:ilvl w:val="2"/>
          <w:numId w:val="17"/>
        </w:numPr>
        <w:ind w:left="990"/>
        <w:rPr>
          <w:bCs/>
        </w:rPr>
      </w:pPr>
      <w:r w:rsidRPr="000A72FF">
        <w:rPr>
          <w:bCs/>
          <w:kern w:val="36"/>
        </w:rPr>
        <w:t xml:space="preserve">Subtract the product calculated in </w:t>
      </w:r>
      <w:r w:rsidR="00C43309" w:rsidRPr="000A72FF">
        <w:rPr>
          <w:bCs/>
          <w:kern w:val="36"/>
        </w:rPr>
        <w:t>Section</w:t>
      </w:r>
      <w:r w:rsidRPr="000A72FF">
        <w:rPr>
          <w:bCs/>
          <w:kern w:val="36"/>
        </w:rPr>
        <w:t xml:space="preserve"> </w:t>
      </w:r>
      <w:r w:rsidR="001E0ED0" w:rsidRPr="003E5AA4">
        <w:rPr>
          <w:bCs/>
          <w:kern w:val="36"/>
        </w:rPr>
        <w:t>3</w:t>
      </w:r>
      <w:r w:rsidRPr="00C657DF">
        <w:rPr>
          <w:bCs/>
          <w:kern w:val="36"/>
        </w:rPr>
        <w:t>.</w:t>
      </w:r>
      <w:r w:rsidR="00C43309" w:rsidRPr="00C657DF">
        <w:rPr>
          <w:bCs/>
          <w:kern w:val="36"/>
        </w:rPr>
        <w:t>c.i</w:t>
      </w:r>
      <w:r w:rsidRPr="00903F7A">
        <w:rPr>
          <w:bCs/>
          <w:kern w:val="36"/>
        </w:rPr>
        <w:t xml:space="preserve"> from </w:t>
      </w:r>
      <w:r w:rsidR="00C43309" w:rsidRPr="00903F7A">
        <w:rPr>
          <w:bCs/>
          <w:kern w:val="36"/>
        </w:rPr>
        <w:t>Section</w:t>
      </w:r>
      <w:r w:rsidRPr="000A72FF">
        <w:rPr>
          <w:bCs/>
          <w:kern w:val="36"/>
        </w:rPr>
        <w:t xml:space="preserve"> </w:t>
      </w:r>
      <w:r w:rsidR="001E0ED0" w:rsidRPr="003E5AA4">
        <w:rPr>
          <w:bCs/>
          <w:kern w:val="36"/>
        </w:rPr>
        <w:t>3</w:t>
      </w:r>
      <w:r w:rsidRPr="00C657DF">
        <w:rPr>
          <w:bCs/>
          <w:kern w:val="36"/>
        </w:rPr>
        <w:t>.</w:t>
      </w:r>
      <w:r w:rsidR="00C43309" w:rsidRPr="00C657DF">
        <w:rPr>
          <w:bCs/>
          <w:kern w:val="36"/>
        </w:rPr>
        <w:t>c.ii</w:t>
      </w:r>
      <w:r w:rsidRPr="00903F7A">
        <w:rPr>
          <w:bCs/>
          <w:kern w:val="36"/>
        </w:rPr>
        <w:t>;</w:t>
      </w:r>
    </w:p>
    <w:p w14:paraId="7C5FF295" w14:textId="51143650" w:rsidR="00F44C9C" w:rsidRPr="00903F7A" w:rsidRDefault="00243F95" w:rsidP="00F44C9C">
      <w:pPr>
        <w:pStyle w:val="ListParagraph"/>
        <w:numPr>
          <w:ilvl w:val="2"/>
          <w:numId w:val="17"/>
        </w:numPr>
        <w:ind w:left="990"/>
        <w:rPr>
          <w:bCs/>
        </w:rPr>
      </w:pPr>
      <w:r w:rsidRPr="000A72FF">
        <w:rPr>
          <w:bCs/>
          <w:kern w:val="36"/>
        </w:rPr>
        <w:t xml:space="preserve">The weekly supplemental payment shall be the greater of $0 or the figure calculated in </w:t>
      </w:r>
      <w:r w:rsidR="00C43309" w:rsidRPr="000A72FF">
        <w:rPr>
          <w:bCs/>
          <w:kern w:val="36"/>
        </w:rPr>
        <w:t>Section</w:t>
      </w:r>
      <w:r w:rsidRPr="000A72FF">
        <w:rPr>
          <w:bCs/>
          <w:kern w:val="36"/>
        </w:rPr>
        <w:t xml:space="preserve"> </w:t>
      </w:r>
      <w:r w:rsidR="001E0ED0" w:rsidRPr="003E5AA4">
        <w:rPr>
          <w:bCs/>
          <w:kern w:val="36"/>
        </w:rPr>
        <w:t>3</w:t>
      </w:r>
      <w:r w:rsidR="00962978" w:rsidRPr="00C657DF">
        <w:rPr>
          <w:bCs/>
          <w:kern w:val="36"/>
        </w:rPr>
        <w:t>.c</w:t>
      </w:r>
      <w:r w:rsidR="00C43309" w:rsidRPr="00C657DF">
        <w:rPr>
          <w:bCs/>
          <w:kern w:val="36"/>
        </w:rPr>
        <w:t>.iii</w:t>
      </w:r>
      <w:r w:rsidRPr="00903F7A">
        <w:rPr>
          <w:bCs/>
          <w:kern w:val="36"/>
        </w:rPr>
        <w:t>.</w:t>
      </w:r>
    </w:p>
    <w:p w14:paraId="0DBE7C1E" w14:textId="552BDE22" w:rsidR="00243F95" w:rsidRPr="000A72FF" w:rsidRDefault="00243F95" w:rsidP="00F44C9C">
      <w:pPr>
        <w:pStyle w:val="ListParagraph"/>
        <w:numPr>
          <w:ilvl w:val="2"/>
          <w:numId w:val="17"/>
        </w:numPr>
        <w:ind w:left="990"/>
      </w:pPr>
      <w:r w:rsidRPr="000A72FF">
        <w:rPr>
          <w:bCs/>
          <w:kern w:val="36"/>
        </w:rPr>
        <w:t xml:space="preserve">Weekly supplemental payments may be calculated on a prorated basis for </w:t>
      </w:r>
      <w:r w:rsidR="00962978" w:rsidRPr="000A72FF">
        <w:rPr>
          <w:bCs/>
          <w:kern w:val="36"/>
        </w:rPr>
        <w:t>the first</w:t>
      </w:r>
      <w:r w:rsidR="00C43309" w:rsidRPr="000A72FF">
        <w:rPr>
          <w:bCs/>
          <w:kern w:val="36"/>
        </w:rPr>
        <w:t xml:space="preserve"> week</w:t>
      </w:r>
      <w:r w:rsidR="00962978" w:rsidRPr="000A72FF">
        <w:rPr>
          <w:bCs/>
          <w:kern w:val="36"/>
        </w:rPr>
        <w:t xml:space="preserve"> and, if necessary, the last week of the period described in </w:t>
      </w:r>
      <w:r w:rsidR="00C43309" w:rsidRPr="000A72FF">
        <w:rPr>
          <w:kern w:val="36"/>
        </w:rPr>
        <w:t>Section</w:t>
      </w:r>
      <w:r w:rsidR="00962978" w:rsidRPr="000A72FF">
        <w:rPr>
          <w:kern w:val="36"/>
        </w:rPr>
        <w:t xml:space="preserve"> </w:t>
      </w:r>
      <w:r w:rsidR="001E0ED0" w:rsidRPr="000A72FF">
        <w:rPr>
          <w:kern w:val="36"/>
        </w:rPr>
        <w:t>3</w:t>
      </w:r>
      <w:r w:rsidR="00C43309" w:rsidRPr="000A72FF">
        <w:rPr>
          <w:kern w:val="36"/>
        </w:rPr>
        <w:t>.c.</w:t>
      </w:r>
    </w:p>
    <w:p w14:paraId="4196C6EB" w14:textId="77777777" w:rsidR="00F44C9C" w:rsidRPr="000A72FF" w:rsidRDefault="00F44C9C" w:rsidP="00F44C9C">
      <w:pPr>
        <w:pStyle w:val="ListParagraph"/>
        <w:ind w:left="990" w:firstLine="0"/>
      </w:pPr>
    </w:p>
    <w:p w14:paraId="301A2628" w14:textId="55056DDE" w:rsidR="00C43309" w:rsidRPr="000A72FF" w:rsidRDefault="00F44C9C" w:rsidP="00C43309">
      <w:pPr>
        <w:pStyle w:val="ListParagraph"/>
        <w:numPr>
          <w:ilvl w:val="1"/>
          <w:numId w:val="17"/>
        </w:numPr>
        <w:ind w:left="720"/>
        <w:rPr>
          <w:u w:val="single"/>
        </w:rPr>
      </w:pPr>
      <w:r w:rsidRPr="000A72FF">
        <w:rPr>
          <w:u w:val="single"/>
        </w:rPr>
        <w:t xml:space="preserve">Monthly supplemental payments for previously vacant </w:t>
      </w:r>
      <w:r w:rsidR="00483EA6" w:rsidRPr="000A72FF">
        <w:rPr>
          <w:u w:val="single"/>
        </w:rPr>
        <w:t xml:space="preserve">COVID-19 </w:t>
      </w:r>
      <w:r w:rsidR="001E0ED0" w:rsidRPr="000A72FF">
        <w:rPr>
          <w:u w:val="single"/>
        </w:rPr>
        <w:t>Nursing Facilities</w:t>
      </w:r>
      <w:r w:rsidR="00B12ADA" w:rsidRPr="000A72FF">
        <w:rPr>
          <w:u w:val="single"/>
        </w:rPr>
        <w:t xml:space="preserve"> after the Transition Day</w:t>
      </w:r>
      <w:r w:rsidRPr="000A72FF">
        <w:rPr>
          <w:u w:val="single"/>
        </w:rPr>
        <w:t>.</w:t>
      </w:r>
      <w:r w:rsidRPr="000A72FF">
        <w:t xml:space="preserve"> </w:t>
      </w:r>
      <w:r w:rsidR="00962978" w:rsidRPr="000A72FF">
        <w:t xml:space="preserve">For the following two </w:t>
      </w:r>
      <w:r w:rsidRPr="000A72FF">
        <w:t xml:space="preserve">calendar </w:t>
      </w:r>
      <w:r w:rsidR="00962978" w:rsidRPr="000A72FF">
        <w:t xml:space="preserve">months beginning on or after the Transition Day, </w:t>
      </w:r>
      <w:r w:rsidR="00243F95" w:rsidRPr="000A72FF">
        <w:t xml:space="preserve">EOHHS shall provide monthly supplemental payments to </w:t>
      </w:r>
      <w:r w:rsidR="00C43309" w:rsidRPr="000A72FF">
        <w:rPr>
          <w:bCs/>
          <w:kern w:val="36"/>
        </w:rPr>
        <w:t xml:space="preserve">COVID-19 </w:t>
      </w:r>
      <w:r w:rsidR="00243F95" w:rsidRPr="000A72FF">
        <w:t xml:space="preserve">Providers </w:t>
      </w:r>
      <w:r w:rsidR="003004F7">
        <w:t xml:space="preserve">who </w:t>
      </w:r>
      <w:r w:rsidR="00962978" w:rsidRPr="000A72FF">
        <w:t>establish</w:t>
      </w:r>
      <w:r w:rsidR="001E0ED0" w:rsidRPr="000A72FF">
        <w:t>ed</w:t>
      </w:r>
      <w:r w:rsidR="00962978" w:rsidRPr="000A72FF">
        <w:t xml:space="preserve"> a COVID-19 </w:t>
      </w:r>
      <w:r w:rsidR="001E0ED0" w:rsidRPr="000A72FF">
        <w:t>Nursing Facility</w:t>
      </w:r>
      <w:r w:rsidR="00962978" w:rsidRPr="000A72FF">
        <w:t xml:space="preserve"> in a previously vacant location </w:t>
      </w:r>
      <w:r w:rsidR="00C43309" w:rsidRPr="000A72FF">
        <w:t xml:space="preserve">totaling $300 </w:t>
      </w:r>
      <w:r w:rsidR="0062449C" w:rsidRPr="000A72FF">
        <w:t xml:space="preserve">per </w:t>
      </w:r>
      <w:r w:rsidR="00F515AF">
        <w:t xml:space="preserve">COVID-19 Nursing </w:t>
      </w:r>
      <w:r w:rsidR="00F515AF" w:rsidRPr="00C31086">
        <w:t>Facility B</w:t>
      </w:r>
      <w:r w:rsidR="0062449C" w:rsidRPr="00C31086">
        <w:t>ed</w:t>
      </w:r>
      <w:r w:rsidR="0062449C" w:rsidRPr="000A72FF">
        <w:t xml:space="preserve"> in the COVID-19 </w:t>
      </w:r>
      <w:r w:rsidR="001E0ED0" w:rsidRPr="000A72FF">
        <w:t>Nursing Facility</w:t>
      </w:r>
      <w:r w:rsidR="0062449C" w:rsidRPr="000A72FF">
        <w:t xml:space="preserve"> per day</w:t>
      </w:r>
      <w:r w:rsidR="00C43309" w:rsidRPr="000A72FF">
        <w:t xml:space="preserve"> for each day of the month.</w:t>
      </w:r>
    </w:p>
    <w:p w14:paraId="26A18490" w14:textId="32318077" w:rsidR="00351916" w:rsidRPr="000A72FF" w:rsidRDefault="00C43309" w:rsidP="00C43309">
      <w:pPr>
        <w:pStyle w:val="ListParagraph"/>
        <w:ind w:left="720" w:firstLine="0"/>
        <w:rPr>
          <w:u w:val="single"/>
        </w:rPr>
      </w:pPr>
      <w:r w:rsidRPr="000A72FF">
        <w:rPr>
          <w:u w:val="single"/>
        </w:rPr>
        <w:t xml:space="preserve"> </w:t>
      </w:r>
    </w:p>
    <w:p w14:paraId="384F14C8" w14:textId="0D45E0E6" w:rsidR="00F44C9C" w:rsidRPr="000A72FF" w:rsidRDefault="00F44C9C" w:rsidP="00F44C9C">
      <w:pPr>
        <w:pStyle w:val="ListParagraph"/>
        <w:numPr>
          <w:ilvl w:val="1"/>
          <w:numId w:val="17"/>
        </w:numPr>
        <w:ind w:left="720"/>
      </w:pPr>
      <w:r w:rsidRPr="000A72FF">
        <w:rPr>
          <w:u w:val="single"/>
        </w:rPr>
        <w:t>Quarterly supplemental payments.</w:t>
      </w:r>
      <w:r w:rsidRPr="000A72FF">
        <w:t xml:space="preserve"> </w:t>
      </w:r>
      <w:r w:rsidR="00243F95" w:rsidRPr="000A72FF">
        <w:t xml:space="preserve">EOHHS shall pay quarterly supplemental payments to </w:t>
      </w:r>
      <w:r w:rsidR="00C43309" w:rsidRPr="000A72FF">
        <w:rPr>
          <w:bCs/>
          <w:kern w:val="36"/>
        </w:rPr>
        <w:t>COVID-19</w:t>
      </w:r>
      <w:r w:rsidR="00243F95" w:rsidRPr="000A72FF">
        <w:t xml:space="preserve"> Provider</w:t>
      </w:r>
      <w:r w:rsidR="00C07544" w:rsidRPr="000A72FF">
        <w:t xml:space="preserve">s </w:t>
      </w:r>
      <w:r w:rsidR="00243F95" w:rsidRPr="000A72FF">
        <w:t>as follows:</w:t>
      </w:r>
    </w:p>
    <w:p w14:paraId="64552A62" w14:textId="39E896C0" w:rsidR="00F44C9C" w:rsidRPr="000A72FF" w:rsidRDefault="008175B2" w:rsidP="00F24D02">
      <w:pPr>
        <w:pStyle w:val="ListParagraph"/>
        <w:numPr>
          <w:ilvl w:val="2"/>
          <w:numId w:val="17"/>
        </w:numPr>
        <w:ind w:left="990"/>
      </w:pPr>
      <w:r w:rsidRPr="003E5AA4">
        <w:rPr>
          <w:u w:val="single"/>
        </w:rPr>
        <w:t>Quarterly supplemental payments for all COVID-19 Nursing Facilities</w:t>
      </w:r>
      <w:r w:rsidR="000116C7" w:rsidRPr="00C657DF">
        <w:rPr>
          <w:u w:val="single"/>
        </w:rPr>
        <w:t xml:space="preserve"> on or before the Transition Day</w:t>
      </w:r>
      <w:r w:rsidRPr="003E5AA4">
        <w:rPr>
          <w:u w:val="single"/>
        </w:rPr>
        <w:t>.</w:t>
      </w:r>
      <w:r w:rsidRPr="00C657DF">
        <w:t xml:space="preserve"> </w:t>
      </w:r>
      <w:r w:rsidR="00C07544" w:rsidRPr="00C657DF">
        <w:t>In</w:t>
      </w:r>
      <w:r w:rsidR="00243F95" w:rsidRPr="00C657DF">
        <w:t xml:space="preserve"> any quarter</w:t>
      </w:r>
      <w:r w:rsidR="00C43309" w:rsidRPr="00903F7A">
        <w:t>,</w:t>
      </w:r>
      <w:r w:rsidR="00243F95" w:rsidRPr="00903F7A">
        <w:t xml:space="preserve"> beginning after March 31, 2020 </w:t>
      </w:r>
      <w:r w:rsidR="00243F95" w:rsidRPr="00C657DF">
        <w:t>but before the Transition Day</w:t>
      </w:r>
      <w:r w:rsidR="00C43309" w:rsidRPr="00C657DF">
        <w:t>,</w:t>
      </w:r>
      <w:r w:rsidR="00C07544" w:rsidRPr="00C657DF">
        <w:t xml:space="preserve"> for which</w:t>
      </w:r>
      <w:r w:rsidR="00243F95" w:rsidRPr="000A72FF">
        <w:t xml:space="preserve"> the </w:t>
      </w:r>
      <w:r w:rsidR="000116C7" w:rsidRPr="000A72FF">
        <w:t xml:space="preserve">COVID-19 </w:t>
      </w:r>
      <w:r w:rsidR="00243F95" w:rsidRPr="000A72FF">
        <w:t xml:space="preserve">Provider’s quarterly Profit margin was less </w:t>
      </w:r>
      <w:r w:rsidR="0062449C" w:rsidRPr="000A72FF">
        <w:t>5</w:t>
      </w:r>
      <w:r w:rsidR="002B5E09" w:rsidRPr="000A72FF">
        <w:t xml:space="preserve">%, </w:t>
      </w:r>
      <w:r w:rsidR="00243F95" w:rsidRPr="000A72FF">
        <w:t xml:space="preserve">EOHHS shall pay a quarterly supplemental payment equal to the </w:t>
      </w:r>
      <w:r w:rsidR="0012257E" w:rsidRPr="000A72FF">
        <w:t xml:space="preserve">difference between the </w:t>
      </w:r>
      <w:r w:rsidR="003423A0" w:rsidRPr="000A72FF">
        <w:t xml:space="preserve">quarterly </w:t>
      </w:r>
      <w:r w:rsidR="0012257E" w:rsidRPr="000A72FF">
        <w:t xml:space="preserve">revenue and the revenue that would result in a </w:t>
      </w:r>
      <w:r w:rsidR="0062449C" w:rsidRPr="000A72FF">
        <w:t>5</w:t>
      </w:r>
      <w:r w:rsidR="002B5E09" w:rsidRPr="000A72FF">
        <w:t>% profit margin.</w:t>
      </w:r>
      <w:r w:rsidR="000116C7" w:rsidRPr="000A72FF">
        <w:t xml:space="preserve"> Costs incurred to establish a COVID-19 Nursing Facility from March 27, 2020 to March 31, 2020 shall be included when calculating the first quarterly supplemental payment under this Section 3.e.i.</w:t>
      </w:r>
    </w:p>
    <w:p w14:paraId="26BBDC72" w14:textId="23DBEB33" w:rsidR="009B5313" w:rsidRPr="000A72FF" w:rsidRDefault="0031754B" w:rsidP="005F6D22">
      <w:pPr>
        <w:pStyle w:val="ListParagraph"/>
        <w:numPr>
          <w:ilvl w:val="2"/>
          <w:numId w:val="17"/>
        </w:numPr>
        <w:ind w:left="990"/>
      </w:pPr>
      <w:r w:rsidRPr="000A72FF">
        <w:rPr>
          <w:u w:val="single"/>
        </w:rPr>
        <w:t xml:space="preserve">Quarterly supplemental payments for </w:t>
      </w:r>
      <w:r w:rsidR="002E5FCA" w:rsidRPr="000A72FF">
        <w:rPr>
          <w:u w:val="single"/>
        </w:rPr>
        <w:t xml:space="preserve">COVID-19 Providers that transferred </w:t>
      </w:r>
      <w:r w:rsidR="00F515AF">
        <w:rPr>
          <w:u w:val="single"/>
        </w:rPr>
        <w:t>Residents</w:t>
      </w:r>
      <w:r w:rsidR="00F515AF" w:rsidRPr="000A72FF">
        <w:rPr>
          <w:u w:val="single"/>
        </w:rPr>
        <w:t xml:space="preserve"> </w:t>
      </w:r>
      <w:r w:rsidR="002E5FCA" w:rsidRPr="000A72FF">
        <w:rPr>
          <w:u w:val="single"/>
        </w:rPr>
        <w:t>to establish a COVID-19 Nursing Facility on or before the Transition Day</w:t>
      </w:r>
      <w:r w:rsidRPr="000A72FF">
        <w:rPr>
          <w:u w:val="single"/>
        </w:rPr>
        <w:t>.</w:t>
      </w:r>
      <w:r w:rsidRPr="000A72FF">
        <w:t xml:space="preserve"> </w:t>
      </w:r>
      <w:r w:rsidR="009B5313" w:rsidRPr="000A72FF">
        <w:t xml:space="preserve">For COVID-19 Providers that transferred existing Residents out of their Nursing Facility in order to establish a COVID-19 </w:t>
      </w:r>
      <w:r w:rsidR="003423A0" w:rsidRPr="000A72FF">
        <w:t>Nursing Facility</w:t>
      </w:r>
      <w:r w:rsidR="009B5313" w:rsidRPr="000A72FF">
        <w:t xml:space="preserve">, in any of the following three quarters beginning on or after the Transition Day for which the </w:t>
      </w:r>
      <w:r w:rsidR="002E5FCA" w:rsidRPr="000A72FF">
        <w:t xml:space="preserve">COVID-19 </w:t>
      </w:r>
      <w:r w:rsidR="009B5313" w:rsidRPr="000A72FF">
        <w:t xml:space="preserve">Provider’s quarterly Profits were negative for that quarter, EOHHS shall pay a quarterly supplemental payment equal to the amount by which such Profits were negative. For the purposes of calculating the supplemental payment described in </w:t>
      </w:r>
      <w:r w:rsidR="002E5FCA" w:rsidRPr="000A72FF">
        <w:t xml:space="preserve">this </w:t>
      </w:r>
      <w:r w:rsidR="009B5313" w:rsidRPr="005F6D22">
        <w:rPr>
          <w:bCs/>
        </w:rPr>
        <w:t xml:space="preserve">Section </w:t>
      </w:r>
      <w:r w:rsidRPr="005F6D22">
        <w:rPr>
          <w:bCs/>
        </w:rPr>
        <w:t>3</w:t>
      </w:r>
      <w:r w:rsidR="009B5313" w:rsidRPr="005F6D22">
        <w:rPr>
          <w:bCs/>
        </w:rPr>
        <w:t>.e.ii</w:t>
      </w:r>
      <w:r w:rsidR="009B5313" w:rsidRPr="00C657DF">
        <w:rPr>
          <w:bCs/>
        </w:rPr>
        <w:t xml:space="preserve"> the supplemental payment described in</w:t>
      </w:r>
      <w:r w:rsidR="002E5FCA" w:rsidRPr="00C657DF">
        <w:rPr>
          <w:bCs/>
        </w:rPr>
        <w:t xml:space="preserve"> said</w:t>
      </w:r>
      <w:r w:rsidR="009B5313" w:rsidRPr="00C657DF">
        <w:rPr>
          <w:bCs/>
        </w:rPr>
        <w:t xml:space="preserve"> </w:t>
      </w:r>
      <w:r w:rsidR="009B5313" w:rsidRPr="005F6D22">
        <w:rPr>
          <w:bCs/>
        </w:rPr>
        <w:t xml:space="preserve">Section </w:t>
      </w:r>
      <w:r w:rsidR="005F6D22">
        <w:rPr>
          <w:bCs/>
        </w:rPr>
        <w:t>3</w:t>
      </w:r>
      <w:r w:rsidR="009B5313" w:rsidRPr="005F6D22">
        <w:rPr>
          <w:bCs/>
        </w:rPr>
        <w:t>.b.ii</w:t>
      </w:r>
      <w:r w:rsidR="009B5313" w:rsidRPr="00C657DF">
        <w:rPr>
          <w:bCs/>
        </w:rPr>
        <w:t xml:space="preserve"> </w:t>
      </w:r>
      <w:r w:rsidR="009B5313" w:rsidRPr="00C657DF">
        <w:t>shall not be included for the definition of revenue</w:t>
      </w:r>
      <w:r w:rsidR="009B5313" w:rsidRPr="000A72FF">
        <w:t>;</w:t>
      </w:r>
    </w:p>
    <w:p w14:paraId="3C458C79" w14:textId="503583D4" w:rsidR="009B5313" w:rsidRPr="000A72FF" w:rsidRDefault="0031754B" w:rsidP="00F44C9C">
      <w:pPr>
        <w:pStyle w:val="ListParagraph"/>
        <w:numPr>
          <w:ilvl w:val="2"/>
          <w:numId w:val="17"/>
        </w:numPr>
        <w:ind w:left="990"/>
      </w:pPr>
      <w:r w:rsidRPr="000A72FF">
        <w:rPr>
          <w:u w:val="single"/>
        </w:rPr>
        <w:t xml:space="preserve">Quarterly supplemental payments for previously vacant COVID-19 Nursing Facilities. </w:t>
      </w:r>
      <w:r w:rsidR="009B5313" w:rsidRPr="000A72FF">
        <w:t>For</w:t>
      </w:r>
      <w:r w:rsidR="009B5313" w:rsidRPr="000A72FF">
        <w:rPr>
          <w:bCs/>
          <w:kern w:val="36"/>
        </w:rPr>
        <w:t xml:space="preserve"> COVID-19 Providers that operate</w:t>
      </w:r>
      <w:r w:rsidRPr="000A72FF">
        <w:rPr>
          <w:bCs/>
          <w:kern w:val="36"/>
        </w:rPr>
        <w:t>d</w:t>
      </w:r>
      <w:r w:rsidR="009B5313" w:rsidRPr="000A72FF">
        <w:rPr>
          <w:bCs/>
          <w:kern w:val="36"/>
        </w:rPr>
        <w:t xml:space="preserve"> a COVID-19 </w:t>
      </w:r>
      <w:r w:rsidRPr="000A72FF">
        <w:rPr>
          <w:bCs/>
          <w:kern w:val="36"/>
        </w:rPr>
        <w:t>Nursing Facility</w:t>
      </w:r>
      <w:r w:rsidR="009B5313" w:rsidRPr="000A72FF">
        <w:rPr>
          <w:bCs/>
          <w:kern w:val="36"/>
        </w:rPr>
        <w:t xml:space="preserve"> in a</w:t>
      </w:r>
      <w:r w:rsidR="009B5313" w:rsidRPr="000A72FF">
        <w:t xml:space="preserve"> previously vacant </w:t>
      </w:r>
      <w:r w:rsidR="008175B2" w:rsidRPr="00C657DF">
        <w:t>location</w:t>
      </w:r>
      <w:r w:rsidR="009B5313" w:rsidRPr="005F6D22">
        <w:t xml:space="preserve">, </w:t>
      </w:r>
      <w:r w:rsidR="009B5313" w:rsidRPr="00C657DF">
        <w:t xml:space="preserve">in any of the following </w:t>
      </w:r>
      <w:r w:rsidR="009B5313" w:rsidRPr="00903F7A">
        <w:t xml:space="preserve">two quarters beginning on or after the Transition Day for which </w:t>
      </w:r>
      <w:r w:rsidR="009B5313" w:rsidRPr="000A72FF">
        <w:t xml:space="preserve">the </w:t>
      </w:r>
      <w:r w:rsidR="002E5FCA" w:rsidRPr="000A72FF">
        <w:t xml:space="preserve">COVID-19 </w:t>
      </w:r>
      <w:r w:rsidR="009B5313" w:rsidRPr="000A72FF">
        <w:t>Provider’s quarterly Profits were negative for that quarter, EOHHS shall pay a quarterly supplemental payment equal to the amount by which such Profits were negative.</w:t>
      </w:r>
    </w:p>
    <w:p w14:paraId="3A6B43D4" w14:textId="254D2E01" w:rsidR="00243F95" w:rsidRPr="00C657DF" w:rsidRDefault="00243F95" w:rsidP="00F44C9C">
      <w:pPr>
        <w:pStyle w:val="ListParagraph"/>
        <w:numPr>
          <w:ilvl w:val="2"/>
          <w:numId w:val="17"/>
        </w:numPr>
        <w:ind w:left="990"/>
      </w:pPr>
      <w:r w:rsidRPr="000A72FF">
        <w:t xml:space="preserve">If the Transition Day falls in the middle of a quarter, the calculation of that quarterly supplemental payment shall be determined by applying the provisions of </w:t>
      </w:r>
      <w:r w:rsidR="00C43309" w:rsidRPr="005F6D22">
        <w:t>Section</w:t>
      </w:r>
      <w:r w:rsidRPr="005F6D22">
        <w:t xml:space="preserve"> </w:t>
      </w:r>
      <w:r w:rsidR="002E5FCA" w:rsidRPr="00C657DF">
        <w:t>3</w:t>
      </w:r>
      <w:r w:rsidRPr="005F6D22">
        <w:t>.</w:t>
      </w:r>
      <w:r w:rsidR="00C43309" w:rsidRPr="005F6D22">
        <w:t>e.i</w:t>
      </w:r>
      <w:r w:rsidRPr="00C657DF">
        <w:t xml:space="preserve"> and</w:t>
      </w:r>
      <w:r w:rsidR="002E5FCA" w:rsidRPr="00C657DF">
        <w:t xml:space="preserve">, as applicable, Section 3.e.ii or </w:t>
      </w:r>
      <w:r w:rsidR="00C43309" w:rsidRPr="005F6D22">
        <w:t>Section</w:t>
      </w:r>
      <w:r w:rsidRPr="005F6D22">
        <w:t xml:space="preserve"> </w:t>
      </w:r>
      <w:r w:rsidR="002E5FCA" w:rsidRPr="00C657DF">
        <w:t>3</w:t>
      </w:r>
      <w:r w:rsidR="00351916" w:rsidRPr="005F6D22">
        <w:t>.</w:t>
      </w:r>
      <w:r w:rsidR="00C43309" w:rsidRPr="005F6D22">
        <w:t>e.ii</w:t>
      </w:r>
      <w:r w:rsidR="00543DE2">
        <w:t>i</w:t>
      </w:r>
      <w:r w:rsidRPr="00C657DF">
        <w:t xml:space="preserve"> on a prorated basis</w:t>
      </w:r>
      <w:r w:rsidR="00CA1506">
        <w:t xml:space="preserve"> </w:t>
      </w:r>
      <w:r w:rsidR="00101F1B">
        <w:t>proportionally to the number of days in the quarter on or before the Transition Day and after the Transition Day.</w:t>
      </w:r>
      <w:r w:rsidR="00CA1506">
        <w:t xml:space="preserve"> </w:t>
      </w:r>
    </w:p>
    <w:p w14:paraId="7CE1DD57" w14:textId="25F3FD36" w:rsidR="00E35B68" w:rsidRPr="000A72FF" w:rsidRDefault="00E35B68" w:rsidP="005F6D22">
      <w:pPr>
        <w:pStyle w:val="ListParagraph"/>
        <w:numPr>
          <w:ilvl w:val="1"/>
          <w:numId w:val="17"/>
        </w:numPr>
        <w:ind w:left="720"/>
      </w:pPr>
      <w:r w:rsidRPr="00C657DF">
        <w:t xml:space="preserve">If a </w:t>
      </w:r>
      <w:r w:rsidR="00056796" w:rsidRPr="00C657DF">
        <w:t>COVID-19 Provider closes</w:t>
      </w:r>
      <w:r w:rsidRPr="00903F7A">
        <w:t xml:space="preserve">, </w:t>
      </w:r>
      <w:r w:rsidR="00056796" w:rsidRPr="00903F7A">
        <w:t>no supplemental payments shall be provided to the COVID-19 Provider afte</w:t>
      </w:r>
      <w:r w:rsidR="00056796" w:rsidRPr="000A72FF">
        <w:t xml:space="preserve">r the closure date. </w:t>
      </w:r>
    </w:p>
    <w:p w14:paraId="0731108E" w14:textId="77777777" w:rsidR="007C30ED" w:rsidRPr="005F6D22" w:rsidRDefault="007C30ED" w:rsidP="00F12517">
      <w:pPr>
        <w:pStyle w:val="BodyText"/>
        <w:ind w:right="169"/>
        <w:rPr>
          <w:sz w:val="22"/>
          <w:szCs w:val="22"/>
        </w:rPr>
      </w:pPr>
    </w:p>
    <w:p w14:paraId="27F7B902" w14:textId="7D7F96AB" w:rsidR="008F632A" w:rsidRPr="00C657DF" w:rsidRDefault="008F632A" w:rsidP="007B2674">
      <w:pPr>
        <w:pStyle w:val="ListParagraph"/>
        <w:numPr>
          <w:ilvl w:val="0"/>
          <w:numId w:val="17"/>
        </w:numPr>
        <w:ind w:left="360"/>
        <w:rPr>
          <w:b/>
          <w:kern w:val="36"/>
        </w:rPr>
      </w:pPr>
      <w:r w:rsidRPr="00C657DF">
        <w:rPr>
          <w:b/>
          <w:kern w:val="36"/>
        </w:rPr>
        <w:t>Allowable Costs</w:t>
      </w:r>
    </w:p>
    <w:p w14:paraId="29D172D5" w14:textId="77777777" w:rsidR="008F632A" w:rsidRPr="000A72FF" w:rsidRDefault="008F632A" w:rsidP="008F632A"/>
    <w:p w14:paraId="1CB68EC9" w14:textId="3FAB2577" w:rsidR="008F632A" w:rsidRPr="00903F7A" w:rsidRDefault="008F632A" w:rsidP="00AD2868">
      <w:r w:rsidRPr="000A72FF">
        <w:t>Allowable costs shall have the following meaning for COVID-19 Providers, notwithstanding</w:t>
      </w:r>
      <w:r w:rsidR="007034D4" w:rsidRPr="000A72FF">
        <w:t xml:space="preserve"> </w:t>
      </w:r>
      <w:r w:rsidRPr="005F6D22">
        <w:t>101 CMR 206.08 (3):</w:t>
      </w:r>
      <w:r w:rsidRPr="00C657DF">
        <w:t xml:space="preserve"> </w:t>
      </w:r>
      <w:r w:rsidRPr="00C657DF">
        <w:rPr>
          <w:i/>
        </w:rPr>
        <w:t>General Cost Principles</w:t>
      </w:r>
      <w:r w:rsidRPr="00903F7A">
        <w:t>:</w:t>
      </w:r>
    </w:p>
    <w:p w14:paraId="229070E4" w14:textId="77777777" w:rsidR="008F632A" w:rsidRPr="000A72FF" w:rsidRDefault="008F632A" w:rsidP="00AD2868">
      <w:pPr>
        <w:ind w:left="360"/>
      </w:pPr>
    </w:p>
    <w:p w14:paraId="1A479354" w14:textId="1FF6CAEE" w:rsidR="008F632A" w:rsidRPr="000A72FF" w:rsidRDefault="008F632A" w:rsidP="005F6D22">
      <w:pPr>
        <w:pStyle w:val="ListParagraph"/>
        <w:widowControl/>
        <w:numPr>
          <w:ilvl w:val="1"/>
          <w:numId w:val="20"/>
        </w:numPr>
        <w:autoSpaceDE/>
        <w:autoSpaceDN/>
        <w:spacing w:after="5" w:line="248" w:lineRule="auto"/>
        <w:ind w:left="360"/>
        <w:contextualSpacing/>
      </w:pPr>
      <w:bookmarkStart w:id="4" w:name="_Hlk36749254"/>
      <w:r w:rsidRPr="000A72FF">
        <w:t xml:space="preserve">General Cost Principles. In order </w:t>
      </w:r>
      <w:r w:rsidR="00897ED9">
        <w:t>for any cost to be considered</w:t>
      </w:r>
      <w:r w:rsidRPr="000A72FF">
        <w:t xml:space="preserve"> allowable, </w:t>
      </w:r>
      <w:r w:rsidR="00897ED9">
        <w:t>it</w:t>
      </w:r>
      <w:r w:rsidRPr="000A72FF">
        <w:t xml:space="preserve"> must satisfy the following</w:t>
      </w:r>
      <w:r w:rsidR="00897ED9">
        <w:t xml:space="preserve"> </w:t>
      </w:r>
      <w:r w:rsidRPr="000A72FF">
        <w:t>criteria</w:t>
      </w:r>
      <w:r w:rsidR="00CF09C2">
        <w:t>:</w:t>
      </w:r>
    </w:p>
    <w:p w14:paraId="46EBAF58" w14:textId="6AFE72D2" w:rsidR="008F632A" w:rsidRPr="000A72FF" w:rsidRDefault="008F632A" w:rsidP="005F6D22">
      <w:pPr>
        <w:pStyle w:val="ListParagraph"/>
        <w:widowControl/>
        <w:numPr>
          <w:ilvl w:val="2"/>
          <w:numId w:val="20"/>
        </w:numPr>
        <w:autoSpaceDE/>
        <w:autoSpaceDN/>
        <w:spacing w:after="5" w:line="248" w:lineRule="auto"/>
        <w:ind w:left="630"/>
        <w:contextualSpacing/>
      </w:pPr>
      <w:r w:rsidRPr="000A72FF">
        <w:t xml:space="preserve">The cost must be directly related to the provision of services to </w:t>
      </w:r>
      <w:r w:rsidR="008C4129">
        <w:t>COVID-19 Resident</w:t>
      </w:r>
      <w:r w:rsidRPr="000A72FF">
        <w:t xml:space="preserve">s or for establishing, operating, or closing a </w:t>
      </w:r>
      <w:r w:rsidR="00236AC5" w:rsidRPr="000A72FF">
        <w:t>COVID-19 Nursing Facility</w:t>
      </w:r>
      <w:r w:rsidRPr="000A72FF">
        <w:t>.</w:t>
      </w:r>
    </w:p>
    <w:p w14:paraId="5AB294CA" w14:textId="3656EE45" w:rsidR="008F632A" w:rsidRPr="000A72FF" w:rsidRDefault="008F632A" w:rsidP="005F6D22">
      <w:pPr>
        <w:pStyle w:val="ListParagraph"/>
        <w:widowControl/>
        <w:numPr>
          <w:ilvl w:val="2"/>
          <w:numId w:val="20"/>
        </w:numPr>
        <w:autoSpaceDE/>
        <w:autoSpaceDN/>
        <w:spacing w:after="5" w:line="248" w:lineRule="auto"/>
        <w:ind w:left="630"/>
        <w:contextualSpacing/>
      </w:pPr>
      <w:r w:rsidRPr="000A72FF">
        <w:t>The cost must be reasonable</w:t>
      </w:r>
      <w:r w:rsidR="00F75C1B">
        <w:t>, provided that in the context of the public health emergency, certain costs that may otherwise appear unreasonable may be considered reasonable under the totality of the circumstances</w:t>
      </w:r>
      <w:r w:rsidRPr="000A72FF">
        <w:t>.</w:t>
      </w:r>
    </w:p>
    <w:p w14:paraId="1002F0B6" w14:textId="3FFFAC9A" w:rsidR="008F632A" w:rsidRPr="000A72FF" w:rsidRDefault="008F632A" w:rsidP="005F6D22">
      <w:pPr>
        <w:pStyle w:val="ListParagraph"/>
        <w:widowControl/>
        <w:numPr>
          <w:ilvl w:val="2"/>
          <w:numId w:val="20"/>
        </w:numPr>
        <w:autoSpaceDE/>
        <w:autoSpaceDN/>
        <w:spacing w:after="5" w:line="248" w:lineRule="auto"/>
        <w:ind w:left="630"/>
        <w:contextualSpacing/>
      </w:pPr>
      <w:r w:rsidRPr="000A72FF">
        <w:t xml:space="preserve">The cost must actually be paid by the </w:t>
      </w:r>
      <w:r w:rsidR="008C4129">
        <w:t>COVID-19 Provider</w:t>
      </w:r>
      <w:r w:rsidRPr="000A72FF">
        <w:t xml:space="preserve">. Costs not considered </w:t>
      </w:r>
      <w:r w:rsidR="00F75C1B">
        <w:t>to have been paid by the COVID-19 Provider</w:t>
      </w:r>
      <w:r w:rsidR="00F75C1B" w:rsidRPr="000A72FF">
        <w:t xml:space="preserve"> </w:t>
      </w:r>
      <w:r w:rsidRPr="000A72FF">
        <w:t>include, but are not limited to: costs discharged in bankruptcy; costs forgiven; costs converted to a promissory note; and accruals of self-insured costs based on actuarial estimates.</w:t>
      </w:r>
    </w:p>
    <w:p w14:paraId="5BD93C19" w14:textId="77777777" w:rsidR="008F632A" w:rsidRPr="000A72FF" w:rsidRDefault="008F632A" w:rsidP="00AD2868"/>
    <w:p w14:paraId="37E37DF3" w14:textId="44F2DA26" w:rsidR="008F632A" w:rsidRPr="00C657DF" w:rsidRDefault="00897ED9" w:rsidP="005F6D22">
      <w:pPr>
        <w:pStyle w:val="ListParagraph"/>
        <w:widowControl/>
        <w:numPr>
          <w:ilvl w:val="1"/>
          <w:numId w:val="20"/>
        </w:numPr>
        <w:autoSpaceDE/>
        <w:autoSpaceDN/>
        <w:spacing w:after="5" w:line="248" w:lineRule="auto"/>
        <w:ind w:left="360"/>
        <w:contextualSpacing/>
      </w:pPr>
      <w:r>
        <w:t xml:space="preserve">The </w:t>
      </w:r>
      <w:r w:rsidR="008F632A" w:rsidRPr="000A72FF">
        <w:t>following cost</w:t>
      </w:r>
      <w:r>
        <w:t xml:space="preserve">s shall be considered </w:t>
      </w:r>
      <w:r w:rsidR="008F632A" w:rsidRPr="000A72FF">
        <w:t>non-allowable cost</w:t>
      </w:r>
      <w:r w:rsidR="008F632A" w:rsidRPr="00C657DF">
        <w:t>s:</w:t>
      </w:r>
    </w:p>
    <w:p w14:paraId="2D639836" w14:textId="33A7B6AD" w:rsidR="008F632A" w:rsidRPr="000A72FF" w:rsidRDefault="00E8749F" w:rsidP="005F6D22">
      <w:pPr>
        <w:pStyle w:val="ListParagraph"/>
        <w:widowControl/>
        <w:numPr>
          <w:ilvl w:val="2"/>
          <w:numId w:val="20"/>
        </w:numPr>
        <w:autoSpaceDE/>
        <w:autoSpaceDN/>
        <w:spacing w:after="5" w:line="248" w:lineRule="auto"/>
        <w:ind w:left="630"/>
        <w:contextualSpacing/>
      </w:pPr>
      <w:r>
        <w:t>B</w:t>
      </w:r>
      <w:r w:rsidR="008F632A" w:rsidRPr="000A72FF">
        <w:t>ad debts, refunds, charity, and courtesy allowances and contractual adjustments to the Commonwealth and other third parties.</w:t>
      </w:r>
    </w:p>
    <w:p w14:paraId="60D32DA7" w14:textId="4417E0A4" w:rsidR="008F632A" w:rsidRDefault="00E8749F" w:rsidP="005F6D22">
      <w:pPr>
        <w:pStyle w:val="ListParagraph"/>
        <w:widowControl/>
        <w:numPr>
          <w:ilvl w:val="2"/>
          <w:numId w:val="20"/>
        </w:numPr>
        <w:autoSpaceDE/>
        <w:autoSpaceDN/>
        <w:spacing w:after="5" w:line="248" w:lineRule="auto"/>
        <w:ind w:left="630"/>
        <w:contextualSpacing/>
      </w:pPr>
      <w:r>
        <w:t>F</w:t>
      </w:r>
      <w:r w:rsidR="008F632A" w:rsidRPr="000A72FF">
        <w:t>ederal and state income taxes, except the non-income related portion of the Massachusetts corporate excise tax</w:t>
      </w:r>
      <w:r w:rsidR="008E306B">
        <w:t>.</w:t>
      </w:r>
    </w:p>
    <w:p w14:paraId="299E1B77" w14:textId="6311CC97" w:rsidR="00F75C1B" w:rsidRPr="00C657DF" w:rsidRDefault="00F75C1B" w:rsidP="005F6D22">
      <w:pPr>
        <w:pStyle w:val="ListParagraph"/>
        <w:widowControl/>
        <w:numPr>
          <w:ilvl w:val="2"/>
          <w:numId w:val="20"/>
        </w:numPr>
        <w:autoSpaceDE/>
        <w:autoSpaceDN/>
        <w:spacing w:after="5" w:line="248" w:lineRule="auto"/>
        <w:ind w:left="630"/>
        <w:contextualSpacing/>
      </w:pPr>
      <w:r>
        <w:t>t</w:t>
      </w:r>
      <w:r w:rsidRPr="000A72FF">
        <w:t xml:space="preserve">he user fee assessment as applicable under 101 CMR 512.00: </w:t>
      </w:r>
      <w:r w:rsidRPr="00EB1DC6">
        <w:rPr>
          <w:i/>
          <w:iCs/>
        </w:rPr>
        <w:t>Nursing Facility User Fees</w:t>
      </w:r>
      <w:r w:rsidRPr="000A72FF">
        <w:t>.</w:t>
      </w:r>
    </w:p>
    <w:p w14:paraId="208B37F0" w14:textId="3CE2B4F7" w:rsidR="008F632A" w:rsidRPr="000A72FF" w:rsidRDefault="00E8749F" w:rsidP="005F6D22">
      <w:pPr>
        <w:pStyle w:val="ListParagraph"/>
        <w:widowControl/>
        <w:numPr>
          <w:ilvl w:val="2"/>
          <w:numId w:val="20"/>
        </w:numPr>
        <w:autoSpaceDE/>
        <w:autoSpaceDN/>
        <w:spacing w:after="5" w:line="248" w:lineRule="auto"/>
        <w:ind w:left="630"/>
        <w:contextualSpacing/>
      </w:pPr>
      <w:r>
        <w:t>E</w:t>
      </w:r>
      <w:r w:rsidR="008F632A" w:rsidRPr="000A72FF">
        <w:t xml:space="preserve">xpenses not directly related to the provision of </w:t>
      </w:r>
      <w:r w:rsidR="008C4129">
        <w:t>COVID-19 Resident</w:t>
      </w:r>
      <w:r w:rsidR="008F632A" w:rsidRPr="000A72FF">
        <w:t xml:space="preserve"> care including, but not limited to, expenses related to other business activities and fund raising, gift shop expenses, research expenses, rental expense for space not required by </w:t>
      </w:r>
      <w:r w:rsidR="00814A61" w:rsidRPr="000A72FF">
        <w:t xml:space="preserve">the </w:t>
      </w:r>
      <w:r w:rsidR="008F632A" w:rsidRPr="000A72FF">
        <w:t>D</w:t>
      </w:r>
      <w:r w:rsidR="00814A61" w:rsidRPr="000A72FF">
        <w:t xml:space="preserve">epartment of </w:t>
      </w:r>
      <w:r w:rsidR="008F632A" w:rsidRPr="000A72FF">
        <w:t>P</w:t>
      </w:r>
      <w:r w:rsidR="00814A61" w:rsidRPr="000A72FF">
        <w:t xml:space="preserve">ublic </w:t>
      </w:r>
      <w:r w:rsidR="008F632A" w:rsidRPr="000A72FF">
        <w:t>H</w:t>
      </w:r>
      <w:r w:rsidR="00814A61" w:rsidRPr="000A72FF">
        <w:t>ealth</w:t>
      </w:r>
      <w:r w:rsidR="008F632A" w:rsidRPr="000A72FF">
        <w:t xml:space="preserve"> and expenditure of funds received under federal grants for compensation paid for training personnel and expenses related to grants of contracts for special projects.</w:t>
      </w:r>
    </w:p>
    <w:p w14:paraId="17EDA49E" w14:textId="60454816" w:rsidR="008F632A" w:rsidRPr="000A72FF" w:rsidRDefault="00E8749F" w:rsidP="005F6D22">
      <w:pPr>
        <w:pStyle w:val="ListParagraph"/>
        <w:widowControl/>
        <w:numPr>
          <w:ilvl w:val="2"/>
          <w:numId w:val="20"/>
        </w:numPr>
        <w:autoSpaceDE/>
        <w:autoSpaceDN/>
        <w:spacing w:after="5" w:line="248" w:lineRule="auto"/>
        <w:ind w:left="630"/>
        <w:contextualSpacing/>
      </w:pPr>
      <w:r>
        <w:t>B</w:t>
      </w:r>
      <w:r w:rsidR="008F632A" w:rsidRPr="000A72FF">
        <w:t>onuses related to profit, private occupancy, or directly or indirectly to rates of reimbursement.</w:t>
      </w:r>
    </w:p>
    <w:p w14:paraId="12D0FE3E" w14:textId="5CEB6475" w:rsidR="008F632A" w:rsidRPr="000A72FF" w:rsidRDefault="00E8749F" w:rsidP="005F6D22">
      <w:pPr>
        <w:pStyle w:val="ListParagraph"/>
        <w:widowControl/>
        <w:numPr>
          <w:ilvl w:val="2"/>
          <w:numId w:val="20"/>
        </w:numPr>
        <w:autoSpaceDE/>
        <w:autoSpaceDN/>
        <w:spacing w:after="5" w:line="248" w:lineRule="auto"/>
        <w:ind w:left="630"/>
        <w:contextualSpacing/>
      </w:pPr>
      <w:r>
        <w:t>C</w:t>
      </w:r>
      <w:r w:rsidR="008F632A" w:rsidRPr="000A72FF">
        <w:t xml:space="preserve">ompensation and fringe benefits of </w:t>
      </w:r>
      <w:r w:rsidR="008C4129">
        <w:t>Resident</w:t>
      </w:r>
      <w:r w:rsidR="008F632A" w:rsidRPr="000A72FF">
        <w:t xml:space="preserve">s on a </w:t>
      </w:r>
      <w:r w:rsidR="008C4129">
        <w:t xml:space="preserve">COVID-19 </w:t>
      </w:r>
      <w:r w:rsidR="008F632A" w:rsidRPr="000A72FF">
        <w:t>Provider's payroll.</w:t>
      </w:r>
    </w:p>
    <w:p w14:paraId="76B656E1" w14:textId="4D79CEFE" w:rsidR="008F632A" w:rsidRPr="000A72FF" w:rsidRDefault="00E8749F" w:rsidP="005F6D22">
      <w:pPr>
        <w:pStyle w:val="ListParagraph"/>
        <w:widowControl/>
        <w:numPr>
          <w:ilvl w:val="2"/>
          <w:numId w:val="20"/>
        </w:numPr>
        <w:autoSpaceDE/>
        <w:autoSpaceDN/>
        <w:spacing w:after="5" w:line="248" w:lineRule="auto"/>
        <w:ind w:left="630"/>
        <w:contextualSpacing/>
      </w:pPr>
      <w:r>
        <w:t>P</w:t>
      </w:r>
      <w:r w:rsidR="008F632A" w:rsidRPr="000A72FF">
        <w:t>enalties and interest incurred because of late payment of loans or other indebtedness</w:t>
      </w:r>
      <w:r w:rsidR="008F632A" w:rsidRPr="00C657DF">
        <w:t>, late filing of federal and state tax returns, or from late payment of municipal taxe</w:t>
      </w:r>
      <w:r w:rsidR="008F632A" w:rsidRPr="000A72FF">
        <w:t>s.</w:t>
      </w:r>
    </w:p>
    <w:p w14:paraId="4C2FE515" w14:textId="5506D517" w:rsidR="008F632A" w:rsidRPr="000A72FF" w:rsidRDefault="00E8749F" w:rsidP="005F6D22">
      <w:pPr>
        <w:pStyle w:val="ListParagraph"/>
        <w:widowControl/>
        <w:numPr>
          <w:ilvl w:val="2"/>
          <w:numId w:val="20"/>
        </w:numPr>
        <w:autoSpaceDE/>
        <w:autoSpaceDN/>
        <w:spacing w:after="5" w:line="248" w:lineRule="auto"/>
        <w:ind w:left="630"/>
        <w:contextualSpacing/>
      </w:pPr>
      <w:r>
        <w:t>A</w:t>
      </w:r>
      <w:r w:rsidR="008F632A" w:rsidRPr="000A72FF">
        <w:t>ny increase in compensation or fringe benefits granted as an unfair labor practice after a final adjudication by the court of last resort</w:t>
      </w:r>
      <w:r w:rsidR="00B0488D">
        <w:t>.</w:t>
      </w:r>
    </w:p>
    <w:p w14:paraId="64742D78" w14:textId="1984B007" w:rsidR="008F632A" w:rsidRPr="000A72FF" w:rsidRDefault="00E8749F" w:rsidP="005F6D22">
      <w:pPr>
        <w:pStyle w:val="ListParagraph"/>
        <w:widowControl/>
        <w:numPr>
          <w:ilvl w:val="2"/>
          <w:numId w:val="20"/>
        </w:numPr>
        <w:autoSpaceDE/>
        <w:autoSpaceDN/>
        <w:spacing w:after="5" w:line="248" w:lineRule="auto"/>
        <w:ind w:left="630"/>
        <w:contextualSpacing/>
      </w:pPr>
      <w:r>
        <w:t>A</w:t>
      </w:r>
      <w:r w:rsidR="008F632A" w:rsidRPr="000A72FF">
        <w:t xml:space="preserve">ny expense or amortization of a capitalized cost that relates to costs or expenses incurred prior to the initial opening of the </w:t>
      </w:r>
      <w:r w:rsidR="008C4129">
        <w:t>COVID-19 Nursing Facility</w:t>
      </w:r>
      <w:r w:rsidR="008F632A" w:rsidRPr="000A72FF">
        <w:t xml:space="preserve">, unless the </w:t>
      </w:r>
      <w:r w:rsidR="008C4129">
        <w:t>COVID-19 Nursing Facility</w:t>
      </w:r>
      <w:r w:rsidR="008F632A" w:rsidRPr="000A72FF">
        <w:t xml:space="preserve"> was opened specifically to serve as </w:t>
      </w:r>
      <w:r w:rsidR="00AD2868">
        <w:t>such</w:t>
      </w:r>
      <w:r w:rsidR="008F632A" w:rsidRPr="000A72FF">
        <w:t>.</w:t>
      </w:r>
    </w:p>
    <w:p w14:paraId="58014270" w14:textId="4C2E77B2" w:rsidR="008F632A" w:rsidRPr="000A72FF" w:rsidRDefault="00E8749F" w:rsidP="005F6D22">
      <w:pPr>
        <w:pStyle w:val="ListParagraph"/>
        <w:widowControl/>
        <w:numPr>
          <w:ilvl w:val="2"/>
          <w:numId w:val="20"/>
        </w:numPr>
        <w:autoSpaceDE/>
        <w:autoSpaceDN/>
        <w:spacing w:after="5" w:line="248" w:lineRule="auto"/>
        <w:ind w:left="630"/>
        <w:contextualSpacing/>
      </w:pPr>
      <w:r>
        <w:t>P</w:t>
      </w:r>
      <w:r w:rsidR="008F632A" w:rsidRPr="000A72FF">
        <w:t xml:space="preserve">rescribed drugs for individual </w:t>
      </w:r>
      <w:r w:rsidR="00D92CD0">
        <w:t xml:space="preserve">MassHealth </w:t>
      </w:r>
      <w:r w:rsidR="00F515AF">
        <w:t>Members</w:t>
      </w:r>
      <w:r w:rsidR="008F632A" w:rsidRPr="000A72FF">
        <w:t xml:space="preserve">. </w:t>
      </w:r>
    </w:p>
    <w:p w14:paraId="435EA777" w14:textId="09AB3E7B" w:rsidR="008F632A" w:rsidRDefault="00E8749F" w:rsidP="005F6D22">
      <w:pPr>
        <w:pStyle w:val="ListParagraph"/>
        <w:widowControl/>
        <w:numPr>
          <w:ilvl w:val="2"/>
          <w:numId w:val="20"/>
        </w:numPr>
        <w:autoSpaceDE/>
        <w:autoSpaceDN/>
        <w:spacing w:after="5" w:line="248" w:lineRule="auto"/>
        <w:ind w:left="630"/>
        <w:contextualSpacing/>
      </w:pPr>
      <w:r>
        <w:t>R</w:t>
      </w:r>
      <w:r w:rsidR="008F632A" w:rsidRPr="000A72FF">
        <w:t xml:space="preserve">ecovery of expense items, that is, expenses that are reduced or eliminated by applicable income including, but not limited to, rental of quarters to employees and others, income from meals sold to persons other than </w:t>
      </w:r>
      <w:r w:rsidR="008C4129">
        <w:t>COVID-19 Resident</w:t>
      </w:r>
      <w:r w:rsidR="008F632A" w:rsidRPr="000A72FF">
        <w:t>s, telephone income, vending machine income, and medical records income. Vending machine income will be recovered against other operating costs.  Other recoverable income will be recovered against an account in the appropriate cost group category, such as administrative and general costs, other operating costs, nursing costs, and capital costs. The cost associated with laundry income that is generated from special services rendered to private patients will be identified and eliminated from claims for reimbursement.  Special services are those services not rendered to all patients (</w:t>
      </w:r>
      <w:r w:rsidR="008F632A" w:rsidRPr="005F6D22">
        <w:t>e.g</w:t>
      </w:r>
      <w:r w:rsidR="008F632A" w:rsidRPr="000A72FF">
        <w:t xml:space="preserve">., dry cleaning, </w:t>
      </w:r>
      <w:r w:rsidR="008F632A" w:rsidRPr="005F6D22">
        <w:t>etc</w:t>
      </w:r>
      <w:r w:rsidR="008F632A" w:rsidRPr="000A72FF">
        <w:t xml:space="preserve">.). </w:t>
      </w:r>
      <w:r w:rsidR="00817A92">
        <w:t xml:space="preserve"> </w:t>
      </w:r>
      <w:r w:rsidR="008F632A" w:rsidRPr="000A72FF">
        <w:t>If the cost of special services cannot be determined, laundry income will be recovered against laundry expense.</w:t>
      </w:r>
    </w:p>
    <w:p w14:paraId="0BF4A263" w14:textId="0510E333" w:rsidR="00862818" w:rsidRPr="000A72FF" w:rsidRDefault="00862818" w:rsidP="005F6D22">
      <w:pPr>
        <w:pStyle w:val="ListParagraph"/>
        <w:widowControl/>
        <w:numPr>
          <w:ilvl w:val="2"/>
          <w:numId w:val="20"/>
        </w:numPr>
        <w:autoSpaceDE/>
        <w:autoSpaceDN/>
        <w:spacing w:after="5" w:line="248" w:lineRule="auto"/>
        <w:ind w:left="630"/>
        <w:contextualSpacing/>
      </w:pPr>
      <w:r>
        <w:lastRenderedPageBreak/>
        <w:t>Any costs related to or arising from any affirmative or defensive litigation involving the COVID-19 Nursing Facility, COVID-19 Provider, or a related party, and any costs related to or arising from any legal or administrative action involving the Commonwealth of Massachusetts.</w:t>
      </w:r>
    </w:p>
    <w:p w14:paraId="648E81E8" w14:textId="3DC782C2" w:rsidR="008F632A" w:rsidRPr="000A72FF" w:rsidRDefault="00E8749F" w:rsidP="005F6D22">
      <w:pPr>
        <w:pStyle w:val="ListParagraph"/>
        <w:widowControl/>
        <w:numPr>
          <w:ilvl w:val="2"/>
          <w:numId w:val="20"/>
        </w:numPr>
        <w:autoSpaceDE/>
        <w:autoSpaceDN/>
        <w:spacing w:after="5" w:line="248" w:lineRule="auto"/>
        <w:ind w:left="630"/>
        <w:contextualSpacing/>
      </w:pPr>
      <w:r>
        <w:t>E</w:t>
      </w:r>
      <w:r w:rsidR="008F632A" w:rsidRPr="000A72FF">
        <w:t xml:space="preserve">xpenses otherwise allowable will not be recognized if such expenses are paid to a related party unless the </w:t>
      </w:r>
      <w:r w:rsidR="008C4129">
        <w:t>COVID-19 Provider</w:t>
      </w:r>
      <w:r w:rsidR="008F632A" w:rsidRPr="000A72FF">
        <w:t xml:space="preserve"> identifies any such related party and expenses are reasonably necessary to fulfill obligations as a </w:t>
      </w:r>
      <w:r w:rsidR="00AD2868">
        <w:t>COVID-19 Nursing Facility,</w:t>
      </w:r>
      <w:r w:rsidR="008F632A" w:rsidRPr="000A72FF">
        <w:t xml:space="preserve"> and are provided at fair market value. </w:t>
      </w:r>
    </w:p>
    <w:p w14:paraId="0F3BFF6D" w14:textId="77777777" w:rsidR="00AD2868" w:rsidRDefault="00AD2868" w:rsidP="00790BED">
      <w:pPr>
        <w:pStyle w:val="ListParagraph"/>
        <w:widowControl/>
        <w:autoSpaceDE/>
        <w:autoSpaceDN/>
        <w:spacing w:after="5" w:line="248" w:lineRule="auto"/>
        <w:ind w:left="360" w:firstLine="0"/>
        <w:contextualSpacing/>
      </w:pPr>
    </w:p>
    <w:p w14:paraId="75A73DC8" w14:textId="6B0766F1" w:rsidR="008F632A" w:rsidRPr="000A72FF" w:rsidRDefault="00897ED9" w:rsidP="005F6D22">
      <w:pPr>
        <w:pStyle w:val="ListParagraph"/>
        <w:widowControl/>
        <w:numPr>
          <w:ilvl w:val="1"/>
          <w:numId w:val="20"/>
        </w:numPr>
        <w:autoSpaceDE/>
        <w:autoSpaceDN/>
        <w:spacing w:after="5" w:line="248" w:lineRule="auto"/>
        <w:ind w:left="360"/>
        <w:contextualSpacing/>
      </w:pPr>
      <w:r>
        <w:t>N</w:t>
      </w:r>
      <w:r w:rsidR="00F75C1B" w:rsidRPr="000A72FF">
        <w:t xml:space="preserve">otwithstanding </w:t>
      </w:r>
      <w:r w:rsidR="00F75C1B" w:rsidRPr="005F6D22">
        <w:t>101 CMR 206.08 (3):</w:t>
      </w:r>
      <w:r w:rsidR="00F75C1B" w:rsidRPr="00C657DF">
        <w:t xml:space="preserve"> </w:t>
      </w:r>
      <w:r w:rsidR="00F75C1B" w:rsidRPr="00C657DF">
        <w:rPr>
          <w:i/>
        </w:rPr>
        <w:t>General Cost Principles</w:t>
      </w:r>
      <w:r w:rsidR="00E87DC9">
        <w:t>,</w:t>
      </w:r>
      <w:r>
        <w:t xml:space="preserve"> but subject to </w:t>
      </w:r>
      <w:r w:rsidR="00E87DC9">
        <w:t>the general cost principles set forth in Section 4.a.,</w:t>
      </w:r>
      <w:r w:rsidR="008F632A" w:rsidRPr="000A72FF">
        <w:t xml:space="preserve"> the following costs </w:t>
      </w:r>
      <w:r w:rsidR="00E87DC9">
        <w:t xml:space="preserve">shall be considered </w:t>
      </w:r>
      <w:r w:rsidR="008F632A" w:rsidRPr="000A72FF">
        <w:t>allowable</w:t>
      </w:r>
      <w:r>
        <w:t xml:space="preserve"> costs</w:t>
      </w:r>
      <w:r w:rsidR="008F632A" w:rsidRPr="000A72FF">
        <w:t>:</w:t>
      </w:r>
    </w:p>
    <w:p w14:paraId="2BFA2A54" w14:textId="5F88BFB8" w:rsidR="008F632A" w:rsidRPr="000A72FF" w:rsidRDefault="008F632A" w:rsidP="005F6D22">
      <w:pPr>
        <w:pStyle w:val="ListParagraph"/>
        <w:widowControl/>
        <w:numPr>
          <w:ilvl w:val="2"/>
          <w:numId w:val="20"/>
        </w:numPr>
        <w:autoSpaceDE/>
        <w:autoSpaceDN/>
        <w:spacing w:after="5" w:line="248" w:lineRule="auto"/>
        <w:ind w:left="630"/>
        <w:contextualSpacing/>
      </w:pPr>
      <w:r w:rsidRPr="000A72FF">
        <w:t xml:space="preserve">Except as provided in </w:t>
      </w:r>
      <w:r w:rsidR="00A76874">
        <w:t>Sections 4.</w:t>
      </w:r>
      <w:r w:rsidR="00771E1C" w:rsidRPr="00817A92">
        <w:t>b</w:t>
      </w:r>
      <w:r w:rsidR="00A76874">
        <w:t>.v.</w:t>
      </w:r>
      <w:r w:rsidRPr="00817A92">
        <w:t xml:space="preserve">, </w:t>
      </w:r>
      <w:r w:rsidR="00A76874">
        <w:t>4.</w:t>
      </w:r>
      <w:r w:rsidR="00771E1C" w:rsidRPr="00817A92">
        <w:t>b</w:t>
      </w:r>
      <w:r w:rsidR="00A76874">
        <w:t>.</w:t>
      </w:r>
      <w:r w:rsidR="00771E1C" w:rsidRPr="00817A92">
        <w:t>v</w:t>
      </w:r>
      <w:r w:rsidR="00F75C1B" w:rsidRPr="00817A92">
        <w:t>i</w:t>
      </w:r>
      <w:r w:rsidR="00A76874">
        <w:t>.</w:t>
      </w:r>
      <w:r w:rsidRPr="00817A92">
        <w:t xml:space="preserve"> </w:t>
      </w:r>
      <w:proofErr w:type="gramStart"/>
      <w:r w:rsidRPr="00817A92">
        <w:t>and</w:t>
      </w:r>
      <w:proofErr w:type="gramEnd"/>
      <w:r w:rsidRPr="00817A92">
        <w:t xml:space="preserve"> </w:t>
      </w:r>
      <w:r w:rsidR="00A76874">
        <w:t>4.</w:t>
      </w:r>
      <w:r w:rsidR="00771E1C" w:rsidRPr="00817A92">
        <w:t>b</w:t>
      </w:r>
      <w:r w:rsidR="00A76874">
        <w:t>.</w:t>
      </w:r>
      <w:r w:rsidR="00771E1C" w:rsidRPr="00817A92">
        <w:t>vii</w:t>
      </w:r>
      <w:r w:rsidR="00F75C1B" w:rsidRPr="00817A92">
        <w:t>i</w:t>
      </w:r>
      <w:r w:rsidR="00A76874">
        <w:t>.</w:t>
      </w:r>
      <w:r w:rsidRPr="00903F7A">
        <w:t xml:space="preserve">, benefits paid to or on behalf of employees </w:t>
      </w:r>
      <w:r w:rsidR="00A76874">
        <w:t>of the COVID-19 Provider</w:t>
      </w:r>
      <w:r w:rsidRPr="00903F7A">
        <w:t xml:space="preserve">, provided that </w:t>
      </w:r>
      <w:r w:rsidR="00A76874">
        <w:t xml:space="preserve">such </w:t>
      </w:r>
      <w:r w:rsidRPr="00903F7A">
        <w:t>benefits are generally avai</w:t>
      </w:r>
      <w:r w:rsidRPr="000A72FF">
        <w:t xml:space="preserve">lable and not discriminatory. </w:t>
      </w:r>
    </w:p>
    <w:p w14:paraId="067B4B89" w14:textId="77AD931D" w:rsidR="00BE0618" w:rsidRDefault="003E12A6" w:rsidP="005F6D22">
      <w:pPr>
        <w:pStyle w:val="ListParagraph"/>
        <w:widowControl/>
        <w:numPr>
          <w:ilvl w:val="2"/>
          <w:numId w:val="20"/>
        </w:numPr>
        <w:autoSpaceDE/>
        <w:autoSpaceDN/>
        <w:spacing w:after="5" w:line="248" w:lineRule="auto"/>
        <w:ind w:left="630"/>
        <w:contextualSpacing/>
      </w:pPr>
      <w:r>
        <w:t>R</w:t>
      </w:r>
      <w:r w:rsidR="008F632A" w:rsidRPr="000A72FF">
        <w:t xml:space="preserve">easonable </w:t>
      </w:r>
      <w:r w:rsidR="007355FA">
        <w:t>costs incurred</w:t>
      </w:r>
      <w:r w:rsidR="008F632A" w:rsidRPr="000A72FF">
        <w:t xml:space="preserve"> by the </w:t>
      </w:r>
      <w:r w:rsidR="008C4129">
        <w:t>COVID-19 Provider</w:t>
      </w:r>
      <w:r w:rsidR="0032211D">
        <w:t xml:space="preserve"> necessary for</w:t>
      </w:r>
      <w:r w:rsidR="008F632A" w:rsidRPr="000A72FF">
        <w:t xml:space="preserve"> the </w:t>
      </w:r>
      <w:r w:rsidR="008C4129">
        <w:t>COVID-19 Nursing Facility</w:t>
      </w:r>
      <w:r w:rsidR="008F632A" w:rsidRPr="000A72FF">
        <w:t xml:space="preserve"> to provide services to </w:t>
      </w:r>
      <w:r w:rsidR="008C4129">
        <w:t>COVID-19 Resident</w:t>
      </w:r>
      <w:r w:rsidR="008F632A" w:rsidRPr="000A72FF">
        <w:t>s</w:t>
      </w:r>
      <w:r w:rsidR="00152022">
        <w:t>, including transportation of Residents</w:t>
      </w:r>
      <w:r w:rsidR="007355FA">
        <w:t>.</w:t>
      </w:r>
      <w:r w:rsidR="008F632A" w:rsidRPr="000A72FF">
        <w:t xml:space="preserve"> </w:t>
      </w:r>
      <w:r w:rsidR="007355FA">
        <w:t>Such costs</w:t>
      </w:r>
      <w:r w:rsidR="008F632A" w:rsidRPr="000A72FF">
        <w:t xml:space="preserve"> </w:t>
      </w:r>
      <w:r w:rsidR="007355FA">
        <w:t xml:space="preserve">may be </w:t>
      </w:r>
      <w:r w:rsidR="008F632A" w:rsidRPr="000A72FF">
        <w:t>operating or capital in nature</w:t>
      </w:r>
      <w:r w:rsidR="00F10A64">
        <w:t xml:space="preserve"> and may include </w:t>
      </w:r>
      <w:r w:rsidR="00F10A64" w:rsidRPr="000A72FF">
        <w:t>depreciation</w:t>
      </w:r>
      <w:r w:rsidR="00F10A64">
        <w:t>,</w:t>
      </w:r>
      <w:r w:rsidR="00F10A64" w:rsidRPr="000A72FF">
        <w:t xml:space="preserve"> as defined by Generally Accepted Accounting Principles</w:t>
      </w:r>
      <w:r w:rsidR="00F10A64">
        <w:t>,</w:t>
      </w:r>
      <w:r w:rsidR="00F10A64" w:rsidRPr="000A72FF">
        <w:t xml:space="preserve"> </w:t>
      </w:r>
      <w:r w:rsidR="0066412F">
        <w:t>for</w:t>
      </w:r>
      <w:r w:rsidR="00F10A64">
        <w:t xml:space="preserve"> </w:t>
      </w:r>
      <w:r w:rsidR="00F10A64" w:rsidRPr="000A72FF">
        <w:t>reasonable and necessary assets</w:t>
      </w:r>
      <w:r w:rsidR="00F10A64">
        <w:t xml:space="preserve"> purchased or investments made to provide care or fulfill obligations as a COVID-19 Nursing Facility.</w:t>
      </w:r>
    </w:p>
    <w:p w14:paraId="49872BCF" w14:textId="15007918" w:rsidR="008F632A" w:rsidRPr="000A72FF" w:rsidRDefault="007355FA" w:rsidP="005F6D22">
      <w:pPr>
        <w:pStyle w:val="ListParagraph"/>
        <w:widowControl/>
        <w:numPr>
          <w:ilvl w:val="2"/>
          <w:numId w:val="20"/>
        </w:numPr>
        <w:autoSpaceDE/>
        <w:autoSpaceDN/>
        <w:spacing w:after="5" w:line="248" w:lineRule="auto"/>
        <w:ind w:left="630"/>
        <w:contextualSpacing/>
      </w:pPr>
      <w:r>
        <w:t>R</w:t>
      </w:r>
      <w:r w:rsidR="008F632A" w:rsidRPr="000A72FF">
        <w:t xml:space="preserve">easonable </w:t>
      </w:r>
      <w:r>
        <w:t>costs incurred</w:t>
      </w:r>
      <w:r w:rsidR="008F632A" w:rsidRPr="000A72FF">
        <w:t xml:space="preserve"> by the </w:t>
      </w:r>
      <w:r w:rsidR="008C4129">
        <w:t>COVID-19 Provider</w:t>
      </w:r>
      <w:r w:rsidR="00E87DC9">
        <w:t xml:space="preserve"> necessary</w:t>
      </w:r>
      <w:r w:rsidR="008F632A" w:rsidRPr="000A72FF">
        <w:t xml:space="preserve"> to return the </w:t>
      </w:r>
      <w:r w:rsidR="008C4129">
        <w:t>COVID-19 Nursing Facility</w:t>
      </w:r>
      <w:r w:rsidR="008F632A" w:rsidRPr="000A72FF">
        <w:t xml:space="preserve"> to </w:t>
      </w:r>
      <w:r w:rsidR="0032211D">
        <w:t>a</w:t>
      </w:r>
      <w:r w:rsidR="008F632A" w:rsidRPr="000A72FF">
        <w:t xml:space="preserve"> condition </w:t>
      </w:r>
      <w:r w:rsidR="0032211D">
        <w:t xml:space="preserve">equivalent to its condition </w:t>
      </w:r>
      <w:r w:rsidR="00E87DC9">
        <w:t>immediately prior to becoming a COVID-19</w:t>
      </w:r>
      <w:r w:rsidR="0064584B">
        <w:t xml:space="preserve"> Nursing Facility</w:t>
      </w:r>
      <w:r w:rsidR="00E87DC9">
        <w:t>.  Such costs may be</w:t>
      </w:r>
      <w:r w:rsidR="008F632A" w:rsidRPr="000A72FF">
        <w:t xml:space="preserve"> operating or capital in nature</w:t>
      </w:r>
      <w:r w:rsidR="00F10A64">
        <w:t xml:space="preserve"> and may include </w:t>
      </w:r>
      <w:r w:rsidR="00F10A64" w:rsidRPr="000A72FF">
        <w:t>depreciation</w:t>
      </w:r>
      <w:r w:rsidR="00F10A64">
        <w:t>,</w:t>
      </w:r>
      <w:r w:rsidR="00F10A64" w:rsidRPr="000A72FF">
        <w:t xml:space="preserve"> as defined by Generally Accepted Accounting Principles</w:t>
      </w:r>
      <w:r w:rsidR="00F10A64">
        <w:t>,</w:t>
      </w:r>
      <w:r w:rsidR="00F10A64" w:rsidRPr="000A72FF">
        <w:t xml:space="preserve"> </w:t>
      </w:r>
      <w:r w:rsidR="0066412F">
        <w:t>for</w:t>
      </w:r>
      <w:r w:rsidR="00F10A64" w:rsidRPr="000A72FF">
        <w:t xml:space="preserve"> reasonable and necessary assets purchased </w:t>
      </w:r>
      <w:r w:rsidR="00F10A64">
        <w:t>or investments made to restore the facility to its former condition after the Transition Day</w:t>
      </w:r>
      <w:r w:rsidR="008F632A" w:rsidRPr="000A72FF">
        <w:t>.</w:t>
      </w:r>
    </w:p>
    <w:p w14:paraId="61A88801" w14:textId="493D01AD" w:rsidR="008F632A" w:rsidRPr="000A72FF" w:rsidRDefault="00E87DC9" w:rsidP="005F6D22">
      <w:pPr>
        <w:pStyle w:val="ListParagraph"/>
        <w:widowControl/>
        <w:numPr>
          <w:ilvl w:val="2"/>
          <w:numId w:val="20"/>
        </w:numPr>
        <w:autoSpaceDE/>
        <w:autoSpaceDN/>
        <w:spacing w:after="5" w:line="248" w:lineRule="auto"/>
        <w:ind w:left="630"/>
        <w:contextualSpacing/>
      </w:pPr>
      <w:r>
        <w:t>R</w:t>
      </w:r>
      <w:r w:rsidR="008F632A" w:rsidRPr="000A72FF">
        <w:t xml:space="preserve">easonable </w:t>
      </w:r>
      <w:r>
        <w:t>costs incurred by the COVID-19 Provider for</w:t>
      </w:r>
      <w:r w:rsidR="008F632A" w:rsidRPr="000A72FF">
        <w:t xml:space="preserve"> consultation </w:t>
      </w:r>
      <w:r w:rsidR="00EB75F0">
        <w:t>with</w:t>
      </w:r>
      <w:r w:rsidR="008F632A" w:rsidRPr="000A72FF">
        <w:t xml:space="preserve"> a professional </w:t>
      </w:r>
      <w:r w:rsidR="00814A61" w:rsidRPr="000A72FF">
        <w:t>public relations</w:t>
      </w:r>
      <w:r w:rsidR="008F632A" w:rsidRPr="000A72FF">
        <w:t xml:space="preserve"> </w:t>
      </w:r>
      <w:r w:rsidR="00814A61" w:rsidRPr="000A72FF">
        <w:t>f</w:t>
      </w:r>
      <w:r w:rsidR="008F632A" w:rsidRPr="000A72FF">
        <w:t>irm</w:t>
      </w:r>
      <w:r w:rsidR="00A86856">
        <w:t xml:space="preserve"> or</w:t>
      </w:r>
      <w:r w:rsidR="00A76874">
        <w:t xml:space="preserve"> appropriate promotional advertising</w:t>
      </w:r>
      <w:r w:rsidR="008F632A" w:rsidRPr="000A72FF">
        <w:t xml:space="preserve"> </w:t>
      </w:r>
      <w:r w:rsidR="00EB75F0">
        <w:t xml:space="preserve">for the purpose of </w:t>
      </w:r>
      <w:r w:rsidR="00A76874">
        <w:t>facilitating</w:t>
      </w:r>
      <w:r w:rsidR="00EE5688">
        <w:t xml:space="preserve"> </w:t>
      </w:r>
      <w:r w:rsidR="00DC24FC">
        <w:t>a</w:t>
      </w:r>
      <w:r w:rsidR="00EE5688">
        <w:t xml:space="preserve"> COVID-19 </w:t>
      </w:r>
      <w:r w:rsidR="00DC24FC">
        <w:t>Nursing Facility’s</w:t>
      </w:r>
      <w:r w:rsidR="00EE5688">
        <w:t xml:space="preserve"> return to </w:t>
      </w:r>
      <w:r w:rsidR="00DC24FC">
        <w:t>operation</w:t>
      </w:r>
      <w:r w:rsidR="00EB75F0">
        <w:t xml:space="preserve"> as a </w:t>
      </w:r>
      <w:r w:rsidR="0064584B">
        <w:t>N</w:t>
      </w:r>
      <w:r w:rsidR="00EB75F0">
        <w:t xml:space="preserve">ursing </w:t>
      </w:r>
      <w:r w:rsidR="0064584B">
        <w:t>F</w:t>
      </w:r>
      <w:r w:rsidR="00EB75F0">
        <w:t>acility</w:t>
      </w:r>
      <w:r w:rsidR="00385733">
        <w:t xml:space="preserve"> at a substantially similar occupancy rate reported by the Nursing Facility prior to operating as a COVID-19 Nursing Facility</w:t>
      </w:r>
      <w:r w:rsidR="00EB75F0">
        <w:t xml:space="preserve">, provided that such costs shall not be allowable if the COVID-19 Nursing Facility was not operating as a </w:t>
      </w:r>
      <w:r w:rsidR="0064584B">
        <w:t>N</w:t>
      </w:r>
      <w:r w:rsidR="00EB75F0">
        <w:t xml:space="preserve">ursing </w:t>
      </w:r>
      <w:r w:rsidR="0064584B">
        <w:t>F</w:t>
      </w:r>
      <w:r w:rsidR="00EB75F0">
        <w:t>acility immediately prior to becoming a COVID-19 Nursing Facility</w:t>
      </w:r>
      <w:r w:rsidR="008F632A" w:rsidRPr="000A72FF">
        <w:t>.</w:t>
      </w:r>
    </w:p>
    <w:p w14:paraId="71D32CC3" w14:textId="0988B44D" w:rsidR="008F632A" w:rsidRPr="000A72FF" w:rsidRDefault="008F632A" w:rsidP="005F6D22">
      <w:pPr>
        <w:pStyle w:val="ListParagraph"/>
        <w:widowControl/>
        <w:numPr>
          <w:ilvl w:val="2"/>
          <w:numId w:val="20"/>
        </w:numPr>
        <w:autoSpaceDE/>
        <w:autoSpaceDN/>
        <w:spacing w:after="5" w:line="248" w:lineRule="auto"/>
        <w:ind w:left="630"/>
        <w:contextualSpacing/>
      </w:pPr>
      <w:r w:rsidRPr="000A72FF">
        <w:t xml:space="preserve">A reasonable allocation of </w:t>
      </w:r>
      <w:r w:rsidR="00DC24FC">
        <w:t xml:space="preserve">the COVID-19 Provider’s </w:t>
      </w:r>
      <w:r w:rsidRPr="000A72FF">
        <w:t>central office overhead attribut</w:t>
      </w:r>
      <w:r w:rsidR="00DC24FC">
        <w:t>able</w:t>
      </w:r>
      <w:r w:rsidRPr="000A72FF">
        <w:t xml:space="preserve"> to </w:t>
      </w:r>
      <w:r w:rsidR="00DC24FC">
        <w:t>the</w:t>
      </w:r>
      <w:r w:rsidRPr="000A72FF">
        <w:t xml:space="preserve"> </w:t>
      </w:r>
      <w:r w:rsidR="008C4129">
        <w:t>COVID-19 Nursing Facility</w:t>
      </w:r>
      <w:r w:rsidRPr="000A72FF">
        <w:t xml:space="preserve"> in the most recent cost report filed </w:t>
      </w:r>
      <w:r w:rsidR="00A86856">
        <w:t>with the Center for Health Information and Analysis</w:t>
      </w:r>
      <w:r w:rsidR="009D30A4">
        <w:t xml:space="preserve"> by the Provider prior to operating a COVID-19 Nursing Facility</w:t>
      </w:r>
      <w:r w:rsidR="008263B4">
        <w:t xml:space="preserve"> or by </w:t>
      </w:r>
      <w:bookmarkStart w:id="5" w:name="_Hlk37310844"/>
      <w:r w:rsidR="00BB1835">
        <w:t>other reasonable allocation methodologies approved by EOHHS</w:t>
      </w:r>
      <w:bookmarkEnd w:id="5"/>
      <w:r w:rsidR="00A86856">
        <w:t>,</w:t>
      </w:r>
      <w:r w:rsidRPr="000A72FF">
        <w:t xml:space="preserve"> </w:t>
      </w:r>
      <w:r w:rsidR="00A86856">
        <w:t xml:space="preserve">provided that such costs may be </w:t>
      </w:r>
      <w:r w:rsidRPr="000A72FF">
        <w:t>adjusted to include</w:t>
      </w:r>
      <w:r w:rsidR="00A86856">
        <w:t xml:space="preserve"> costs </w:t>
      </w:r>
      <w:r w:rsidR="008359E9">
        <w:t xml:space="preserve">that were disallowed when originally reported but </w:t>
      </w:r>
      <w:r w:rsidR="00A86856">
        <w:t>that would be allowable under this Section</w:t>
      </w:r>
      <w:r w:rsidRPr="000A72FF">
        <w:t xml:space="preserve">. </w:t>
      </w:r>
    </w:p>
    <w:p w14:paraId="2A508D7C" w14:textId="05788CD8" w:rsidR="00790BED" w:rsidRDefault="00DC24FC" w:rsidP="005F6D22">
      <w:pPr>
        <w:pStyle w:val="ListParagraph"/>
        <w:widowControl/>
        <w:numPr>
          <w:ilvl w:val="2"/>
          <w:numId w:val="20"/>
        </w:numPr>
        <w:autoSpaceDE/>
        <w:autoSpaceDN/>
        <w:spacing w:after="5" w:line="248" w:lineRule="auto"/>
        <w:ind w:left="630"/>
        <w:contextualSpacing/>
      </w:pPr>
      <w:r>
        <w:t>Reasonable d</w:t>
      </w:r>
      <w:r w:rsidR="00790BED">
        <w:t xml:space="preserve">irect financing costs </w:t>
      </w:r>
      <w:r>
        <w:t xml:space="preserve">incurred by the COVID-19 Provider under a </w:t>
      </w:r>
      <w:r w:rsidR="00790BED">
        <w:t>financing arrangement with a third-party financial institution</w:t>
      </w:r>
      <w:r w:rsidR="00A86856">
        <w:t xml:space="preserve">, provided that such arrangement must have been </w:t>
      </w:r>
      <w:r w:rsidR="00790BED">
        <w:t xml:space="preserve">in place prior to March 15, 2020. </w:t>
      </w:r>
    </w:p>
    <w:p w14:paraId="35D95AEA" w14:textId="77777777" w:rsidR="00DC24FC" w:rsidRDefault="00DC24FC" w:rsidP="00817A92">
      <w:pPr>
        <w:pStyle w:val="ListParagraph"/>
        <w:widowControl/>
        <w:autoSpaceDE/>
        <w:autoSpaceDN/>
        <w:spacing w:after="5" w:line="248" w:lineRule="auto"/>
        <w:ind w:left="630" w:firstLine="0"/>
        <w:contextualSpacing/>
      </w:pPr>
    </w:p>
    <w:bookmarkEnd w:id="4"/>
    <w:p w14:paraId="5664F2FA" w14:textId="6D9ED651" w:rsidR="002B4B69" w:rsidRPr="00413FCD" w:rsidRDefault="00784FFD" w:rsidP="00A41419">
      <w:pPr>
        <w:pStyle w:val="ListParagraph"/>
        <w:spacing w:after="120"/>
        <w:ind w:left="360" w:firstLine="0"/>
        <w:jc w:val="center"/>
        <w:rPr>
          <w:b/>
          <w:kern w:val="36"/>
        </w:rPr>
      </w:pPr>
      <w:r w:rsidRPr="00057BB0">
        <w:rPr>
          <w:b/>
          <w:kern w:val="36"/>
        </w:rPr>
        <w:t>Public Comment</w:t>
      </w:r>
    </w:p>
    <w:p w14:paraId="0D89573C" w14:textId="3E6D81C8" w:rsidR="00784FFD" w:rsidRPr="000A72FF" w:rsidRDefault="00784FFD" w:rsidP="005F6D22">
      <w:pPr>
        <w:pStyle w:val="BodyTextIndent"/>
        <w:ind w:left="0"/>
      </w:pPr>
      <w:r w:rsidRPr="00903F7A">
        <w:t xml:space="preserve">EOHHS will accept comments on the </w:t>
      </w:r>
      <w:r w:rsidR="00A86856">
        <w:t>payment</w:t>
      </w:r>
      <w:r w:rsidR="00527389">
        <w:t xml:space="preserve"> methodologies</w:t>
      </w:r>
      <w:r w:rsidRPr="00903F7A">
        <w:t xml:space="preserve"> established via this </w:t>
      </w:r>
      <w:r w:rsidR="006977C6">
        <w:t xml:space="preserve">administrative </w:t>
      </w:r>
      <w:r w:rsidRPr="00903F7A">
        <w:t xml:space="preserve">bulletin </w:t>
      </w:r>
      <w:r w:rsidRPr="000C4112">
        <w:t xml:space="preserve">through </w:t>
      </w:r>
      <w:r w:rsidR="005A1A57">
        <w:t>April 30, 2020</w:t>
      </w:r>
      <w:r w:rsidRPr="00903F7A">
        <w:t xml:space="preserve">. Individuals may submit written comments by emailing: </w:t>
      </w:r>
      <w:hyperlink r:id="rId10" w:history="1">
        <w:r w:rsidRPr="00C657DF">
          <w:rPr>
            <w:rStyle w:val="Hyperlink"/>
            <w:b/>
            <w:bCs/>
          </w:rPr>
          <w:t>ehs-regulations@state.ma.us</w:t>
        </w:r>
      </w:hyperlink>
      <w:r w:rsidRPr="005F6D22">
        <w:rPr>
          <w:color w:val="141414"/>
          <w:lang w:val="en"/>
        </w:rPr>
        <w:t>.</w:t>
      </w:r>
      <w:r w:rsidRPr="00C657DF">
        <w:t xml:space="preserve"> Please submit written comments</w:t>
      </w:r>
      <w:r w:rsidRPr="00903F7A">
        <w:t xml:space="preserve"> as an attached Word document or as text within the body of the email with the name of this </w:t>
      </w:r>
      <w:r w:rsidR="006977C6">
        <w:t xml:space="preserve">administrative </w:t>
      </w:r>
      <w:r w:rsidRPr="00903F7A">
        <w:t xml:space="preserve">bulletin </w:t>
      </w:r>
      <w:r w:rsidRPr="008C4129">
        <w:t xml:space="preserve">in the subject line. All submissions of comments must include the sender’s full name, mailing address, and organization or affiliation, if any. Individuals who are unable to submit comments by email may mail written comments to </w:t>
      </w:r>
      <w:r w:rsidR="006977C6">
        <w:t xml:space="preserve">EOHHS, c/o </w:t>
      </w:r>
      <w:r w:rsidR="00E817C8" w:rsidRPr="004614B3">
        <w:t>D</w:t>
      </w:r>
      <w:r w:rsidR="006977C6">
        <w:t>.</w:t>
      </w:r>
      <w:r w:rsidR="00E817C8" w:rsidRPr="004614B3">
        <w:t xml:space="preserve"> Briggs, </w:t>
      </w:r>
      <w:r w:rsidRPr="008C4129">
        <w:t>100 Hancock Street, Quincy, MA 02171.</w:t>
      </w:r>
    </w:p>
    <w:p w14:paraId="0C848F69" w14:textId="27C4D505" w:rsidR="00784FFD" w:rsidRPr="005F6D22" w:rsidRDefault="00784FFD" w:rsidP="005F6D22">
      <w:pPr>
        <w:pStyle w:val="BodyText"/>
        <w:ind w:right="169"/>
        <w:rPr>
          <w:sz w:val="22"/>
          <w:szCs w:val="22"/>
        </w:rPr>
      </w:pPr>
      <w:r w:rsidRPr="005F6D22">
        <w:rPr>
          <w:bCs/>
          <w:sz w:val="22"/>
          <w:szCs w:val="22"/>
        </w:rPr>
        <w:lastRenderedPageBreak/>
        <w:t xml:space="preserve">EOHHS may adopt a revised version of this </w:t>
      </w:r>
      <w:r w:rsidR="006977C6">
        <w:t xml:space="preserve">administrative </w:t>
      </w:r>
      <w:r w:rsidRPr="005F6D22">
        <w:rPr>
          <w:bCs/>
          <w:sz w:val="22"/>
          <w:szCs w:val="22"/>
        </w:rPr>
        <w:t>bulletin taking into account relevant comments and any other practical alternatives that come to its attention.</w:t>
      </w:r>
    </w:p>
    <w:p w14:paraId="3CFFA7A5" w14:textId="77777777" w:rsidR="00057BB0" w:rsidRDefault="00057BB0" w:rsidP="00C952F2">
      <w:pPr>
        <w:pStyle w:val="BodyText"/>
        <w:ind w:right="169"/>
        <w:rPr>
          <w:b/>
          <w:sz w:val="22"/>
          <w:szCs w:val="22"/>
        </w:rPr>
      </w:pPr>
    </w:p>
    <w:p w14:paraId="1C50D368" w14:textId="5DEB51D8" w:rsidR="000A72FF" w:rsidRPr="00413FCD" w:rsidRDefault="000A72FF" w:rsidP="00A41419">
      <w:pPr>
        <w:pStyle w:val="ListParagraph"/>
        <w:spacing w:after="120"/>
        <w:ind w:left="360" w:firstLine="0"/>
        <w:jc w:val="center"/>
        <w:rPr>
          <w:b/>
        </w:rPr>
      </w:pPr>
      <w:r w:rsidRPr="00057BB0">
        <w:rPr>
          <w:b/>
          <w:kern w:val="36"/>
        </w:rPr>
        <w:t>Questions</w:t>
      </w:r>
    </w:p>
    <w:p w14:paraId="065FD18B" w14:textId="29375855" w:rsidR="002B4B69" w:rsidRPr="005F6D22" w:rsidRDefault="002B4B69" w:rsidP="002B4B69">
      <w:pPr>
        <w:pStyle w:val="BodyText"/>
        <w:ind w:right="169"/>
        <w:rPr>
          <w:sz w:val="22"/>
          <w:szCs w:val="22"/>
        </w:rPr>
      </w:pPr>
      <w:r w:rsidRPr="005F6D22">
        <w:rPr>
          <w:sz w:val="22"/>
          <w:szCs w:val="22"/>
        </w:rPr>
        <w:t xml:space="preserve">If you have any questions about the information in this </w:t>
      </w:r>
      <w:r w:rsidR="006977C6">
        <w:t xml:space="preserve">administrative </w:t>
      </w:r>
      <w:r w:rsidRPr="005F6D22">
        <w:rPr>
          <w:sz w:val="22"/>
          <w:szCs w:val="22"/>
        </w:rPr>
        <w:t>bulletin, please email</w:t>
      </w:r>
      <w:r w:rsidR="000A72FF">
        <w:rPr>
          <w:sz w:val="22"/>
          <w:szCs w:val="22"/>
        </w:rPr>
        <w:t xml:space="preserve"> </w:t>
      </w:r>
      <w:hyperlink r:id="rId11" w:history="1">
        <w:r w:rsidRPr="005F6D22">
          <w:rPr>
            <w:rStyle w:val="Hyperlink"/>
            <w:sz w:val="22"/>
            <w:szCs w:val="22"/>
          </w:rPr>
          <w:t>Meera.Ramamoorthy@state.ma.us</w:t>
        </w:r>
      </w:hyperlink>
      <w:r w:rsidRPr="005F6D22">
        <w:rPr>
          <w:sz w:val="22"/>
          <w:szCs w:val="22"/>
        </w:rPr>
        <w:t xml:space="preserve"> and </w:t>
      </w:r>
      <w:hyperlink r:id="rId12" w:history="1">
        <w:r w:rsidRPr="005F6D22">
          <w:rPr>
            <w:rStyle w:val="Hyperlink"/>
            <w:sz w:val="22"/>
            <w:szCs w:val="22"/>
          </w:rPr>
          <w:t>Jacqueline.Fratus@mass.gov</w:t>
        </w:r>
      </w:hyperlink>
      <w:r w:rsidRPr="005F6D22">
        <w:rPr>
          <w:sz w:val="22"/>
          <w:szCs w:val="22"/>
        </w:rPr>
        <w:t xml:space="preserve">. </w:t>
      </w:r>
    </w:p>
    <w:p w14:paraId="1B506F5C" w14:textId="77777777" w:rsidR="00723A7D" w:rsidRPr="005F6D22" w:rsidRDefault="00723A7D" w:rsidP="007C30ED">
      <w:pPr>
        <w:pStyle w:val="BodyText"/>
        <w:ind w:right="169"/>
        <w:rPr>
          <w:sz w:val="22"/>
          <w:szCs w:val="22"/>
        </w:rPr>
      </w:pPr>
    </w:p>
    <w:sectPr w:rsidR="00723A7D" w:rsidRPr="005F6D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29D3"/>
    <w:multiLevelType w:val="hybridMultilevel"/>
    <w:tmpl w:val="65365902"/>
    <w:lvl w:ilvl="0" w:tplc="0409000F">
      <w:start w:val="1"/>
      <w:numFmt w:val="decimal"/>
      <w:lvlText w:val="%1."/>
      <w:lvlJc w:val="left"/>
      <w:pPr>
        <w:ind w:left="720" w:hanging="360"/>
      </w:pPr>
    </w:lvl>
    <w:lvl w:ilvl="1" w:tplc="F1F6EFF8">
      <w:start w:val="1"/>
      <w:numFmt w:val="lowerLetter"/>
      <w:lvlText w:val="%2."/>
      <w:lvlJc w:val="left"/>
      <w:pPr>
        <w:ind w:left="1440" w:hanging="360"/>
      </w:pPr>
      <w:rPr>
        <w:rFonts w:ascii="Times New Roman" w:eastAsia="Times New Roman" w:hAnsi="Times New Roman" w:cs="Times New Roman"/>
      </w:rPr>
    </w:lvl>
    <w:lvl w:ilvl="2" w:tplc="0409000F">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E7596B"/>
    <w:multiLevelType w:val="hybridMultilevel"/>
    <w:tmpl w:val="460802A8"/>
    <w:lvl w:ilvl="0" w:tplc="5518D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182306"/>
    <w:multiLevelType w:val="hybridMultilevel"/>
    <w:tmpl w:val="B21A0E40"/>
    <w:lvl w:ilvl="0" w:tplc="0409000F">
      <w:start w:val="1"/>
      <w:numFmt w:val="decimal"/>
      <w:lvlText w:val="%1."/>
      <w:lvlJc w:val="left"/>
      <w:pPr>
        <w:ind w:left="1255" w:hanging="360"/>
      </w:pPr>
    </w:lvl>
    <w:lvl w:ilvl="1" w:tplc="04090019">
      <w:start w:val="1"/>
      <w:numFmt w:val="lowerLetter"/>
      <w:lvlText w:val="%2."/>
      <w:lvlJc w:val="left"/>
      <w:pPr>
        <w:ind w:left="1975" w:hanging="360"/>
      </w:pPr>
    </w:lvl>
    <w:lvl w:ilvl="2" w:tplc="0409001B" w:tentative="1">
      <w:start w:val="1"/>
      <w:numFmt w:val="lowerRoman"/>
      <w:lvlText w:val="%3."/>
      <w:lvlJc w:val="right"/>
      <w:pPr>
        <w:ind w:left="2695" w:hanging="180"/>
      </w:pPr>
    </w:lvl>
    <w:lvl w:ilvl="3" w:tplc="0409000F" w:tentative="1">
      <w:start w:val="1"/>
      <w:numFmt w:val="decimal"/>
      <w:lvlText w:val="%4."/>
      <w:lvlJc w:val="left"/>
      <w:pPr>
        <w:ind w:left="3415" w:hanging="360"/>
      </w:pPr>
    </w:lvl>
    <w:lvl w:ilvl="4" w:tplc="04090019" w:tentative="1">
      <w:start w:val="1"/>
      <w:numFmt w:val="lowerLetter"/>
      <w:lvlText w:val="%5."/>
      <w:lvlJc w:val="left"/>
      <w:pPr>
        <w:ind w:left="4135" w:hanging="360"/>
      </w:pPr>
    </w:lvl>
    <w:lvl w:ilvl="5" w:tplc="0409001B" w:tentative="1">
      <w:start w:val="1"/>
      <w:numFmt w:val="lowerRoman"/>
      <w:lvlText w:val="%6."/>
      <w:lvlJc w:val="right"/>
      <w:pPr>
        <w:ind w:left="4855" w:hanging="180"/>
      </w:pPr>
    </w:lvl>
    <w:lvl w:ilvl="6" w:tplc="0409000F" w:tentative="1">
      <w:start w:val="1"/>
      <w:numFmt w:val="decimal"/>
      <w:lvlText w:val="%7."/>
      <w:lvlJc w:val="left"/>
      <w:pPr>
        <w:ind w:left="5575" w:hanging="360"/>
      </w:pPr>
    </w:lvl>
    <w:lvl w:ilvl="7" w:tplc="04090019" w:tentative="1">
      <w:start w:val="1"/>
      <w:numFmt w:val="lowerLetter"/>
      <w:lvlText w:val="%8."/>
      <w:lvlJc w:val="left"/>
      <w:pPr>
        <w:ind w:left="6295" w:hanging="360"/>
      </w:pPr>
    </w:lvl>
    <w:lvl w:ilvl="8" w:tplc="0409001B" w:tentative="1">
      <w:start w:val="1"/>
      <w:numFmt w:val="lowerRoman"/>
      <w:lvlText w:val="%9."/>
      <w:lvlJc w:val="right"/>
      <w:pPr>
        <w:ind w:left="7015" w:hanging="180"/>
      </w:pPr>
    </w:lvl>
  </w:abstractNum>
  <w:abstractNum w:abstractNumId="3">
    <w:nsid w:val="110B03DA"/>
    <w:multiLevelType w:val="hybridMultilevel"/>
    <w:tmpl w:val="87D46F7E"/>
    <w:lvl w:ilvl="0" w:tplc="04090013">
      <w:start w:val="1"/>
      <w:numFmt w:val="upperRoman"/>
      <w:lvlText w:val="%1."/>
      <w:lvlJc w:val="right"/>
      <w:pPr>
        <w:ind w:left="546" w:hanging="360"/>
        <w:jc w:val="right"/>
      </w:pPr>
      <w:rPr>
        <w:rFonts w:hint="default"/>
        <w:b/>
        <w:bCs/>
        <w:w w:val="101"/>
      </w:rPr>
    </w:lvl>
    <w:lvl w:ilvl="1" w:tplc="A7863EB0">
      <w:start w:val="1"/>
      <w:numFmt w:val="decimal"/>
      <w:lvlText w:val="%2."/>
      <w:lvlJc w:val="left"/>
      <w:pPr>
        <w:ind w:left="908" w:hanging="360"/>
      </w:pPr>
      <w:rPr>
        <w:rFonts w:ascii="Times New Roman" w:eastAsia="Times New Roman" w:hAnsi="Times New Roman" w:cs="Times New Roman" w:hint="default"/>
        <w:w w:val="109"/>
        <w:sz w:val="23"/>
        <w:szCs w:val="23"/>
      </w:rPr>
    </w:lvl>
    <w:lvl w:ilvl="2" w:tplc="53263F9A">
      <w:numFmt w:val="bullet"/>
      <w:lvlText w:val="•"/>
      <w:lvlJc w:val="left"/>
      <w:pPr>
        <w:ind w:left="1808" w:hanging="360"/>
      </w:pPr>
      <w:rPr>
        <w:rFonts w:hint="default"/>
      </w:rPr>
    </w:lvl>
    <w:lvl w:ilvl="3" w:tplc="8ABE3AB4">
      <w:numFmt w:val="bullet"/>
      <w:lvlText w:val="•"/>
      <w:lvlJc w:val="left"/>
      <w:pPr>
        <w:ind w:left="2717" w:hanging="360"/>
      </w:pPr>
      <w:rPr>
        <w:rFonts w:hint="default"/>
      </w:rPr>
    </w:lvl>
    <w:lvl w:ilvl="4" w:tplc="8E46BF46">
      <w:numFmt w:val="bullet"/>
      <w:lvlText w:val="•"/>
      <w:lvlJc w:val="left"/>
      <w:pPr>
        <w:ind w:left="3626" w:hanging="360"/>
      </w:pPr>
      <w:rPr>
        <w:rFonts w:hint="default"/>
      </w:rPr>
    </w:lvl>
    <w:lvl w:ilvl="5" w:tplc="76FAAECE">
      <w:numFmt w:val="bullet"/>
      <w:lvlText w:val="•"/>
      <w:lvlJc w:val="left"/>
      <w:pPr>
        <w:ind w:left="4535" w:hanging="360"/>
      </w:pPr>
      <w:rPr>
        <w:rFonts w:hint="default"/>
      </w:rPr>
    </w:lvl>
    <w:lvl w:ilvl="6" w:tplc="BF6A0190">
      <w:numFmt w:val="bullet"/>
      <w:lvlText w:val="•"/>
      <w:lvlJc w:val="left"/>
      <w:pPr>
        <w:ind w:left="5444" w:hanging="360"/>
      </w:pPr>
      <w:rPr>
        <w:rFonts w:hint="default"/>
      </w:rPr>
    </w:lvl>
    <w:lvl w:ilvl="7" w:tplc="563CA34A">
      <w:numFmt w:val="bullet"/>
      <w:lvlText w:val="•"/>
      <w:lvlJc w:val="left"/>
      <w:pPr>
        <w:ind w:left="6353" w:hanging="360"/>
      </w:pPr>
      <w:rPr>
        <w:rFonts w:hint="default"/>
      </w:rPr>
    </w:lvl>
    <w:lvl w:ilvl="8" w:tplc="E2DCBD7A">
      <w:numFmt w:val="bullet"/>
      <w:lvlText w:val="•"/>
      <w:lvlJc w:val="left"/>
      <w:pPr>
        <w:ind w:left="7262" w:hanging="360"/>
      </w:pPr>
      <w:rPr>
        <w:rFonts w:hint="default"/>
      </w:rPr>
    </w:lvl>
  </w:abstractNum>
  <w:abstractNum w:abstractNumId="4">
    <w:nsid w:val="19B5647B"/>
    <w:multiLevelType w:val="multilevel"/>
    <w:tmpl w:val="20C48BC8"/>
    <w:lvl w:ilvl="0">
      <w:start w:val="1"/>
      <w:numFmt w:val="decimal"/>
      <w:lvlText w:val="%1."/>
      <w:lvlJc w:val="left"/>
      <w:pPr>
        <w:ind w:left="720" w:hanging="360"/>
      </w:pPr>
    </w:lvl>
    <w:lvl w:ilvl="1">
      <w:start w:val="1"/>
      <w:numFmt w:val="lowerLetter"/>
      <w:lvlText w:val="%2."/>
      <w:lvlJc w:val="left"/>
      <w:pPr>
        <w:ind w:left="1440" w:hanging="360"/>
      </w:pPr>
      <w:rPr>
        <w:rFonts w:ascii="Times New Roman" w:eastAsia="Times New Roman" w:hAnsi="Times New Roman" w:cs="Times New Roman"/>
      </w:rPr>
    </w:lvl>
    <w:lvl w:ilvl="2">
      <w:start w:val="1"/>
      <w:numFmt w:val="lowerLetter"/>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47D7E73"/>
    <w:multiLevelType w:val="hybridMultilevel"/>
    <w:tmpl w:val="B6BA8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7A7738D"/>
    <w:multiLevelType w:val="hybridMultilevel"/>
    <w:tmpl w:val="83A494CA"/>
    <w:lvl w:ilvl="0" w:tplc="0409000F">
      <w:start w:val="1"/>
      <w:numFmt w:val="decimal"/>
      <w:lvlText w:val="%1."/>
      <w:lvlJc w:val="left"/>
      <w:pPr>
        <w:ind w:left="1632" w:hanging="360"/>
      </w:pPr>
    </w:lvl>
    <w:lvl w:ilvl="1" w:tplc="04090019">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7">
    <w:nsid w:val="2D5E318D"/>
    <w:multiLevelType w:val="hybridMultilevel"/>
    <w:tmpl w:val="68DC38B8"/>
    <w:lvl w:ilvl="0" w:tplc="3934F8BC">
      <w:start w:val="1"/>
      <w:numFmt w:val="upperLetter"/>
      <w:lvlText w:val="%1."/>
      <w:lvlJc w:val="left"/>
      <w:pPr>
        <w:ind w:left="908" w:hanging="361"/>
      </w:pPr>
      <w:rPr>
        <w:rFonts w:ascii="Times New Roman" w:eastAsia="Times New Roman" w:hAnsi="Times New Roman" w:cs="Times New Roman" w:hint="default"/>
        <w:spacing w:val="-1"/>
        <w:w w:val="110"/>
        <w:sz w:val="23"/>
        <w:szCs w:val="23"/>
      </w:rPr>
    </w:lvl>
    <w:lvl w:ilvl="1" w:tplc="F8A8123A">
      <w:numFmt w:val="bullet"/>
      <w:lvlText w:val="•"/>
      <w:lvlJc w:val="left"/>
      <w:pPr>
        <w:ind w:left="1718" w:hanging="361"/>
      </w:pPr>
      <w:rPr>
        <w:rFonts w:hint="default"/>
      </w:rPr>
    </w:lvl>
    <w:lvl w:ilvl="2" w:tplc="B682335C">
      <w:numFmt w:val="bullet"/>
      <w:lvlText w:val="•"/>
      <w:lvlJc w:val="left"/>
      <w:pPr>
        <w:ind w:left="2536" w:hanging="361"/>
      </w:pPr>
      <w:rPr>
        <w:rFonts w:hint="default"/>
      </w:rPr>
    </w:lvl>
    <w:lvl w:ilvl="3" w:tplc="B8B45184">
      <w:numFmt w:val="bullet"/>
      <w:lvlText w:val="•"/>
      <w:lvlJc w:val="left"/>
      <w:pPr>
        <w:ind w:left="3354" w:hanging="361"/>
      </w:pPr>
      <w:rPr>
        <w:rFonts w:hint="default"/>
      </w:rPr>
    </w:lvl>
    <w:lvl w:ilvl="4" w:tplc="C1B61E26">
      <w:numFmt w:val="bullet"/>
      <w:lvlText w:val="•"/>
      <w:lvlJc w:val="left"/>
      <w:pPr>
        <w:ind w:left="4172" w:hanging="361"/>
      </w:pPr>
      <w:rPr>
        <w:rFonts w:hint="default"/>
      </w:rPr>
    </w:lvl>
    <w:lvl w:ilvl="5" w:tplc="119ABC72">
      <w:numFmt w:val="bullet"/>
      <w:lvlText w:val="•"/>
      <w:lvlJc w:val="left"/>
      <w:pPr>
        <w:ind w:left="4990" w:hanging="361"/>
      </w:pPr>
      <w:rPr>
        <w:rFonts w:hint="default"/>
      </w:rPr>
    </w:lvl>
    <w:lvl w:ilvl="6" w:tplc="E83CD48C">
      <w:numFmt w:val="bullet"/>
      <w:lvlText w:val="•"/>
      <w:lvlJc w:val="left"/>
      <w:pPr>
        <w:ind w:left="5808" w:hanging="361"/>
      </w:pPr>
      <w:rPr>
        <w:rFonts w:hint="default"/>
      </w:rPr>
    </w:lvl>
    <w:lvl w:ilvl="7" w:tplc="8C088AE2">
      <w:numFmt w:val="bullet"/>
      <w:lvlText w:val="•"/>
      <w:lvlJc w:val="left"/>
      <w:pPr>
        <w:ind w:left="6626" w:hanging="361"/>
      </w:pPr>
      <w:rPr>
        <w:rFonts w:hint="default"/>
      </w:rPr>
    </w:lvl>
    <w:lvl w:ilvl="8" w:tplc="755A5B50">
      <w:numFmt w:val="bullet"/>
      <w:lvlText w:val="•"/>
      <w:lvlJc w:val="left"/>
      <w:pPr>
        <w:ind w:left="7444" w:hanging="361"/>
      </w:pPr>
      <w:rPr>
        <w:rFonts w:hint="default"/>
      </w:rPr>
    </w:lvl>
  </w:abstractNum>
  <w:abstractNum w:abstractNumId="8">
    <w:nsid w:val="33BC78BD"/>
    <w:multiLevelType w:val="hybridMultilevel"/>
    <w:tmpl w:val="B21A0E40"/>
    <w:lvl w:ilvl="0" w:tplc="0409000F">
      <w:start w:val="1"/>
      <w:numFmt w:val="decimal"/>
      <w:lvlText w:val="%1."/>
      <w:lvlJc w:val="left"/>
      <w:pPr>
        <w:ind w:left="1255" w:hanging="360"/>
      </w:pPr>
    </w:lvl>
    <w:lvl w:ilvl="1" w:tplc="04090019">
      <w:start w:val="1"/>
      <w:numFmt w:val="lowerLetter"/>
      <w:lvlText w:val="%2."/>
      <w:lvlJc w:val="left"/>
      <w:pPr>
        <w:ind w:left="1975" w:hanging="360"/>
      </w:pPr>
    </w:lvl>
    <w:lvl w:ilvl="2" w:tplc="0409001B">
      <w:start w:val="1"/>
      <w:numFmt w:val="lowerRoman"/>
      <w:lvlText w:val="%3."/>
      <w:lvlJc w:val="right"/>
      <w:pPr>
        <w:ind w:left="2695" w:hanging="180"/>
      </w:pPr>
    </w:lvl>
    <w:lvl w:ilvl="3" w:tplc="0409000F" w:tentative="1">
      <w:start w:val="1"/>
      <w:numFmt w:val="decimal"/>
      <w:lvlText w:val="%4."/>
      <w:lvlJc w:val="left"/>
      <w:pPr>
        <w:ind w:left="3415" w:hanging="360"/>
      </w:pPr>
    </w:lvl>
    <w:lvl w:ilvl="4" w:tplc="04090019" w:tentative="1">
      <w:start w:val="1"/>
      <w:numFmt w:val="lowerLetter"/>
      <w:lvlText w:val="%5."/>
      <w:lvlJc w:val="left"/>
      <w:pPr>
        <w:ind w:left="4135" w:hanging="360"/>
      </w:pPr>
    </w:lvl>
    <w:lvl w:ilvl="5" w:tplc="0409001B" w:tentative="1">
      <w:start w:val="1"/>
      <w:numFmt w:val="lowerRoman"/>
      <w:lvlText w:val="%6."/>
      <w:lvlJc w:val="right"/>
      <w:pPr>
        <w:ind w:left="4855" w:hanging="180"/>
      </w:pPr>
    </w:lvl>
    <w:lvl w:ilvl="6" w:tplc="0409000F" w:tentative="1">
      <w:start w:val="1"/>
      <w:numFmt w:val="decimal"/>
      <w:lvlText w:val="%7."/>
      <w:lvlJc w:val="left"/>
      <w:pPr>
        <w:ind w:left="5575" w:hanging="360"/>
      </w:pPr>
    </w:lvl>
    <w:lvl w:ilvl="7" w:tplc="04090019" w:tentative="1">
      <w:start w:val="1"/>
      <w:numFmt w:val="lowerLetter"/>
      <w:lvlText w:val="%8."/>
      <w:lvlJc w:val="left"/>
      <w:pPr>
        <w:ind w:left="6295" w:hanging="360"/>
      </w:pPr>
    </w:lvl>
    <w:lvl w:ilvl="8" w:tplc="0409001B" w:tentative="1">
      <w:start w:val="1"/>
      <w:numFmt w:val="lowerRoman"/>
      <w:lvlText w:val="%9."/>
      <w:lvlJc w:val="right"/>
      <w:pPr>
        <w:ind w:left="7015" w:hanging="180"/>
      </w:pPr>
    </w:lvl>
  </w:abstractNum>
  <w:abstractNum w:abstractNumId="9">
    <w:nsid w:val="36673B96"/>
    <w:multiLevelType w:val="hybridMultilevel"/>
    <w:tmpl w:val="47DC36C0"/>
    <w:lvl w:ilvl="0" w:tplc="C8060644">
      <w:start w:val="1"/>
      <w:numFmt w:val="upperLetter"/>
      <w:lvlText w:val="%1."/>
      <w:lvlJc w:val="left"/>
      <w:pPr>
        <w:ind w:left="911" w:hanging="365"/>
      </w:pPr>
      <w:rPr>
        <w:rFonts w:hint="default"/>
        <w:b/>
        <w:bCs/>
        <w:spacing w:val="-1"/>
        <w:w w:val="110"/>
      </w:rPr>
    </w:lvl>
    <w:lvl w:ilvl="1" w:tplc="E138B84A">
      <w:numFmt w:val="bullet"/>
      <w:lvlText w:val="•"/>
      <w:lvlJc w:val="left"/>
      <w:pPr>
        <w:ind w:left="1240" w:hanging="365"/>
      </w:pPr>
      <w:rPr>
        <w:rFonts w:hint="default"/>
      </w:rPr>
    </w:lvl>
    <w:lvl w:ilvl="2" w:tplc="5C8847D2">
      <w:numFmt w:val="bullet"/>
      <w:lvlText w:val="•"/>
      <w:lvlJc w:val="left"/>
      <w:pPr>
        <w:ind w:left="2111" w:hanging="365"/>
      </w:pPr>
      <w:rPr>
        <w:rFonts w:hint="default"/>
      </w:rPr>
    </w:lvl>
    <w:lvl w:ilvl="3" w:tplc="B2E0D864">
      <w:numFmt w:val="bullet"/>
      <w:lvlText w:val="•"/>
      <w:lvlJc w:val="left"/>
      <w:pPr>
        <w:ind w:left="2982" w:hanging="365"/>
      </w:pPr>
      <w:rPr>
        <w:rFonts w:hint="default"/>
      </w:rPr>
    </w:lvl>
    <w:lvl w:ilvl="4" w:tplc="2ADCC186">
      <w:numFmt w:val="bullet"/>
      <w:lvlText w:val="•"/>
      <w:lvlJc w:val="left"/>
      <w:pPr>
        <w:ind w:left="3853" w:hanging="365"/>
      </w:pPr>
      <w:rPr>
        <w:rFonts w:hint="default"/>
      </w:rPr>
    </w:lvl>
    <w:lvl w:ilvl="5" w:tplc="BF70D94A">
      <w:numFmt w:val="bullet"/>
      <w:lvlText w:val="•"/>
      <w:lvlJc w:val="left"/>
      <w:pPr>
        <w:ind w:left="4724" w:hanging="365"/>
      </w:pPr>
      <w:rPr>
        <w:rFonts w:hint="default"/>
      </w:rPr>
    </w:lvl>
    <w:lvl w:ilvl="6" w:tplc="8C04DDAA">
      <w:numFmt w:val="bullet"/>
      <w:lvlText w:val="•"/>
      <w:lvlJc w:val="left"/>
      <w:pPr>
        <w:ind w:left="5595" w:hanging="365"/>
      </w:pPr>
      <w:rPr>
        <w:rFonts w:hint="default"/>
      </w:rPr>
    </w:lvl>
    <w:lvl w:ilvl="7" w:tplc="513E414A">
      <w:numFmt w:val="bullet"/>
      <w:lvlText w:val="•"/>
      <w:lvlJc w:val="left"/>
      <w:pPr>
        <w:ind w:left="6466" w:hanging="365"/>
      </w:pPr>
      <w:rPr>
        <w:rFonts w:hint="default"/>
      </w:rPr>
    </w:lvl>
    <w:lvl w:ilvl="8" w:tplc="43D80AD6">
      <w:numFmt w:val="bullet"/>
      <w:lvlText w:val="•"/>
      <w:lvlJc w:val="left"/>
      <w:pPr>
        <w:ind w:left="7337" w:hanging="365"/>
      </w:pPr>
      <w:rPr>
        <w:rFonts w:hint="default"/>
      </w:rPr>
    </w:lvl>
  </w:abstractNum>
  <w:abstractNum w:abstractNumId="10">
    <w:nsid w:val="3A062E1A"/>
    <w:multiLevelType w:val="hybridMultilevel"/>
    <w:tmpl w:val="A9F46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364980"/>
    <w:multiLevelType w:val="hybridMultilevel"/>
    <w:tmpl w:val="4E56C794"/>
    <w:lvl w:ilvl="0" w:tplc="0409000F">
      <w:start w:val="1"/>
      <w:numFmt w:val="decimal"/>
      <w:lvlText w:val="%1."/>
      <w:lvlJc w:val="left"/>
      <w:pPr>
        <w:ind w:left="720" w:hanging="360"/>
      </w:pPr>
    </w:lvl>
    <w:lvl w:ilvl="1" w:tplc="04090019">
      <w:start w:val="1"/>
      <w:numFmt w:val="lowerLetter"/>
      <w:lvlText w:val="%2."/>
      <w:lvlJc w:val="left"/>
      <w:pPr>
        <w:ind w:left="126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110A08"/>
    <w:multiLevelType w:val="hybridMultilevel"/>
    <w:tmpl w:val="06040E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2C3C6A"/>
    <w:multiLevelType w:val="hybridMultilevel"/>
    <w:tmpl w:val="E8163AE6"/>
    <w:lvl w:ilvl="0" w:tplc="DE5AB116">
      <w:start w:val="1"/>
      <w:numFmt w:val="upperLetter"/>
      <w:lvlText w:val="%1."/>
      <w:lvlJc w:val="left"/>
      <w:pPr>
        <w:ind w:left="938" w:hanging="345"/>
        <w:jc w:val="right"/>
      </w:pPr>
      <w:rPr>
        <w:rFonts w:ascii="Times New Roman" w:eastAsia="Times New Roman" w:hAnsi="Times New Roman" w:cs="Times New Roman" w:hint="default"/>
        <w:spacing w:val="-1"/>
        <w:w w:val="107"/>
        <w:sz w:val="23"/>
        <w:szCs w:val="23"/>
      </w:rPr>
    </w:lvl>
    <w:lvl w:ilvl="1" w:tplc="2A78AA24">
      <w:numFmt w:val="bullet"/>
      <w:lvlText w:val="•"/>
      <w:lvlJc w:val="left"/>
      <w:pPr>
        <w:ind w:left="1754" w:hanging="345"/>
      </w:pPr>
      <w:rPr>
        <w:rFonts w:hint="default"/>
      </w:rPr>
    </w:lvl>
    <w:lvl w:ilvl="2" w:tplc="DB82AE62">
      <w:numFmt w:val="bullet"/>
      <w:lvlText w:val="•"/>
      <w:lvlJc w:val="left"/>
      <w:pPr>
        <w:ind w:left="2568" w:hanging="345"/>
      </w:pPr>
      <w:rPr>
        <w:rFonts w:hint="default"/>
      </w:rPr>
    </w:lvl>
    <w:lvl w:ilvl="3" w:tplc="6BB43BEC">
      <w:numFmt w:val="bullet"/>
      <w:lvlText w:val="•"/>
      <w:lvlJc w:val="left"/>
      <w:pPr>
        <w:ind w:left="3382" w:hanging="345"/>
      </w:pPr>
      <w:rPr>
        <w:rFonts w:hint="default"/>
      </w:rPr>
    </w:lvl>
    <w:lvl w:ilvl="4" w:tplc="216EF316">
      <w:numFmt w:val="bullet"/>
      <w:lvlText w:val="•"/>
      <w:lvlJc w:val="left"/>
      <w:pPr>
        <w:ind w:left="4196" w:hanging="345"/>
      </w:pPr>
      <w:rPr>
        <w:rFonts w:hint="default"/>
      </w:rPr>
    </w:lvl>
    <w:lvl w:ilvl="5" w:tplc="55DC3B84">
      <w:numFmt w:val="bullet"/>
      <w:lvlText w:val="•"/>
      <w:lvlJc w:val="left"/>
      <w:pPr>
        <w:ind w:left="5010" w:hanging="345"/>
      </w:pPr>
      <w:rPr>
        <w:rFonts w:hint="default"/>
      </w:rPr>
    </w:lvl>
    <w:lvl w:ilvl="6" w:tplc="C3A2AA04">
      <w:numFmt w:val="bullet"/>
      <w:lvlText w:val="•"/>
      <w:lvlJc w:val="left"/>
      <w:pPr>
        <w:ind w:left="5824" w:hanging="345"/>
      </w:pPr>
      <w:rPr>
        <w:rFonts w:hint="default"/>
      </w:rPr>
    </w:lvl>
    <w:lvl w:ilvl="7" w:tplc="D096AA7E">
      <w:numFmt w:val="bullet"/>
      <w:lvlText w:val="•"/>
      <w:lvlJc w:val="left"/>
      <w:pPr>
        <w:ind w:left="6638" w:hanging="345"/>
      </w:pPr>
      <w:rPr>
        <w:rFonts w:hint="default"/>
      </w:rPr>
    </w:lvl>
    <w:lvl w:ilvl="8" w:tplc="3BB63B6C">
      <w:numFmt w:val="bullet"/>
      <w:lvlText w:val="•"/>
      <w:lvlJc w:val="left"/>
      <w:pPr>
        <w:ind w:left="7452" w:hanging="345"/>
      </w:pPr>
      <w:rPr>
        <w:rFonts w:hint="default"/>
      </w:rPr>
    </w:lvl>
  </w:abstractNum>
  <w:abstractNum w:abstractNumId="14">
    <w:nsid w:val="512D699C"/>
    <w:multiLevelType w:val="hybridMultilevel"/>
    <w:tmpl w:val="9024296C"/>
    <w:lvl w:ilvl="0" w:tplc="86223662">
      <w:start w:val="2"/>
      <w:numFmt w:val="upperLetter"/>
      <w:lvlText w:val="%1."/>
      <w:lvlJc w:val="left"/>
      <w:pPr>
        <w:ind w:left="957" w:hanging="360"/>
      </w:pPr>
      <w:rPr>
        <w:rFonts w:hint="default"/>
      </w:rPr>
    </w:lvl>
    <w:lvl w:ilvl="1" w:tplc="04090019">
      <w:start w:val="1"/>
      <w:numFmt w:val="lowerLetter"/>
      <w:lvlText w:val="%2."/>
      <w:lvlJc w:val="left"/>
      <w:pPr>
        <w:ind w:left="1851" w:hanging="360"/>
      </w:pPr>
    </w:lvl>
    <w:lvl w:ilvl="2" w:tplc="0409001B">
      <w:start w:val="1"/>
      <w:numFmt w:val="lowerRoman"/>
      <w:lvlText w:val="%3."/>
      <w:lvlJc w:val="right"/>
      <w:pPr>
        <w:ind w:left="2571" w:hanging="180"/>
      </w:pPr>
    </w:lvl>
    <w:lvl w:ilvl="3" w:tplc="0409000F" w:tentative="1">
      <w:start w:val="1"/>
      <w:numFmt w:val="decimal"/>
      <w:lvlText w:val="%4."/>
      <w:lvlJc w:val="left"/>
      <w:pPr>
        <w:ind w:left="3291" w:hanging="360"/>
      </w:pPr>
    </w:lvl>
    <w:lvl w:ilvl="4" w:tplc="04090019" w:tentative="1">
      <w:start w:val="1"/>
      <w:numFmt w:val="lowerLetter"/>
      <w:lvlText w:val="%5."/>
      <w:lvlJc w:val="left"/>
      <w:pPr>
        <w:ind w:left="4011" w:hanging="360"/>
      </w:pPr>
    </w:lvl>
    <w:lvl w:ilvl="5" w:tplc="0409001B" w:tentative="1">
      <w:start w:val="1"/>
      <w:numFmt w:val="lowerRoman"/>
      <w:lvlText w:val="%6."/>
      <w:lvlJc w:val="right"/>
      <w:pPr>
        <w:ind w:left="4731" w:hanging="180"/>
      </w:pPr>
    </w:lvl>
    <w:lvl w:ilvl="6" w:tplc="0409000F" w:tentative="1">
      <w:start w:val="1"/>
      <w:numFmt w:val="decimal"/>
      <w:lvlText w:val="%7."/>
      <w:lvlJc w:val="left"/>
      <w:pPr>
        <w:ind w:left="5451" w:hanging="360"/>
      </w:pPr>
    </w:lvl>
    <w:lvl w:ilvl="7" w:tplc="04090019" w:tentative="1">
      <w:start w:val="1"/>
      <w:numFmt w:val="lowerLetter"/>
      <w:lvlText w:val="%8."/>
      <w:lvlJc w:val="left"/>
      <w:pPr>
        <w:ind w:left="6171" w:hanging="360"/>
      </w:pPr>
    </w:lvl>
    <w:lvl w:ilvl="8" w:tplc="0409001B" w:tentative="1">
      <w:start w:val="1"/>
      <w:numFmt w:val="lowerRoman"/>
      <w:lvlText w:val="%9."/>
      <w:lvlJc w:val="right"/>
      <w:pPr>
        <w:ind w:left="6891" w:hanging="180"/>
      </w:pPr>
    </w:lvl>
  </w:abstractNum>
  <w:abstractNum w:abstractNumId="15">
    <w:nsid w:val="520A1E52"/>
    <w:multiLevelType w:val="hybridMultilevel"/>
    <w:tmpl w:val="32844758"/>
    <w:lvl w:ilvl="0" w:tplc="5518D1AA">
      <w:start w:val="1"/>
      <w:numFmt w:val="decimal"/>
      <w:lvlText w:val="%1."/>
      <w:lvlJc w:val="left"/>
      <w:pPr>
        <w:ind w:left="720" w:hanging="360"/>
      </w:pPr>
      <w:rPr>
        <w:b w:val="0"/>
        <w:bCs w:val="0"/>
      </w:rPr>
    </w:lvl>
    <w:lvl w:ilvl="1" w:tplc="F1F6EFF8">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260415"/>
    <w:multiLevelType w:val="hybridMultilevel"/>
    <w:tmpl w:val="9D985398"/>
    <w:lvl w:ilvl="0" w:tplc="5518D1AA">
      <w:start w:val="1"/>
      <w:numFmt w:val="decimal"/>
      <w:lvlText w:val="%1."/>
      <w:lvlJc w:val="left"/>
      <w:pPr>
        <w:ind w:left="720" w:hanging="360"/>
      </w:pPr>
      <w:rPr>
        <w:rFonts w:hint="default"/>
      </w:rPr>
    </w:lvl>
    <w:lvl w:ilvl="1" w:tplc="BAFE3174">
      <w:start w:val="1"/>
      <w:numFmt w:val="lowerLetter"/>
      <w:lvlText w:val="%2."/>
      <w:lvlJc w:val="left"/>
      <w:pPr>
        <w:ind w:left="1440" w:hanging="360"/>
      </w:pPr>
      <w:rPr>
        <w:b w:val="0"/>
        <w:bCs/>
      </w:rPr>
    </w:lvl>
    <w:lvl w:ilvl="2" w:tplc="0C36AE8E">
      <w:start w:val="1"/>
      <w:numFmt w:val="lowerRoman"/>
      <w:lvlText w:val="%3."/>
      <w:lvlJc w:val="right"/>
      <w:pPr>
        <w:ind w:left="2160" w:hanging="180"/>
      </w:pPr>
      <w:rPr>
        <w:b w:val="0"/>
        <w:bCs/>
      </w:rPr>
    </w:lvl>
    <w:lvl w:ilvl="3" w:tplc="6706D742">
      <w:start w:val="1"/>
      <w:numFmt w:val="upperLetter"/>
      <w:lvlText w:val="%4."/>
      <w:lvlJc w:val="left"/>
      <w:pPr>
        <w:ind w:left="2880" w:hanging="360"/>
      </w:pPr>
      <w:rPr>
        <w:b w:val="0"/>
        <w:bCs/>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12673B"/>
    <w:multiLevelType w:val="hybridMultilevel"/>
    <w:tmpl w:val="32844758"/>
    <w:lvl w:ilvl="0" w:tplc="5518D1AA">
      <w:start w:val="1"/>
      <w:numFmt w:val="decimal"/>
      <w:lvlText w:val="%1."/>
      <w:lvlJc w:val="left"/>
      <w:pPr>
        <w:ind w:left="1440" w:hanging="360"/>
      </w:pPr>
      <w:rPr>
        <w:b w:val="0"/>
        <w:bCs w:val="0"/>
      </w:rPr>
    </w:lvl>
    <w:lvl w:ilvl="1" w:tplc="F1F6EFF8">
      <w:start w:val="1"/>
      <w:numFmt w:val="lowerLetter"/>
      <w:lvlText w:val="%2."/>
      <w:lvlJc w:val="left"/>
      <w:pPr>
        <w:ind w:left="2160" w:hanging="360"/>
      </w:pPr>
      <w:rPr>
        <w:rFonts w:ascii="Times New Roman" w:eastAsia="Times New Roman" w:hAnsi="Times New Roman" w:cs="Times New Roman"/>
      </w:rPr>
    </w:lvl>
    <w:lvl w:ilvl="2" w:tplc="0409001B">
      <w:start w:val="1"/>
      <w:numFmt w:val="lowerRoman"/>
      <w:lvlText w:val="%3."/>
      <w:lvlJc w:val="right"/>
      <w:pPr>
        <w:ind w:left="2880" w:hanging="18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77F4461"/>
    <w:multiLevelType w:val="hybridMultilevel"/>
    <w:tmpl w:val="F4642B26"/>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9">
    <w:nsid w:val="75742F90"/>
    <w:multiLevelType w:val="hybridMultilevel"/>
    <w:tmpl w:val="C72A2D4E"/>
    <w:lvl w:ilvl="0" w:tplc="915AADFC">
      <w:start w:val="1"/>
      <w:numFmt w:val="decimal"/>
      <w:lvlText w:val="(%1)"/>
      <w:lvlJc w:val="left"/>
      <w:pPr>
        <w:ind w:left="1247" w:hanging="351"/>
      </w:pPr>
      <w:rPr>
        <w:rFonts w:ascii="Times New Roman" w:eastAsia="Times New Roman" w:hAnsi="Times New Roman" w:cs="Times New Roman" w:hint="default"/>
        <w:w w:val="105"/>
        <w:sz w:val="23"/>
        <w:szCs w:val="23"/>
      </w:rPr>
    </w:lvl>
    <w:lvl w:ilvl="1" w:tplc="22AA50F4">
      <w:start w:val="1"/>
      <w:numFmt w:val="lowerLetter"/>
      <w:lvlText w:val="(%2)"/>
      <w:lvlJc w:val="left"/>
      <w:pPr>
        <w:ind w:left="1616" w:hanging="360"/>
      </w:pPr>
      <w:rPr>
        <w:rFonts w:ascii="Times New Roman" w:eastAsia="Times New Roman" w:hAnsi="Times New Roman" w:cs="Times New Roman" w:hint="default"/>
        <w:spacing w:val="-1"/>
        <w:w w:val="105"/>
        <w:sz w:val="23"/>
        <w:szCs w:val="23"/>
      </w:rPr>
    </w:lvl>
    <w:lvl w:ilvl="2" w:tplc="F3161918">
      <w:numFmt w:val="bullet"/>
      <w:lvlText w:val="•"/>
      <w:lvlJc w:val="left"/>
      <w:pPr>
        <w:ind w:left="1620" w:hanging="360"/>
      </w:pPr>
      <w:rPr>
        <w:rFonts w:hint="default"/>
      </w:rPr>
    </w:lvl>
    <w:lvl w:ilvl="3" w:tplc="15DAB5B6">
      <w:numFmt w:val="bullet"/>
      <w:lvlText w:val="•"/>
      <w:lvlJc w:val="left"/>
      <w:pPr>
        <w:ind w:left="2552" w:hanging="360"/>
      </w:pPr>
      <w:rPr>
        <w:rFonts w:hint="default"/>
      </w:rPr>
    </w:lvl>
    <w:lvl w:ilvl="4" w:tplc="BE44BE18">
      <w:numFmt w:val="bullet"/>
      <w:lvlText w:val="•"/>
      <w:lvlJc w:val="left"/>
      <w:pPr>
        <w:ind w:left="3485" w:hanging="360"/>
      </w:pPr>
      <w:rPr>
        <w:rFonts w:hint="default"/>
      </w:rPr>
    </w:lvl>
    <w:lvl w:ilvl="5" w:tplc="24E0119E">
      <w:numFmt w:val="bullet"/>
      <w:lvlText w:val="•"/>
      <w:lvlJc w:val="left"/>
      <w:pPr>
        <w:ind w:left="4417" w:hanging="360"/>
      </w:pPr>
      <w:rPr>
        <w:rFonts w:hint="default"/>
      </w:rPr>
    </w:lvl>
    <w:lvl w:ilvl="6" w:tplc="19C63AAA">
      <w:numFmt w:val="bullet"/>
      <w:lvlText w:val="•"/>
      <w:lvlJc w:val="left"/>
      <w:pPr>
        <w:ind w:left="5350" w:hanging="360"/>
      </w:pPr>
      <w:rPr>
        <w:rFonts w:hint="default"/>
      </w:rPr>
    </w:lvl>
    <w:lvl w:ilvl="7" w:tplc="15187D2A">
      <w:numFmt w:val="bullet"/>
      <w:lvlText w:val="•"/>
      <w:lvlJc w:val="left"/>
      <w:pPr>
        <w:ind w:left="6282" w:hanging="360"/>
      </w:pPr>
      <w:rPr>
        <w:rFonts w:hint="default"/>
      </w:rPr>
    </w:lvl>
    <w:lvl w:ilvl="8" w:tplc="3B907F4E">
      <w:numFmt w:val="bullet"/>
      <w:lvlText w:val="•"/>
      <w:lvlJc w:val="left"/>
      <w:pPr>
        <w:ind w:left="7215" w:hanging="360"/>
      </w:pPr>
      <w:rPr>
        <w:rFonts w:hint="default"/>
      </w:rPr>
    </w:lvl>
  </w:abstractNum>
  <w:abstractNum w:abstractNumId="20">
    <w:nsid w:val="7B000743"/>
    <w:multiLevelType w:val="hybridMultilevel"/>
    <w:tmpl w:val="32844758"/>
    <w:lvl w:ilvl="0" w:tplc="5518D1AA">
      <w:start w:val="1"/>
      <w:numFmt w:val="decimal"/>
      <w:lvlText w:val="%1."/>
      <w:lvlJc w:val="left"/>
      <w:pPr>
        <w:ind w:left="720" w:hanging="360"/>
      </w:pPr>
      <w:rPr>
        <w:b w:val="0"/>
        <w:bCs w:val="0"/>
      </w:rPr>
    </w:lvl>
    <w:lvl w:ilvl="1" w:tplc="F1F6EFF8">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19"/>
  </w:num>
  <w:num w:numId="4">
    <w:abstractNumId w:val="9"/>
  </w:num>
  <w:num w:numId="5">
    <w:abstractNumId w:val="3"/>
  </w:num>
  <w:num w:numId="6">
    <w:abstractNumId w:val="14"/>
  </w:num>
  <w:num w:numId="7">
    <w:abstractNumId w:val="6"/>
  </w:num>
  <w:num w:numId="8">
    <w:abstractNumId w:val="2"/>
  </w:num>
  <w:num w:numId="9">
    <w:abstractNumId w:val="8"/>
  </w:num>
  <w:num w:numId="10">
    <w:abstractNumId w:val="10"/>
  </w:num>
  <w:num w:numId="11">
    <w:abstractNumId w:val="17"/>
  </w:num>
  <w:num w:numId="12">
    <w:abstractNumId w:val="4"/>
  </w:num>
  <w:num w:numId="13">
    <w:abstractNumId w:val="0"/>
  </w:num>
  <w:num w:numId="14">
    <w:abstractNumId w:val="20"/>
  </w:num>
  <w:num w:numId="15">
    <w:abstractNumId w:val="15"/>
  </w:num>
  <w:num w:numId="16">
    <w:abstractNumId w:val="1"/>
  </w:num>
  <w:num w:numId="17">
    <w:abstractNumId w:val="16"/>
  </w:num>
  <w:num w:numId="18">
    <w:abstractNumId w:val="18"/>
  </w:num>
  <w:num w:numId="19">
    <w:abstractNumId w:val="5"/>
  </w:num>
  <w:num w:numId="20">
    <w:abstractNumId w:val="1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BD8"/>
    <w:rsid w:val="00003A3F"/>
    <w:rsid w:val="0000407A"/>
    <w:rsid w:val="000116C7"/>
    <w:rsid w:val="00013248"/>
    <w:rsid w:val="00027FFB"/>
    <w:rsid w:val="0003038B"/>
    <w:rsid w:val="00032C63"/>
    <w:rsid w:val="0003309C"/>
    <w:rsid w:val="00035B0C"/>
    <w:rsid w:val="00043A1C"/>
    <w:rsid w:val="00056796"/>
    <w:rsid w:val="00057BB0"/>
    <w:rsid w:val="00080FBF"/>
    <w:rsid w:val="00081260"/>
    <w:rsid w:val="00096F20"/>
    <w:rsid w:val="000A72FF"/>
    <w:rsid w:val="000B2F8B"/>
    <w:rsid w:val="000B6BB6"/>
    <w:rsid w:val="000C4112"/>
    <w:rsid w:val="000D0AEC"/>
    <w:rsid w:val="000D6E32"/>
    <w:rsid w:val="000F6EF3"/>
    <w:rsid w:val="00101F1B"/>
    <w:rsid w:val="00103DB8"/>
    <w:rsid w:val="00103DD1"/>
    <w:rsid w:val="00104647"/>
    <w:rsid w:val="00105610"/>
    <w:rsid w:val="00105F9E"/>
    <w:rsid w:val="00112513"/>
    <w:rsid w:val="00116678"/>
    <w:rsid w:val="00121E16"/>
    <w:rsid w:val="0012257E"/>
    <w:rsid w:val="001265A8"/>
    <w:rsid w:val="001313B6"/>
    <w:rsid w:val="001333B6"/>
    <w:rsid w:val="00147EAF"/>
    <w:rsid w:val="00152022"/>
    <w:rsid w:val="001524F8"/>
    <w:rsid w:val="0017368D"/>
    <w:rsid w:val="001A3C6A"/>
    <w:rsid w:val="001D5DF0"/>
    <w:rsid w:val="001E0ED0"/>
    <w:rsid w:val="001E16C0"/>
    <w:rsid w:val="00200A91"/>
    <w:rsid w:val="00221091"/>
    <w:rsid w:val="002233F7"/>
    <w:rsid w:val="0022555E"/>
    <w:rsid w:val="0023641F"/>
    <w:rsid w:val="00236AC5"/>
    <w:rsid w:val="00243F95"/>
    <w:rsid w:val="002638B2"/>
    <w:rsid w:val="002761DE"/>
    <w:rsid w:val="002878D3"/>
    <w:rsid w:val="00290CC6"/>
    <w:rsid w:val="00293844"/>
    <w:rsid w:val="002A1B46"/>
    <w:rsid w:val="002B4B69"/>
    <w:rsid w:val="002B5E09"/>
    <w:rsid w:val="002B5F47"/>
    <w:rsid w:val="002B7902"/>
    <w:rsid w:val="002B7D52"/>
    <w:rsid w:val="002E5FCA"/>
    <w:rsid w:val="003004F7"/>
    <w:rsid w:val="00303B63"/>
    <w:rsid w:val="003067D1"/>
    <w:rsid w:val="0031754B"/>
    <w:rsid w:val="0032211D"/>
    <w:rsid w:val="003228E8"/>
    <w:rsid w:val="003305F9"/>
    <w:rsid w:val="00330ABA"/>
    <w:rsid w:val="00331313"/>
    <w:rsid w:val="00334932"/>
    <w:rsid w:val="003423A0"/>
    <w:rsid w:val="003452F4"/>
    <w:rsid w:val="00345E0F"/>
    <w:rsid w:val="00347723"/>
    <w:rsid w:val="00350C9E"/>
    <w:rsid w:val="0035177E"/>
    <w:rsid w:val="00351916"/>
    <w:rsid w:val="00351A31"/>
    <w:rsid w:val="00356582"/>
    <w:rsid w:val="00385733"/>
    <w:rsid w:val="003913DF"/>
    <w:rsid w:val="003914AA"/>
    <w:rsid w:val="0039394F"/>
    <w:rsid w:val="003A0A4E"/>
    <w:rsid w:val="003B6DDA"/>
    <w:rsid w:val="003C3E40"/>
    <w:rsid w:val="003C6783"/>
    <w:rsid w:val="003D0B25"/>
    <w:rsid w:val="003E12A6"/>
    <w:rsid w:val="003E5AA4"/>
    <w:rsid w:val="0041182D"/>
    <w:rsid w:val="00413FCD"/>
    <w:rsid w:val="004217A8"/>
    <w:rsid w:val="00425972"/>
    <w:rsid w:val="00436603"/>
    <w:rsid w:val="004424A1"/>
    <w:rsid w:val="00446D75"/>
    <w:rsid w:val="0045370B"/>
    <w:rsid w:val="00460283"/>
    <w:rsid w:val="004614B3"/>
    <w:rsid w:val="004766D2"/>
    <w:rsid w:val="00483EA6"/>
    <w:rsid w:val="0048659A"/>
    <w:rsid w:val="004905DD"/>
    <w:rsid w:val="00492599"/>
    <w:rsid w:val="004943C5"/>
    <w:rsid w:val="00495076"/>
    <w:rsid w:val="004960D5"/>
    <w:rsid w:val="004A1C69"/>
    <w:rsid w:val="004B0175"/>
    <w:rsid w:val="004B3189"/>
    <w:rsid w:val="004C2618"/>
    <w:rsid w:val="004C4E0A"/>
    <w:rsid w:val="004C7A78"/>
    <w:rsid w:val="004E38D1"/>
    <w:rsid w:val="004E5D70"/>
    <w:rsid w:val="004F17AD"/>
    <w:rsid w:val="004F36FB"/>
    <w:rsid w:val="004F6F53"/>
    <w:rsid w:val="00501857"/>
    <w:rsid w:val="00527389"/>
    <w:rsid w:val="00543DE2"/>
    <w:rsid w:val="0054712A"/>
    <w:rsid w:val="0055687B"/>
    <w:rsid w:val="00572623"/>
    <w:rsid w:val="00573CF0"/>
    <w:rsid w:val="00577D21"/>
    <w:rsid w:val="00582F4B"/>
    <w:rsid w:val="0058679F"/>
    <w:rsid w:val="00587C7F"/>
    <w:rsid w:val="005963A8"/>
    <w:rsid w:val="005A1A57"/>
    <w:rsid w:val="005C0216"/>
    <w:rsid w:val="005C35CA"/>
    <w:rsid w:val="005D0352"/>
    <w:rsid w:val="005D339E"/>
    <w:rsid w:val="005D3E3C"/>
    <w:rsid w:val="005E1D9B"/>
    <w:rsid w:val="005E2F83"/>
    <w:rsid w:val="005E39F9"/>
    <w:rsid w:val="005F5C83"/>
    <w:rsid w:val="005F6D22"/>
    <w:rsid w:val="0060577C"/>
    <w:rsid w:val="00615897"/>
    <w:rsid w:val="0062449C"/>
    <w:rsid w:val="006305CE"/>
    <w:rsid w:val="0063754D"/>
    <w:rsid w:val="0063791F"/>
    <w:rsid w:val="00640A35"/>
    <w:rsid w:val="0064584B"/>
    <w:rsid w:val="0065274C"/>
    <w:rsid w:val="0066412F"/>
    <w:rsid w:val="006648DC"/>
    <w:rsid w:val="006977C6"/>
    <w:rsid w:val="006A2036"/>
    <w:rsid w:val="006A2FC9"/>
    <w:rsid w:val="006B129A"/>
    <w:rsid w:val="006D2284"/>
    <w:rsid w:val="006D4873"/>
    <w:rsid w:val="006F2926"/>
    <w:rsid w:val="007034D4"/>
    <w:rsid w:val="0070701F"/>
    <w:rsid w:val="007079BC"/>
    <w:rsid w:val="00720660"/>
    <w:rsid w:val="00720BD8"/>
    <w:rsid w:val="00722917"/>
    <w:rsid w:val="00723A7D"/>
    <w:rsid w:val="00725F27"/>
    <w:rsid w:val="00733FE0"/>
    <w:rsid w:val="007355FA"/>
    <w:rsid w:val="0073671D"/>
    <w:rsid w:val="0073706B"/>
    <w:rsid w:val="0073755A"/>
    <w:rsid w:val="007441D6"/>
    <w:rsid w:val="00754561"/>
    <w:rsid w:val="00763C82"/>
    <w:rsid w:val="00771B38"/>
    <w:rsid w:val="00771E1C"/>
    <w:rsid w:val="00773617"/>
    <w:rsid w:val="00777204"/>
    <w:rsid w:val="007841B9"/>
    <w:rsid w:val="00784FFD"/>
    <w:rsid w:val="0078707B"/>
    <w:rsid w:val="00790BED"/>
    <w:rsid w:val="00792F01"/>
    <w:rsid w:val="00796059"/>
    <w:rsid w:val="007A266A"/>
    <w:rsid w:val="007A56FF"/>
    <w:rsid w:val="007B2674"/>
    <w:rsid w:val="007B745D"/>
    <w:rsid w:val="007C30ED"/>
    <w:rsid w:val="007C4B66"/>
    <w:rsid w:val="007D7FAC"/>
    <w:rsid w:val="007F6EB8"/>
    <w:rsid w:val="00810FDF"/>
    <w:rsid w:val="00813B8E"/>
    <w:rsid w:val="008141FF"/>
    <w:rsid w:val="00814A61"/>
    <w:rsid w:val="00814CD9"/>
    <w:rsid w:val="00814EC3"/>
    <w:rsid w:val="00814FF9"/>
    <w:rsid w:val="008175B2"/>
    <w:rsid w:val="00817A92"/>
    <w:rsid w:val="008263B4"/>
    <w:rsid w:val="00833999"/>
    <w:rsid w:val="00834C8C"/>
    <w:rsid w:val="008359E9"/>
    <w:rsid w:val="008360F8"/>
    <w:rsid w:val="00842402"/>
    <w:rsid w:val="0085179B"/>
    <w:rsid w:val="00853E76"/>
    <w:rsid w:val="008578D0"/>
    <w:rsid w:val="00862818"/>
    <w:rsid w:val="00882FCE"/>
    <w:rsid w:val="008937C0"/>
    <w:rsid w:val="00897ED9"/>
    <w:rsid w:val="008A32BE"/>
    <w:rsid w:val="008A5D14"/>
    <w:rsid w:val="008B59CD"/>
    <w:rsid w:val="008C1559"/>
    <w:rsid w:val="008C4129"/>
    <w:rsid w:val="008D00A9"/>
    <w:rsid w:val="008D35C2"/>
    <w:rsid w:val="008E306B"/>
    <w:rsid w:val="008E315E"/>
    <w:rsid w:val="008F1671"/>
    <w:rsid w:val="008F4D39"/>
    <w:rsid w:val="008F632A"/>
    <w:rsid w:val="00903F7A"/>
    <w:rsid w:val="0090592E"/>
    <w:rsid w:val="0091471C"/>
    <w:rsid w:val="009225F6"/>
    <w:rsid w:val="00936D65"/>
    <w:rsid w:val="00945096"/>
    <w:rsid w:val="009473F6"/>
    <w:rsid w:val="00952FFE"/>
    <w:rsid w:val="009622B4"/>
    <w:rsid w:val="00962978"/>
    <w:rsid w:val="009839CF"/>
    <w:rsid w:val="00984163"/>
    <w:rsid w:val="00984B56"/>
    <w:rsid w:val="00986610"/>
    <w:rsid w:val="009A2D73"/>
    <w:rsid w:val="009B50B5"/>
    <w:rsid w:val="009B5313"/>
    <w:rsid w:val="009C5398"/>
    <w:rsid w:val="009D042B"/>
    <w:rsid w:val="009D30A4"/>
    <w:rsid w:val="009F1E1A"/>
    <w:rsid w:val="00A013BE"/>
    <w:rsid w:val="00A236ED"/>
    <w:rsid w:val="00A33084"/>
    <w:rsid w:val="00A33688"/>
    <w:rsid w:val="00A41419"/>
    <w:rsid w:val="00A72FCD"/>
    <w:rsid w:val="00A749D8"/>
    <w:rsid w:val="00A76874"/>
    <w:rsid w:val="00A85771"/>
    <w:rsid w:val="00A86856"/>
    <w:rsid w:val="00A86C8E"/>
    <w:rsid w:val="00A873A7"/>
    <w:rsid w:val="00A93563"/>
    <w:rsid w:val="00AA1432"/>
    <w:rsid w:val="00AA47A2"/>
    <w:rsid w:val="00AB184E"/>
    <w:rsid w:val="00AC28FA"/>
    <w:rsid w:val="00AC348D"/>
    <w:rsid w:val="00AD2868"/>
    <w:rsid w:val="00AD4807"/>
    <w:rsid w:val="00AD4B95"/>
    <w:rsid w:val="00AD7814"/>
    <w:rsid w:val="00AE21AB"/>
    <w:rsid w:val="00AE33A1"/>
    <w:rsid w:val="00AE3DA0"/>
    <w:rsid w:val="00B03237"/>
    <w:rsid w:val="00B0488D"/>
    <w:rsid w:val="00B11A04"/>
    <w:rsid w:val="00B12ADA"/>
    <w:rsid w:val="00B208C9"/>
    <w:rsid w:val="00B33755"/>
    <w:rsid w:val="00B5708C"/>
    <w:rsid w:val="00B60271"/>
    <w:rsid w:val="00B630C4"/>
    <w:rsid w:val="00B651E1"/>
    <w:rsid w:val="00B7268C"/>
    <w:rsid w:val="00B7447E"/>
    <w:rsid w:val="00B85078"/>
    <w:rsid w:val="00BA48FC"/>
    <w:rsid w:val="00BA66F7"/>
    <w:rsid w:val="00BB1835"/>
    <w:rsid w:val="00BC1A2A"/>
    <w:rsid w:val="00BC4845"/>
    <w:rsid w:val="00BD274C"/>
    <w:rsid w:val="00BD47DD"/>
    <w:rsid w:val="00BE0618"/>
    <w:rsid w:val="00BF2AA1"/>
    <w:rsid w:val="00C0649C"/>
    <w:rsid w:val="00C07544"/>
    <w:rsid w:val="00C14751"/>
    <w:rsid w:val="00C155FB"/>
    <w:rsid w:val="00C22AD2"/>
    <w:rsid w:val="00C248B1"/>
    <w:rsid w:val="00C31086"/>
    <w:rsid w:val="00C360FC"/>
    <w:rsid w:val="00C40024"/>
    <w:rsid w:val="00C41A62"/>
    <w:rsid w:val="00C43309"/>
    <w:rsid w:val="00C508FD"/>
    <w:rsid w:val="00C51A15"/>
    <w:rsid w:val="00C6044D"/>
    <w:rsid w:val="00C61459"/>
    <w:rsid w:val="00C64B08"/>
    <w:rsid w:val="00C657DF"/>
    <w:rsid w:val="00C815A7"/>
    <w:rsid w:val="00C94A6B"/>
    <w:rsid w:val="00C952F2"/>
    <w:rsid w:val="00CA1506"/>
    <w:rsid w:val="00CA7381"/>
    <w:rsid w:val="00CB51DE"/>
    <w:rsid w:val="00CB6A7C"/>
    <w:rsid w:val="00CC21A1"/>
    <w:rsid w:val="00CC6023"/>
    <w:rsid w:val="00CD0E08"/>
    <w:rsid w:val="00CF09C2"/>
    <w:rsid w:val="00D0513E"/>
    <w:rsid w:val="00D05A7E"/>
    <w:rsid w:val="00D24C26"/>
    <w:rsid w:val="00D61062"/>
    <w:rsid w:val="00D7138B"/>
    <w:rsid w:val="00D745BE"/>
    <w:rsid w:val="00D762BA"/>
    <w:rsid w:val="00D76D97"/>
    <w:rsid w:val="00D82F14"/>
    <w:rsid w:val="00D87A5E"/>
    <w:rsid w:val="00D90C5B"/>
    <w:rsid w:val="00D92CD0"/>
    <w:rsid w:val="00DA09FA"/>
    <w:rsid w:val="00DA1C12"/>
    <w:rsid w:val="00DA3260"/>
    <w:rsid w:val="00DC027D"/>
    <w:rsid w:val="00DC24FC"/>
    <w:rsid w:val="00DD0B12"/>
    <w:rsid w:val="00DD3A28"/>
    <w:rsid w:val="00DD5BF4"/>
    <w:rsid w:val="00DE0C68"/>
    <w:rsid w:val="00DE3193"/>
    <w:rsid w:val="00E163B2"/>
    <w:rsid w:val="00E21864"/>
    <w:rsid w:val="00E2626D"/>
    <w:rsid w:val="00E330B0"/>
    <w:rsid w:val="00E330B3"/>
    <w:rsid w:val="00E35B68"/>
    <w:rsid w:val="00E361D7"/>
    <w:rsid w:val="00E4030A"/>
    <w:rsid w:val="00E53ECE"/>
    <w:rsid w:val="00E817C8"/>
    <w:rsid w:val="00E8749F"/>
    <w:rsid w:val="00E87DC9"/>
    <w:rsid w:val="00E90346"/>
    <w:rsid w:val="00EA0902"/>
    <w:rsid w:val="00EA1F87"/>
    <w:rsid w:val="00EB0010"/>
    <w:rsid w:val="00EB1D55"/>
    <w:rsid w:val="00EB1DC6"/>
    <w:rsid w:val="00EB46D0"/>
    <w:rsid w:val="00EB75F0"/>
    <w:rsid w:val="00EC2A64"/>
    <w:rsid w:val="00EC4C2A"/>
    <w:rsid w:val="00ED10C7"/>
    <w:rsid w:val="00ED202D"/>
    <w:rsid w:val="00ED4F83"/>
    <w:rsid w:val="00EE32CC"/>
    <w:rsid w:val="00EE5688"/>
    <w:rsid w:val="00EE7DB1"/>
    <w:rsid w:val="00EF2BBC"/>
    <w:rsid w:val="00F10A64"/>
    <w:rsid w:val="00F12517"/>
    <w:rsid w:val="00F14179"/>
    <w:rsid w:val="00F1425C"/>
    <w:rsid w:val="00F24D02"/>
    <w:rsid w:val="00F403D1"/>
    <w:rsid w:val="00F44C9C"/>
    <w:rsid w:val="00F4525F"/>
    <w:rsid w:val="00F5082C"/>
    <w:rsid w:val="00F515AF"/>
    <w:rsid w:val="00F51F0F"/>
    <w:rsid w:val="00F75C1B"/>
    <w:rsid w:val="00F76366"/>
    <w:rsid w:val="00F77DD4"/>
    <w:rsid w:val="00F94A37"/>
    <w:rsid w:val="00F9629B"/>
    <w:rsid w:val="00FA1C22"/>
    <w:rsid w:val="00FA4A3C"/>
    <w:rsid w:val="00FA6622"/>
    <w:rsid w:val="00FA706C"/>
    <w:rsid w:val="00FB1F7D"/>
    <w:rsid w:val="00FB24C5"/>
    <w:rsid w:val="00FB4B6F"/>
    <w:rsid w:val="00FC166F"/>
    <w:rsid w:val="00FD215A"/>
    <w:rsid w:val="00FD398C"/>
    <w:rsid w:val="00FE4296"/>
    <w:rsid w:val="00FE77C1"/>
    <w:rsid w:val="00FF1BDA"/>
    <w:rsid w:val="00FF5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5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BD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720BD8"/>
    <w:pPr>
      <w:spacing w:before="90"/>
      <w:ind w:left="547" w:hanging="366"/>
      <w:outlineLvl w:val="0"/>
    </w:pPr>
    <w:rPr>
      <w:b/>
      <w:bCs/>
      <w:sz w:val="24"/>
      <w:szCs w:val="24"/>
    </w:rPr>
  </w:style>
  <w:style w:type="paragraph" w:styleId="Heading2">
    <w:name w:val="heading 2"/>
    <w:basedOn w:val="Normal"/>
    <w:link w:val="Heading2Char"/>
    <w:uiPriority w:val="9"/>
    <w:unhideWhenUsed/>
    <w:qFormat/>
    <w:rsid w:val="00720BD8"/>
    <w:pPr>
      <w:ind w:left="256"/>
      <w:outlineLvl w:val="1"/>
    </w:pPr>
    <w:rPr>
      <w:b/>
      <w:bCs/>
      <w:sz w:val="23"/>
      <w:szCs w:val="23"/>
    </w:rPr>
  </w:style>
  <w:style w:type="paragraph" w:styleId="Heading4">
    <w:name w:val="heading 4"/>
    <w:basedOn w:val="Normal"/>
    <w:next w:val="Normal"/>
    <w:link w:val="Heading4Char"/>
    <w:uiPriority w:val="9"/>
    <w:semiHidden/>
    <w:unhideWhenUsed/>
    <w:qFormat/>
    <w:rsid w:val="00784FF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BD8"/>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720BD8"/>
    <w:rPr>
      <w:rFonts w:ascii="Times New Roman" w:eastAsia="Times New Roman" w:hAnsi="Times New Roman" w:cs="Times New Roman"/>
      <w:b/>
      <w:bCs/>
      <w:sz w:val="23"/>
      <w:szCs w:val="23"/>
    </w:rPr>
  </w:style>
  <w:style w:type="paragraph" w:styleId="BodyText">
    <w:name w:val="Body Text"/>
    <w:basedOn w:val="Normal"/>
    <w:link w:val="BodyTextChar"/>
    <w:uiPriority w:val="1"/>
    <w:qFormat/>
    <w:rsid w:val="00720BD8"/>
    <w:rPr>
      <w:sz w:val="23"/>
      <w:szCs w:val="23"/>
    </w:rPr>
  </w:style>
  <w:style w:type="character" w:customStyle="1" w:styleId="BodyTextChar">
    <w:name w:val="Body Text Char"/>
    <w:basedOn w:val="DefaultParagraphFont"/>
    <w:link w:val="BodyText"/>
    <w:uiPriority w:val="1"/>
    <w:rsid w:val="00720BD8"/>
    <w:rPr>
      <w:rFonts w:ascii="Times New Roman" w:eastAsia="Times New Roman" w:hAnsi="Times New Roman" w:cs="Times New Roman"/>
      <w:sz w:val="23"/>
      <w:szCs w:val="23"/>
    </w:rPr>
  </w:style>
  <w:style w:type="paragraph" w:styleId="ListParagraph">
    <w:name w:val="List Paragraph"/>
    <w:basedOn w:val="Normal"/>
    <w:uiPriority w:val="34"/>
    <w:qFormat/>
    <w:rsid w:val="00720BD8"/>
    <w:pPr>
      <w:ind w:left="883" w:hanging="362"/>
    </w:pPr>
  </w:style>
  <w:style w:type="character" w:styleId="CommentReference">
    <w:name w:val="annotation reference"/>
    <w:basedOn w:val="DefaultParagraphFont"/>
    <w:uiPriority w:val="99"/>
    <w:unhideWhenUsed/>
    <w:rsid w:val="00720BD8"/>
    <w:rPr>
      <w:sz w:val="16"/>
      <w:szCs w:val="16"/>
    </w:rPr>
  </w:style>
  <w:style w:type="paragraph" w:styleId="CommentText">
    <w:name w:val="annotation text"/>
    <w:basedOn w:val="Normal"/>
    <w:link w:val="CommentTextChar"/>
    <w:uiPriority w:val="99"/>
    <w:unhideWhenUsed/>
    <w:rsid w:val="00720BD8"/>
    <w:rPr>
      <w:sz w:val="20"/>
      <w:szCs w:val="20"/>
    </w:rPr>
  </w:style>
  <w:style w:type="character" w:customStyle="1" w:styleId="CommentTextChar">
    <w:name w:val="Comment Text Char"/>
    <w:basedOn w:val="DefaultParagraphFont"/>
    <w:link w:val="CommentText"/>
    <w:uiPriority w:val="99"/>
    <w:rsid w:val="00720BD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20BD8"/>
    <w:rPr>
      <w:rFonts w:ascii="Tahoma" w:hAnsi="Tahoma" w:cs="Tahoma"/>
      <w:sz w:val="16"/>
      <w:szCs w:val="16"/>
    </w:rPr>
  </w:style>
  <w:style w:type="character" w:customStyle="1" w:styleId="BalloonTextChar">
    <w:name w:val="Balloon Text Char"/>
    <w:basedOn w:val="DefaultParagraphFont"/>
    <w:link w:val="BalloonText"/>
    <w:uiPriority w:val="99"/>
    <w:semiHidden/>
    <w:rsid w:val="00720BD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1333B6"/>
    <w:rPr>
      <w:b/>
      <w:bCs/>
    </w:rPr>
  </w:style>
  <w:style w:type="character" w:customStyle="1" w:styleId="CommentSubjectChar">
    <w:name w:val="Comment Subject Char"/>
    <w:basedOn w:val="CommentTextChar"/>
    <w:link w:val="CommentSubject"/>
    <w:uiPriority w:val="99"/>
    <w:semiHidden/>
    <w:rsid w:val="001333B6"/>
    <w:rPr>
      <w:rFonts w:ascii="Times New Roman" w:eastAsia="Times New Roman" w:hAnsi="Times New Roman" w:cs="Times New Roman"/>
      <w:b/>
      <w:bCs/>
      <w:sz w:val="20"/>
      <w:szCs w:val="20"/>
    </w:rPr>
  </w:style>
  <w:style w:type="paragraph" w:styleId="Revision">
    <w:name w:val="Revision"/>
    <w:hidden/>
    <w:uiPriority w:val="99"/>
    <w:semiHidden/>
    <w:rsid w:val="00814EC3"/>
    <w:pPr>
      <w:spacing w:after="0" w:line="240" w:lineRule="auto"/>
    </w:pPr>
    <w:rPr>
      <w:rFonts w:ascii="Times New Roman" w:eastAsia="Times New Roman" w:hAnsi="Times New Roman" w:cs="Times New Roman"/>
    </w:rPr>
  </w:style>
  <w:style w:type="paragraph" w:customStyle="1" w:styleId="Default">
    <w:name w:val="Default"/>
    <w:rsid w:val="005D3E3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D3E3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2"/>
    <w:next w:val="Normal"/>
    <w:link w:val="TitleChar"/>
    <w:qFormat/>
    <w:rsid w:val="00572623"/>
    <w:pPr>
      <w:keepNext/>
      <w:widowControl/>
      <w:autoSpaceDE/>
      <w:autoSpaceDN/>
      <w:spacing w:after="240"/>
      <w:ind w:left="360"/>
      <w:jc w:val="center"/>
    </w:pPr>
    <w:rPr>
      <w:bCs w:val="0"/>
      <w:iCs/>
      <w:sz w:val="24"/>
      <w:szCs w:val="24"/>
    </w:rPr>
  </w:style>
  <w:style w:type="character" w:customStyle="1" w:styleId="TitleChar">
    <w:name w:val="Title Char"/>
    <w:basedOn w:val="DefaultParagraphFont"/>
    <w:link w:val="Title"/>
    <w:rsid w:val="00572623"/>
    <w:rPr>
      <w:rFonts w:ascii="Times New Roman" w:eastAsia="Times New Roman" w:hAnsi="Times New Roman" w:cs="Times New Roman"/>
      <w:b/>
      <w:iCs/>
      <w:sz w:val="24"/>
      <w:szCs w:val="24"/>
    </w:rPr>
  </w:style>
  <w:style w:type="character" w:styleId="Hyperlink">
    <w:name w:val="Hyperlink"/>
    <w:rsid w:val="00572623"/>
    <w:rPr>
      <w:color w:val="0000FF"/>
      <w:u w:val="single"/>
    </w:rPr>
  </w:style>
  <w:style w:type="character" w:customStyle="1" w:styleId="UnresolvedMention1">
    <w:name w:val="Unresolved Mention1"/>
    <w:basedOn w:val="DefaultParagraphFont"/>
    <w:uiPriority w:val="99"/>
    <w:semiHidden/>
    <w:unhideWhenUsed/>
    <w:rsid w:val="00723A7D"/>
    <w:rPr>
      <w:color w:val="605E5C"/>
      <w:shd w:val="clear" w:color="auto" w:fill="E1DFDD"/>
    </w:rPr>
  </w:style>
  <w:style w:type="character" w:customStyle="1" w:styleId="highlight">
    <w:name w:val="highlight"/>
    <w:basedOn w:val="DefaultParagraphFont"/>
    <w:rsid w:val="003228E8"/>
  </w:style>
  <w:style w:type="paragraph" w:styleId="BodyTextIndent">
    <w:name w:val="Body Text Indent"/>
    <w:basedOn w:val="Normal"/>
    <w:link w:val="BodyTextIndentChar"/>
    <w:uiPriority w:val="99"/>
    <w:semiHidden/>
    <w:unhideWhenUsed/>
    <w:rsid w:val="00784FFD"/>
    <w:pPr>
      <w:spacing w:after="120"/>
      <w:ind w:left="360"/>
    </w:pPr>
  </w:style>
  <w:style w:type="character" w:customStyle="1" w:styleId="BodyTextIndentChar">
    <w:name w:val="Body Text Indent Char"/>
    <w:basedOn w:val="DefaultParagraphFont"/>
    <w:link w:val="BodyTextIndent"/>
    <w:uiPriority w:val="99"/>
    <w:semiHidden/>
    <w:rsid w:val="00784FFD"/>
    <w:rPr>
      <w:rFonts w:ascii="Times New Roman" w:eastAsia="Times New Roman" w:hAnsi="Times New Roman" w:cs="Times New Roman"/>
    </w:rPr>
  </w:style>
  <w:style w:type="paragraph" w:customStyle="1" w:styleId="Style1">
    <w:name w:val="Style1"/>
    <w:basedOn w:val="Heading4"/>
    <w:autoRedefine/>
    <w:rsid w:val="00784FFD"/>
    <w:pPr>
      <w:keepLines w:val="0"/>
      <w:widowControl/>
      <w:autoSpaceDE/>
      <w:autoSpaceDN/>
      <w:spacing w:before="240" w:after="60"/>
      <w:ind w:left="360"/>
      <w:jc w:val="center"/>
    </w:pPr>
    <w:rPr>
      <w:rFonts w:ascii="Garamond" w:eastAsia="Times New Roman" w:hAnsi="Garamond" w:cs="Times New Roman"/>
      <w:bCs w:val="0"/>
      <w:iCs w:val="0"/>
      <w:color w:val="auto"/>
      <w:sz w:val="36"/>
      <w:szCs w:val="28"/>
    </w:rPr>
  </w:style>
  <w:style w:type="character" w:customStyle="1" w:styleId="Heading4Char">
    <w:name w:val="Heading 4 Char"/>
    <w:basedOn w:val="DefaultParagraphFont"/>
    <w:link w:val="Heading4"/>
    <w:uiPriority w:val="9"/>
    <w:semiHidden/>
    <w:rsid w:val="00784FFD"/>
    <w:rPr>
      <w:rFonts w:asciiTheme="majorHAnsi" w:eastAsiaTheme="majorEastAsia" w:hAnsiTheme="majorHAnsi" w:cstheme="majorBidi"/>
      <w:b/>
      <w:bCs/>
      <w:i/>
      <w:iCs/>
      <w:color w:val="4F81BD" w:themeColor="accent1"/>
    </w:rPr>
  </w:style>
  <w:style w:type="character" w:customStyle="1" w:styleId="UnresolvedMention2">
    <w:name w:val="Unresolved Mention2"/>
    <w:basedOn w:val="DefaultParagraphFont"/>
    <w:uiPriority w:val="99"/>
    <w:semiHidden/>
    <w:unhideWhenUsed/>
    <w:rsid w:val="008D35C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BD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720BD8"/>
    <w:pPr>
      <w:spacing w:before="90"/>
      <w:ind w:left="547" w:hanging="366"/>
      <w:outlineLvl w:val="0"/>
    </w:pPr>
    <w:rPr>
      <w:b/>
      <w:bCs/>
      <w:sz w:val="24"/>
      <w:szCs w:val="24"/>
    </w:rPr>
  </w:style>
  <w:style w:type="paragraph" w:styleId="Heading2">
    <w:name w:val="heading 2"/>
    <w:basedOn w:val="Normal"/>
    <w:link w:val="Heading2Char"/>
    <w:uiPriority w:val="9"/>
    <w:unhideWhenUsed/>
    <w:qFormat/>
    <w:rsid w:val="00720BD8"/>
    <w:pPr>
      <w:ind w:left="256"/>
      <w:outlineLvl w:val="1"/>
    </w:pPr>
    <w:rPr>
      <w:b/>
      <w:bCs/>
      <w:sz w:val="23"/>
      <w:szCs w:val="23"/>
    </w:rPr>
  </w:style>
  <w:style w:type="paragraph" w:styleId="Heading4">
    <w:name w:val="heading 4"/>
    <w:basedOn w:val="Normal"/>
    <w:next w:val="Normal"/>
    <w:link w:val="Heading4Char"/>
    <w:uiPriority w:val="9"/>
    <w:semiHidden/>
    <w:unhideWhenUsed/>
    <w:qFormat/>
    <w:rsid w:val="00784FF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BD8"/>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720BD8"/>
    <w:rPr>
      <w:rFonts w:ascii="Times New Roman" w:eastAsia="Times New Roman" w:hAnsi="Times New Roman" w:cs="Times New Roman"/>
      <w:b/>
      <w:bCs/>
      <w:sz w:val="23"/>
      <w:szCs w:val="23"/>
    </w:rPr>
  </w:style>
  <w:style w:type="paragraph" w:styleId="BodyText">
    <w:name w:val="Body Text"/>
    <w:basedOn w:val="Normal"/>
    <w:link w:val="BodyTextChar"/>
    <w:uiPriority w:val="1"/>
    <w:qFormat/>
    <w:rsid w:val="00720BD8"/>
    <w:rPr>
      <w:sz w:val="23"/>
      <w:szCs w:val="23"/>
    </w:rPr>
  </w:style>
  <w:style w:type="character" w:customStyle="1" w:styleId="BodyTextChar">
    <w:name w:val="Body Text Char"/>
    <w:basedOn w:val="DefaultParagraphFont"/>
    <w:link w:val="BodyText"/>
    <w:uiPriority w:val="1"/>
    <w:rsid w:val="00720BD8"/>
    <w:rPr>
      <w:rFonts w:ascii="Times New Roman" w:eastAsia="Times New Roman" w:hAnsi="Times New Roman" w:cs="Times New Roman"/>
      <w:sz w:val="23"/>
      <w:szCs w:val="23"/>
    </w:rPr>
  </w:style>
  <w:style w:type="paragraph" w:styleId="ListParagraph">
    <w:name w:val="List Paragraph"/>
    <w:basedOn w:val="Normal"/>
    <w:uiPriority w:val="34"/>
    <w:qFormat/>
    <w:rsid w:val="00720BD8"/>
    <w:pPr>
      <w:ind w:left="883" w:hanging="362"/>
    </w:pPr>
  </w:style>
  <w:style w:type="character" w:styleId="CommentReference">
    <w:name w:val="annotation reference"/>
    <w:basedOn w:val="DefaultParagraphFont"/>
    <w:uiPriority w:val="99"/>
    <w:unhideWhenUsed/>
    <w:rsid w:val="00720BD8"/>
    <w:rPr>
      <w:sz w:val="16"/>
      <w:szCs w:val="16"/>
    </w:rPr>
  </w:style>
  <w:style w:type="paragraph" w:styleId="CommentText">
    <w:name w:val="annotation text"/>
    <w:basedOn w:val="Normal"/>
    <w:link w:val="CommentTextChar"/>
    <w:uiPriority w:val="99"/>
    <w:unhideWhenUsed/>
    <w:rsid w:val="00720BD8"/>
    <w:rPr>
      <w:sz w:val="20"/>
      <w:szCs w:val="20"/>
    </w:rPr>
  </w:style>
  <w:style w:type="character" w:customStyle="1" w:styleId="CommentTextChar">
    <w:name w:val="Comment Text Char"/>
    <w:basedOn w:val="DefaultParagraphFont"/>
    <w:link w:val="CommentText"/>
    <w:uiPriority w:val="99"/>
    <w:rsid w:val="00720BD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20BD8"/>
    <w:rPr>
      <w:rFonts w:ascii="Tahoma" w:hAnsi="Tahoma" w:cs="Tahoma"/>
      <w:sz w:val="16"/>
      <w:szCs w:val="16"/>
    </w:rPr>
  </w:style>
  <w:style w:type="character" w:customStyle="1" w:styleId="BalloonTextChar">
    <w:name w:val="Balloon Text Char"/>
    <w:basedOn w:val="DefaultParagraphFont"/>
    <w:link w:val="BalloonText"/>
    <w:uiPriority w:val="99"/>
    <w:semiHidden/>
    <w:rsid w:val="00720BD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1333B6"/>
    <w:rPr>
      <w:b/>
      <w:bCs/>
    </w:rPr>
  </w:style>
  <w:style w:type="character" w:customStyle="1" w:styleId="CommentSubjectChar">
    <w:name w:val="Comment Subject Char"/>
    <w:basedOn w:val="CommentTextChar"/>
    <w:link w:val="CommentSubject"/>
    <w:uiPriority w:val="99"/>
    <w:semiHidden/>
    <w:rsid w:val="001333B6"/>
    <w:rPr>
      <w:rFonts w:ascii="Times New Roman" w:eastAsia="Times New Roman" w:hAnsi="Times New Roman" w:cs="Times New Roman"/>
      <w:b/>
      <w:bCs/>
      <w:sz w:val="20"/>
      <w:szCs w:val="20"/>
    </w:rPr>
  </w:style>
  <w:style w:type="paragraph" w:styleId="Revision">
    <w:name w:val="Revision"/>
    <w:hidden/>
    <w:uiPriority w:val="99"/>
    <w:semiHidden/>
    <w:rsid w:val="00814EC3"/>
    <w:pPr>
      <w:spacing w:after="0" w:line="240" w:lineRule="auto"/>
    </w:pPr>
    <w:rPr>
      <w:rFonts w:ascii="Times New Roman" w:eastAsia="Times New Roman" w:hAnsi="Times New Roman" w:cs="Times New Roman"/>
    </w:rPr>
  </w:style>
  <w:style w:type="paragraph" w:customStyle="1" w:styleId="Default">
    <w:name w:val="Default"/>
    <w:rsid w:val="005D3E3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D3E3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2"/>
    <w:next w:val="Normal"/>
    <w:link w:val="TitleChar"/>
    <w:qFormat/>
    <w:rsid w:val="00572623"/>
    <w:pPr>
      <w:keepNext/>
      <w:widowControl/>
      <w:autoSpaceDE/>
      <w:autoSpaceDN/>
      <w:spacing w:after="240"/>
      <w:ind w:left="360"/>
      <w:jc w:val="center"/>
    </w:pPr>
    <w:rPr>
      <w:bCs w:val="0"/>
      <w:iCs/>
      <w:sz w:val="24"/>
      <w:szCs w:val="24"/>
    </w:rPr>
  </w:style>
  <w:style w:type="character" w:customStyle="1" w:styleId="TitleChar">
    <w:name w:val="Title Char"/>
    <w:basedOn w:val="DefaultParagraphFont"/>
    <w:link w:val="Title"/>
    <w:rsid w:val="00572623"/>
    <w:rPr>
      <w:rFonts w:ascii="Times New Roman" w:eastAsia="Times New Roman" w:hAnsi="Times New Roman" w:cs="Times New Roman"/>
      <w:b/>
      <w:iCs/>
      <w:sz w:val="24"/>
      <w:szCs w:val="24"/>
    </w:rPr>
  </w:style>
  <w:style w:type="character" w:styleId="Hyperlink">
    <w:name w:val="Hyperlink"/>
    <w:rsid w:val="00572623"/>
    <w:rPr>
      <w:color w:val="0000FF"/>
      <w:u w:val="single"/>
    </w:rPr>
  </w:style>
  <w:style w:type="character" w:customStyle="1" w:styleId="UnresolvedMention1">
    <w:name w:val="Unresolved Mention1"/>
    <w:basedOn w:val="DefaultParagraphFont"/>
    <w:uiPriority w:val="99"/>
    <w:semiHidden/>
    <w:unhideWhenUsed/>
    <w:rsid w:val="00723A7D"/>
    <w:rPr>
      <w:color w:val="605E5C"/>
      <w:shd w:val="clear" w:color="auto" w:fill="E1DFDD"/>
    </w:rPr>
  </w:style>
  <w:style w:type="character" w:customStyle="1" w:styleId="highlight">
    <w:name w:val="highlight"/>
    <w:basedOn w:val="DefaultParagraphFont"/>
    <w:rsid w:val="003228E8"/>
  </w:style>
  <w:style w:type="paragraph" w:styleId="BodyTextIndent">
    <w:name w:val="Body Text Indent"/>
    <w:basedOn w:val="Normal"/>
    <w:link w:val="BodyTextIndentChar"/>
    <w:uiPriority w:val="99"/>
    <w:semiHidden/>
    <w:unhideWhenUsed/>
    <w:rsid w:val="00784FFD"/>
    <w:pPr>
      <w:spacing w:after="120"/>
      <w:ind w:left="360"/>
    </w:pPr>
  </w:style>
  <w:style w:type="character" w:customStyle="1" w:styleId="BodyTextIndentChar">
    <w:name w:val="Body Text Indent Char"/>
    <w:basedOn w:val="DefaultParagraphFont"/>
    <w:link w:val="BodyTextIndent"/>
    <w:uiPriority w:val="99"/>
    <w:semiHidden/>
    <w:rsid w:val="00784FFD"/>
    <w:rPr>
      <w:rFonts w:ascii="Times New Roman" w:eastAsia="Times New Roman" w:hAnsi="Times New Roman" w:cs="Times New Roman"/>
    </w:rPr>
  </w:style>
  <w:style w:type="paragraph" w:customStyle="1" w:styleId="Style1">
    <w:name w:val="Style1"/>
    <w:basedOn w:val="Heading4"/>
    <w:autoRedefine/>
    <w:rsid w:val="00784FFD"/>
    <w:pPr>
      <w:keepLines w:val="0"/>
      <w:widowControl/>
      <w:autoSpaceDE/>
      <w:autoSpaceDN/>
      <w:spacing w:before="240" w:after="60"/>
      <w:ind w:left="360"/>
      <w:jc w:val="center"/>
    </w:pPr>
    <w:rPr>
      <w:rFonts w:ascii="Garamond" w:eastAsia="Times New Roman" w:hAnsi="Garamond" w:cs="Times New Roman"/>
      <w:bCs w:val="0"/>
      <w:iCs w:val="0"/>
      <w:color w:val="auto"/>
      <w:sz w:val="36"/>
      <w:szCs w:val="28"/>
    </w:rPr>
  </w:style>
  <w:style w:type="character" w:customStyle="1" w:styleId="Heading4Char">
    <w:name w:val="Heading 4 Char"/>
    <w:basedOn w:val="DefaultParagraphFont"/>
    <w:link w:val="Heading4"/>
    <w:uiPriority w:val="9"/>
    <w:semiHidden/>
    <w:rsid w:val="00784FFD"/>
    <w:rPr>
      <w:rFonts w:asciiTheme="majorHAnsi" w:eastAsiaTheme="majorEastAsia" w:hAnsiTheme="majorHAnsi" w:cstheme="majorBidi"/>
      <w:b/>
      <w:bCs/>
      <w:i/>
      <w:iCs/>
      <w:color w:val="4F81BD" w:themeColor="accent1"/>
    </w:rPr>
  </w:style>
  <w:style w:type="character" w:customStyle="1" w:styleId="UnresolvedMention2">
    <w:name w:val="Unresolved Mention2"/>
    <w:basedOn w:val="DefaultParagraphFont"/>
    <w:uiPriority w:val="99"/>
    <w:semiHidden/>
    <w:unhideWhenUsed/>
    <w:rsid w:val="008D35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284870">
      <w:bodyDiv w:val="1"/>
      <w:marLeft w:val="0"/>
      <w:marRight w:val="0"/>
      <w:marTop w:val="0"/>
      <w:marBottom w:val="0"/>
      <w:divBdr>
        <w:top w:val="none" w:sz="0" w:space="0" w:color="auto"/>
        <w:left w:val="none" w:sz="0" w:space="0" w:color="auto"/>
        <w:bottom w:val="none" w:sz="0" w:space="0" w:color="auto"/>
        <w:right w:val="none" w:sz="0" w:space="0" w:color="auto"/>
      </w:divBdr>
    </w:div>
    <w:div w:id="745609560">
      <w:bodyDiv w:val="1"/>
      <w:marLeft w:val="0"/>
      <w:marRight w:val="0"/>
      <w:marTop w:val="0"/>
      <w:marBottom w:val="0"/>
      <w:divBdr>
        <w:top w:val="none" w:sz="0" w:space="0" w:color="auto"/>
        <w:left w:val="none" w:sz="0" w:space="0" w:color="auto"/>
        <w:bottom w:val="none" w:sz="0" w:space="0" w:color="auto"/>
        <w:right w:val="none" w:sz="0" w:space="0" w:color="auto"/>
      </w:divBdr>
    </w:div>
    <w:div w:id="1510287946">
      <w:bodyDiv w:val="1"/>
      <w:marLeft w:val="0"/>
      <w:marRight w:val="0"/>
      <w:marTop w:val="0"/>
      <w:marBottom w:val="0"/>
      <w:divBdr>
        <w:top w:val="none" w:sz="0" w:space="0" w:color="auto"/>
        <w:left w:val="none" w:sz="0" w:space="0" w:color="auto"/>
        <w:bottom w:val="none" w:sz="0" w:space="0" w:color="auto"/>
        <w:right w:val="none" w:sz="0" w:space="0" w:color="auto"/>
      </w:divBdr>
    </w:div>
    <w:div w:id="191628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eohhs-provider-rates-order/downlo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mailto:Jacqueline.Fratus@mas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era.Ramamoorthy@state.ma.us" TargetMode="External"/><Relationship Id="rId5" Type="http://schemas.openxmlformats.org/officeDocument/2006/relationships/settings" Target="settings.xml"/><Relationship Id="rId10" Type="http://schemas.openxmlformats.org/officeDocument/2006/relationships/hyperlink" Target="mailto:ehs-regulations@state.ma.us" TargetMode="External"/><Relationship Id="rId4" Type="http://schemas.microsoft.com/office/2007/relationships/stylesWithEffects" Target="stylesWithEffects.xml"/><Relationship Id="rId9" Type="http://schemas.openxmlformats.org/officeDocument/2006/relationships/hyperlink" Target="https://www.mass.gov/executive-orders/no-591-declaration-of-a-state-of-emergency-to-respond-to-covid-1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0F6A4-3A4F-44B0-ABE8-0DA656B2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3069</Words>
  <Characters>17498</Characters>
  <Application>Microsoft Office Word</Application>
  <DocSecurity>4</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20526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Terpelets, Pavel (EHS)</dc:creator>
  <cp:lastModifiedBy>Administrator</cp:lastModifiedBy>
  <cp:revision>2</cp:revision>
  <dcterms:created xsi:type="dcterms:W3CDTF">2020-04-16T17:55:00Z</dcterms:created>
  <dcterms:modified xsi:type="dcterms:W3CDTF">2020-04-16T17:55:00Z</dcterms:modified>
</cp:coreProperties>
</file>