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41A522BA"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810DB8">
        <w:rPr>
          <w:rFonts w:eastAsia="Calibri"/>
          <w:b/>
        </w:rPr>
        <w:t>35</w:t>
      </w:r>
    </w:p>
    <w:p w14:paraId="037C9D0B" w14:textId="6549ADAB" w:rsidR="00F3478B" w:rsidRPr="00E421A7" w:rsidRDefault="00F3478B" w:rsidP="00E04015">
      <w:pPr>
        <w:jc w:val="center"/>
        <w:rPr>
          <w:rFonts w:eastAsia="Calibri"/>
          <w:b/>
        </w:rPr>
      </w:pPr>
      <w:r w:rsidRPr="00E421A7">
        <w:rPr>
          <w:rFonts w:eastAsia="Calibri"/>
          <w:b/>
        </w:rPr>
        <w:t>101 CMR 359</w:t>
      </w:r>
      <w:r w:rsidR="009E5D95" w:rsidRPr="00E421A7">
        <w:rPr>
          <w:rFonts w:eastAsia="Calibri"/>
          <w:b/>
        </w:rPr>
        <w:t>.00</w:t>
      </w:r>
      <w:r w:rsidRPr="00E421A7">
        <w:rPr>
          <w:rFonts w:eastAsia="Calibri"/>
          <w:b/>
        </w:rPr>
        <w:t>: Rate</w:t>
      </w:r>
      <w:r w:rsidR="00BB1F6B">
        <w:rPr>
          <w:rFonts w:eastAsia="Calibri"/>
          <w:b/>
        </w:rPr>
        <w:t>s</w:t>
      </w:r>
      <w:r w:rsidRPr="00E421A7">
        <w:rPr>
          <w:rFonts w:eastAsia="Calibri"/>
          <w:b/>
        </w:rPr>
        <w:t xml:space="preserve"> for Home and Community Based Services Waivers</w:t>
      </w:r>
    </w:p>
    <w:p w14:paraId="5ED60B9A" w14:textId="55E4FD60" w:rsidR="00A81BB0" w:rsidRDefault="00A6519A" w:rsidP="005F0B5B">
      <w:pPr>
        <w:pStyle w:val="Title"/>
      </w:pPr>
      <w:r>
        <w:t xml:space="preserve">Rate </w:t>
      </w:r>
      <w:r w:rsidR="00F3478B">
        <w:t>Adjustment</w:t>
      </w:r>
      <w:r w:rsidR="00BF4E2D">
        <w:t xml:space="preserve"> </w:t>
      </w:r>
      <w:r w:rsidR="00C41313">
        <w:t>Applicable to</w:t>
      </w:r>
      <w:r w:rsidR="00E518D7">
        <w:t xml:space="preserve"> Certain </w:t>
      </w:r>
      <w:r w:rsidR="009C4BF3">
        <w:t>Acquired Brain Injury (ABI) and Moving Forward Plan (MFP) Waiver Services</w:t>
      </w:r>
      <w:r w:rsidR="00260E3B" w:rsidRPr="005F0B5B">
        <w:t xml:space="preserve"> </w:t>
      </w:r>
      <w:r w:rsidR="00C41313">
        <w:t xml:space="preserve">to </w:t>
      </w:r>
      <w:r>
        <w:t xml:space="preserve">Address </w:t>
      </w:r>
      <w:r w:rsidR="00F3478B">
        <w:t xml:space="preserve">Costs Associated with </w:t>
      </w:r>
      <w:r w:rsidR="00260E3B" w:rsidRPr="005F0B5B">
        <w:t xml:space="preserve">Coronavirus </w:t>
      </w:r>
      <w:r>
        <w:t xml:space="preserve">Disease </w:t>
      </w:r>
      <w:r w:rsidR="00260E3B" w:rsidRPr="005F0B5B">
        <w:t>(COVID-19)</w:t>
      </w:r>
      <w:r w:rsidR="005F0B5B" w:rsidRPr="005F0B5B">
        <w:t xml:space="preserve"> </w:t>
      </w:r>
    </w:p>
    <w:p w14:paraId="52EA088D" w14:textId="3C1F7A59" w:rsidR="00043F54" w:rsidRPr="00642648" w:rsidRDefault="00043F54" w:rsidP="00043F54">
      <w:pPr>
        <w:jc w:val="center"/>
        <w:rPr>
          <w:b/>
          <w:bCs/>
        </w:rPr>
      </w:pPr>
      <w:r w:rsidRPr="00642648">
        <w:rPr>
          <w:b/>
          <w:bCs/>
        </w:rPr>
        <w:t>Effective</w:t>
      </w:r>
      <w:r w:rsidR="00AD31A1" w:rsidRPr="00642648">
        <w:rPr>
          <w:b/>
          <w:bCs/>
        </w:rPr>
        <w:t xml:space="preserve"> April 23, 2020</w:t>
      </w:r>
    </w:p>
    <w:p w14:paraId="2AB6EB16" w14:textId="7959A348" w:rsidR="008C24D3" w:rsidRPr="005F0B5B" w:rsidRDefault="00C41313" w:rsidP="005F0B5B">
      <w:pPr>
        <w:pStyle w:val="Title"/>
      </w:pPr>
      <w:r>
        <w:t>Purpose</w:t>
      </w:r>
      <w:r w:rsidR="00486F52">
        <w:t>, Scope</w:t>
      </w:r>
      <w:r>
        <w:t xml:space="preserve"> and Effective Period</w:t>
      </w:r>
    </w:p>
    <w:p w14:paraId="466575B2" w14:textId="6F6864EB" w:rsidR="008C24D3" w:rsidRPr="00E40780" w:rsidRDefault="00E518D7" w:rsidP="00E40780">
      <w:r>
        <w:t xml:space="preserve">The Executive Office of Health and Human Services (EOHHS) is issuing this </w:t>
      </w:r>
      <w:r w:rsidR="00F3478B">
        <w:t xml:space="preserve">administrative </w:t>
      </w:r>
      <w:r>
        <w:t xml:space="preserve">bulletin pursuant to the authority of </w:t>
      </w:r>
      <w:hyperlink r:id="rId10" w:history="1">
        <w:r w:rsidR="00C746B6" w:rsidRPr="00EA7973">
          <w:rPr>
            <w:rStyle w:val="Hyperlink"/>
          </w:rPr>
          <w:t xml:space="preserve">COVID-19 Order </w:t>
        </w:r>
        <w:r w:rsidR="00C90F27" w:rsidRPr="00EA7973">
          <w:rPr>
            <w:rStyle w:val="Hyperlink"/>
          </w:rPr>
          <w:t xml:space="preserve">No. </w:t>
        </w:r>
        <w:r w:rsidR="00C746B6" w:rsidRPr="00EA7973">
          <w:rPr>
            <w:rStyle w:val="Hyperlink"/>
          </w:rPr>
          <w:t>20</w:t>
        </w:r>
      </w:hyperlink>
      <w:r w:rsidRPr="00C746B6">
        <w:t xml:space="preserve">: </w:t>
      </w:r>
      <w:r w:rsidR="005A7D43" w:rsidRPr="00C746B6">
        <w:rPr>
          <w:bCs/>
          <w:i/>
          <w:kern w:val="36"/>
        </w:rPr>
        <w:t>Order</w:t>
      </w:r>
      <w:r w:rsidR="005A7D43">
        <w:rPr>
          <w:bCs/>
          <w:i/>
          <w:kern w:val="36"/>
        </w:rPr>
        <w:t xml:space="preserve"> Authorizing the Executive Office of Health and Human Services to Adjust Essential Provider Rates During the COVI</w:t>
      </w:r>
      <w:r w:rsidR="00430732">
        <w:rPr>
          <w:bCs/>
          <w:i/>
          <w:kern w:val="36"/>
        </w:rPr>
        <w:t>D</w:t>
      </w:r>
      <w:r w:rsidR="005A7D43">
        <w:rPr>
          <w:bCs/>
          <w:i/>
          <w:kern w:val="36"/>
        </w:rPr>
        <w:t>-19 Public Health Emergency</w:t>
      </w:r>
      <w:r w:rsidR="00035F45">
        <w:rPr>
          <w:bCs/>
          <w:i/>
          <w:kern w:val="36"/>
        </w:rPr>
        <w:t xml:space="preserve"> </w:t>
      </w:r>
      <w:r w:rsidR="00035F45" w:rsidRPr="00BF4FD9">
        <w:rPr>
          <w:bCs/>
          <w:iCs/>
          <w:kern w:val="36"/>
        </w:rPr>
        <w:t>and</w:t>
      </w:r>
      <w:r w:rsidR="00035F45">
        <w:rPr>
          <w:bCs/>
          <w:i/>
          <w:kern w:val="36"/>
        </w:rPr>
        <w:t xml:space="preserve"> </w:t>
      </w:r>
      <w:hyperlink r:id="rId11" w:history="1">
        <w:r w:rsidR="00035F45" w:rsidRPr="008D3679">
          <w:rPr>
            <w:rStyle w:val="Hyperlink"/>
            <w:iCs/>
          </w:rPr>
          <w:t>Executive Order 591:</w:t>
        </w:r>
      </w:hyperlink>
      <w:r w:rsidR="00035F45">
        <w:rPr>
          <w:bCs/>
          <w:i/>
          <w:kern w:val="36"/>
        </w:rPr>
        <w:t xml:space="preserve"> Declaration of State of Emergency to Respond to COVID-19</w:t>
      </w:r>
      <w:r w:rsidR="008C24D3" w:rsidRPr="008C24D3">
        <w:t xml:space="preserve">. In light of the state of emergency declared in the Commonwealth due to COVID-19, </w:t>
      </w:r>
      <w:r>
        <w:t>EOHHS</w:t>
      </w:r>
      <w:r w:rsidR="00486F52">
        <w:t xml:space="preserve">, which administers the Massachusetts Medicaid program known as “MassHealth,” is </w:t>
      </w:r>
      <w:r w:rsidR="009E5D95">
        <w:t>temporarily adjusting</w:t>
      </w:r>
      <w:r w:rsidR="00486F52">
        <w:t xml:space="preserve"> rates </w:t>
      </w:r>
      <w:r w:rsidR="0007077F">
        <w:t>f</w:t>
      </w:r>
      <w:r w:rsidR="003014A3">
        <w:t xml:space="preserve">or certain </w:t>
      </w:r>
      <w:r w:rsidR="00486F52">
        <w:t xml:space="preserve">MassHealth covered </w:t>
      </w:r>
      <w:r w:rsidR="003014A3">
        <w:t>Acquired Brain Injury (ABI) and Moving Forward Plan (MFP) Waiver services for which rates are established in 101 CMR 359.00</w:t>
      </w:r>
      <w:r w:rsidR="00E40780">
        <w:t xml:space="preserve">: </w:t>
      </w:r>
      <w:r w:rsidR="00E40780" w:rsidRPr="00E40780">
        <w:rPr>
          <w:i/>
        </w:rPr>
        <w:t>Rates for Home and Community Based Services Waivers</w:t>
      </w:r>
      <w:r w:rsidR="00A85F2F">
        <w:t>, as further described in this bulletin</w:t>
      </w:r>
      <w:r w:rsidR="00486F52">
        <w:t xml:space="preserve">. If a rate is not being updated pursuant to this </w:t>
      </w:r>
      <w:r w:rsidR="00F3478B">
        <w:t xml:space="preserve">administrative </w:t>
      </w:r>
      <w:r w:rsidR="00486F52">
        <w:t xml:space="preserve">bulletin, the rate remains at the currently established rate. </w:t>
      </w:r>
      <w:r w:rsidR="008C24D3" w:rsidRPr="008C24D3">
        <w:t xml:space="preserve"> </w:t>
      </w:r>
    </w:p>
    <w:p w14:paraId="348B48DA" w14:textId="521C9233" w:rsidR="00486F52" w:rsidRDefault="008C24D3" w:rsidP="00486F52">
      <w:pPr>
        <w:rPr>
          <w:bCs/>
          <w:kern w:val="36"/>
        </w:rPr>
      </w:pPr>
      <w:r w:rsidRPr="008C24D3">
        <w:t>This</w:t>
      </w:r>
      <w:r w:rsidR="00F3478B">
        <w:t xml:space="preserve"> administrative</w:t>
      </w:r>
      <w:r w:rsidRPr="008C24D3">
        <w:t xml:space="preserve"> bulletin </w:t>
      </w:r>
      <w:r w:rsidR="00486F52">
        <w:t xml:space="preserve">is effective as of </w:t>
      </w:r>
      <w:r w:rsidR="00AD31A1">
        <w:t xml:space="preserve">April 23, 2020, </w:t>
      </w:r>
      <w:r w:rsidR="00486F52">
        <w:t xml:space="preserve">and </w:t>
      </w:r>
      <w:r w:rsidRPr="008C24D3">
        <w:t xml:space="preserve">shall </w:t>
      </w:r>
      <w:r w:rsidR="006B6736">
        <w:t xml:space="preserve">apply to dates of service April 1, 2020 through </w:t>
      </w:r>
      <w:r w:rsidR="00573539">
        <w:t>July 31</w:t>
      </w:r>
      <w:r w:rsidR="006B6736">
        <w:t>, 2020</w:t>
      </w:r>
      <w:r w:rsidR="00573539">
        <w:t>.</w:t>
      </w:r>
      <w:r w:rsidRPr="008C24D3">
        <w:rPr>
          <w:bCs/>
          <w:kern w:val="36"/>
        </w:rPr>
        <w:t xml:space="preserve"> </w:t>
      </w:r>
    </w:p>
    <w:p w14:paraId="3E7653CF" w14:textId="42DD6E27" w:rsidR="00486F52" w:rsidRPr="0093715D" w:rsidRDefault="00486F52" w:rsidP="00486F52">
      <w:r>
        <w:t xml:space="preserve">Disclaimer: This </w:t>
      </w:r>
      <w:r w:rsidR="00F3478B">
        <w:t xml:space="preserve">administrative </w:t>
      </w:r>
      <w:r w:rsidR="0096453F">
        <w:t>b</w:t>
      </w:r>
      <w:r>
        <w:t xml:space="preserve">ulletin is not authorization for a provider’s use of the </w:t>
      </w:r>
      <w:r w:rsidR="00F3478B">
        <w:t xml:space="preserve">adjusted </w:t>
      </w:r>
      <w:r>
        <w:t xml:space="preserve">rate or service. Authorization for the provision of, and billing and payment for, </w:t>
      </w:r>
      <w:r w:rsidR="0096453F">
        <w:t>ABI and MFP</w:t>
      </w:r>
      <w:r>
        <w:t xml:space="preserve"> Waiver services are</w:t>
      </w:r>
      <w:r w:rsidRPr="00E03B26">
        <w:t xml:space="preserve"> </w:t>
      </w:r>
      <w:r>
        <w:t>pursuant to the MassHealth H</w:t>
      </w:r>
      <w:r w:rsidR="0096453F">
        <w:t xml:space="preserve">ome- and </w:t>
      </w:r>
      <w:r>
        <w:t>C</w:t>
      </w:r>
      <w:r w:rsidR="0096453F">
        <w:t>ommunity-</w:t>
      </w:r>
      <w:r>
        <w:t>B</w:t>
      </w:r>
      <w:r w:rsidR="0096453F">
        <w:t xml:space="preserve">ased </w:t>
      </w:r>
      <w:r>
        <w:t>S</w:t>
      </w:r>
      <w:r w:rsidR="0096453F">
        <w:t>ervices</w:t>
      </w:r>
      <w:r>
        <w:t xml:space="preserve"> Waiver regulations at 130 CMR 630.000</w:t>
      </w:r>
      <w:r w:rsidRPr="00E03B26">
        <w:t>.</w:t>
      </w:r>
      <w:r>
        <w:t xml:space="preserve">  </w:t>
      </w:r>
    </w:p>
    <w:p w14:paraId="079A1DCF" w14:textId="77777777" w:rsidR="00486F52" w:rsidRDefault="00486F52" w:rsidP="00C41313">
      <w:pPr>
        <w:rPr>
          <w:bCs/>
          <w:kern w:val="36"/>
        </w:rPr>
      </w:pPr>
    </w:p>
    <w:p w14:paraId="651EE15C" w14:textId="77777777" w:rsidR="00C41313" w:rsidRPr="005F0B5B" w:rsidRDefault="00C41313" w:rsidP="00C41313">
      <w:pPr>
        <w:pStyle w:val="Title"/>
      </w:pPr>
      <w:r>
        <w:t>B</w:t>
      </w:r>
      <w:r w:rsidRPr="005F0B5B">
        <w:t>ackground</w:t>
      </w:r>
    </w:p>
    <w:p w14:paraId="260E2DA7" w14:textId="3CF20DCF" w:rsidR="002D0839" w:rsidRPr="002D0839" w:rsidRDefault="00F3478B" w:rsidP="002D0839">
      <w:bookmarkStart w:id="1" w:name="_Hlk37064412"/>
      <w:r>
        <w:t xml:space="preserve">The COVID-19 public health emergency has unexpectedly increased the need for certain Home and Community Based Services and has also made the delivery of these service more difficult and costly. Existing service rates do not contemplate these increased costs and changes in </w:t>
      </w:r>
      <w:r>
        <w:lastRenderedPageBreak/>
        <w:t>utilization patterns. Additionally, the COVID-19 public health emergency has also forced certain Home and Community Based Services providers of day programs to modify both the manner in which they deliver services and the hours and scope of these services</w:t>
      </w:r>
      <w:r w:rsidR="002D0839">
        <w:t>. T</w:t>
      </w:r>
      <w:r>
        <w:t xml:space="preserve">hese </w:t>
      </w:r>
      <w:r w:rsidR="002D0839">
        <w:t xml:space="preserve">changes in modality are </w:t>
      </w:r>
      <w:r>
        <w:t xml:space="preserve">not contemplated in the current rate methodologies and structures for these services. Accordingly, EOHHS is establishing adjusted rates as described below that address the </w:t>
      </w:r>
      <w:r w:rsidR="00EE4F54">
        <w:t>on-</w:t>
      </w:r>
      <w:r w:rsidR="007017ED">
        <w:t>going</w:t>
      </w:r>
      <w:r w:rsidR="00EE4F54">
        <w:t xml:space="preserve"> fixed costs, retention of staff and </w:t>
      </w:r>
      <w:r w:rsidR="00AD57C2">
        <w:t>the changes in</w:t>
      </w:r>
      <w:r>
        <w:t xml:space="preserve"> service modalities related to COVID-19 and to ensure the continued delivery of these critical services.  </w:t>
      </w:r>
      <w:bookmarkEnd w:id="1"/>
    </w:p>
    <w:p w14:paraId="30838219" w14:textId="19FF15E1" w:rsidR="00486F52" w:rsidRDefault="00F3478B" w:rsidP="00AD31A1">
      <w:pPr>
        <w:pStyle w:val="Heading2"/>
        <w:ind w:left="720"/>
        <w:jc w:val="left"/>
      </w:pPr>
      <w:r>
        <w:t>Adjusted</w:t>
      </w:r>
      <w:r w:rsidR="00486F52">
        <w:t xml:space="preserve"> Rates for Certain </w:t>
      </w:r>
      <w:r w:rsidR="002738E0">
        <w:t>ABI and MFP</w:t>
      </w:r>
      <w:r w:rsidR="00486F52">
        <w:t xml:space="preserve"> Waiver Services </w:t>
      </w:r>
      <w:r w:rsidR="00E518D7">
        <w:t xml:space="preserve">to Address Costs Associated with </w:t>
      </w:r>
      <w:r w:rsidR="008C24D3" w:rsidRPr="008C24D3">
        <w:t>COVID-19</w:t>
      </w:r>
    </w:p>
    <w:tbl>
      <w:tblPr>
        <w:tblStyle w:val="TableGrid"/>
        <w:tblW w:w="10584" w:type="dxa"/>
        <w:tblInd w:w="-275" w:type="dxa"/>
        <w:tblLook w:val="04A0" w:firstRow="1" w:lastRow="0" w:firstColumn="1" w:lastColumn="0" w:noHBand="0" w:noVBand="1"/>
      </w:tblPr>
      <w:tblGrid>
        <w:gridCol w:w="1611"/>
        <w:gridCol w:w="982"/>
        <w:gridCol w:w="1587"/>
        <w:gridCol w:w="2522"/>
        <w:gridCol w:w="2186"/>
        <w:gridCol w:w="1696"/>
      </w:tblGrid>
      <w:tr w:rsidR="0007077F" w:rsidRPr="00BD07E4" w14:paraId="38649439" w14:textId="77777777" w:rsidTr="00E421A7">
        <w:trPr>
          <w:tblHeader/>
        </w:trPr>
        <w:tc>
          <w:tcPr>
            <w:tcW w:w="1611" w:type="dxa"/>
            <w:vAlign w:val="center"/>
          </w:tcPr>
          <w:p w14:paraId="6F76CEF2" w14:textId="7B8CB6BC" w:rsidR="0007077F" w:rsidRPr="00BD07E4" w:rsidRDefault="0007077F" w:rsidP="003F7407">
            <w:pPr>
              <w:ind w:left="0"/>
              <w:jc w:val="center"/>
              <w:rPr>
                <w:b/>
                <w:bCs/>
              </w:rPr>
            </w:pPr>
            <w:r w:rsidRPr="00BD07E4">
              <w:rPr>
                <w:b/>
                <w:bCs/>
              </w:rPr>
              <w:t>Service Description</w:t>
            </w:r>
          </w:p>
        </w:tc>
        <w:tc>
          <w:tcPr>
            <w:tcW w:w="982" w:type="dxa"/>
            <w:vAlign w:val="center"/>
          </w:tcPr>
          <w:p w14:paraId="4FDA5F98" w14:textId="5351D4BA" w:rsidR="0007077F" w:rsidRPr="00BD07E4" w:rsidRDefault="0007077F" w:rsidP="003F7407">
            <w:pPr>
              <w:ind w:left="0"/>
              <w:jc w:val="center"/>
              <w:rPr>
                <w:b/>
                <w:bCs/>
              </w:rPr>
            </w:pPr>
            <w:r w:rsidRPr="00BD07E4">
              <w:rPr>
                <w:b/>
                <w:bCs/>
              </w:rPr>
              <w:t>Code</w:t>
            </w:r>
          </w:p>
        </w:tc>
        <w:tc>
          <w:tcPr>
            <w:tcW w:w="1587" w:type="dxa"/>
            <w:vAlign w:val="center"/>
          </w:tcPr>
          <w:p w14:paraId="07923884" w14:textId="77777777" w:rsidR="0007077F" w:rsidRPr="00BD07E4" w:rsidRDefault="0007077F" w:rsidP="003F7407">
            <w:pPr>
              <w:ind w:left="0"/>
              <w:jc w:val="center"/>
              <w:rPr>
                <w:b/>
                <w:bCs/>
              </w:rPr>
            </w:pPr>
            <w:r w:rsidRPr="00BD07E4">
              <w:rPr>
                <w:b/>
                <w:bCs/>
              </w:rPr>
              <w:t>Modifier</w:t>
            </w:r>
          </w:p>
        </w:tc>
        <w:tc>
          <w:tcPr>
            <w:tcW w:w="2522" w:type="dxa"/>
            <w:vAlign w:val="center"/>
          </w:tcPr>
          <w:p w14:paraId="0F8EE1D2" w14:textId="473D37D1" w:rsidR="0007077F" w:rsidRPr="00DE7A5C" w:rsidRDefault="0007077F" w:rsidP="003F7407">
            <w:pPr>
              <w:ind w:left="0"/>
              <w:jc w:val="center"/>
              <w:rPr>
                <w:b/>
                <w:bCs/>
              </w:rPr>
            </w:pPr>
            <w:r w:rsidRPr="00DE7A5C">
              <w:rPr>
                <w:b/>
                <w:bCs/>
              </w:rPr>
              <w:t>Agency Rate</w:t>
            </w:r>
          </w:p>
        </w:tc>
        <w:tc>
          <w:tcPr>
            <w:tcW w:w="2186" w:type="dxa"/>
            <w:vAlign w:val="center"/>
          </w:tcPr>
          <w:p w14:paraId="7779DBCD" w14:textId="34785E78" w:rsidR="0007077F" w:rsidRPr="00DE7A5C" w:rsidRDefault="0007077F" w:rsidP="003F7407">
            <w:pPr>
              <w:ind w:left="0"/>
              <w:jc w:val="center"/>
              <w:rPr>
                <w:b/>
                <w:bCs/>
              </w:rPr>
            </w:pPr>
            <w:r w:rsidRPr="00DE7A5C">
              <w:rPr>
                <w:b/>
                <w:bCs/>
              </w:rPr>
              <w:t>Individual Provider Rate</w:t>
            </w:r>
          </w:p>
        </w:tc>
        <w:tc>
          <w:tcPr>
            <w:tcW w:w="1696" w:type="dxa"/>
            <w:vAlign w:val="center"/>
          </w:tcPr>
          <w:p w14:paraId="18F22F40" w14:textId="77777777" w:rsidR="0007077F" w:rsidRPr="00BD07E4" w:rsidRDefault="0007077F" w:rsidP="003F7407">
            <w:pPr>
              <w:ind w:left="0"/>
              <w:jc w:val="center"/>
              <w:rPr>
                <w:b/>
                <w:bCs/>
              </w:rPr>
            </w:pPr>
            <w:r w:rsidRPr="00BD07E4">
              <w:rPr>
                <w:b/>
                <w:bCs/>
              </w:rPr>
              <w:t>Unit</w:t>
            </w:r>
          </w:p>
        </w:tc>
      </w:tr>
      <w:tr w:rsidR="0007077F" w:rsidRPr="0093715D" w14:paraId="009F8EF7" w14:textId="77777777" w:rsidTr="00087396">
        <w:tc>
          <w:tcPr>
            <w:tcW w:w="1611" w:type="dxa"/>
            <w:vAlign w:val="center"/>
          </w:tcPr>
          <w:p w14:paraId="35256869" w14:textId="2B04E69A" w:rsidR="0007077F" w:rsidRPr="0093715D" w:rsidRDefault="0007077F" w:rsidP="003F7407">
            <w:pPr>
              <w:ind w:left="0"/>
            </w:pPr>
            <w:r w:rsidRPr="0093715D">
              <w:t>Personal care services</w:t>
            </w:r>
            <w:r>
              <w:t xml:space="preserve"> </w:t>
            </w:r>
          </w:p>
        </w:tc>
        <w:tc>
          <w:tcPr>
            <w:tcW w:w="982" w:type="dxa"/>
            <w:vAlign w:val="center"/>
          </w:tcPr>
          <w:p w14:paraId="059711C6" w14:textId="06F5C1BD" w:rsidR="0007077F" w:rsidRPr="0093715D" w:rsidRDefault="0007077F" w:rsidP="003F7407">
            <w:pPr>
              <w:ind w:left="0"/>
            </w:pPr>
            <w:r w:rsidRPr="0093715D">
              <w:t>T1019</w:t>
            </w:r>
          </w:p>
        </w:tc>
        <w:tc>
          <w:tcPr>
            <w:tcW w:w="1587" w:type="dxa"/>
            <w:vAlign w:val="center"/>
          </w:tcPr>
          <w:p w14:paraId="0F917BD9" w14:textId="09D389E3" w:rsidR="0007077F" w:rsidRPr="0093715D" w:rsidRDefault="0007077F" w:rsidP="003F7407">
            <w:pPr>
              <w:ind w:left="0"/>
            </w:pPr>
            <w:r>
              <w:t>U4-UC</w:t>
            </w:r>
            <w:r>
              <w:br/>
              <w:t>U8-UC</w:t>
            </w:r>
          </w:p>
        </w:tc>
        <w:tc>
          <w:tcPr>
            <w:tcW w:w="2522" w:type="dxa"/>
            <w:vAlign w:val="center"/>
          </w:tcPr>
          <w:p w14:paraId="5B490008" w14:textId="22317832" w:rsidR="0007077F" w:rsidRPr="003F7407" w:rsidRDefault="00B15B34" w:rsidP="003F7407">
            <w:pPr>
              <w:ind w:left="0"/>
              <w:rPr>
                <w:color w:val="000000" w:themeColor="text1"/>
              </w:rPr>
            </w:pPr>
            <w:r>
              <w:rPr>
                <w:color w:val="000000" w:themeColor="text1"/>
              </w:rPr>
              <w:t>$6.89</w:t>
            </w:r>
            <w:r w:rsidR="00A1144B">
              <w:rPr>
                <w:color w:val="000000" w:themeColor="text1"/>
              </w:rPr>
              <w:t>*</w:t>
            </w:r>
            <w:r>
              <w:rPr>
                <w:color w:val="000000" w:themeColor="text1"/>
              </w:rPr>
              <w:t xml:space="preserve">  </w:t>
            </w:r>
          </w:p>
        </w:tc>
        <w:tc>
          <w:tcPr>
            <w:tcW w:w="2186" w:type="dxa"/>
            <w:vAlign w:val="center"/>
          </w:tcPr>
          <w:p w14:paraId="1A9328B2" w14:textId="7D955B57" w:rsidR="0007077F" w:rsidRPr="0093715D" w:rsidRDefault="0007077F" w:rsidP="003F7407">
            <w:pPr>
              <w:ind w:left="0"/>
            </w:pPr>
            <w:r>
              <w:t>-</w:t>
            </w:r>
          </w:p>
        </w:tc>
        <w:tc>
          <w:tcPr>
            <w:tcW w:w="1696" w:type="dxa"/>
            <w:vAlign w:val="center"/>
          </w:tcPr>
          <w:p w14:paraId="1A8CFCD3" w14:textId="77777777" w:rsidR="0007077F" w:rsidRPr="0093715D" w:rsidRDefault="0007077F" w:rsidP="003F7407">
            <w:pPr>
              <w:ind w:left="0"/>
            </w:pPr>
            <w:r w:rsidRPr="0093715D">
              <w:t>15 minutes</w:t>
            </w:r>
          </w:p>
        </w:tc>
      </w:tr>
      <w:tr w:rsidR="0007077F" w:rsidRPr="0093715D" w14:paraId="5D12F6A2" w14:textId="77777777" w:rsidTr="00087396">
        <w:tc>
          <w:tcPr>
            <w:tcW w:w="1611" w:type="dxa"/>
            <w:vAlign w:val="center"/>
          </w:tcPr>
          <w:p w14:paraId="20301CDF" w14:textId="760F6FCB" w:rsidR="0007077F" w:rsidRPr="0093715D" w:rsidRDefault="0007077F" w:rsidP="003F7407">
            <w:pPr>
              <w:ind w:left="0"/>
            </w:pPr>
            <w:r w:rsidRPr="0093715D">
              <w:t>Personal care services</w:t>
            </w:r>
          </w:p>
        </w:tc>
        <w:tc>
          <w:tcPr>
            <w:tcW w:w="982" w:type="dxa"/>
            <w:vAlign w:val="center"/>
          </w:tcPr>
          <w:p w14:paraId="043C5C45" w14:textId="780F07B3" w:rsidR="0007077F" w:rsidRPr="0093715D" w:rsidRDefault="0007077F" w:rsidP="003F7407">
            <w:pPr>
              <w:ind w:left="0"/>
            </w:pPr>
            <w:r w:rsidRPr="0093715D">
              <w:t>T1019</w:t>
            </w:r>
          </w:p>
        </w:tc>
        <w:tc>
          <w:tcPr>
            <w:tcW w:w="1587" w:type="dxa"/>
            <w:vAlign w:val="center"/>
          </w:tcPr>
          <w:p w14:paraId="1AAC81EF" w14:textId="037547E7" w:rsidR="0007077F" w:rsidRPr="0093715D" w:rsidRDefault="0007077F" w:rsidP="003F7407">
            <w:pPr>
              <w:ind w:left="0"/>
            </w:pPr>
            <w:r>
              <w:t>U8-UC</w:t>
            </w:r>
            <w:r>
              <w:br/>
            </w:r>
            <w:proofErr w:type="spellStart"/>
            <w:r>
              <w:t>U8-UC</w:t>
            </w:r>
            <w:proofErr w:type="spellEnd"/>
          </w:p>
        </w:tc>
        <w:tc>
          <w:tcPr>
            <w:tcW w:w="2522" w:type="dxa"/>
            <w:vAlign w:val="center"/>
          </w:tcPr>
          <w:p w14:paraId="67017C01" w14:textId="61AE7A44" w:rsidR="0007077F" w:rsidRPr="0093715D" w:rsidRDefault="0007077F" w:rsidP="003F7407">
            <w:pPr>
              <w:ind w:left="0"/>
            </w:pPr>
            <w:r>
              <w:t>-</w:t>
            </w:r>
          </w:p>
        </w:tc>
        <w:tc>
          <w:tcPr>
            <w:tcW w:w="2186" w:type="dxa"/>
            <w:vAlign w:val="center"/>
          </w:tcPr>
          <w:p w14:paraId="3EFF2C8E" w14:textId="220B747E" w:rsidR="0007077F" w:rsidRPr="0093715D" w:rsidRDefault="00684798" w:rsidP="003F7407">
            <w:pPr>
              <w:ind w:left="0"/>
            </w:pPr>
            <w:r>
              <w:t xml:space="preserve">$4.75 </w:t>
            </w:r>
          </w:p>
        </w:tc>
        <w:tc>
          <w:tcPr>
            <w:tcW w:w="1696" w:type="dxa"/>
            <w:vAlign w:val="center"/>
          </w:tcPr>
          <w:p w14:paraId="5E5D08BE" w14:textId="77777777" w:rsidR="0007077F" w:rsidRPr="0093715D" w:rsidRDefault="0007077F" w:rsidP="003F7407">
            <w:pPr>
              <w:ind w:left="0"/>
            </w:pPr>
            <w:r w:rsidRPr="0093715D">
              <w:t>15 minutes</w:t>
            </w:r>
          </w:p>
        </w:tc>
      </w:tr>
      <w:tr w:rsidR="0007077F" w:rsidRPr="0093715D" w14:paraId="7C84F7AF" w14:textId="77777777" w:rsidTr="00087396">
        <w:tc>
          <w:tcPr>
            <w:tcW w:w="1611" w:type="dxa"/>
            <w:vAlign w:val="center"/>
          </w:tcPr>
          <w:p w14:paraId="045B9157" w14:textId="7F56617B" w:rsidR="0007077F" w:rsidRDefault="0007077F" w:rsidP="003F7407">
            <w:pPr>
              <w:ind w:left="0"/>
            </w:pPr>
            <w:r>
              <w:t>Home Health Aide</w:t>
            </w:r>
          </w:p>
        </w:tc>
        <w:tc>
          <w:tcPr>
            <w:tcW w:w="982" w:type="dxa"/>
            <w:vAlign w:val="center"/>
          </w:tcPr>
          <w:p w14:paraId="3B8C7EC4" w14:textId="74F1051C" w:rsidR="0007077F" w:rsidRPr="0093715D" w:rsidRDefault="0007077F" w:rsidP="003F7407">
            <w:pPr>
              <w:ind w:left="0"/>
            </w:pPr>
            <w:r>
              <w:t>G0156</w:t>
            </w:r>
          </w:p>
        </w:tc>
        <w:tc>
          <w:tcPr>
            <w:tcW w:w="1587" w:type="dxa"/>
            <w:vAlign w:val="center"/>
          </w:tcPr>
          <w:p w14:paraId="17E7FDD9" w14:textId="38F7E94A" w:rsidR="0007077F" w:rsidRPr="0093715D" w:rsidRDefault="0007077F" w:rsidP="003F7407">
            <w:pPr>
              <w:ind w:left="0"/>
            </w:pPr>
            <w:r>
              <w:t>U8-UC</w:t>
            </w:r>
          </w:p>
        </w:tc>
        <w:tc>
          <w:tcPr>
            <w:tcW w:w="2522" w:type="dxa"/>
            <w:vAlign w:val="center"/>
          </w:tcPr>
          <w:p w14:paraId="3A021CBD" w14:textId="60618697" w:rsidR="0007077F" w:rsidRPr="0093715D" w:rsidRDefault="00684798" w:rsidP="003F7407">
            <w:pPr>
              <w:ind w:left="0"/>
            </w:pPr>
            <w:r>
              <w:t>$7.</w:t>
            </w:r>
            <w:r w:rsidR="00A1144B">
              <w:t>57*</w:t>
            </w:r>
            <w:r>
              <w:t xml:space="preserve"> </w:t>
            </w:r>
          </w:p>
        </w:tc>
        <w:tc>
          <w:tcPr>
            <w:tcW w:w="2186" w:type="dxa"/>
            <w:vAlign w:val="center"/>
          </w:tcPr>
          <w:p w14:paraId="7E154D42" w14:textId="7095E1F9" w:rsidR="0007077F" w:rsidRPr="0093715D" w:rsidRDefault="0007077F" w:rsidP="003F7407">
            <w:pPr>
              <w:ind w:left="0"/>
            </w:pPr>
            <w:r>
              <w:t>-</w:t>
            </w:r>
          </w:p>
        </w:tc>
        <w:tc>
          <w:tcPr>
            <w:tcW w:w="1696" w:type="dxa"/>
            <w:vAlign w:val="center"/>
          </w:tcPr>
          <w:p w14:paraId="1241CB93" w14:textId="5E96AF78" w:rsidR="0007077F" w:rsidRPr="0093715D" w:rsidRDefault="0007077F" w:rsidP="003F7407">
            <w:pPr>
              <w:ind w:left="0"/>
            </w:pPr>
            <w:r w:rsidRPr="0093715D">
              <w:t>15 minutes</w:t>
            </w:r>
          </w:p>
        </w:tc>
      </w:tr>
      <w:tr w:rsidR="0007077F" w:rsidRPr="0093715D" w14:paraId="74B2A4C9" w14:textId="77777777" w:rsidTr="00087396">
        <w:tc>
          <w:tcPr>
            <w:tcW w:w="1611" w:type="dxa"/>
            <w:vAlign w:val="center"/>
          </w:tcPr>
          <w:p w14:paraId="7C0766AD" w14:textId="2FE6987B" w:rsidR="0007077F" w:rsidRDefault="0007077F" w:rsidP="003F7407">
            <w:pPr>
              <w:ind w:left="0"/>
            </w:pPr>
            <w:r>
              <w:t>Supportive Home Care Aide</w:t>
            </w:r>
          </w:p>
        </w:tc>
        <w:tc>
          <w:tcPr>
            <w:tcW w:w="982" w:type="dxa"/>
            <w:vAlign w:val="center"/>
          </w:tcPr>
          <w:p w14:paraId="169004B4" w14:textId="77DFEC35" w:rsidR="0007077F" w:rsidRPr="0093715D" w:rsidRDefault="0007077F" w:rsidP="003F7407">
            <w:pPr>
              <w:ind w:left="0"/>
            </w:pPr>
            <w:r>
              <w:t>T1004</w:t>
            </w:r>
          </w:p>
        </w:tc>
        <w:tc>
          <w:tcPr>
            <w:tcW w:w="1587" w:type="dxa"/>
            <w:vAlign w:val="center"/>
          </w:tcPr>
          <w:p w14:paraId="2E111AF3" w14:textId="4E4545C8" w:rsidR="0007077F" w:rsidRDefault="0007077F" w:rsidP="003F7407">
            <w:pPr>
              <w:ind w:left="0"/>
            </w:pPr>
            <w:r>
              <w:t>U8-UC</w:t>
            </w:r>
          </w:p>
        </w:tc>
        <w:tc>
          <w:tcPr>
            <w:tcW w:w="2522" w:type="dxa"/>
            <w:vAlign w:val="center"/>
          </w:tcPr>
          <w:p w14:paraId="6143A089" w14:textId="18754150" w:rsidR="0007077F" w:rsidRPr="00654C45" w:rsidRDefault="00B15B34" w:rsidP="003F7407">
            <w:pPr>
              <w:ind w:left="0"/>
              <w:rPr>
                <w:color w:val="FF0000"/>
                <w:highlight w:val="yellow"/>
              </w:rPr>
            </w:pPr>
            <w:r>
              <w:t>$8.</w:t>
            </w:r>
            <w:r w:rsidR="00A1144B">
              <w:t>18</w:t>
            </w:r>
          </w:p>
        </w:tc>
        <w:tc>
          <w:tcPr>
            <w:tcW w:w="2186" w:type="dxa"/>
            <w:vAlign w:val="center"/>
          </w:tcPr>
          <w:p w14:paraId="7A7293D0" w14:textId="461C40F1" w:rsidR="0007077F" w:rsidRDefault="0007077F" w:rsidP="003F7407">
            <w:pPr>
              <w:ind w:left="0"/>
            </w:pPr>
            <w:r>
              <w:t>-</w:t>
            </w:r>
          </w:p>
        </w:tc>
        <w:tc>
          <w:tcPr>
            <w:tcW w:w="1696" w:type="dxa"/>
            <w:vAlign w:val="center"/>
          </w:tcPr>
          <w:p w14:paraId="189D8FEC" w14:textId="28CCAA83" w:rsidR="0007077F" w:rsidRPr="0093715D" w:rsidRDefault="0007077F" w:rsidP="003F7407">
            <w:pPr>
              <w:ind w:left="0"/>
            </w:pPr>
            <w:r w:rsidRPr="0093715D">
              <w:t>15 minutes</w:t>
            </w:r>
          </w:p>
        </w:tc>
      </w:tr>
      <w:tr w:rsidR="0007077F" w:rsidRPr="0093715D" w14:paraId="65335887" w14:textId="77777777" w:rsidTr="00087396">
        <w:tc>
          <w:tcPr>
            <w:tcW w:w="1611" w:type="dxa"/>
            <w:vAlign w:val="center"/>
          </w:tcPr>
          <w:p w14:paraId="2EBAD349" w14:textId="3C7476A2" w:rsidR="0007077F" w:rsidRDefault="0007077F" w:rsidP="003F7407">
            <w:pPr>
              <w:ind w:left="0"/>
            </w:pPr>
            <w:r>
              <w:t>Skilled Nursing – RN</w:t>
            </w:r>
          </w:p>
        </w:tc>
        <w:tc>
          <w:tcPr>
            <w:tcW w:w="982" w:type="dxa"/>
            <w:vAlign w:val="center"/>
          </w:tcPr>
          <w:p w14:paraId="2E0A984D" w14:textId="12EDC36C" w:rsidR="0007077F" w:rsidRPr="0093715D" w:rsidRDefault="0007077F" w:rsidP="003F7407">
            <w:pPr>
              <w:ind w:left="0"/>
            </w:pPr>
            <w:r>
              <w:t>G0299</w:t>
            </w:r>
          </w:p>
        </w:tc>
        <w:tc>
          <w:tcPr>
            <w:tcW w:w="1587" w:type="dxa"/>
            <w:vAlign w:val="center"/>
          </w:tcPr>
          <w:p w14:paraId="67819EF5" w14:textId="27E9C5E2" w:rsidR="0007077F" w:rsidRDefault="0007077F" w:rsidP="003F7407">
            <w:pPr>
              <w:ind w:left="0"/>
            </w:pPr>
            <w:r>
              <w:t>U8-UC</w:t>
            </w:r>
            <w:r>
              <w:br/>
              <w:t>U9-UC</w:t>
            </w:r>
          </w:p>
        </w:tc>
        <w:tc>
          <w:tcPr>
            <w:tcW w:w="2522" w:type="dxa"/>
            <w:vAlign w:val="center"/>
          </w:tcPr>
          <w:p w14:paraId="72BC06CD" w14:textId="3C6324C7" w:rsidR="0007077F" w:rsidRDefault="00B15B34" w:rsidP="003F7407">
            <w:pPr>
              <w:ind w:left="0"/>
            </w:pPr>
            <w:r>
              <w:t xml:space="preserve">$98.13 </w:t>
            </w:r>
          </w:p>
        </w:tc>
        <w:tc>
          <w:tcPr>
            <w:tcW w:w="2186" w:type="dxa"/>
            <w:vAlign w:val="center"/>
          </w:tcPr>
          <w:p w14:paraId="325DD298" w14:textId="38FA5B7E" w:rsidR="0007077F" w:rsidRDefault="0007077F" w:rsidP="003F7407">
            <w:pPr>
              <w:ind w:left="0"/>
            </w:pPr>
            <w:r>
              <w:t>-</w:t>
            </w:r>
          </w:p>
        </w:tc>
        <w:tc>
          <w:tcPr>
            <w:tcW w:w="1696" w:type="dxa"/>
            <w:vAlign w:val="center"/>
          </w:tcPr>
          <w:p w14:paraId="5464EF41" w14:textId="30A553E5" w:rsidR="0007077F" w:rsidRPr="0093715D" w:rsidRDefault="0007077F" w:rsidP="003F7407">
            <w:pPr>
              <w:ind w:left="0"/>
            </w:pPr>
            <w:r>
              <w:t>Per Visit</w:t>
            </w:r>
          </w:p>
        </w:tc>
      </w:tr>
      <w:tr w:rsidR="0007077F" w:rsidRPr="0093715D" w14:paraId="376D8E48" w14:textId="77777777" w:rsidTr="00087396">
        <w:tc>
          <w:tcPr>
            <w:tcW w:w="1611" w:type="dxa"/>
            <w:vAlign w:val="center"/>
          </w:tcPr>
          <w:p w14:paraId="03DEA2DE" w14:textId="5AF7F76C" w:rsidR="0007077F" w:rsidRDefault="0007077F" w:rsidP="003F7407">
            <w:pPr>
              <w:ind w:left="0"/>
            </w:pPr>
            <w:r>
              <w:t>Skilled Nursing - LPN</w:t>
            </w:r>
          </w:p>
        </w:tc>
        <w:tc>
          <w:tcPr>
            <w:tcW w:w="982" w:type="dxa"/>
            <w:vAlign w:val="center"/>
          </w:tcPr>
          <w:p w14:paraId="448EA893" w14:textId="21A3639C" w:rsidR="0007077F" w:rsidRPr="0093715D" w:rsidRDefault="0007077F" w:rsidP="003F7407">
            <w:pPr>
              <w:ind w:left="0"/>
            </w:pPr>
            <w:r>
              <w:t>G0300</w:t>
            </w:r>
          </w:p>
        </w:tc>
        <w:tc>
          <w:tcPr>
            <w:tcW w:w="1587" w:type="dxa"/>
            <w:vAlign w:val="center"/>
          </w:tcPr>
          <w:p w14:paraId="2FE5EA24" w14:textId="27060CBF" w:rsidR="0007077F" w:rsidRDefault="0007077F" w:rsidP="003F7407">
            <w:pPr>
              <w:ind w:left="0"/>
            </w:pPr>
            <w:r>
              <w:t>U8-UC</w:t>
            </w:r>
            <w:r>
              <w:br/>
              <w:t>U9-UC</w:t>
            </w:r>
          </w:p>
        </w:tc>
        <w:tc>
          <w:tcPr>
            <w:tcW w:w="2522" w:type="dxa"/>
            <w:vAlign w:val="center"/>
          </w:tcPr>
          <w:p w14:paraId="22543FA5" w14:textId="1DA56082" w:rsidR="0007077F" w:rsidRDefault="00B15B34" w:rsidP="003F7407">
            <w:pPr>
              <w:ind w:left="0"/>
            </w:pPr>
            <w:r>
              <w:t>$98.13</w:t>
            </w:r>
          </w:p>
        </w:tc>
        <w:tc>
          <w:tcPr>
            <w:tcW w:w="2186" w:type="dxa"/>
            <w:vAlign w:val="center"/>
          </w:tcPr>
          <w:p w14:paraId="151A6B3F" w14:textId="7794BD92" w:rsidR="0007077F" w:rsidRDefault="0007077F" w:rsidP="003F7407">
            <w:pPr>
              <w:ind w:left="0"/>
            </w:pPr>
            <w:r>
              <w:t>-</w:t>
            </w:r>
          </w:p>
        </w:tc>
        <w:tc>
          <w:tcPr>
            <w:tcW w:w="1696" w:type="dxa"/>
            <w:vAlign w:val="center"/>
          </w:tcPr>
          <w:p w14:paraId="3190FC3F" w14:textId="3975BCA5" w:rsidR="0007077F" w:rsidRPr="0093715D" w:rsidRDefault="0007077F" w:rsidP="003F7407">
            <w:pPr>
              <w:ind w:left="0"/>
            </w:pPr>
            <w:r>
              <w:t>Per Visit</w:t>
            </w:r>
          </w:p>
        </w:tc>
      </w:tr>
      <w:tr w:rsidR="0007077F" w:rsidRPr="0093715D" w14:paraId="6BAC8486" w14:textId="77777777" w:rsidTr="00087396">
        <w:tc>
          <w:tcPr>
            <w:tcW w:w="1611" w:type="dxa"/>
            <w:vAlign w:val="center"/>
          </w:tcPr>
          <w:p w14:paraId="1446786D" w14:textId="75DBCA84" w:rsidR="0007077F" w:rsidRDefault="0007077F" w:rsidP="003F7407">
            <w:pPr>
              <w:ind w:left="0"/>
            </w:pPr>
            <w:r>
              <w:t>Occupational Therapy</w:t>
            </w:r>
          </w:p>
        </w:tc>
        <w:tc>
          <w:tcPr>
            <w:tcW w:w="982" w:type="dxa"/>
            <w:vAlign w:val="center"/>
          </w:tcPr>
          <w:p w14:paraId="6D2CD43D" w14:textId="3A994A8D" w:rsidR="0007077F" w:rsidRPr="0093715D" w:rsidRDefault="0007077F" w:rsidP="003F7407">
            <w:pPr>
              <w:ind w:left="0"/>
            </w:pPr>
            <w:r>
              <w:t xml:space="preserve">S9129 </w:t>
            </w:r>
          </w:p>
        </w:tc>
        <w:tc>
          <w:tcPr>
            <w:tcW w:w="1587" w:type="dxa"/>
            <w:vAlign w:val="center"/>
          </w:tcPr>
          <w:p w14:paraId="6BD71029" w14:textId="5851FF49" w:rsidR="0007077F" w:rsidRDefault="0007077F" w:rsidP="003F7407">
            <w:pPr>
              <w:ind w:left="0"/>
            </w:pPr>
            <w:r>
              <w:t>U4-UC</w:t>
            </w:r>
            <w:r>
              <w:br/>
              <w:t>U5-UC</w:t>
            </w:r>
            <w:r>
              <w:br/>
              <w:t>U8-UC</w:t>
            </w:r>
            <w:r>
              <w:br/>
              <w:t>U9-UC</w:t>
            </w:r>
          </w:p>
        </w:tc>
        <w:tc>
          <w:tcPr>
            <w:tcW w:w="2522" w:type="dxa"/>
            <w:vAlign w:val="center"/>
          </w:tcPr>
          <w:p w14:paraId="3493D33B" w14:textId="2E0DE29C" w:rsidR="0007077F" w:rsidRDefault="00B15B34" w:rsidP="003F7407">
            <w:pPr>
              <w:ind w:left="0"/>
            </w:pPr>
            <w:r>
              <w:t xml:space="preserve">$78.32 </w:t>
            </w:r>
          </w:p>
        </w:tc>
        <w:tc>
          <w:tcPr>
            <w:tcW w:w="2186" w:type="dxa"/>
            <w:vAlign w:val="center"/>
          </w:tcPr>
          <w:p w14:paraId="261B4C49" w14:textId="7B968C88" w:rsidR="0007077F" w:rsidRDefault="0007077F" w:rsidP="003F7407">
            <w:pPr>
              <w:ind w:left="0"/>
            </w:pPr>
            <w:r>
              <w:t>-</w:t>
            </w:r>
          </w:p>
        </w:tc>
        <w:tc>
          <w:tcPr>
            <w:tcW w:w="1696" w:type="dxa"/>
            <w:vAlign w:val="center"/>
          </w:tcPr>
          <w:p w14:paraId="004A5BCC" w14:textId="14D126E7" w:rsidR="0007077F" w:rsidRPr="0093715D" w:rsidRDefault="0007077F" w:rsidP="003F7407">
            <w:pPr>
              <w:ind w:left="0"/>
            </w:pPr>
            <w:r>
              <w:t>Per Visit</w:t>
            </w:r>
          </w:p>
        </w:tc>
      </w:tr>
      <w:tr w:rsidR="0007077F" w:rsidRPr="0093715D" w14:paraId="7629FD45" w14:textId="77777777" w:rsidTr="00087396">
        <w:tc>
          <w:tcPr>
            <w:tcW w:w="1611" w:type="dxa"/>
            <w:vAlign w:val="center"/>
          </w:tcPr>
          <w:p w14:paraId="41845D8B" w14:textId="0BF51375" w:rsidR="0007077F" w:rsidRDefault="0007077F" w:rsidP="003F7407">
            <w:pPr>
              <w:ind w:left="0"/>
            </w:pPr>
            <w:r>
              <w:t>Physical Therapy</w:t>
            </w:r>
          </w:p>
        </w:tc>
        <w:tc>
          <w:tcPr>
            <w:tcW w:w="982" w:type="dxa"/>
            <w:vAlign w:val="center"/>
          </w:tcPr>
          <w:p w14:paraId="0AF5BB23" w14:textId="665018DA" w:rsidR="0007077F" w:rsidRPr="0093715D" w:rsidRDefault="0007077F" w:rsidP="003F7407">
            <w:pPr>
              <w:ind w:left="0"/>
            </w:pPr>
            <w:r>
              <w:t>S9131</w:t>
            </w:r>
          </w:p>
        </w:tc>
        <w:tc>
          <w:tcPr>
            <w:tcW w:w="1587" w:type="dxa"/>
            <w:vAlign w:val="center"/>
          </w:tcPr>
          <w:p w14:paraId="1018D475" w14:textId="26EA27C3" w:rsidR="0007077F" w:rsidRDefault="0007077F" w:rsidP="003F7407">
            <w:pPr>
              <w:ind w:left="0"/>
            </w:pPr>
            <w:r>
              <w:t>U4-UC</w:t>
            </w:r>
            <w:r>
              <w:br/>
              <w:t>U5-UC</w:t>
            </w:r>
            <w:r>
              <w:br/>
              <w:t>U8-UC</w:t>
            </w:r>
            <w:r>
              <w:br/>
              <w:t>U9-UC</w:t>
            </w:r>
          </w:p>
        </w:tc>
        <w:tc>
          <w:tcPr>
            <w:tcW w:w="2522" w:type="dxa"/>
            <w:vAlign w:val="center"/>
          </w:tcPr>
          <w:p w14:paraId="239B3C76" w14:textId="792801B3" w:rsidR="0007077F" w:rsidRDefault="00B15B34" w:rsidP="003F7407">
            <w:pPr>
              <w:ind w:left="0"/>
            </w:pPr>
            <w:r>
              <w:t xml:space="preserve">$75.13  </w:t>
            </w:r>
          </w:p>
        </w:tc>
        <w:tc>
          <w:tcPr>
            <w:tcW w:w="2186" w:type="dxa"/>
            <w:vAlign w:val="center"/>
          </w:tcPr>
          <w:p w14:paraId="156B37F0" w14:textId="599A2ACD" w:rsidR="0007077F" w:rsidRDefault="0007077F" w:rsidP="003F7407">
            <w:pPr>
              <w:ind w:left="0"/>
            </w:pPr>
            <w:r>
              <w:t>-</w:t>
            </w:r>
          </w:p>
        </w:tc>
        <w:tc>
          <w:tcPr>
            <w:tcW w:w="1696" w:type="dxa"/>
            <w:vAlign w:val="center"/>
          </w:tcPr>
          <w:p w14:paraId="4D4DA716" w14:textId="36CE3A25" w:rsidR="0007077F" w:rsidRPr="0093715D" w:rsidRDefault="0007077F" w:rsidP="003F7407">
            <w:pPr>
              <w:ind w:left="0"/>
            </w:pPr>
            <w:r>
              <w:t>Per Visit</w:t>
            </w:r>
          </w:p>
        </w:tc>
      </w:tr>
      <w:tr w:rsidR="0007077F" w:rsidRPr="0093715D" w14:paraId="39674F43" w14:textId="77777777" w:rsidTr="00087396">
        <w:tc>
          <w:tcPr>
            <w:tcW w:w="1611" w:type="dxa"/>
            <w:vAlign w:val="center"/>
          </w:tcPr>
          <w:p w14:paraId="0332EABF" w14:textId="53F81963" w:rsidR="0007077F" w:rsidRDefault="0007077F" w:rsidP="003F7407">
            <w:pPr>
              <w:ind w:left="0"/>
            </w:pPr>
            <w:r>
              <w:t>Speech Therapy</w:t>
            </w:r>
          </w:p>
        </w:tc>
        <w:tc>
          <w:tcPr>
            <w:tcW w:w="982" w:type="dxa"/>
            <w:vAlign w:val="center"/>
          </w:tcPr>
          <w:p w14:paraId="52971E2E" w14:textId="1EAD88E1" w:rsidR="0007077F" w:rsidRPr="0093715D" w:rsidRDefault="0007077F" w:rsidP="003F7407">
            <w:pPr>
              <w:ind w:left="0"/>
            </w:pPr>
            <w:r>
              <w:t>S9128</w:t>
            </w:r>
          </w:p>
        </w:tc>
        <w:tc>
          <w:tcPr>
            <w:tcW w:w="1587" w:type="dxa"/>
            <w:vAlign w:val="center"/>
          </w:tcPr>
          <w:p w14:paraId="0A6D9C16" w14:textId="068D6422" w:rsidR="0007077F" w:rsidRDefault="0007077F" w:rsidP="003F7407">
            <w:pPr>
              <w:ind w:left="0"/>
            </w:pPr>
            <w:r>
              <w:t>U4-UC</w:t>
            </w:r>
            <w:r>
              <w:br/>
              <w:t>U5-UC</w:t>
            </w:r>
            <w:r>
              <w:br/>
              <w:t>U8-UC</w:t>
            </w:r>
            <w:r>
              <w:br/>
              <w:t>U9-UC</w:t>
            </w:r>
          </w:p>
        </w:tc>
        <w:tc>
          <w:tcPr>
            <w:tcW w:w="2522" w:type="dxa"/>
            <w:vAlign w:val="center"/>
          </w:tcPr>
          <w:p w14:paraId="2A09B583" w14:textId="600B03F2" w:rsidR="0007077F" w:rsidRDefault="00B15B34" w:rsidP="003F7407">
            <w:pPr>
              <w:ind w:left="0"/>
            </w:pPr>
            <w:r>
              <w:t xml:space="preserve">$80.17 </w:t>
            </w:r>
          </w:p>
        </w:tc>
        <w:tc>
          <w:tcPr>
            <w:tcW w:w="2186" w:type="dxa"/>
            <w:vAlign w:val="center"/>
          </w:tcPr>
          <w:p w14:paraId="51851AEF" w14:textId="5105C8A3" w:rsidR="0007077F" w:rsidRDefault="0007077F" w:rsidP="003F7407">
            <w:pPr>
              <w:ind w:left="0"/>
            </w:pPr>
            <w:r>
              <w:t>-</w:t>
            </w:r>
          </w:p>
        </w:tc>
        <w:tc>
          <w:tcPr>
            <w:tcW w:w="1696" w:type="dxa"/>
            <w:vAlign w:val="center"/>
          </w:tcPr>
          <w:p w14:paraId="7A673370" w14:textId="20996932" w:rsidR="0007077F" w:rsidRPr="0093715D" w:rsidRDefault="0007077F" w:rsidP="003F7407">
            <w:pPr>
              <w:ind w:left="0"/>
            </w:pPr>
            <w:r>
              <w:t>Per Visit</w:t>
            </w:r>
          </w:p>
        </w:tc>
      </w:tr>
      <w:tr w:rsidR="0007077F" w:rsidRPr="0093715D" w14:paraId="2E1134A9" w14:textId="77777777" w:rsidTr="00087396">
        <w:tc>
          <w:tcPr>
            <w:tcW w:w="1611" w:type="dxa"/>
            <w:vAlign w:val="center"/>
          </w:tcPr>
          <w:p w14:paraId="21EF842E" w14:textId="528B60F1" w:rsidR="0007077F" w:rsidRPr="00BD3ADD" w:rsidRDefault="0007077F" w:rsidP="003F7407">
            <w:pPr>
              <w:pStyle w:val="NormalWeb"/>
              <w:ind w:left="0"/>
              <w:rPr>
                <w:rFonts w:ascii="TimesNewRoman" w:hAnsi="TimesNewRoman"/>
              </w:rPr>
            </w:pPr>
            <w:r>
              <w:lastRenderedPageBreak/>
              <w:t xml:space="preserve">Residential Habilitation </w:t>
            </w:r>
          </w:p>
        </w:tc>
        <w:tc>
          <w:tcPr>
            <w:tcW w:w="982" w:type="dxa"/>
            <w:vAlign w:val="center"/>
          </w:tcPr>
          <w:p w14:paraId="139A66FD" w14:textId="5FA8312C" w:rsidR="0007077F" w:rsidRPr="006D2C0A" w:rsidRDefault="0007077F" w:rsidP="003F7407">
            <w:pPr>
              <w:pStyle w:val="NormalWeb"/>
              <w:ind w:left="0"/>
            </w:pPr>
            <w:r w:rsidRPr="00BD3ADD">
              <w:rPr>
                <w:rFonts w:ascii="TimesNewRoman" w:hAnsi="TimesNewRoman"/>
              </w:rPr>
              <w:t xml:space="preserve">T2016 </w:t>
            </w:r>
          </w:p>
          <w:p w14:paraId="2B5D776C" w14:textId="77777777" w:rsidR="0007077F" w:rsidRDefault="0007077F" w:rsidP="003F7407">
            <w:pPr>
              <w:ind w:left="0"/>
            </w:pPr>
          </w:p>
        </w:tc>
        <w:tc>
          <w:tcPr>
            <w:tcW w:w="1587" w:type="dxa"/>
            <w:vAlign w:val="center"/>
          </w:tcPr>
          <w:p w14:paraId="3BBB3F47" w14:textId="6C58F2D1" w:rsidR="0007077F" w:rsidRDefault="0007077F" w:rsidP="003F7407">
            <w:pPr>
              <w:ind w:left="0"/>
            </w:pPr>
            <w:r>
              <w:t>U5-UC</w:t>
            </w:r>
            <w:r>
              <w:br/>
              <w:t>U9-UC</w:t>
            </w:r>
          </w:p>
        </w:tc>
        <w:tc>
          <w:tcPr>
            <w:tcW w:w="2522" w:type="dxa"/>
            <w:vAlign w:val="center"/>
          </w:tcPr>
          <w:p w14:paraId="39A0F1A9" w14:textId="4B1C387B" w:rsidR="0007077F" w:rsidRPr="003F7407" w:rsidRDefault="0007077F" w:rsidP="003F7407">
            <w:pPr>
              <w:pStyle w:val="NormalWeb"/>
              <w:shd w:val="clear" w:color="auto" w:fill="FFFFFF"/>
              <w:ind w:left="-14"/>
            </w:pPr>
            <w:r w:rsidRPr="003F7407">
              <w:t xml:space="preserve">Rate established under 101 CMR 420.00: </w:t>
            </w:r>
            <w:r w:rsidRPr="003F7407">
              <w:rPr>
                <w:i/>
                <w:iCs/>
              </w:rPr>
              <w:t>Rates for Adult Long-term Residential Services</w:t>
            </w:r>
            <w:r w:rsidRPr="003F7407">
              <w:t xml:space="preserve"> + 10%</w:t>
            </w:r>
          </w:p>
          <w:p w14:paraId="197766DB" w14:textId="6E63A8D9" w:rsidR="0007077F" w:rsidRPr="003F7407" w:rsidRDefault="0007077F" w:rsidP="003F7407">
            <w:pPr>
              <w:ind w:left="-14"/>
            </w:pPr>
          </w:p>
        </w:tc>
        <w:tc>
          <w:tcPr>
            <w:tcW w:w="2186" w:type="dxa"/>
            <w:vAlign w:val="center"/>
          </w:tcPr>
          <w:p w14:paraId="14B18DCB" w14:textId="3C54FD73" w:rsidR="0007077F" w:rsidRDefault="0007077F" w:rsidP="003F7407">
            <w:pPr>
              <w:ind w:left="0"/>
            </w:pPr>
            <w:r>
              <w:t>-</w:t>
            </w:r>
          </w:p>
        </w:tc>
        <w:tc>
          <w:tcPr>
            <w:tcW w:w="1696" w:type="dxa"/>
            <w:vAlign w:val="center"/>
          </w:tcPr>
          <w:p w14:paraId="7A995AFE" w14:textId="3426E8FB" w:rsidR="0007077F" w:rsidRDefault="0007077F" w:rsidP="003F7407">
            <w:pPr>
              <w:ind w:left="0"/>
            </w:pPr>
            <w:r>
              <w:t>Per Diem</w:t>
            </w:r>
          </w:p>
        </w:tc>
      </w:tr>
      <w:tr w:rsidR="0007077F" w:rsidRPr="0093715D" w14:paraId="4B592044" w14:textId="77777777" w:rsidTr="00087396">
        <w:tc>
          <w:tcPr>
            <w:tcW w:w="1611" w:type="dxa"/>
            <w:vAlign w:val="center"/>
          </w:tcPr>
          <w:p w14:paraId="50309481" w14:textId="4812E8A0" w:rsidR="0007077F" w:rsidRDefault="0007077F" w:rsidP="003F7407">
            <w:pPr>
              <w:ind w:left="0"/>
            </w:pPr>
            <w:r>
              <w:t>Shared Living – 24 Hour Supports</w:t>
            </w:r>
          </w:p>
        </w:tc>
        <w:tc>
          <w:tcPr>
            <w:tcW w:w="982" w:type="dxa"/>
            <w:vAlign w:val="center"/>
          </w:tcPr>
          <w:p w14:paraId="13267118" w14:textId="2EE570AF" w:rsidR="0007077F" w:rsidRDefault="0007077F" w:rsidP="003F7407">
            <w:pPr>
              <w:ind w:left="0"/>
            </w:pPr>
            <w:r>
              <w:t>T2033</w:t>
            </w:r>
          </w:p>
        </w:tc>
        <w:tc>
          <w:tcPr>
            <w:tcW w:w="1587" w:type="dxa"/>
            <w:vAlign w:val="center"/>
          </w:tcPr>
          <w:p w14:paraId="44CD5A05" w14:textId="6292708A" w:rsidR="0007077F" w:rsidRDefault="0007077F" w:rsidP="003F7407">
            <w:pPr>
              <w:ind w:left="0"/>
            </w:pPr>
            <w:r>
              <w:t>U5-UC</w:t>
            </w:r>
            <w:r>
              <w:br/>
              <w:t>U9-UC</w:t>
            </w:r>
          </w:p>
        </w:tc>
        <w:tc>
          <w:tcPr>
            <w:tcW w:w="2522" w:type="dxa"/>
            <w:vAlign w:val="center"/>
          </w:tcPr>
          <w:p w14:paraId="3F0658ED" w14:textId="6820CE80" w:rsidR="0007077F" w:rsidRPr="003F7407" w:rsidRDefault="0007077F" w:rsidP="003F7407">
            <w:pPr>
              <w:pStyle w:val="NormalWeb"/>
              <w:shd w:val="clear" w:color="auto" w:fill="FFFFFF"/>
              <w:ind w:left="-14"/>
            </w:pPr>
            <w:r w:rsidRPr="003F7407">
              <w:t xml:space="preserve">Rate established under 101 CMR 411.00: </w:t>
            </w:r>
            <w:r w:rsidRPr="003F7407">
              <w:rPr>
                <w:i/>
                <w:iCs/>
              </w:rPr>
              <w:t>Rates for Certain Placement, Support, and Shared Living Services</w:t>
            </w:r>
            <w:r w:rsidRPr="003F7407">
              <w:t xml:space="preserve"> + 10%</w:t>
            </w:r>
          </w:p>
          <w:p w14:paraId="1503436B" w14:textId="5EAD724A" w:rsidR="0007077F" w:rsidRPr="003F7407" w:rsidRDefault="0007077F" w:rsidP="003F7407">
            <w:pPr>
              <w:ind w:left="-14"/>
            </w:pPr>
          </w:p>
        </w:tc>
        <w:tc>
          <w:tcPr>
            <w:tcW w:w="2186" w:type="dxa"/>
            <w:vAlign w:val="center"/>
          </w:tcPr>
          <w:p w14:paraId="393E0BEE" w14:textId="238C06DC" w:rsidR="0007077F" w:rsidRDefault="0007077F" w:rsidP="003F7407">
            <w:pPr>
              <w:ind w:left="0"/>
            </w:pPr>
            <w:r>
              <w:t>-</w:t>
            </w:r>
          </w:p>
        </w:tc>
        <w:tc>
          <w:tcPr>
            <w:tcW w:w="1696" w:type="dxa"/>
            <w:vAlign w:val="center"/>
          </w:tcPr>
          <w:p w14:paraId="1C5C7BCF" w14:textId="27F00944" w:rsidR="0007077F" w:rsidRDefault="0007077F" w:rsidP="003F7407">
            <w:pPr>
              <w:ind w:left="0"/>
            </w:pPr>
            <w:r>
              <w:t>Per Diem</w:t>
            </w:r>
          </w:p>
        </w:tc>
      </w:tr>
    </w:tbl>
    <w:p w14:paraId="66ADB080" w14:textId="2B76247D" w:rsidR="001923C4" w:rsidRDefault="001923C4" w:rsidP="001923C4"/>
    <w:p w14:paraId="08623858" w14:textId="6D489624" w:rsidR="00A1144B" w:rsidRDefault="00A1144B">
      <w:pPr>
        <w:pStyle w:val="ListParagraph"/>
      </w:pPr>
      <w:r>
        <w:t>*Includes annualized add-on that is effective April 1 – June 30, 2020, pursuant to FY19 supplemental budget language.</w:t>
      </w:r>
    </w:p>
    <w:p w14:paraId="14B4C2EA" w14:textId="75A64AC5" w:rsidR="006B6736" w:rsidRDefault="006B6736">
      <w:pPr>
        <w:pStyle w:val="ListParagraph"/>
      </w:pPr>
    </w:p>
    <w:p w14:paraId="6FD41C4C" w14:textId="4F877112" w:rsidR="00717BBA" w:rsidRDefault="00717BBA" w:rsidP="00717BBA">
      <w:pPr>
        <w:pStyle w:val="Heading1"/>
      </w:pPr>
      <w:r>
        <w:t>Public Comment</w:t>
      </w:r>
    </w:p>
    <w:p w14:paraId="602320BA" w14:textId="70E02A6F" w:rsidR="00717BBA" w:rsidRPr="007004C0" w:rsidRDefault="00717BBA" w:rsidP="007004C0">
      <w:pPr>
        <w:pStyle w:val="BodyTextIndent"/>
        <w:rPr>
          <w:szCs w:val="24"/>
        </w:rPr>
      </w:pPr>
      <w:r>
        <w:t xml:space="preserve">EOHHS will accept comments on the </w:t>
      </w:r>
      <w:r w:rsidR="00663774">
        <w:t xml:space="preserve">rate </w:t>
      </w:r>
      <w:r>
        <w:t xml:space="preserve">established via this bulletin through </w:t>
      </w:r>
      <w:r w:rsidR="00810DB8">
        <w:t>May 7, 2020</w:t>
      </w:r>
      <w:r w:rsidR="00C746B6">
        <w:t xml:space="preserve">. </w:t>
      </w: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2"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004C0">
        <w:rPr>
          <w:szCs w:val="24"/>
        </w:rPr>
        <w:t xml:space="preserve"> </w:t>
      </w:r>
      <w:r w:rsidR="00F13D37">
        <w:t>EOHHS, c/o D. Briggs, 100 Hancock Street, 6</w:t>
      </w:r>
      <w:r w:rsidR="00F13D37">
        <w:rPr>
          <w:vertAlign w:val="superscript"/>
        </w:rPr>
        <w:t>th</w:t>
      </w:r>
      <w:r w:rsidR="00F13D37">
        <w:t xml:space="preserve"> Floor, Quincy, MA 02171</w:t>
      </w:r>
      <w:r w:rsidRPr="00717BBA">
        <w:rPr>
          <w:szCs w:val="24"/>
        </w:rPr>
        <w:t xml:space="preserve">. </w:t>
      </w:r>
    </w:p>
    <w:p w14:paraId="30E5AB2B" w14:textId="1EA375B9" w:rsidR="00717BBA" w:rsidRPr="00717BBA" w:rsidRDefault="00717BBA" w:rsidP="00911EB7">
      <w:r w:rsidRPr="00717BBA">
        <w:rPr>
          <w:bCs/>
          <w:szCs w:val="20"/>
        </w:rPr>
        <w:t>EOHHS may adopt a revised version of this bulletin taking into account relevant comments and any other practical alternatives that come to its attention.</w:t>
      </w:r>
    </w:p>
    <w:sectPr w:rsidR="00717BBA" w:rsidRPr="00717BBA" w:rsidSect="009F577F">
      <w:footerReference w:type="even" r:id="rId13"/>
      <w:footerReference w:type="default" r:id="rId14"/>
      <w:footerReference w:type="first" r:id="rId15"/>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72A2A" w14:textId="77777777" w:rsidR="00CB0A77" w:rsidRDefault="00CB0A77" w:rsidP="0096799D">
      <w:r>
        <w:separator/>
      </w:r>
    </w:p>
  </w:endnote>
  <w:endnote w:type="continuationSeparator" w:id="0">
    <w:p w14:paraId="3EC88DEB" w14:textId="77777777" w:rsidR="00CB0A77" w:rsidRDefault="00CB0A77"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B2579C">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58D15" w14:textId="77777777" w:rsidR="00CB0A77" w:rsidRDefault="00CB0A77" w:rsidP="0096799D">
      <w:r>
        <w:separator/>
      </w:r>
    </w:p>
  </w:footnote>
  <w:footnote w:type="continuationSeparator" w:id="0">
    <w:p w14:paraId="34C356FC" w14:textId="77777777" w:rsidR="00CB0A77" w:rsidRDefault="00CB0A77"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E0CDF"/>
    <w:multiLevelType w:val="hybridMultilevel"/>
    <w:tmpl w:val="9DCC1E4C"/>
    <w:lvl w:ilvl="0" w:tplc="5E6835A0">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A379B"/>
    <w:multiLevelType w:val="hybridMultilevel"/>
    <w:tmpl w:val="8A24F472"/>
    <w:lvl w:ilvl="0" w:tplc="AEDA97E4">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81A0D"/>
    <w:multiLevelType w:val="hybridMultilevel"/>
    <w:tmpl w:val="1374A060"/>
    <w:lvl w:ilvl="0" w:tplc="97366FCA">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nsid w:val="35F653F6"/>
    <w:multiLevelType w:val="hybridMultilevel"/>
    <w:tmpl w:val="483E088C"/>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CC34DD"/>
    <w:multiLevelType w:val="hybridMultilevel"/>
    <w:tmpl w:val="6BAC177A"/>
    <w:lvl w:ilvl="0" w:tplc="779E79C6">
      <w:start w:val="1"/>
      <w:numFmt w:val="decimal"/>
      <w:lvlText w:val="(%1)"/>
      <w:lvlJc w:val="left"/>
      <w:pPr>
        <w:ind w:left="3300" w:hanging="360"/>
      </w:pPr>
      <w:rPr>
        <w:rFonts w:ascii="Times New Roman" w:eastAsia="Times New Roman" w:hAnsi="Times New Roman" w:cs="Times New Roman"/>
      </w:rPr>
    </w:lvl>
    <w:lvl w:ilvl="1" w:tplc="04090019" w:tentative="1">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BE7FE7"/>
    <w:multiLevelType w:val="hybridMultilevel"/>
    <w:tmpl w:val="B3B25092"/>
    <w:lvl w:ilvl="0" w:tplc="C97EA266">
      <w:start w:val="3"/>
      <w:numFmt w:val="lowerLetter"/>
      <w:lvlText w:val="%1."/>
      <w:lvlJc w:val="left"/>
      <w:pPr>
        <w:ind w:left="990" w:hanging="360"/>
      </w:pPr>
      <w:rPr>
        <w:rFonts w:cs="Arial"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452A20F9"/>
    <w:multiLevelType w:val="hybridMultilevel"/>
    <w:tmpl w:val="E9482826"/>
    <w:lvl w:ilvl="0" w:tplc="F536C7C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2337D"/>
    <w:multiLevelType w:val="hybridMultilevel"/>
    <w:tmpl w:val="84C26C62"/>
    <w:lvl w:ilvl="0" w:tplc="779E79C6">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4057A9"/>
    <w:multiLevelType w:val="hybridMultilevel"/>
    <w:tmpl w:val="3572A7D0"/>
    <w:lvl w:ilvl="0" w:tplc="774036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C5F452F"/>
    <w:multiLevelType w:val="hybridMultilevel"/>
    <w:tmpl w:val="3486835A"/>
    <w:lvl w:ilvl="0" w:tplc="BED803E8">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49F5160"/>
    <w:multiLevelType w:val="hybridMultilevel"/>
    <w:tmpl w:val="E6E2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D707C63"/>
    <w:multiLevelType w:val="hybridMultilevel"/>
    <w:tmpl w:val="67605442"/>
    <w:lvl w:ilvl="0" w:tplc="A588BC6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9"/>
  </w:num>
  <w:num w:numId="2">
    <w:abstractNumId w:val="4"/>
  </w:num>
  <w:num w:numId="3">
    <w:abstractNumId w:val="8"/>
  </w:num>
  <w:num w:numId="4">
    <w:abstractNumId w:val="10"/>
  </w:num>
  <w:num w:numId="5">
    <w:abstractNumId w:val="14"/>
  </w:num>
  <w:num w:numId="6">
    <w:abstractNumId w:val="0"/>
  </w:num>
  <w:num w:numId="7">
    <w:abstractNumId w:val="2"/>
  </w:num>
  <w:num w:numId="8">
    <w:abstractNumId w:val="13"/>
  </w:num>
  <w:num w:numId="9">
    <w:abstractNumId w:val="17"/>
  </w:num>
  <w:num w:numId="10">
    <w:abstractNumId w:val="15"/>
  </w:num>
  <w:num w:numId="11">
    <w:abstractNumId w:val="20"/>
  </w:num>
  <w:num w:numId="12">
    <w:abstractNumId w:val="9"/>
  </w:num>
  <w:num w:numId="13">
    <w:abstractNumId w:val="18"/>
  </w:num>
  <w:num w:numId="14">
    <w:abstractNumId w:val="5"/>
  </w:num>
  <w:num w:numId="15">
    <w:abstractNumId w:val="3"/>
  </w:num>
  <w:num w:numId="16">
    <w:abstractNumId w:val="12"/>
  </w:num>
  <w:num w:numId="17">
    <w:abstractNumId w:val="6"/>
  </w:num>
  <w:num w:numId="18">
    <w:abstractNumId w:val="1"/>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627"/>
    <w:rsid w:val="00035F45"/>
    <w:rsid w:val="0003631E"/>
    <w:rsid w:val="00043F54"/>
    <w:rsid w:val="00053D8F"/>
    <w:rsid w:val="00060CB1"/>
    <w:rsid w:val="00064090"/>
    <w:rsid w:val="00064F04"/>
    <w:rsid w:val="0007077F"/>
    <w:rsid w:val="00087396"/>
    <w:rsid w:val="00091EC7"/>
    <w:rsid w:val="00094100"/>
    <w:rsid w:val="00095893"/>
    <w:rsid w:val="000B4557"/>
    <w:rsid w:val="000D1437"/>
    <w:rsid w:val="000E02D6"/>
    <w:rsid w:val="000F1964"/>
    <w:rsid w:val="000F2FB3"/>
    <w:rsid w:val="000F6149"/>
    <w:rsid w:val="0010616C"/>
    <w:rsid w:val="001066DC"/>
    <w:rsid w:val="0011159B"/>
    <w:rsid w:val="00111B86"/>
    <w:rsid w:val="001137BE"/>
    <w:rsid w:val="001145CC"/>
    <w:rsid w:val="00116492"/>
    <w:rsid w:val="0012373D"/>
    <w:rsid w:val="001256AE"/>
    <w:rsid w:val="00126B23"/>
    <w:rsid w:val="001338E8"/>
    <w:rsid w:val="00133C07"/>
    <w:rsid w:val="0014681E"/>
    <w:rsid w:val="0014797B"/>
    <w:rsid w:val="00151378"/>
    <w:rsid w:val="0015355E"/>
    <w:rsid w:val="00157686"/>
    <w:rsid w:val="00170C17"/>
    <w:rsid w:val="00172BAE"/>
    <w:rsid w:val="00186186"/>
    <w:rsid w:val="001923C4"/>
    <w:rsid w:val="001A4FFD"/>
    <w:rsid w:val="001B1E05"/>
    <w:rsid w:val="001B3E51"/>
    <w:rsid w:val="001B3F94"/>
    <w:rsid w:val="001C3CAB"/>
    <w:rsid w:val="001E6AC6"/>
    <w:rsid w:val="001E7C3D"/>
    <w:rsid w:val="001F35BE"/>
    <w:rsid w:val="00202D25"/>
    <w:rsid w:val="002055AE"/>
    <w:rsid w:val="00206158"/>
    <w:rsid w:val="00206A7D"/>
    <w:rsid w:val="0020717F"/>
    <w:rsid w:val="00211284"/>
    <w:rsid w:val="00212D42"/>
    <w:rsid w:val="00214B94"/>
    <w:rsid w:val="002155E1"/>
    <w:rsid w:val="00215CAD"/>
    <w:rsid w:val="00223382"/>
    <w:rsid w:val="00223B9F"/>
    <w:rsid w:val="00225B71"/>
    <w:rsid w:val="00226246"/>
    <w:rsid w:val="00226D57"/>
    <w:rsid w:val="00230E81"/>
    <w:rsid w:val="00234040"/>
    <w:rsid w:val="00250FDB"/>
    <w:rsid w:val="002520D5"/>
    <w:rsid w:val="002555B1"/>
    <w:rsid w:val="00260E3B"/>
    <w:rsid w:val="002630E2"/>
    <w:rsid w:val="00265AAB"/>
    <w:rsid w:val="002660F7"/>
    <w:rsid w:val="00266394"/>
    <w:rsid w:val="00266A2F"/>
    <w:rsid w:val="00266AB2"/>
    <w:rsid w:val="0027167C"/>
    <w:rsid w:val="002738E0"/>
    <w:rsid w:val="00281F2D"/>
    <w:rsid w:val="0028484A"/>
    <w:rsid w:val="002A53A2"/>
    <w:rsid w:val="002A798A"/>
    <w:rsid w:val="002B591E"/>
    <w:rsid w:val="002D0839"/>
    <w:rsid w:val="002D22CF"/>
    <w:rsid w:val="002D360A"/>
    <w:rsid w:val="002D54B8"/>
    <w:rsid w:val="002E6143"/>
    <w:rsid w:val="002F28A5"/>
    <w:rsid w:val="002F4E50"/>
    <w:rsid w:val="003014A3"/>
    <w:rsid w:val="00306619"/>
    <w:rsid w:val="00311FEC"/>
    <w:rsid w:val="0031456E"/>
    <w:rsid w:val="003161A9"/>
    <w:rsid w:val="00321E6E"/>
    <w:rsid w:val="00330313"/>
    <w:rsid w:val="003360D1"/>
    <w:rsid w:val="00337EFA"/>
    <w:rsid w:val="003506A3"/>
    <w:rsid w:val="00354355"/>
    <w:rsid w:val="003577DF"/>
    <w:rsid w:val="00365100"/>
    <w:rsid w:val="00366E4E"/>
    <w:rsid w:val="0037056F"/>
    <w:rsid w:val="00371000"/>
    <w:rsid w:val="00376412"/>
    <w:rsid w:val="00376A40"/>
    <w:rsid w:val="00386BCD"/>
    <w:rsid w:val="00395400"/>
    <w:rsid w:val="003B727D"/>
    <w:rsid w:val="003C2E3A"/>
    <w:rsid w:val="003C770E"/>
    <w:rsid w:val="003D548E"/>
    <w:rsid w:val="003D5792"/>
    <w:rsid w:val="003D5F5B"/>
    <w:rsid w:val="003D6EEC"/>
    <w:rsid w:val="003F7407"/>
    <w:rsid w:val="004016AD"/>
    <w:rsid w:val="00406D20"/>
    <w:rsid w:val="0041572C"/>
    <w:rsid w:val="0042364C"/>
    <w:rsid w:val="004269E4"/>
    <w:rsid w:val="00430732"/>
    <w:rsid w:val="00442277"/>
    <w:rsid w:val="004471DA"/>
    <w:rsid w:val="00460463"/>
    <w:rsid w:val="00466178"/>
    <w:rsid w:val="00466B35"/>
    <w:rsid w:val="0047119B"/>
    <w:rsid w:val="00486F52"/>
    <w:rsid w:val="00493E4D"/>
    <w:rsid w:val="00495B2B"/>
    <w:rsid w:val="004A01F5"/>
    <w:rsid w:val="004A6F9C"/>
    <w:rsid w:val="004B2B19"/>
    <w:rsid w:val="004B6AAF"/>
    <w:rsid w:val="004C03FC"/>
    <w:rsid w:val="004D3AF5"/>
    <w:rsid w:val="005049C6"/>
    <w:rsid w:val="005231A4"/>
    <w:rsid w:val="00524E5E"/>
    <w:rsid w:val="00532F81"/>
    <w:rsid w:val="00535125"/>
    <w:rsid w:val="005416AD"/>
    <w:rsid w:val="0054227E"/>
    <w:rsid w:val="00545EB4"/>
    <w:rsid w:val="0054689D"/>
    <w:rsid w:val="00556A92"/>
    <w:rsid w:val="00561E84"/>
    <w:rsid w:val="00564F8A"/>
    <w:rsid w:val="00565008"/>
    <w:rsid w:val="00567C61"/>
    <w:rsid w:val="00572F2D"/>
    <w:rsid w:val="00573539"/>
    <w:rsid w:val="005864D8"/>
    <w:rsid w:val="005A0778"/>
    <w:rsid w:val="005A1C47"/>
    <w:rsid w:val="005A6367"/>
    <w:rsid w:val="005A7D43"/>
    <w:rsid w:val="005C5050"/>
    <w:rsid w:val="005D49FE"/>
    <w:rsid w:val="005F0B5B"/>
    <w:rsid w:val="005F2412"/>
    <w:rsid w:val="005F51CB"/>
    <w:rsid w:val="006056CD"/>
    <w:rsid w:val="006059E6"/>
    <w:rsid w:val="00605AAA"/>
    <w:rsid w:val="00613AFF"/>
    <w:rsid w:val="00614E4F"/>
    <w:rsid w:val="006218F0"/>
    <w:rsid w:val="00624B4F"/>
    <w:rsid w:val="00627028"/>
    <w:rsid w:val="00636C3A"/>
    <w:rsid w:val="00637366"/>
    <w:rsid w:val="00642380"/>
    <w:rsid w:val="00642648"/>
    <w:rsid w:val="00654087"/>
    <w:rsid w:val="00657F17"/>
    <w:rsid w:val="00663774"/>
    <w:rsid w:val="00673206"/>
    <w:rsid w:val="0067334C"/>
    <w:rsid w:val="00684798"/>
    <w:rsid w:val="006950AA"/>
    <w:rsid w:val="00696589"/>
    <w:rsid w:val="006A4E28"/>
    <w:rsid w:val="006A5C22"/>
    <w:rsid w:val="006B535E"/>
    <w:rsid w:val="006B6736"/>
    <w:rsid w:val="006C043F"/>
    <w:rsid w:val="006C2607"/>
    <w:rsid w:val="006D2C0A"/>
    <w:rsid w:val="006E0896"/>
    <w:rsid w:val="006E19B4"/>
    <w:rsid w:val="006E1A26"/>
    <w:rsid w:val="006F3BDB"/>
    <w:rsid w:val="006F7489"/>
    <w:rsid w:val="007004C0"/>
    <w:rsid w:val="007017ED"/>
    <w:rsid w:val="00701B37"/>
    <w:rsid w:val="007120CA"/>
    <w:rsid w:val="00717BBA"/>
    <w:rsid w:val="0072526D"/>
    <w:rsid w:val="007302B1"/>
    <w:rsid w:val="00736F6A"/>
    <w:rsid w:val="007401F9"/>
    <w:rsid w:val="007477F9"/>
    <w:rsid w:val="00751542"/>
    <w:rsid w:val="00751EAB"/>
    <w:rsid w:val="007560BB"/>
    <w:rsid w:val="00760514"/>
    <w:rsid w:val="007672E7"/>
    <w:rsid w:val="00773BF3"/>
    <w:rsid w:val="0077476E"/>
    <w:rsid w:val="007802E3"/>
    <w:rsid w:val="00784351"/>
    <w:rsid w:val="007866DA"/>
    <w:rsid w:val="00790DDE"/>
    <w:rsid w:val="00793331"/>
    <w:rsid w:val="007970A9"/>
    <w:rsid w:val="007A097E"/>
    <w:rsid w:val="007A1750"/>
    <w:rsid w:val="007A44F0"/>
    <w:rsid w:val="007A54DA"/>
    <w:rsid w:val="007B4C97"/>
    <w:rsid w:val="007B4F2B"/>
    <w:rsid w:val="007C10D1"/>
    <w:rsid w:val="007C5B8C"/>
    <w:rsid w:val="007D5150"/>
    <w:rsid w:val="007D5819"/>
    <w:rsid w:val="007E1B57"/>
    <w:rsid w:val="007E3366"/>
    <w:rsid w:val="007E5EE5"/>
    <w:rsid w:val="007F34FB"/>
    <w:rsid w:val="007F4C57"/>
    <w:rsid w:val="007F5888"/>
    <w:rsid w:val="007F7071"/>
    <w:rsid w:val="00801DD5"/>
    <w:rsid w:val="008065C3"/>
    <w:rsid w:val="00810DB8"/>
    <w:rsid w:val="008138ED"/>
    <w:rsid w:val="00815FD6"/>
    <w:rsid w:val="0082262F"/>
    <w:rsid w:val="0083055E"/>
    <w:rsid w:val="0083746C"/>
    <w:rsid w:val="00837B79"/>
    <w:rsid w:val="00840BA7"/>
    <w:rsid w:val="00846EFD"/>
    <w:rsid w:val="0085491B"/>
    <w:rsid w:val="008747C6"/>
    <w:rsid w:val="00876EF4"/>
    <w:rsid w:val="008775FA"/>
    <w:rsid w:val="00882DB4"/>
    <w:rsid w:val="008854D8"/>
    <w:rsid w:val="00894190"/>
    <w:rsid w:val="00896091"/>
    <w:rsid w:val="008A2608"/>
    <w:rsid w:val="008A2852"/>
    <w:rsid w:val="008A5902"/>
    <w:rsid w:val="008C24D3"/>
    <w:rsid w:val="008C47D6"/>
    <w:rsid w:val="008C4AB8"/>
    <w:rsid w:val="008D086C"/>
    <w:rsid w:val="008D3679"/>
    <w:rsid w:val="008F3891"/>
    <w:rsid w:val="008F7EBC"/>
    <w:rsid w:val="00902B0F"/>
    <w:rsid w:val="00907051"/>
    <w:rsid w:val="00910A76"/>
    <w:rsid w:val="00911EB7"/>
    <w:rsid w:val="009121FA"/>
    <w:rsid w:val="009271D7"/>
    <w:rsid w:val="0093212C"/>
    <w:rsid w:val="0093489F"/>
    <w:rsid w:val="0093529A"/>
    <w:rsid w:val="009440EB"/>
    <w:rsid w:val="0094483B"/>
    <w:rsid w:val="00947481"/>
    <w:rsid w:val="00951C89"/>
    <w:rsid w:val="00955013"/>
    <w:rsid w:val="0095544B"/>
    <w:rsid w:val="00955834"/>
    <w:rsid w:val="00955A67"/>
    <w:rsid w:val="00960FD3"/>
    <w:rsid w:val="00961654"/>
    <w:rsid w:val="00962923"/>
    <w:rsid w:val="0096453F"/>
    <w:rsid w:val="00966A4B"/>
    <w:rsid w:val="0096799D"/>
    <w:rsid w:val="00983941"/>
    <w:rsid w:val="00985265"/>
    <w:rsid w:val="0099296D"/>
    <w:rsid w:val="0099568A"/>
    <w:rsid w:val="0099721B"/>
    <w:rsid w:val="00997297"/>
    <w:rsid w:val="009A0800"/>
    <w:rsid w:val="009B5060"/>
    <w:rsid w:val="009B5726"/>
    <w:rsid w:val="009C0A9B"/>
    <w:rsid w:val="009C2874"/>
    <w:rsid w:val="009C4BF3"/>
    <w:rsid w:val="009D084E"/>
    <w:rsid w:val="009E5D95"/>
    <w:rsid w:val="009E5F63"/>
    <w:rsid w:val="009E7BED"/>
    <w:rsid w:val="009F0209"/>
    <w:rsid w:val="009F2249"/>
    <w:rsid w:val="009F243C"/>
    <w:rsid w:val="009F577F"/>
    <w:rsid w:val="009F77FD"/>
    <w:rsid w:val="009F7DCC"/>
    <w:rsid w:val="00A1144B"/>
    <w:rsid w:val="00A152D4"/>
    <w:rsid w:val="00A20582"/>
    <w:rsid w:val="00A326ED"/>
    <w:rsid w:val="00A32AE6"/>
    <w:rsid w:val="00A32FEA"/>
    <w:rsid w:val="00A36062"/>
    <w:rsid w:val="00A42891"/>
    <w:rsid w:val="00A44D91"/>
    <w:rsid w:val="00A47A98"/>
    <w:rsid w:val="00A52D97"/>
    <w:rsid w:val="00A6519A"/>
    <w:rsid w:val="00A75A30"/>
    <w:rsid w:val="00A77971"/>
    <w:rsid w:val="00A81BB0"/>
    <w:rsid w:val="00A85F2F"/>
    <w:rsid w:val="00A934F9"/>
    <w:rsid w:val="00A965C9"/>
    <w:rsid w:val="00A975D4"/>
    <w:rsid w:val="00AA115F"/>
    <w:rsid w:val="00AA2CFD"/>
    <w:rsid w:val="00AB0061"/>
    <w:rsid w:val="00AB5162"/>
    <w:rsid w:val="00AB687F"/>
    <w:rsid w:val="00AB721E"/>
    <w:rsid w:val="00AC0C68"/>
    <w:rsid w:val="00AC6BA1"/>
    <w:rsid w:val="00AD31A1"/>
    <w:rsid w:val="00AD57C2"/>
    <w:rsid w:val="00AD6895"/>
    <w:rsid w:val="00AE0BE0"/>
    <w:rsid w:val="00AE0DA5"/>
    <w:rsid w:val="00AE3401"/>
    <w:rsid w:val="00AE3CF4"/>
    <w:rsid w:val="00AE64ED"/>
    <w:rsid w:val="00AF0179"/>
    <w:rsid w:val="00B15B34"/>
    <w:rsid w:val="00B23F07"/>
    <w:rsid w:val="00B2579C"/>
    <w:rsid w:val="00B308F1"/>
    <w:rsid w:val="00B3099B"/>
    <w:rsid w:val="00B4334D"/>
    <w:rsid w:val="00B43A86"/>
    <w:rsid w:val="00B5467F"/>
    <w:rsid w:val="00B652B3"/>
    <w:rsid w:val="00B67BA9"/>
    <w:rsid w:val="00B73379"/>
    <w:rsid w:val="00B82C7B"/>
    <w:rsid w:val="00B90025"/>
    <w:rsid w:val="00B95039"/>
    <w:rsid w:val="00B96854"/>
    <w:rsid w:val="00BA585A"/>
    <w:rsid w:val="00BB1F6B"/>
    <w:rsid w:val="00BB6F19"/>
    <w:rsid w:val="00BC2A7D"/>
    <w:rsid w:val="00BC4A24"/>
    <w:rsid w:val="00BD3ADD"/>
    <w:rsid w:val="00BE7341"/>
    <w:rsid w:val="00BF2427"/>
    <w:rsid w:val="00BF4E2D"/>
    <w:rsid w:val="00BF4FD9"/>
    <w:rsid w:val="00C10A72"/>
    <w:rsid w:val="00C31BCC"/>
    <w:rsid w:val="00C41313"/>
    <w:rsid w:val="00C4145B"/>
    <w:rsid w:val="00C43D89"/>
    <w:rsid w:val="00C45A45"/>
    <w:rsid w:val="00C46D18"/>
    <w:rsid w:val="00C54AED"/>
    <w:rsid w:val="00C56BDC"/>
    <w:rsid w:val="00C62306"/>
    <w:rsid w:val="00C64B78"/>
    <w:rsid w:val="00C746B6"/>
    <w:rsid w:val="00C80D4D"/>
    <w:rsid w:val="00C815C6"/>
    <w:rsid w:val="00C90F27"/>
    <w:rsid w:val="00C91251"/>
    <w:rsid w:val="00C91491"/>
    <w:rsid w:val="00C92130"/>
    <w:rsid w:val="00C94381"/>
    <w:rsid w:val="00C95BD9"/>
    <w:rsid w:val="00CB0A77"/>
    <w:rsid w:val="00CB2C18"/>
    <w:rsid w:val="00CB5907"/>
    <w:rsid w:val="00CC1031"/>
    <w:rsid w:val="00CD139E"/>
    <w:rsid w:val="00CD3F88"/>
    <w:rsid w:val="00CF32F7"/>
    <w:rsid w:val="00CF55D0"/>
    <w:rsid w:val="00D038EB"/>
    <w:rsid w:val="00D16EA8"/>
    <w:rsid w:val="00D17889"/>
    <w:rsid w:val="00D214F0"/>
    <w:rsid w:val="00D22EA4"/>
    <w:rsid w:val="00D2459B"/>
    <w:rsid w:val="00D459CF"/>
    <w:rsid w:val="00D552B1"/>
    <w:rsid w:val="00D73367"/>
    <w:rsid w:val="00D764D3"/>
    <w:rsid w:val="00D87E5A"/>
    <w:rsid w:val="00D911CD"/>
    <w:rsid w:val="00D9168C"/>
    <w:rsid w:val="00D9649F"/>
    <w:rsid w:val="00D967D8"/>
    <w:rsid w:val="00DA27AF"/>
    <w:rsid w:val="00DA28B9"/>
    <w:rsid w:val="00DA39D8"/>
    <w:rsid w:val="00DB0922"/>
    <w:rsid w:val="00DB2B27"/>
    <w:rsid w:val="00DC4C74"/>
    <w:rsid w:val="00DC6E86"/>
    <w:rsid w:val="00DC7E3F"/>
    <w:rsid w:val="00DD772E"/>
    <w:rsid w:val="00DE096B"/>
    <w:rsid w:val="00DE0FB9"/>
    <w:rsid w:val="00DE2B81"/>
    <w:rsid w:val="00DE7A5C"/>
    <w:rsid w:val="00DE7F40"/>
    <w:rsid w:val="00E01C1E"/>
    <w:rsid w:val="00E03B26"/>
    <w:rsid w:val="00E04015"/>
    <w:rsid w:val="00E10C5A"/>
    <w:rsid w:val="00E20B5A"/>
    <w:rsid w:val="00E236AA"/>
    <w:rsid w:val="00E3082D"/>
    <w:rsid w:val="00E40780"/>
    <w:rsid w:val="00E421A7"/>
    <w:rsid w:val="00E51273"/>
    <w:rsid w:val="00E518D7"/>
    <w:rsid w:val="00E8458C"/>
    <w:rsid w:val="00E90C92"/>
    <w:rsid w:val="00E93963"/>
    <w:rsid w:val="00E94A77"/>
    <w:rsid w:val="00EA042C"/>
    <w:rsid w:val="00EA72F8"/>
    <w:rsid w:val="00EA7973"/>
    <w:rsid w:val="00EB008B"/>
    <w:rsid w:val="00EB1CEA"/>
    <w:rsid w:val="00EB3A06"/>
    <w:rsid w:val="00EB47C8"/>
    <w:rsid w:val="00EB5FFD"/>
    <w:rsid w:val="00EB79DD"/>
    <w:rsid w:val="00EC0440"/>
    <w:rsid w:val="00EC51DE"/>
    <w:rsid w:val="00ED0EF5"/>
    <w:rsid w:val="00ED3839"/>
    <w:rsid w:val="00ED4248"/>
    <w:rsid w:val="00ED7F20"/>
    <w:rsid w:val="00EE2E32"/>
    <w:rsid w:val="00EE4F54"/>
    <w:rsid w:val="00EE68AB"/>
    <w:rsid w:val="00F0626C"/>
    <w:rsid w:val="00F13D37"/>
    <w:rsid w:val="00F243E6"/>
    <w:rsid w:val="00F272D6"/>
    <w:rsid w:val="00F27557"/>
    <w:rsid w:val="00F2769C"/>
    <w:rsid w:val="00F32956"/>
    <w:rsid w:val="00F34242"/>
    <w:rsid w:val="00F3478B"/>
    <w:rsid w:val="00F577D6"/>
    <w:rsid w:val="00F654D0"/>
    <w:rsid w:val="00F65CA3"/>
    <w:rsid w:val="00F8017E"/>
    <w:rsid w:val="00F81883"/>
    <w:rsid w:val="00F81AFC"/>
    <w:rsid w:val="00F86C42"/>
    <w:rsid w:val="00F87454"/>
    <w:rsid w:val="00F92A3B"/>
    <w:rsid w:val="00FA3AE0"/>
    <w:rsid w:val="00FA5738"/>
    <w:rsid w:val="00FA7D0C"/>
    <w:rsid w:val="00FB1771"/>
    <w:rsid w:val="00FB3C9C"/>
    <w:rsid w:val="00FC12A0"/>
    <w:rsid w:val="00FC1F58"/>
    <w:rsid w:val="00FC25AE"/>
    <w:rsid w:val="00FC2DD2"/>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A7973"/>
    <w:rPr>
      <w:color w:val="605E5C"/>
      <w:shd w:val="clear" w:color="auto" w:fill="E1DFDD"/>
    </w:rPr>
  </w:style>
  <w:style w:type="character" w:styleId="Emphasis">
    <w:name w:val="Emphasis"/>
    <w:basedOn w:val="DefaultParagraphFont"/>
    <w:uiPriority w:val="20"/>
    <w:qFormat/>
    <w:rsid w:val="005A1C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A7973"/>
    <w:rPr>
      <w:color w:val="605E5C"/>
      <w:shd w:val="clear" w:color="auto" w:fill="E1DFDD"/>
    </w:rPr>
  </w:style>
  <w:style w:type="character" w:styleId="Emphasis">
    <w:name w:val="Emphasis"/>
    <w:basedOn w:val="DefaultParagraphFont"/>
    <w:uiPriority w:val="20"/>
    <w:qFormat/>
    <w:rsid w:val="005A1C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70640730">
      <w:bodyDiv w:val="1"/>
      <w:marLeft w:val="0"/>
      <w:marRight w:val="0"/>
      <w:marTop w:val="0"/>
      <w:marBottom w:val="0"/>
      <w:divBdr>
        <w:top w:val="none" w:sz="0" w:space="0" w:color="auto"/>
        <w:left w:val="none" w:sz="0" w:space="0" w:color="auto"/>
        <w:bottom w:val="none" w:sz="0" w:space="0" w:color="auto"/>
        <w:right w:val="none" w:sz="0" w:space="0" w:color="auto"/>
      </w:divBdr>
    </w:div>
    <w:div w:id="679743362">
      <w:bodyDiv w:val="1"/>
      <w:marLeft w:val="0"/>
      <w:marRight w:val="0"/>
      <w:marTop w:val="0"/>
      <w:marBottom w:val="0"/>
      <w:divBdr>
        <w:top w:val="none" w:sz="0" w:space="0" w:color="auto"/>
        <w:left w:val="none" w:sz="0" w:space="0" w:color="auto"/>
        <w:bottom w:val="none" w:sz="0" w:space="0" w:color="auto"/>
        <w:right w:val="none" w:sz="0" w:space="0" w:color="auto"/>
      </w:divBdr>
    </w:div>
    <w:div w:id="830683153">
      <w:bodyDiv w:val="1"/>
      <w:marLeft w:val="0"/>
      <w:marRight w:val="0"/>
      <w:marTop w:val="0"/>
      <w:marBottom w:val="0"/>
      <w:divBdr>
        <w:top w:val="none" w:sz="0" w:space="0" w:color="auto"/>
        <w:left w:val="none" w:sz="0" w:space="0" w:color="auto"/>
        <w:bottom w:val="none" w:sz="0" w:space="0" w:color="auto"/>
        <w:right w:val="none" w:sz="0" w:space="0" w:color="auto"/>
      </w:divBdr>
      <w:divsChild>
        <w:div w:id="1359313229">
          <w:marLeft w:val="0"/>
          <w:marRight w:val="0"/>
          <w:marTop w:val="0"/>
          <w:marBottom w:val="0"/>
          <w:divBdr>
            <w:top w:val="none" w:sz="0" w:space="0" w:color="auto"/>
            <w:left w:val="none" w:sz="0" w:space="0" w:color="auto"/>
            <w:bottom w:val="none" w:sz="0" w:space="0" w:color="auto"/>
            <w:right w:val="none" w:sz="0" w:space="0" w:color="auto"/>
          </w:divBdr>
          <w:divsChild>
            <w:div w:id="1922641795">
              <w:marLeft w:val="0"/>
              <w:marRight w:val="0"/>
              <w:marTop w:val="0"/>
              <w:marBottom w:val="0"/>
              <w:divBdr>
                <w:top w:val="none" w:sz="0" w:space="0" w:color="auto"/>
                <w:left w:val="none" w:sz="0" w:space="0" w:color="auto"/>
                <w:bottom w:val="none" w:sz="0" w:space="0" w:color="auto"/>
                <w:right w:val="none" w:sz="0" w:space="0" w:color="auto"/>
              </w:divBdr>
              <w:divsChild>
                <w:div w:id="1107047070">
                  <w:marLeft w:val="0"/>
                  <w:marRight w:val="0"/>
                  <w:marTop w:val="0"/>
                  <w:marBottom w:val="0"/>
                  <w:divBdr>
                    <w:top w:val="none" w:sz="0" w:space="0" w:color="auto"/>
                    <w:left w:val="none" w:sz="0" w:space="0" w:color="auto"/>
                    <w:bottom w:val="none" w:sz="0" w:space="0" w:color="auto"/>
                    <w:right w:val="none" w:sz="0" w:space="0" w:color="auto"/>
                  </w:divBdr>
                  <w:divsChild>
                    <w:div w:id="18366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65248">
      <w:bodyDiv w:val="1"/>
      <w:marLeft w:val="0"/>
      <w:marRight w:val="0"/>
      <w:marTop w:val="0"/>
      <w:marBottom w:val="0"/>
      <w:divBdr>
        <w:top w:val="none" w:sz="0" w:space="0" w:color="auto"/>
        <w:left w:val="none" w:sz="0" w:space="0" w:color="auto"/>
        <w:bottom w:val="none" w:sz="0" w:space="0" w:color="auto"/>
        <w:right w:val="none" w:sz="0" w:space="0" w:color="auto"/>
      </w:divBdr>
    </w:div>
    <w:div w:id="1240365927">
      <w:bodyDiv w:val="1"/>
      <w:marLeft w:val="0"/>
      <w:marRight w:val="0"/>
      <w:marTop w:val="0"/>
      <w:marBottom w:val="0"/>
      <w:divBdr>
        <w:top w:val="none" w:sz="0" w:space="0" w:color="auto"/>
        <w:left w:val="none" w:sz="0" w:space="0" w:color="auto"/>
        <w:bottom w:val="none" w:sz="0" w:space="0" w:color="auto"/>
        <w:right w:val="none" w:sz="0" w:space="0" w:color="auto"/>
      </w:divBdr>
      <w:divsChild>
        <w:div w:id="130636655">
          <w:marLeft w:val="0"/>
          <w:marRight w:val="0"/>
          <w:marTop w:val="0"/>
          <w:marBottom w:val="0"/>
          <w:divBdr>
            <w:top w:val="none" w:sz="0" w:space="0" w:color="auto"/>
            <w:left w:val="none" w:sz="0" w:space="0" w:color="auto"/>
            <w:bottom w:val="none" w:sz="0" w:space="0" w:color="auto"/>
            <w:right w:val="none" w:sz="0" w:space="0" w:color="auto"/>
          </w:divBdr>
          <w:divsChild>
            <w:div w:id="2103841159">
              <w:marLeft w:val="0"/>
              <w:marRight w:val="0"/>
              <w:marTop w:val="0"/>
              <w:marBottom w:val="0"/>
              <w:divBdr>
                <w:top w:val="none" w:sz="0" w:space="0" w:color="auto"/>
                <w:left w:val="none" w:sz="0" w:space="0" w:color="auto"/>
                <w:bottom w:val="none" w:sz="0" w:space="0" w:color="auto"/>
                <w:right w:val="none" w:sz="0" w:space="0" w:color="auto"/>
              </w:divBdr>
              <w:divsChild>
                <w:div w:id="1006633567">
                  <w:marLeft w:val="0"/>
                  <w:marRight w:val="0"/>
                  <w:marTop w:val="0"/>
                  <w:marBottom w:val="0"/>
                  <w:divBdr>
                    <w:top w:val="none" w:sz="0" w:space="0" w:color="auto"/>
                    <w:left w:val="none" w:sz="0" w:space="0" w:color="auto"/>
                    <w:bottom w:val="none" w:sz="0" w:space="0" w:color="auto"/>
                    <w:right w:val="none" w:sz="0" w:space="0" w:color="auto"/>
                  </w:divBdr>
                  <w:divsChild>
                    <w:div w:id="2131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7729">
      <w:bodyDiv w:val="1"/>
      <w:marLeft w:val="0"/>
      <w:marRight w:val="0"/>
      <w:marTop w:val="0"/>
      <w:marBottom w:val="0"/>
      <w:divBdr>
        <w:top w:val="none" w:sz="0" w:space="0" w:color="auto"/>
        <w:left w:val="none" w:sz="0" w:space="0" w:color="auto"/>
        <w:bottom w:val="none" w:sz="0" w:space="0" w:color="auto"/>
        <w:right w:val="none" w:sz="0" w:space="0" w:color="auto"/>
      </w:divBdr>
      <w:divsChild>
        <w:div w:id="183117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642612680">
      <w:bodyDiv w:val="1"/>
      <w:marLeft w:val="0"/>
      <w:marRight w:val="0"/>
      <w:marTop w:val="0"/>
      <w:marBottom w:val="0"/>
      <w:divBdr>
        <w:top w:val="none" w:sz="0" w:space="0" w:color="auto"/>
        <w:left w:val="none" w:sz="0" w:space="0" w:color="auto"/>
        <w:bottom w:val="none" w:sz="0" w:space="0" w:color="auto"/>
        <w:right w:val="none" w:sz="0" w:space="0" w:color="auto"/>
      </w:divBdr>
      <w:divsChild>
        <w:div w:id="1665477491">
          <w:marLeft w:val="0"/>
          <w:marRight w:val="0"/>
          <w:marTop w:val="0"/>
          <w:marBottom w:val="0"/>
          <w:divBdr>
            <w:top w:val="none" w:sz="0" w:space="0" w:color="auto"/>
            <w:left w:val="none" w:sz="0" w:space="0" w:color="auto"/>
            <w:bottom w:val="none" w:sz="0" w:space="0" w:color="auto"/>
            <w:right w:val="none" w:sz="0" w:space="0" w:color="auto"/>
          </w:divBdr>
          <w:divsChild>
            <w:div w:id="613680938">
              <w:marLeft w:val="0"/>
              <w:marRight w:val="0"/>
              <w:marTop w:val="0"/>
              <w:marBottom w:val="0"/>
              <w:divBdr>
                <w:top w:val="none" w:sz="0" w:space="0" w:color="auto"/>
                <w:left w:val="none" w:sz="0" w:space="0" w:color="auto"/>
                <w:bottom w:val="none" w:sz="0" w:space="0" w:color="auto"/>
                <w:right w:val="none" w:sz="0" w:space="0" w:color="auto"/>
              </w:divBdr>
              <w:divsChild>
                <w:div w:id="190610231">
                  <w:marLeft w:val="0"/>
                  <w:marRight w:val="0"/>
                  <w:marTop w:val="0"/>
                  <w:marBottom w:val="0"/>
                  <w:divBdr>
                    <w:top w:val="none" w:sz="0" w:space="0" w:color="auto"/>
                    <w:left w:val="none" w:sz="0" w:space="0" w:color="auto"/>
                    <w:bottom w:val="none" w:sz="0" w:space="0" w:color="auto"/>
                    <w:right w:val="none" w:sz="0" w:space="0" w:color="auto"/>
                  </w:divBdr>
                  <w:divsChild>
                    <w:div w:id="586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71637">
      <w:bodyDiv w:val="1"/>
      <w:marLeft w:val="0"/>
      <w:marRight w:val="0"/>
      <w:marTop w:val="0"/>
      <w:marBottom w:val="0"/>
      <w:divBdr>
        <w:top w:val="none" w:sz="0" w:space="0" w:color="auto"/>
        <w:left w:val="none" w:sz="0" w:space="0" w:color="auto"/>
        <w:bottom w:val="none" w:sz="0" w:space="0" w:color="auto"/>
        <w:right w:val="none" w:sz="0" w:space="0" w:color="auto"/>
      </w:divBdr>
    </w:div>
    <w:div w:id="1822505583">
      <w:bodyDiv w:val="1"/>
      <w:marLeft w:val="0"/>
      <w:marRight w:val="0"/>
      <w:marTop w:val="0"/>
      <w:marBottom w:val="0"/>
      <w:divBdr>
        <w:top w:val="none" w:sz="0" w:space="0" w:color="auto"/>
        <w:left w:val="none" w:sz="0" w:space="0" w:color="auto"/>
        <w:bottom w:val="none" w:sz="0" w:space="0" w:color="auto"/>
        <w:right w:val="none" w:sz="0" w:space="0" w:color="auto"/>
      </w:divBdr>
      <w:divsChild>
        <w:div w:id="562913847">
          <w:marLeft w:val="0"/>
          <w:marRight w:val="0"/>
          <w:marTop w:val="0"/>
          <w:marBottom w:val="0"/>
          <w:divBdr>
            <w:top w:val="none" w:sz="0" w:space="0" w:color="auto"/>
            <w:left w:val="none" w:sz="0" w:space="0" w:color="auto"/>
            <w:bottom w:val="none" w:sz="0" w:space="0" w:color="auto"/>
            <w:right w:val="none" w:sz="0" w:space="0" w:color="auto"/>
          </w:divBdr>
          <w:divsChild>
            <w:div w:id="293952575">
              <w:marLeft w:val="0"/>
              <w:marRight w:val="0"/>
              <w:marTop w:val="0"/>
              <w:marBottom w:val="0"/>
              <w:divBdr>
                <w:top w:val="none" w:sz="0" w:space="0" w:color="auto"/>
                <w:left w:val="none" w:sz="0" w:space="0" w:color="auto"/>
                <w:bottom w:val="none" w:sz="0" w:space="0" w:color="auto"/>
                <w:right w:val="none" w:sz="0" w:space="0" w:color="auto"/>
              </w:divBdr>
              <w:divsChild>
                <w:div w:id="167332866">
                  <w:marLeft w:val="0"/>
                  <w:marRight w:val="0"/>
                  <w:marTop w:val="0"/>
                  <w:marBottom w:val="0"/>
                  <w:divBdr>
                    <w:top w:val="none" w:sz="0" w:space="0" w:color="auto"/>
                    <w:left w:val="none" w:sz="0" w:space="0" w:color="auto"/>
                    <w:bottom w:val="none" w:sz="0" w:space="0" w:color="auto"/>
                    <w:right w:val="none" w:sz="0" w:space="0" w:color="auto"/>
                  </w:divBdr>
                </w:div>
              </w:divsChild>
            </w:div>
            <w:div w:id="1962566906">
              <w:marLeft w:val="0"/>
              <w:marRight w:val="0"/>
              <w:marTop w:val="0"/>
              <w:marBottom w:val="0"/>
              <w:divBdr>
                <w:top w:val="none" w:sz="0" w:space="0" w:color="auto"/>
                <w:left w:val="none" w:sz="0" w:space="0" w:color="auto"/>
                <w:bottom w:val="none" w:sz="0" w:space="0" w:color="auto"/>
                <w:right w:val="none" w:sz="0" w:space="0" w:color="auto"/>
              </w:divBdr>
              <w:divsChild>
                <w:div w:id="175001158">
                  <w:marLeft w:val="0"/>
                  <w:marRight w:val="0"/>
                  <w:marTop w:val="0"/>
                  <w:marBottom w:val="0"/>
                  <w:divBdr>
                    <w:top w:val="none" w:sz="0" w:space="0" w:color="auto"/>
                    <w:left w:val="none" w:sz="0" w:space="0" w:color="auto"/>
                    <w:bottom w:val="none" w:sz="0" w:space="0" w:color="auto"/>
                    <w:right w:val="none" w:sz="0" w:space="0" w:color="auto"/>
                  </w:divBdr>
                </w:div>
              </w:divsChild>
            </w:div>
            <w:div w:id="733242406">
              <w:marLeft w:val="0"/>
              <w:marRight w:val="0"/>
              <w:marTop w:val="0"/>
              <w:marBottom w:val="0"/>
              <w:divBdr>
                <w:top w:val="none" w:sz="0" w:space="0" w:color="auto"/>
                <w:left w:val="none" w:sz="0" w:space="0" w:color="auto"/>
                <w:bottom w:val="none" w:sz="0" w:space="0" w:color="auto"/>
                <w:right w:val="none" w:sz="0" w:space="0" w:color="auto"/>
              </w:divBdr>
              <w:divsChild>
                <w:div w:id="1894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506">
      <w:bodyDiv w:val="1"/>
      <w:marLeft w:val="0"/>
      <w:marRight w:val="0"/>
      <w:marTop w:val="0"/>
      <w:marBottom w:val="0"/>
      <w:divBdr>
        <w:top w:val="none" w:sz="0" w:space="0" w:color="auto"/>
        <w:left w:val="none" w:sz="0" w:space="0" w:color="auto"/>
        <w:bottom w:val="none" w:sz="0" w:space="0" w:color="auto"/>
        <w:right w:val="none" w:sz="0" w:space="0" w:color="auto"/>
      </w:divBdr>
      <w:divsChild>
        <w:div w:id="1261329441">
          <w:marLeft w:val="0"/>
          <w:marRight w:val="0"/>
          <w:marTop w:val="0"/>
          <w:marBottom w:val="0"/>
          <w:divBdr>
            <w:top w:val="none" w:sz="0" w:space="0" w:color="auto"/>
            <w:left w:val="none" w:sz="0" w:space="0" w:color="auto"/>
            <w:bottom w:val="none" w:sz="0" w:space="0" w:color="auto"/>
            <w:right w:val="none" w:sz="0" w:space="0" w:color="auto"/>
          </w:divBdr>
          <w:divsChild>
            <w:div w:id="1928878842">
              <w:marLeft w:val="0"/>
              <w:marRight w:val="0"/>
              <w:marTop w:val="0"/>
              <w:marBottom w:val="0"/>
              <w:divBdr>
                <w:top w:val="none" w:sz="0" w:space="0" w:color="auto"/>
                <w:left w:val="none" w:sz="0" w:space="0" w:color="auto"/>
                <w:bottom w:val="none" w:sz="0" w:space="0" w:color="auto"/>
                <w:right w:val="none" w:sz="0" w:space="0" w:color="auto"/>
              </w:divBdr>
              <w:divsChild>
                <w:div w:id="18051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A2BC-1A3C-459D-B9E0-F212412F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4151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2020-04-23T19:22:00Z</dcterms:created>
  <dcterms:modified xsi:type="dcterms:W3CDTF">2020-04-23T19:22:00Z</dcterms:modified>
</cp:coreProperties>
</file>