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31361" w14:textId="40B5D40F" w:rsidR="000D1437" w:rsidRPr="00633BA3" w:rsidRDefault="003F18CE" w:rsidP="00633BA3">
      <w:pPr>
        <w:contextualSpacing/>
        <w:jc w:val="center"/>
        <w:rPr>
          <w:rFonts w:ascii="Times New Roman" w:hAnsi="Times New Roman" w:cs="Times New Roman"/>
          <w:i/>
          <w:iCs/>
          <w:color w:val="333399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0ACE650" wp14:editId="6BC6B25F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5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633BA3">
        <w:rPr>
          <w:rFonts w:ascii="Times New Roman" w:hAnsi="Times New Roman" w:cs="Times New Roman"/>
          <w:iCs/>
          <w:color w:val="333399"/>
          <w:sz w:val="24"/>
          <w:szCs w:val="24"/>
        </w:rPr>
        <w:t>The Commonwealth of Massachusetts</w:t>
      </w:r>
    </w:p>
    <w:p w14:paraId="6C7B4355" w14:textId="77777777" w:rsidR="00A77971" w:rsidRDefault="005A2338" w:rsidP="00633BA3">
      <w:pPr>
        <w:contextualSpacing/>
        <w:jc w:val="center"/>
        <w:rPr>
          <w:rFonts w:ascii="Times New Roman" w:hAnsi="Times New Roman" w:cs="Times New Roman"/>
          <w:iCs/>
          <w:color w:val="333399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540C3B2A" wp14:editId="7446AB9F">
            <wp:simplePos x="0" y="0"/>
            <wp:positionH relativeFrom="column">
              <wp:posOffset>5420360</wp:posOffset>
            </wp:positionH>
            <wp:positionV relativeFrom="paragraph">
              <wp:posOffset>55245</wp:posOffset>
            </wp:positionV>
            <wp:extent cx="1097280" cy="548640"/>
            <wp:effectExtent l="0" t="0" r="7620" b="3810"/>
            <wp:wrapNone/>
            <wp:docPr id="2" name="Picture 2" descr="mhlogo BLUE_blue300-tint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hlogo BLUE_blue300-tint - Cop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633BA3">
        <w:rPr>
          <w:rFonts w:ascii="Times New Roman" w:hAnsi="Times New Roman" w:cs="Times New Roman"/>
          <w:iCs/>
          <w:color w:val="333399"/>
          <w:sz w:val="24"/>
          <w:szCs w:val="24"/>
        </w:rPr>
        <w:t>Executive Office of Health and Human Services</w:t>
      </w:r>
    </w:p>
    <w:p w14:paraId="4FD2FE93" w14:textId="77777777" w:rsidR="0048130C" w:rsidRPr="00633BA3" w:rsidRDefault="0048130C" w:rsidP="00633BA3">
      <w:pPr>
        <w:contextualSpacing/>
        <w:jc w:val="center"/>
        <w:rPr>
          <w:rFonts w:ascii="Times New Roman" w:hAnsi="Times New Roman" w:cs="Times New Roman"/>
          <w:iCs/>
          <w:color w:val="333399"/>
          <w:sz w:val="24"/>
          <w:szCs w:val="24"/>
        </w:rPr>
      </w:pPr>
      <w:r>
        <w:rPr>
          <w:rFonts w:ascii="Times New Roman" w:hAnsi="Times New Roman" w:cs="Times New Roman"/>
          <w:iCs/>
          <w:color w:val="333399"/>
          <w:sz w:val="24"/>
          <w:szCs w:val="24"/>
        </w:rPr>
        <w:t>Office of Medicaid</w:t>
      </w:r>
    </w:p>
    <w:p w14:paraId="6C7D406A" w14:textId="77777777" w:rsidR="00C31BCC" w:rsidRPr="00633BA3" w:rsidRDefault="0048130C" w:rsidP="00633BA3">
      <w:pPr>
        <w:pStyle w:val="Heading2"/>
        <w:contextualSpacing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One Ashburton Place</w:t>
      </w:r>
    </w:p>
    <w:p w14:paraId="1C1D1BBF" w14:textId="77777777" w:rsidR="008747C6" w:rsidRPr="00633BA3" w:rsidRDefault="008747C6" w:rsidP="00633BA3">
      <w:pPr>
        <w:pStyle w:val="Heading2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33BA3">
        <w:rPr>
          <w:rFonts w:ascii="Times New Roman" w:hAnsi="Times New Roman" w:cs="Times New Roman"/>
          <w:i w:val="0"/>
          <w:sz w:val="24"/>
          <w:szCs w:val="24"/>
        </w:rPr>
        <w:t>Boston</w:t>
      </w:r>
      <w:r w:rsidR="00FC1F58" w:rsidRPr="00633BA3">
        <w:rPr>
          <w:rFonts w:ascii="Times New Roman" w:hAnsi="Times New Roman" w:cs="Times New Roman"/>
          <w:i w:val="0"/>
          <w:sz w:val="24"/>
          <w:szCs w:val="24"/>
        </w:rPr>
        <w:t>, Massachusetts</w:t>
      </w:r>
      <w:r w:rsidR="00311FEC" w:rsidRPr="00633B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2FB3" w:rsidRPr="00633BA3">
        <w:rPr>
          <w:rFonts w:ascii="Times New Roman" w:hAnsi="Times New Roman" w:cs="Times New Roman"/>
          <w:i w:val="0"/>
          <w:sz w:val="24"/>
          <w:szCs w:val="24"/>
        </w:rPr>
        <w:t>02</w:t>
      </w:r>
      <w:r w:rsidR="004B2B19" w:rsidRPr="00633BA3">
        <w:rPr>
          <w:rFonts w:ascii="Times New Roman" w:hAnsi="Times New Roman" w:cs="Times New Roman"/>
          <w:i w:val="0"/>
          <w:sz w:val="24"/>
          <w:szCs w:val="24"/>
        </w:rPr>
        <w:t>1</w:t>
      </w:r>
      <w:r w:rsidRPr="00633BA3">
        <w:rPr>
          <w:rFonts w:ascii="Times New Roman" w:hAnsi="Times New Roman" w:cs="Times New Roman"/>
          <w:i w:val="0"/>
          <w:sz w:val="24"/>
          <w:szCs w:val="24"/>
        </w:rPr>
        <w:t>08</w:t>
      </w:r>
    </w:p>
    <w:p w14:paraId="23BE1DF8" w14:textId="77777777" w:rsidR="000D1437" w:rsidRPr="00633BA3" w:rsidRDefault="000D1437" w:rsidP="00633BA3">
      <w:pPr>
        <w:pStyle w:val="Heading2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33B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F9073AE" w14:textId="5A5566F6" w:rsidR="004B6AAF" w:rsidRPr="00633BA3" w:rsidRDefault="003F18CE" w:rsidP="00633BA3">
      <w:pPr>
        <w:contextualSpacing/>
        <w:rPr>
          <w:rFonts w:ascii="Times New Roman" w:hAnsi="Times New Roman" w:cs="Times New Roman"/>
          <w:iCs/>
          <w:color w:val="4451C8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632EC25" wp14:editId="50E773E1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2540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87174" w14:textId="77777777"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0E530B4" w14:textId="77777777"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038A40C3" w14:textId="77777777"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69E3245F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9F73ECE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2D314D10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57662BB0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05A6E6B8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6EEDC3E8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32819BC9" w14:textId="77777777"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32EC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1pt;margin-top:1.4pt;width:121.7pt;height:9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WE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" filled="f" stroked="f">
                <v:textbox>
                  <w:txbxContent>
                    <w:p w14:paraId="3AB87174" w14:textId="77777777"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0E530B4" w14:textId="77777777"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038A40C3" w14:textId="77777777"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69E3245F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9F73ECE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2D314D10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57662BB0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05A6E6B8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6EEDC3E8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32819BC9" w14:textId="77777777"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B2CA13" w14:textId="77777777" w:rsidR="007802E3" w:rsidRPr="00633BA3" w:rsidRDefault="0048130C" w:rsidP="00633BA3">
      <w:pPr>
        <w:contextualSpacing/>
        <w:rPr>
          <w:rFonts w:ascii="Times New Roman" w:hAnsi="Times New Roman" w:cs="Times New Roman"/>
          <w:iCs/>
          <w:color w:val="4451C8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A9A2B2B" wp14:editId="077707C3">
                <wp:simplePos x="0" y="0"/>
                <wp:positionH relativeFrom="column">
                  <wp:posOffset>5161915</wp:posOffset>
                </wp:positionH>
                <wp:positionV relativeFrom="paragraph">
                  <wp:posOffset>14605</wp:posOffset>
                </wp:positionV>
                <wp:extent cx="1626235" cy="1217295"/>
                <wp:effectExtent l="0" t="0" r="3175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2B4AA" w14:textId="77777777" w:rsidR="0048130C" w:rsidRDefault="0048130C" w:rsidP="0048130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DANIEL TSAI</w:t>
                            </w:r>
                          </w:p>
                          <w:p w14:paraId="06D9CFBA" w14:textId="77777777" w:rsidR="0048130C" w:rsidRDefault="0048130C" w:rsidP="0048130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14:paraId="6D02D09C" w14:textId="77777777" w:rsidR="0048130C" w:rsidRDefault="0048130C" w:rsidP="0048130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009D9CC" w14:textId="77777777" w:rsidR="0048130C" w:rsidRDefault="0048130C" w:rsidP="0048130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4F53AF5" w14:textId="77777777" w:rsidR="0048130C" w:rsidRDefault="0048130C" w:rsidP="0048130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3EE3864C" w14:textId="77777777" w:rsidR="0048130C" w:rsidRDefault="0048130C" w:rsidP="0048130C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9A3DB6A" w14:textId="77777777" w:rsidR="0048130C" w:rsidRPr="007802E3" w:rsidRDefault="0048130C" w:rsidP="0048130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9A2B2B" id="Text Box 1" o:spid="_x0000_s1027" type="#_x0000_t202" style="position:absolute;margin-left:406.45pt;margin-top:1.15pt;width:128.05pt;height:95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nT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" filled="f" stroked="f">
                <v:textbox>
                  <w:txbxContent>
                    <w:p w14:paraId="5402B4AA" w14:textId="77777777" w:rsidR="0048130C" w:rsidRDefault="0048130C" w:rsidP="0048130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DANIEL TSAI</w:t>
                      </w:r>
                    </w:p>
                    <w:p w14:paraId="06D9CFBA" w14:textId="77777777" w:rsidR="0048130C" w:rsidRDefault="0048130C" w:rsidP="0048130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14:paraId="6D02D09C" w14:textId="77777777" w:rsidR="0048130C" w:rsidRDefault="0048130C" w:rsidP="0048130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2009D9CC" w14:textId="77777777" w:rsidR="0048130C" w:rsidRDefault="0048130C" w:rsidP="0048130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4F53AF5" w14:textId="77777777" w:rsidR="0048130C" w:rsidRDefault="0048130C" w:rsidP="0048130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3EE3864C" w14:textId="77777777" w:rsidR="0048130C" w:rsidRDefault="0048130C" w:rsidP="0048130C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9A3DB6A" w14:textId="77777777" w:rsidR="0048130C" w:rsidRPr="007802E3" w:rsidRDefault="0048130C" w:rsidP="0048130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FF4260" w14:textId="77777777" w:rsidR="007802E3" w:rsidRPr="00633BA3" w:rsidRDefault="007802E3" w:rsidP="00633BA3">
      <w:pPr>
        <w:contextualSpacing/>
        <w:rPr>
          <w:rFonts w:ascii="Times New Roman" w:hAnsi="Times New Roman" w:cs="Times New Roman"/>
          <w:iCs/>
          <w:color w:val="4451C8"/>
          <w:sz w:val="24"/>
          <w:szCs w:val="24"/>
        </w:rPr>
      </w:pPr>
    </w:p>
    <w:p w14:paraId="57A21FEF" w14:textId="77777777" w:rsidR="007802E3" w:rsidRPr="00633BA3" w:rsidRDefault="007802E3" w:rsidP="00633BA3">
      <w:pPr>
        <w:contextualSpacing/>
        <w:rPr>
          <w:rFonts w:ascii="Times New Roman" w:hAnsi="Times New Roman" w:cs="Times New Roman"/>
          <w:b/>
          <w:color w:val="303BA2"/>
          <w:sz w:val="24"/>
          <w:szCs w:val="24"/>
        </w:rPr>
      </w:pPr>
    </w:p>
    <w:p w14:paraId="01B00379" w14:textId="77777777" w:rsidR="00FC1F58" w:rsidRPr="00633BA3" w:rsidRDefault="00FC1F58" w:rsidP="00633BA3">
      <w:pPr>
        <w:ind w:left="-110" w:hanging="220"/>
        <w:contextualSpacing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14:paraId="5881DECB" w14:textId="77777777" w:rsidR="00AE0DA5" w:rsidRPr="00633BA3" w:rsidRDefault="00AE0DA5" w:rsidP="00633BA3">
      <w:pPr>
        <w:tabs>
          <w:tab w:val="left" w:pos="1440"/>
          <w:tab w:val="center" w:pos="4925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094D078A" w14:textId="77777777" w:rsidR="007802E3" w:rsidRPr="00633BA3" w:rsidRDefault="007802E3" w:rsidP="00633BA3">
      <w:pPr>
        <w:tabs>
          <w:tab w:val="left" w:pos="1440"/>
          <w:tab w:val="center" w:pos="4925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6B26F1ED" w14:textId="661DF5D2" w:rsidR="007D5819" w:rsidRPr="00633BA3" w:rsidRDefault="007D5819" w:rsidP="00633BA3">
      <w:pPr>
        <w:tabs>
          <w:tab w:val="left" w:pos="3165"/>
        </w:tabs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3BA3">
        <w:rPr>
          <w:rFonts w:ascii="Times New Roman" w:eastAsia="Calibri" w:hAnsi="Times New Roman" w:cs="Times New Roman"/>
          <w:b/>
          <w:sz w:val="24"/>
          <w:szCs w:val="24"/>
        </w:rPr>
        <w:t xml:space="preserve">Administrative </w:t>
      </w:r>
      <w:r w:rsidRPr="0005728E">
        <w:rPr>
          <w:rFonts w:ascii="Times New Roman" w:eastAsia="Calibri" w:hAnsi="Times New Roman" w:cs="Times New Roman"/>
          <w:b/>
          <w:sz w:val="24"/>
          <w:szCs w:val="24"/>
        </w:rPr>
        <w:t xml:space="preserve">Bulletin </w:t>
      </w:r>
      <w:r w:rsidR="00356E4E" w:rsidRPr="0005728E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4C214E" w:rsidRPr="0005728E">
        <w:rPr>
          <w:rFonts w:ascii="Times New Roman" w:hAnsi="Times New Roman" w:cs="Times New Roman"/>
          <w:b/>
          <w:sz w:val="24"/>
          <w:szCs w:val="24"/>
        </w:rPr>
        <w:t>-</w:t>
      </w:r>
      <w:r w:rsidR="00450B8F">
        <w:rPr>
          <w:rFonts w:ascii="Times New Roman" w:hAnsi="Times New Roman" w:cs="Times New Roman"/>
          <w:b/>
          <w:sz w:val="24"/>
          <w:szCs w:val="24"/>
        </w:rPr>
        <w:t>50</w:t>
      </w:r>
    </w:p>
    <w:p w14:paraId="501C0529" w14:textId="77777777" w:rsidR="007D5819" w:rsidRPr="00633BA3" w:rsidRDefault="007D5819" w:rsidP="00633BA3">
      <w:pPr>
        <w:tabs>
          <w:tab w:val="center" w:pos="4950"/>
        </w:tabs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FEDDAB" w14:textId="77777777" w:rsidR="00990C42" w:rsidRPr="00633BA3" w:rsidRDefault="00074780" w:rsidP="00633B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BA3">
        <w:rPr>
          <w:rFonts w:ascii="Times New Roman" w:hAnsi="Times New Roman" w:cs="Times New Roman"/>
          <w:b/>
          <w:sz w:val="24"/>
          <w:szCs w:val="24"/>
        </w:rPr>
        <w:t>101</w:t>
      </w:r>
      <w:r w:rsidR="00990C42" w:rsidRPr="00633BA3">
        <w:rPr>
          <w:rFonts w:ascii="Times New Roman" w:hAnsi="Times New Roman" w:cs="Times New Roman"/>
          <w:b/>
          <w:sz w:val="24"/>
          <w:szCs w:val="24"/>
        </w:rPr>
        <w:t xml:space="preserve"> CMR </w:t>
      </w:r>
      <w:r w:rsidRPr="00633BA3">
        <w:rPr>
          <w:rFonts w:ascii="Times New Roman" w:hAnsi="Times New Roman" w:cs="Times New Roman"/>
          <w:b/>
          <w:sz w:val="24"/>
          <w:szCs w:val="24"/>
        </w:rPr>
        <w:t>3</w:t>
      </w:r>
      <w:r w:rsidR="00990C42" w:rsidRPr="00633BA3">
        <w:rPr>
          <w:rFonts w:ascii="Times New Roman" w:hAnsi="Times New Roman" w:cs="Times New Roman"/>
          <w:b/>
          <w:sz w:val="24"/>
          <w:szCs w:val="24"/>
        </w:rPr>
        <w:t>47.00</w:t>
      </w:r>
      <w:r w:rsidR="00990C42" w:rsidRPr="00633BA3">
        <w:rPr>
          <w:rFonts w:ascii="Times New Roman" w:eastAsia="Calibri" w:hAnsi="Times New Roman" w:cs="Times New Roman"/>
          <w:b/>
          <w:sz w:val="24"/>
          <w:szCs w:val="24"/>
        </w:rPr>
        <w:t xml:space="preserve">:  </w:t>
      </w:r>
      <w:r w:rsidR="00990C42" w:rsidRPr="00633BA3">
        <w:rPr>
          <w:rFonts w:ascii="Times New Roman" w:hAnsi="Times New Roman" w:cs="Times New Roman"/>
          <w:b/>
          <w:sz w:val="24"/>
          <w:szCs w:val="24"/>
        </w:rPr>
        <w:t>Freestanding Ambulatory Surg</w:t>
      </w:r>
      <w:r w:rsidR="006C2C25" w:rsidRPr="00633BA3">
        <w:rPr>
          <w:rFonts w:ascii="Times New Roman" w:hAnsi="Times New Roman" w:cs="Times New Roman"/>
          <w:b/>
          <w:sz w:val="24"/>
          <w:szCs w:val="24"/>
        </w:rPr>
        <w:t>ery Centers</w:t>
      </w:r>
    </w:p>
    <w:p w14:paraId="158AD8EB" w14:textId="77777777" w:rsidR="007D5819" w:rsidRPr="00633BA3" w:rsidRDefault="007D5819" w:rsidP="00633BA3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B06326" w14:textId="77777777" w:rsidR="007D5819" w:rsidRDefault="007D5819" w:rsidP="00633BA3">
      <w:pPr>
        <w:spacing w:after="2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3BA3">
        <w:rPr>
          <w:rFonts w:ascii="Times New Roman" w:eastAsia="Calibri" w:hAnsi="Times New Roman" w:cs="Times New Roman"/>
          <w:sz w:val="24"/>
          <w:szCs w:val="24"/>
        </w:rPr>
        <w:t xml:space="preserve">Effective </w:t>
      </w:r>
      <w:r w:rsidR="00990C42" w:rsidRPr="00633BA3">
        <w:rPr>
          <w:rFonts w:ascii="Times New Roman" w:hAnsi="Times New Roman" w:cs="Times New Roman"/>
          <w:sz w:val="24"/>
          <w:szCs w:val="24"/>
        </w:rPr>
        <w:t xml:space="preserve">January 1, </w:t>
      </w:r>
      <w:r w:rsidR="00356E4E" w:rsidRPr="00633BA3">
        <w:rPr>
          <w:rFonts w:ascii="Times New Roman" w:hAnsi="Times New Roman" w:cs="Times New Roman"/>
          <w:sz w:val="24"/>
          <w:szCs w:val="24"/>
        </w:rPr>
        <w:t>2020</w:t>
      </w:r>
    </w:p>
    <w:p w14:paraId="2BD86FFD" w14:textId="77777777" w:rsidR="0048130C" w:rsidRPr="00633BA3" w:rsidRDefault="0048130C" w:rsidP="00633BA3">
      <w:pPr>
        <w:spacing w:after="24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94D05D1" w14:textId="77777777" w:rsidR="00B61C09" w:rsidRPr="00633BA3" w:rsidRDefault="00990C42" w:rsidP="00633B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BA3">
        <w:rPr>
          <w:rFonts w:ascii="Times New Roman" w:hAnsi="Times New Roman" w:cs="Times New Roman"/>
          <w:b/>
          <w:sz w:val="24"/>
          <w:szCs w:val="24"/>
        </w:rPr>
        <w:t xml:space="preserve">CPT/HCPCS </w:t>
      </w:r>
      <w:r w:rsidR="00356E4E" w:rsidRPr="00633BA3">
        <w:rPr>
          <w:rFonts w:ascii="Times New Roman" w:hAnsi="Times New Roman" w:cs="Times New Roman"/>
          <w:b/>
          <w:sz w:val="24"/>
          <w:szCs w:val="24"/>
        </w:rPr>
        <w:t>2020</w:t>
      </w:r>
      <w:r w:rsidR="004C214E" w:rsidRPr="00633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3BA3">
        <w:rPr>
          <w:rFonts w:ascii="Times New Roman" w:hAnsi="Times New Roman" w:cs="Times New Roman"/>
          <w:b/>
          <w:sz w:val="24"/>
          <w:szCs w:val="24"/>
        </w:rPr>
        <w:t>Procedure Code Update</w:t>
      </w:r>
    </w:p>
    <w:p w14:paraId="0AE4F2A7" w14:textId="77777777" w:rsidR="00B61C09" w:rsidRPr="00633BA3" w:rsidRDefault="00B61C09" w:rsidP="00633BA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C3DAE56" w14:textId="3ACC9D3D" w:rsidR="00633BA3" w:rsidRPr="00633BA3" w:rsidRDefault="00B61C09" w:rsidP="00633BA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633BA3">
        <w:rPr>
          <w:rFonts w:ascii="Times New Roman" w:hAnsi="Times New Roman" w:cs="Times New Roman"/>
          <w:sz w:val="24"/>
          <w:szCs w:val="24"/>
        </w:rPr>
        <w:t xml:space="preserve">In accordance with 101 CMR 347.01(5):  </w:t>
      </w:r>
      <w:r w:rsidRPr="00633BA3">
        <w:rPr>
          <w:rFonts w:ascii="Times New Roman" w:hAnsi="Times New Roman" w:cs="Times New Roman"/>
          <w:i/>
          <w:sz w:val="24"/>
          <w:szCs w:val="24"/>
        </w:rPr>
        <w:t xml:space="preserve">Coding Updates and Corrections, </w:t>
      </w:r>
      <w:r w:rsidRPr="00633BA3">
        <w:rPr>
          <w:rFonts w:ascii="Times New Roman" w:hAnsi="Times New Roman" w:cs="Times New Roman"/>
          <w:sz w:val="24"/>
          <w:szCs w:val="24"/>
        </w:rPr>
        <w:t xml:space="preserve">the Executive Office of Health and Human Services (EOHHS) is </w:t>
      </w:r>
      <w:r w:rsidR="00633BA3" w:rsidRPr="00633BA3">
        <w:rPr>
          <w:rFonts w:ascii="Times New Roman" w:hAnsi="Times New Roman" w:cs="Times New Roman"/>
          <w:sz w:val="24"/>
          <w:szCs w:val="24"/>
        </w:rPr>
        <w:t xml:space="preserve">adding new procedure codes, </w:t>
      </w:r>
      <w:r w:rsidRPr="00633BA3">
        <w:rPr>
          <w:rFonts w:ascii="Times New Roman" w:hAnsi="Times New Roman" w:cs="Times New Roman"/>
          <w:sz w:val="24"/>
          <w:szCs w:val="24"/>
        </w:rPr>
        <w:t xml:space="preserve">deleting outdated codes, </w:t>
      </w:r>
      <w:r w:rsidR="00633BA3" w:rsidRPr="00633BA3">
        <w:rPr>
          <w:rFonts w:ascii="Times New Roman" w:hAnsi="Times New Roman" w:cs="Times New Roman"/>
          <w:sz w:val="24"/>
          <w:szCs w:val="24"/>
        </w:rPr>
        <w:t>and cross</w:t>
      </w:r>
      <w:r w:rsidR="00154ADA">
        <w:rPr>
          <w:rFonts w:ascii="Times New Roman" w:hAnsi="Times New Roman" w:cs="Times New Roman"/>
          <w:sz w:val="24"/>
          <w:szCs w:val="24"/>
        </w:rPr>
        <w:t>-</w:t>
      </w:r>
      <w:r w:rsidR="00633BA3" w:rsidRPr="00633BA3">
        <w:rPr>
          <w:rFonts w:ascii="Times New Roman" w:hAnsi="Times New Roman" w:cs="Times New Roman"/>
          <w:sz w:val="24"/>
          <w:szCs w:val="24"/>
        </w:rPr>
        <w:t xml:space="preserve">walking deleted codes to replacement codes, </w:t>
      </w:r>
      <w:r w:rsidRPr="00633BA3">
        <w:rPr>
          <w:rFonts w:ascii="Times New Roman" w:hAnsi="Times New Roman" w:cs="Times New Roman"/>
          <w:sz w:val="24"/>
          <w:szCs w:val="24"/>
        </w:rPr>
        <w:t>effective for dates of service on and after January 1, 20</w:t>
      </w:r>
      <w:r w:rsidR="00356E4E" w:rsidRPr="00633BA3">
        <w:rPr>
          <w:rFonts w:ascii="Times New Roman" w:hAnsi="Times New Roman" w:cs="Times New Roman"/>
          <w:sz w:val="24"/>
          <w:szCs w:val="24"/>
        </w:rPr>
        <w:t>20</w:t>
      </w:r>
      <w:r w:rsidRPr="00633BA3">
        <w:rPr>
          <w:rFonts w:ascii="Times New Roman" w:hAnsi="Times New Roman" w:cs="Times New Roman"/>
          <w:sz w:val="24"/>
          <w:szCs w:val="24"/>
        </w:rPr>
        <w:t xml:space="preserve">. </w:t>
      </w:r>
      <w:r w:rsidR="00792979">
        <w:rPr>
          <w:rFonts w:ascii="Times New Roman" w:hAnsi="Times New Roman" w:cs="Times New Roman"/>
          <w:sz w:val="24"/>
          <w:szCs w:val="24"/>
        </w:rPr>
        <w:t>A</w:t>
      </w:r>
      <w:r w:rsidR="00633BA3" w:rsidRPr="00633BA3">
        <w:rPr>
          <w:rFonts w:ascii="Times New Roman" w:hAnsi="Times New Roman" w:cs="Times New Roman"/>
          <w:sz w:val="24"/>
          <w:szCs w:val="24"/>
        </w:rPr>
        <w:t xml:space="preserve">dded and </w:t>
      </w:r>
      <w:r w:rsidR="006C2C25" w:rsidRPr="00633BA3">
        <w:rPr>
          <w:rFonts w:ascii="Times New Roman" w:hAnsi="Times New Roman" w:cs="Times New Roman"/>
          <w:sz w:val="24"/>
          <w:szCs w:val="24"/>
        </w:rPr>
        <w:t>deleted</w:t>
      </w:r>
      <w:r w:rsidR="00633BA3" w:rsidRPr="00633BA3">
        <w:rPr>
          <w:rFonts w:ascii="Times New Roman" w:hAnsi="Times New Roman" w:cs="Times New Roman"/>
          <w:sz w:val="24"/>
          <w:szCs w:val="24"/>
        </w:rPr>
        <w:t xml:space="preserve"> </w:t>
      </w:r>
      <w:r w:rsidR="00792979">
        <w:rPr>
          <w:rFonts w:ascii="Times New Roman" w:hAnsi="Times New Roman" w:cs="Times New Roman"/>
          <w:sz w:val="24"/>
          <w:szCs w:val="24"/>
        </w:rPr>
        <w:t xml:space="preserve">codes </w:t>
      </w:r>
      <w:r w:rsidR="006C2C25" w:rsidRPr="00633BA3">
        <w:rPr>
          <w:rFonts w:ascii="Times New Roman" w:hAnsi="Times New Roman" w:cs="Times New Roman"/>
          <w:sz w:val="24"/>
          <w:szCs w:val="24"/>
        </w:rPr>
        <w:t>are identified in the respec</w:t>
      </w:r>
      <w:r w:rsidR="00633BA3" w:rsidRPr="00633BA3">
        <w:rPr>
          <w:rFonts w:ascii="Times New Roman" w:hAnsi="Times New Roman" w:cs="Times New Roman"/>
          <w:sz w:val="24"/>
          <w:szCs w:val="24"/>
        </w:rPr>
        <w:t xml:space="preserve">tive lists below, followed by </w:t>
      </w:r>
      <w:r w:rsidR="006C2C25" w:rsidRPr="00633BA3">
        <w:rPr>
          <w:rFonts w:ascii="Times New Roman" w:hAnsi="Times New Roman" w:cs="Times New Roman"/>
          <w:sz w:val="24"/>
          <w:szCs w:val="24"/>
        </w:rPr>
        <w:t>cross</w:t>
      </w:r>
      <w:r w:rsidR="00154ADA">
        <w:rPr>
          <w:rFonts w:ascii="Times New Roman" w:hAnsi="Times New Roman" w:cs="Times New Roman"/>
          <w:sz w:val="24"/>
          <w:szCs w:val="24"/>
        </w:rPr>
        <w:t>-</w:t>
      </w:r>
      <w:r w:rsidR="006C2C25" w:rsidRPr="00633BA3">
        <w:rPr>
          <w:rFonts w:ascii="Times New Roman" w:hAnsi="Times New Roman" w:cs="Times New Roman"/>
          <w:sz w:val="24"/>
          <w:szCs w:val="24"/>
        </w:rPr>
        <w:t>walk</w:t>
      </w:r>
      <w:r w:rsidR="00633BA3" w:rsidRPr="00633BA3">
        <w:rPr>
          <w:rFonts w:ascii="Times New Roman" w:hAnsi="Times New Roman" w:cs="Times New Roman"/>
          <w:sz w:val="24"/>
          <w:szCs w:val="24"/>
        </w:rPr>
        <w:t xml:space="preserve">ed codes that identify the </w:t>
      </w:r>
      <w:r w:rsidR="006C2C25" w:rsidRPr="00633BA3">
        <w:rPr>
          <w:rFonts w:ascii="Times New Roman" w:hAnsi="Times New Roman" w:cs="Times New Roman"/>
          <w:sz w:val="24"/>
          <w:szCs w:val="24"/>
        </w:rPr>
        <w:t>replacement codes for applicable deleted codes.</w:t>
      </w:r>
    </w:p>
    <w:p w14:paraId="3555DF87" w14:textId="77777777" w:rsidR="00633BA3" w:rsidRPr="00633BA3" w:rsidRDefault="00633BA3" w:rsidP="00633BA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3A6D000E" w14:textId="0A854191" w:rsidR="00B61C09" w:rsidRPr="00633BA3" w:rsidRDefault="007849F6" w:rsidP="00633BA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7849F6">
        <w:rPr>
          <w:rFonts w:ascii="Times New Roman" w:hAnsi="Times New Roman" w:cs="Times New Roman"/>
          <w:sz w:val="24"/>
          <w:szCs w:val="24"/>
        </w:rPr>
        <w:t>Rates for new codes cross</w:t>
      </w:r>
      <w:r w:rsidR="00792979">
        <w:rPr>
          <w:rFonts w:ascii="Times New Roman" w:hAnsi="Times New Roman" w:cs="Times New Roman"/>
          <w:sz w:val="24"/>
          <w:szCs w:val="24"/>
        </w:rPr>
        <w:t>-</w:t>
      </w:r>
      <w:r w:rsidRPr="007849F6">
        <w:rPr>
          <w:rFonts w:ascii="Times New Roman" w:hAnsi="Times New Roman" w:cs="Times New Roman"/>
          <w:sz w:val="24"/>
          <w:szCs w:val="24"/>
        </w:rPr>
        <w:t>walk</w:t>
      </w:r>
      <w:r w:rsidR="00792979">
        <w:rPr>
          <w:rFonts w:ascii="Times New Roman" w:hAnsi="Times New Roman" w:cs="Times New Roman"/>
          <w:sz w:val="24"/>
          <w:szCs w:val="24"/>
        </w:rPr>
        <w:t>ed</w:t>
      </w:r>
      <w:r w:rsidRPr="007849F6">
        <w:rPr>
          <w:rFonts w:ascii="Times New Roman" w:hAnsi="Times New Roman" w:cs="Times New Roman"/>
          <w:sz w:val="24"/>
          <w:szCs w:val="24"/>
        </w:rPr>
        <w:t xml:space="preserve"> </w:t>
      </w:r>
      <w:r w:rsidR="00154ADA">
        <w:rPr>
          <w:rFonts w:ascii="Times New Roman" w:hAnsi="Times New Roman" w:cs="Times New Roman"/>
          <w:sz w:val="24"/>
          <w:szCs w:val="24"/>
        </w:rPr>
        <w:t xml:space="preserve">from </w:t>
      </w:r>
      <w:r w:rsidRPr="007849F6">
        <w:rPr>
          <w:rFonts w:ascii="Times New Roman" w:hAnsi="Times New Roman" w:cs="Times New Roman"/>
          <w:sz w:val="24"/>
          <w:szCs w:val="24"/>
        </w:rPr>
        <w:t xml:space="preserve">deleted codes are set at the payment rate of the deleted codes. For all other new codes that require new pricing and that have Medicare </w:t>
      </w:r>
      <w:r w:rsidR="00F805AC" w:rsidRPr="007849F6">
        <w:rPr>
          <w:rFonts w:ascii="Times New Roman" w:hAnsi="Times New Roman" w:cs="Times New Roman"/>
          <w:sz w:val="24"/>
          <w:szCs w:val="24"/>
        </w:rPr>
        <w:t>rates,</w:t>
      </w:r>
      <w:r w:rsidRPr="007849F6">
        <w:rPr>
          <w:rFonts w:ascii="Times New Roman" w:hAnsi="Times New Roman" w:cs="Times New Roman"/>
          <w:sz w:val="24"/>
          <w:szCs w:val="24"/>
        </w:rPr>
        <w:t xml:space="preserve"> corresponding rates are calculated in accordance with the rate methodology used in setting freestanding ambulatory surgery center facility component rates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6059" w:rsidRPr="00633BA3">
        <w:rPr>
          <w:rFonts w:ascii="Times New Roman" w:hAnsi="Times New Roman" w:cs="Times New Roman"/>
          <w:sz w:val="24"/>
          <w:szCs w:val="24"/>
        </w:rPr>
        <w:t>Rates listed in this a</w:t>
      </w:r>
      <w:r w:rsidR="00B61C09" w:rsidRPr="00633BA3">
        <w:rPr>
          <w:rFonts w:ascii="Times New Roman" w:hAnsi="Times New Roman" w:cs="Times New Roman"/>
          <w:sz w:val="24"/>
          <w:szCs w:val="24"/>
        </w:rPr>
        <w:t xml:space="preserve">dministrative </w:t>
      </w:r>
      <w:r w:rsidR="00686059" w:rsidRPr="00633BA3">
        <w:rPr>
          <w:rFonts w:ascii="Times New Roman" w:hAnsi="Times New Roman" w:cs="Times New Roman"/>
          <w:sz w:val="24"/>
          <w:szCs w:val="24"/>
        </w:rPr>
        <w:t>b</w:t>
      </w:r>
      <w:r w:rsidR="00B61C09" w:rsidRPr="00633BA3">
        <w:rPr>
          <w:rFonts w:ascii="Times New Roman" w:hAnsi="Times New Roman" w:cs="Times New Roman"/>
          <w:sz w:val="24"/>
          <w:szCs w:val="24"/>
        </w:rPr>
        <w:t xml:space="preserve">ulletin are applicable until revised rates are issued by </w:t>
      </w:r>
      <w:r w:rsidR="00686059" w:rsidRPr="00633BA3">
        <w:rPr>
          <w:rFonts w:ascii="Times New Roman" w:hAnsi="Times New Roman" w:cs="Times New Roman"/>
          <w:sz w:val="24"/>
          <w:szCs w:val="24"/>
        </w:rPr>
        <w:t>EOHHS</w:t>
      </w:r>
      <w:r w:rsidR="00B61C09" w:rsidRPr="00633BA3">
        <w:rPr>
          <w:rFonts w:ascii="Times New Roman" w:hAnsi="Times New Roman" w:cs="Times New Roman"/>
          <w:sz w:val="24"/>
          <w:szCs w:val="24"/>
        </w:rPr>
        <w:t xml:space="preserve">. </w:t>
      </w:r>
      <w:r w:rsidR="004B2D14" w:rsidRPr="00633BA3">
        <w:rPr>
          <w:rFonts w:ascii="Times New Roman" w:hAnsi="Times New Roman" w:cs="Times New Roman"/>
          <w:sz w:val="24"/>
          <w:szCs w:val="24"/>
        </w:rPr>
        <w:t xml:space="preserve"> </w:t>
      </w:r>
      <w:r w:rsidR="00B61C09" w:rsidRPr="00633BA3">
        <w:rPr>
          <w:rFonts w:ascii="Times New Roman" w:hAnsi="Times New Roman" w:cs="Times New Roman"/>
          <w:sz w:val="24"/>
          <w:szCs w:val="24"/>
        </w:rPr>
        <w:t xml:space="preserve">Deleted codes are not available for use for dates of service after </w:t>
      </w:r>
      <w:r w:rsidR="00C62709">
        <w:rPr>
          <w:rFonts w:ascii="Times New Roman" w:hAnsi="Times New Roman" w:cs="Times New Roman"/>
          <w:sz w:val="24"/>
          <w:szCs w:val="24"/>
        </w:rPr>
        <w:t xml:space="preserve">  </w:t>
      </w:r>
      <w:r w:rsidR="00B61C09" w:rsidRPr="00633BA3">
        <w:rPr>
          <w:rFonts w:ascii="Times New Roman" w:hAnsi="Times New Roman" w:cs="Times New Roman"/>
          <w:sz w:val="24"/>
          <w:szCs w:val="24"/>
        </w:rPr>
        <w:t>December 31, 201</w:t>
      </w:r>
      <w:r w:rsidR="00356E4E" w:rsidRPr="00633BA3">
        <w:rPr>
          <w:rFonts w:ascii="Times New Roman" w:hAnsi="Times New Roman" w:cs="Times New Roman"/>
          <w:sz w:val="24"/>
          <w:szCs w:val="24"/>
        </w:rPr>
        <w:t>9</w:t>
      </w:r>
      <w:r w:rsidR="00B61C09" w:rsidRPr="00633BA3">
        <w:rPr>
          <w:rFonts w:ascii="Times New Roman" w:hAnsi="Times New Roman" w:cs="Times New Roman"/>
          <w:sz w:val="24"/>
          <w:szCs w:val="24"/>
        </w:rPr>
        <w:t>.</w:t>
      </w:r>
    </w:p>
    <w:p w14:paraId="02A7F3E7" w14:textId="77777777" w:rsidR="00B61C09" w:rsidRPr="00633BA3" w:rsidRDefault="00B61C09" w:rsidP="00633BA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0449E18" w14:textId="77777777" w:rsidR="00B61C09" w:rsidRPr="00633BA3" w:rsidRDefault="00B61C09" w:rsidP="00633BA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371A289" w14:textId="77777777" w:rsidR="00990C42" w:rsidRPr="00633BA3" w:rsidRDefault="00074780" w:rsidP="00633BA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33BA3">
        <w:rPr>
          <w:rFonts w:ascii="Times New Roman" w:hAnsi="Times New Roman" w:cs="Times New Roman"/>
          <w:b/>
          <w:sz w:val="24"/>
          <w:szCs w:val="24"/>
        </w:rPr>
        <w:t>101</w:t>
      </w:r>
      <w:r w:rsidR="00990C42" w:rsidRPr="00633BA3">
        <w:rPr>
          <w:rFonts w:ascii="Times New Roman" w:hAnsi="Times New Roman" w:cs="Times New Roman"/>
          <w:b/>
          <w:sz w:val="24"/>
          <w:szCs w:val="24"/>
        </w:rPr>
        <w:t xml:space="preserve"> CMR </w:t>
      </w:r>
      <w:r w:rsidRPr="00633BA3">
        <w:rPr>
          <w:rFonts w:ascii="Times New Roman" w:hAnsi="Times New Roman" w:cs="Times New Roman"/>
          <w:b/>
          <w:sz w:val="24"/>
          <w:szCs w:val="24"/>
        </w:rPr>
        <w:t>3</w:t>
      </w:r>
      <w:r w:rsidR="00990C42" w:rsidRPr="00633BA3">
        <w:rPr>
          <w:rFonts w:ascii="Times New Roman" w:hAnsi="Times New Roman" w:cs="Times New Roman"/>
          <w:b/>
          <w:sz w:val="24"/>
          <w:szCs w:val="24"/>
        </w:rPr>
        <w:t>47.00 Added Codes</w:t>
      </w:r>
    </w:p>
    <w:p w14:paraId="19754BDD" w14:textId="77777777" w:rsidR="00790F1F" w:rsidRPr="00633BA3" w:rsidRDefault="00790F1F" w:rsidP="00633BA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638"/>
        <w:gridCol w:w="1350"/>
        <w:gridCol w:w="6840"/>
      </w:tblGrid>
      <w:tr w:rsidR="005D39C2" w:rsidRPr="007849F6" w14:paraId="2F8BE850" w14:textId="77777777" w:rsidTr="00C87B9E">
        <w:trPr>
          <w:cantSplit/>
          <w:trHeight w:val="266"/>
          <w:tblHeader/>
        </w:trPr>
        <w:tc>
          <w:tcPr>
            <w:tcW w:w="1638" w:type="dxa"/>
            <w:vAlign w:val="center"/>
            <w:hideMark/>
          </w:tcPr>
          <w:p w14:paraId="43EC2EA8" w14:textId="77777777" w:rsidR="005D39C2" w:rsidRPr="007849F6" w:rsidRDefault="007849F6" w:rsidP="007849F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Added </w:t>
            </w:r>
            <w:r w:rsidR="005D39C2" w:rsidRPr="007849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1350" w:type="dxa"/>
            <w:vAlign w:val="center"/>
            <w:hideMark/>
          </w:tcPr>
          <w:p w14:paraId="56C6C6E9" w14:textId="77777777" w:rsidR="005D39C2" w:rsidRPr="007849F6" w:rsidRDefault="005D39C2" w:rsidP="007849F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Rate</w:t>
            </w:r>
          </w:p>
        </w:tc>
        <w:tc>
          <w:tcPr>
            <w:tcW w:w="6840" w:type="dxa"/>
            <w:hideMark/>
          </w:tcPr>
          <w:p w14:paraId="22C9B75B" w14:textId="645AC7BB" w:rsidR="005D39C2" w:rsidRPr="007849F6" w:rsidRDefault="005D39C2" w:rsidP="00A970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Code Description </w:t>
            </w:r>
          </w:p>
        </w:tc>
      </w:tr>
      <w:tr w:rsidR="005D39C2" w:rsidRPr="007849F6" w14:paraId="5F683EB8" w14:textId="77777777" w:rsidTr="00C87B9E">
        <w:trPr>
          <w:cantSplit/>
          <w:trHeight w:val="416"/>
        </w:trPr>
        <w:tc>
          <w:tcPr>
            <w:tcW w:w="1638" w:type="dxa"/>
            <w:vAlign w:val="center"/>
          </w:tcPr>
          <w:p w14:paraId="255C1F21" w14:textId="77777777" w:rsidR="005D39C2" w:rsidRPr="007849F6" w:rsidRDefault="005D39C2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15769</w:t>
            </w:r>
          </w:p>
        </w:tc>
        <w:tc>
          <w:tcPr>
            <w:tcW w:w="1350" w:type="dxa"/>
            <w:vAlign w:val="center"/>
          </w:tcPr>
          <w:p w14:paraId="5A22F533" w14:textId="77777777" w:rsidR="005D39C2" w:rsidRPr="007849F6" w:rsidRDefault="005D39C2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$1200.15</w:t>
            </w:r>
          </w:p>
        </w:tc>
        <w:tc>
          <w:tcPr>
            <w:tcW w:w="6840" w:type="dxa"/>
          </w:tcPr>
          <w:p w14:paraId="0A2598EC" w14:textId="77777777" w:rsidR="005D39C2" w:rsidRPr="007849F6" w:rsidRDefault="005D39C2" w:rsidP="00633B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Grafting of autologous soft tissue, other, harvested by direct excision (</w:t>
            </w:r>
            <w:proofErr w:type="spellStart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</w:t>
            </w:r>
            <w:proofErr w:type="spellEnd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fat, dermis, fascia)</w:t>
            </w:r>
          </w:p>
        </w:tc>
      </w:tr>
      <w:tr w:rsidR="005D39C2" w:rsidRPr="007849F6" w14:paraId="2BB70620" w14:textId="77777777" w:rsidTr="00C87B9E">
        <w:trPr>
          <w:cantSplit/>
          <w:trHeight w:val="552"/>
        </w:trPr>
        <w:tc>
          <w:tcPr>
            <w:tcW w:w="1638" w:type="dxa"/>
            <w:vAlign w:val="center"/>
          </w:tcPr>
          <w:p w14:paraId="3D3B0065" w14:textId="77777777" w:rsidR="005D39C2" w:rsidRPr="007849F6" w:rsidRDefault="005D39C2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15771</w:t>
            </w:r>
          </w:p>
        </w:tc>
        <w:tc>
          <w:tcPr>
            <w:tcW w:w="1350" w:type="dxa"/>
            <w:vAlign w:val="center"/>
          </w:tcPr>
          <w:p w14:paraId="1B8AFD95" w14:textId="77777777" w:rsidR="005D39C2" w:rsidRPr="007849F6" w:rsidRDefault="005D39C2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$1200.15</w:t>
            </w:r>
          </w:p>
        </w:tc>
        <w:tc>
          <w:tcPr>
            <w:tcW w:w="6840" w:type="dxa"/>
          </w:tcPr>
          <w:p w14:paraId="3E2EFD45" w14:textId="77777777" w:rsidR="005D39C2" w:rsidRPr="007849F6" w:rsidRDefault="005D39C2" w:rsidP="00633B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Grafting of autologous fat harvested by liposuction technique to trunk, breasts, scalp, arms, and/or legs; 50 cc or less injectate</w:t>
            </w:r>
          </w:p>
        </w:tc>
      </w:tr>
      <w:tr w:rsidR="005D39C2" w:rsidRPr="007849F6" w14:paraId="175EB3B1" w14:textId="77777777" w:rsidTr="00C87B9E">
        <w:trPr>
          <w:cantSplit/>
          <w:trHeight w:val="280"/>
        </w:trPr>
        <w:tc>
          <w:tcPr>
            <w:tcW w:w="1638" w:type="dxa"/>
            <w:vAlign w:val="center"/>
          </w:tcPr>
          <w:p w14:paraId="2772CD19" w14:textId="77777777" w:rsidR="005D39C2" w:rsidRPr="007849F6" w:rsidRDefault="005D39C2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15773</w:t>
            </w:r>
          </w:p>
        </w:tc>
        <w:tc>
          <w:tcPr>
            <w:tcW w:w="1350" w:type="dxa"/>
            <w:vAlign w:val="center"/>
          </w:tcPr>
          <w:p w14:paraId="7A32F8E4" w14:textId="77777777" w:rsidR="005D39C2" w:rsidRPr="007849F6" w:rsidRDefault="005D39C2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$1200.15</w:t>
            </w:r>
          </w:p>
        </w:tc>
        <w:tc>
          <w:tcPr>
            <w:tcW w:w="6840" w:type="dxa"/>
          </w:tcPr>
          <w:p w14:paraId="1083479B" w14:textId="77777777" w:rsidR="005D39C2" w:rsidRPr="007849F6" w:rsidRDefault="005D39C2" w:rsidP="00633B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Grafting of autologous fat harvested by liposuction technique to face, eyelids, mouth, neck, ears, orbits, genitalia, hands, and/or feet; 25 cc or less injectate</w:t>
            </w:r>
          </w:p>
        </w:tc>
      </w:tr>
      <w:tr w:rsidR="005D39C2" w:rsidRPr="007849F6" w14:paraId="63E8D4B4" w14:textId="77777777" w:rsidTr="00C87B9E">
        <w:trPr>
          <w:cantSplit/>
          <w:trHeight w:val="280"/>
        </w:trPr>
        <w:tc>
          <w:tcPr>
            <w:tcW w:w="1638" w:type="dxa"/>
            <w:vAlign w:val="center"/>
          </w:tcPr>
          <w:p w14:paraId="2720517D" w14:textId="77777777" w:rsidR="005D39C2" w:rsidRPr="007849F6" w:rsidRDefault="005D39C2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33016</w:t>
            </w:r>
          </w:p>
        </w:tc>
        <w:tc>
          <w:tcPr>
            <w:tcW w:w="1350" w:type="dxa"/>
            <w:vAlign w:val="center"/>
          </w:tcPr>
          <w:p w14:paraId="1DE2E721" w14:textId="77777777" w:rsidR="005D39C2" w:rsidRPr="007849F6" w:rsidRDefault="007849F6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$435.23</w:t>
            </w:r>
          </w:p>
        </w:tc>
        <w:tc>
          <w:tcPr>
            <w:tcW w:w="6840" w:type="dxa"/>
          </w:tcPr>
          <w:p w14:paraId="24C991BD" w14:textId="77777777" w:rsidR="005D39C2" w:rsidRPr="007849F6" w:rsidRDefault="005D39C2" w:rsidP="00633B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Pericardiocentesis, including imaging guidance, when performed</w:t>
            </w:r>
          </w:p>
        </w:tc>
      </w:tr>
      <w:tr w:rsidR="005D39C2" w:rsidRPr="007849F6" w14:paraId="28BD6874" w14:textId="77777777" w:rsidTr="00C87B9E">
        <w:trPr>
          <w:cantSplit/>
          <w:trHeight w:val="280"/>
        </w:trPr>
        <w:tc>
          <w:tcPr>
            <w:tcW w:w="1638" w:type="dxa"/>
            <w:vAlign w:val="center"/>
          </w:tcPr>
          <w:p w14:paraId="7634DD72" w14:textId="77777777" w:rsidR="005D39C2" w:rsidRPr="007849F6" w:rsidRDefault="005D39C2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46948</w:t>
            </w:r>
          </w:p>
        </w:tc>
        <w:tc>
          <w:tcPr>
            <w:tcW w:w="1350" w:type="dxa"/>
            <w:vAlign w:val="center"/>
          </w:tcPr>
          <w:p w14:paraId="6520595F" w14:textId="77777777" w:rsidR="005D39C2" w:rsidRPr="007849F6" w:rsidRDefault="007849F6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$935.17</w:t>
            </w:r>
          </w:p>
        </w:tc>
        <w:tc>
          <w:tcPr>
            <w:tcW w:w="6840" w:type="dxa"/>
          </w:tcPr>
          <w:p w14:paraId="25116E33" w14:textId="77777777" w:rsidR="005D39C2" w:rsidRPr="007849F6" w:rsidRDefault="005D39C2" w:rsidP="00633B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Hemorrhoidectomy, internal, by </w:t>
            </w:r>
            <w:proofErr w:type="spellStart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transanal</w:t>
            </w:r>
            <w:proofErr w:type="spellEnd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hemorrhoidal</w:t>
            </w:r>
            <w:proofErr w:type="spellEnd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dearterialization</w:t>
            </w:r>
            <w:proofErr w:type="spellEnd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or more hemorrhoid columns/groups, including ultrasound guidance, with </w:t>
            </w:r>
            <w:proofErr w:type="spellStart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mucopexy</w:t>
            </w:r>
            <w:proofErr w:type="spellEnd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when performed</w:t>
            </w:r>
          </w:p>
        </w:tc>
      </w:tr>
      <w:tr w:rsidR="007849F6" w:rsidRPr="007849F6" w14:paraId="09AC5DC6" w14:textId="77777777" w:rsidTr="00C87B9E">
        <w:trPr>
          <w:cantSplit/>
          <w:trHeight w:val="143"/>
        </w:trPr>
        <w:tc>
          <w:tcPr>
            <w:tcW w:w="1638" w:type="dxa"/>
            <w:vAlign w:val="center"/>
          </w:tcPr>
          <w:p w14:paraId="055D0063" w14:textId="77777777" w:rsidR="007849F6" w:rsidRPr="007849F6" w:rsidRDefault="007849F6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62328</w:t>
            </w:r>
          </w:p>
        </w:tc>
        <w:tc>
          <w:tcPr>
            <w:tcW w:w="1350" w:type="dxa"/>
            <w:vAlign w:val="center"/>
          </w:tcPr>
          <w:p w14:paraId="5BE48C10" w14:textId="77777777" w:rsidR="007849F6" w:rsidRPr="007849F6" w:rsidRDefault="007849F6" w:rsidP="00784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$268.46</w:t>
            </w:r>
          </w:p>
        </w:tc>
        <w:tc>
          <w:tcPr>
            <w:tcW w:w="6840" w:type="dxa"/>
          </w:tcPr>
          <w:p w14:paraId="69DE2132" w14:textId="77777777" w:rsidR="007849F6" w:rsidRPr="007849F6" w:rsidRDefault="007849F6" w:rsidP="007849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Spinal puncture, lumbar, diagnostic; with fluoroscopic or CT guidance</w:t>
            </w:r>
          </w:p>
        </w:tc>
      </w:tr>
      <w:tr w:rsidR="007849F6" w:rsidRPr="007849F6" w14:paraId="1C5B89C4" w14:textId="77777777" w:rsidTr="00C87B9E">
        <w:trPr>
          <w:cantSplit/>
          <w:trHeight w:val="280"/>
        </w:trPr>
        <w:tc>
          <w:tcPr>
            <w:tcW w:w="1638" w:type="dxa"/>
            <w:vAlign w:val="center"/>
          </w:tcPr>
          <w:p w14:paraId="349629E8" w14:textId="77777777" w:rsidR="007849F6" w:rsidRPr="007849F6" w:rsidRDefault="007849F6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62329</w:t>
            </w:r>
          </w:p>
        </w:tc>
        <w:tc>
          <w:tcPr>
            <w:tcW w:w="1350" w:type="dxa"/>
            <w:vAlign w:val="center"/>
          </w:tcPr>
          <w:p w14:paraId="7FD26CDD" w14:textId="77777777" w:rsidR="007849F6" w:rsidRPr="007849F6" w:rsidRDefault="007849F6" w:rsidP="00784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$268.46</w:t>
            </w:r>
          </w:p>
        </w:tc>
        <w:tc>
          <w:tcPr>
            <w:tcW w:w="6840" w:type="dxa"/>
          </w:tcPr>
          <w:p w14:paraId="46A75458" w14:textId="77777777" w:rsidR="007849F6" w:rsidRPr="007849F6" w:rsidRDefault="007849F6" w:rsidP="007849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Spinal puncture, lumbar, therapeutic, for drainage of cerebrospinal fluid (by needle or catheter); with fluoroscopic or CT guidance</w:t>
            </w:r>
          </w:p>
        </w:tc>
      </w:tr>
      <w:tr w:rsidR="007849F6" w:rsidRPr="007849F6" w14:paraId="4096CFA4" w14:textId="77777777" w:rsidTr="00C87B9E">
        <w:trPr>
          <w:cantSplit/>
          <w:trHeight w:val="280"/>
        </w:trPr>
        <w:tc>
          <w:tcPr>
            <w:tcW w:w="1638" w:type="dxa"/>
            <w:vAlign w:val="center"/>
          </w:tcPr>
          <w:p w14:paraId="7EC0D6DA" w14:textId="77777777" w:rsidR="007849F6" w:rsidRPr="007849F6" w:rsidRDefault="007849F6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64451</w:t>
            </w:r>
          </w:p>
        </w:tc>
        <w:tc>
          <w:tcPr>
            <w:tcW w:w="1350" w:type="dxa"/>
            <w:vAlign w:val="center"/>
          </w:tcPr>
          <w:p w14:paraId="46FF614E" w14:textId="77777777" w:rsidR="007849F6" w:rsidRPr="007849F6" w:rsidRDefault="007849F6" w:rsidP="00784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$268.46</w:t>
            </w:r>
          </w:p>
        </w:tc>
        <w:tc>
          <w:tcPr>
            <w:tcW w:w="6840" w:type="dxa"/>
          </w:tcPr>
          <w:p w14:paraId="4E44CDC5" w14:textId="77777777" w:rsidR="007849F6" w:rsidRPr="007849F6" w:rsidRDefault="007849F6" w:rsidP="007849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Injection(s), anesthetic agent(s) and/or steroid; nerves innervating the sacroiliac joint, with image guidance (</w:t>
            </w:r>
            <w:proofErr w:type="spellStart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</w:t>
            </w:r>
            <w:proofErr w:type="spellEnd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fluoroscopy or computed tomography)</w:t>
            </w:r>
          </w:p>
        </w:tc>
      </w:tr>
      <w:tr w:rsidR="007849F6" w:rsidRPr="007849F6" w14:paraId="060A6570" w14:textId="77777777" w:rsidTr="00C87B9E">
        <w:trPr>
          <w:cantSplit/>
          <w:trHeight w:val="280"/>
        </w:trPr>
        <w:tc>
          <w:tcPr>
            <w:tcW w:w="1638" w:type="dxa"/>
            <w:vAlign w:val="center"/>
          </w:tcPr>
          <w:p w14:paraId="74A88E95" w14:textId="77777777" w:rsidR="007849F6" w:rsidRPr="007849F6" w:rsidRDefault="007849F6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64454</w:t>
            </w:r>
          </w:p>
        </w:tc>
        <w:tc>
          <w:tcPr>
            <w:tcW w:w="1350" w:type="dxa"/>
            <w:vAlign w:val="center"/>
          </w:tcPr>
          <w:p w14:paraId="0172D954" w14:textId="77777777" w:rsidR="007849F6" w:rsidRPr="007849F6" w:rsidRDefault="007849F6" w:rsidP="00784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$134.36</w:t>
            </w:r>
          </w:p>
        </w:tc>
        <w:tc>
          <w:tcPr>
            <w:tcW w:w="6840" w:type="dxa"/>
          </w:tcPr>
          <w:p w14:paraId="2E080DE9" w14:textId="77777777" w:rsidR="007849F6" w:rsidRPr="007849F6" w:rsidRDefault="007849F6" w:rsidP="007849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Injection(s), anesthetic agent(s) and/or steroid; genicular nerve branches including imaging guidance, when performed</w:t>
            </w:r>
          </w:p>
        </w:tc>
      </w:tr>
      <w:tr w:rsidR="007849F6" w:rsidRPr="007849F6" w14:paraId="3F743EAD" w14:textId="77777777" w:rsidTr="00C87B9E">
        <w:trPr>
          <w:cantSplit/>
          <w:trHeight w:val="280"/>
        </w:trPr>
        <w:tc>
          <w:tcPr>
            <w:tcW w:w="1638" w:type="dxa"/>
            <w:vAlign w:val="center"/>
          </w:tcPr>
          <w:p w14:paraId="57E224BC" w14:textId="77777777" w:rsidR="007849F6" w:rsidRPr="007849F6" w:rsidRDefault="007849F6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64624</w:t>
            </w:r>
          </w:p>
        </w:tc>
        <w:tc>
          <w:tcPr>
            <w:tcW w:w="1350" w:type="dxa"/>
            <w:vAlign w:val="center"/>
          </w:tcPr>
          <w:p w14:paraId="19A8147B" w14:textId="77777777" w:rsidR="007849F6" w:rsidRPr="007849F6" w:rsidRDefault="007849F6" w:rsidP="00784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$270.87</w:t>
            </w:r>
          </w:p>
        </w:tc>
        <w:tc>
          <w:tcPr>
            <w:tcW w:w="6840" w:type="dxa"/>
          </w:tcPr>
          <w:p w14:paraId="60267C1D" w14:textId="77777777" w:rsidR="007849F6" w:rsidRPr="007849F6" w:rsidRDefault="007849F6" w:rsidP="007849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Destruction by neurolytic agent genicular nerve branches (including imaging guidance, when performed)</w:t>
            </w:r>
          </w:p>
        </w:tc>
      </w:tr>
      <w:tr w:rsidR="007849F6" w:rsidRPr="007849F6" w14:paraId="49D7388C" w14:textId="77777777" w:rsidTr="00C87B9E">
        <w:trPr>
          <w:cantSplit/>
          <w:trHeight w:val="280"/>
        </w:trPr>
        <w:tc>
          <w:tcPr>
            <w:tcW w:w="1638" w:type="dxa"/>
            <w:vAlign w:val="center"/>
          </w:tcPr>
          <w:p w14:paraId="69953A07" w14:textId="77777777" w:rsidR="007849F6" w:rsidRPr="007849F6" w:rsidRDefault="007849F6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64625</w:t>
            </w:r>
          </w:p>
        </w:tc>
        <w:tc>
          <w:tcPr>
            <w:tcW w:w="1350" w:type="dxa"/>
            <w:vAlign w:val="center"/>
          </w:tcPr>
          <w:p w14:paraId="1CE00DD0" w14:textId="77777777" w:rsidR="007849F6" w:rsidRPr="007849F6" w:rsidRDefault="007849F6" w:rsidP="00784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$677.27</w:t>
            </w:r>
          </w:p>
        </w:tc>
        <w:tc>
          <w:tcPr>
            <w:tcW w:w="6840" w:type="dxa"/>
          </w:tcPr>
          <w:p w14:paraId="5A7EB449" w14:textId="77777777" w:rsidR="007849F6" w:rsidRPr="007849F6" w:rsidRDefault="007849F6" w:rsidP="007849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Radiofrequency ablation, nerves innervating the sacroiliac joint, with image guidance (</w:t>
            </w:r>
            <w:proofErr w:type="spellStart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</w:t>
            </w:r>
            <w:proofErr w:type="spellEnd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fluoroscopy or computed tomography)</w:t>
            </w:r>
          </w:p>
        </w:tc>
      </w:tr>
      <w:tr w:rsidR="007849F6" w:rsidRPr="007849F6" w14:paraId="1B9A95FE" w14:textId="77777777" w:rsidTr="00C87B9E">
        <w:trPr>
          <w:cantSplit/>
          <w:trHeight w:val="280"/>
        </w:trPr>
        <w:tc>
          <w:tcPr>
            <w:tcW w:w="1638" w:type="dxa"/>
            <w:vAlign w:val="center"/>
          </w:tcPr>
          <w:p w14:paraId="60A13F81" w14:textId="77777777" w:rsidR="007849F6" w:rsidRPr="007849F6" w:rsidRDefault="007849F6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66987</w:t>
            </w:r>
          </w:p>
        </w:tc>
        <w:tc>
          <w:tcPr>
            <w:tcW w:w="1350" w:type="dxa"/>
            <w:vAlign w:val="center"/>
          </w:tcPr>
          <w:p w14:paraId="250E203E" w14:textId="77777777" w:rsidR="007849F6" w:rsidRPr="007849F6" w:rsidRDefault="007849F6" w:rsidP="00784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$2,034.08</w:t>
            </w:r>
          </w:p>
        </w:tc>
        <w:tc>
          <w:tcPr>
            <w:tcW w:w="6840" w:type="dxa"/>
          </w:tcPr>
          <w:p w14:paraId="29F79EFA" w14:textId="77777777" w:rsidR="007849F6" w:rsidRPr="007849F6" w:rsidRDefault="007849F6" w:rsidP="007849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Extracapsular cataract removal with insertion of intraocular lens prosthesis (1-stage procedure), manual or mechanical technique (</w:t>
            </w:r>
            <w:proofErr w:type="spellStart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</w:t>
            </w:r>
            <w:proofErr w:type="spellEnd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irrigation and aspiration or phacoemulsification), complex, requiring devices or techniques not generally used in routine cataract surgery (</w:t>
            </w:r>
            <w:proofErr w:type="spellStart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</w:t>
            </w:r>
            <w:proofErr w:type="spellEnd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iris expansion device, suture support for intraocular lens, or primary posterior </w:t>
            </w:r>
            <w:proofErr w:type="spellStart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capsulorrhexis</w:t>
            </w:r>
            <w:proofErr w:type="spellEnd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or performed on patients in the amblyogenic developmental stage; with endoscopic cyclophotocoagulation</w:t>
            </w:r>
          </w:p>
        </w:tc>
      </w:tr>
      <w:tr w:rsidR="007849F6" w:rsidRPr="007849F6" w14:paraId="20D2A0CB" w14:textId="77777777" w:rsidTr="00C87B9E">
        <w:trPr>
          <w:cantSplit/>
          <w:trHeight w:val="280"/>
        </w:trPr>
        <w:tc>
          <w:tcPr>
            <w:tcW w:w="1638" w:type="dxa"/>
            <w:vAlign w:val="center"/>
          </w:tcPr>
          <w:p w14:paraId="1478FB75" w14:textId="77777777" w:rsidR="007849F6" w:rsidRPr="007849F6" w:rsidRDefault="007849F6" w:rsidP="007849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66988</w:t>
            </w:r>
          </w:p>
        </w:tc>
        <w:tc>
          <w:tcPr>
            <w:tcW w:w="1350" w:type="dxa"/>
            <w:vAlign w:val="center"/>
          </w:tcPr>
          <w:p w14:paraId="0053643E" w14:textId="77777777" w:rsidR="007849F6" w:rsidRPr="007849F6" w:rsidRDefault="007849F6" w:rsidP="00784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2,034.08</w:t>
            </w:r>
          </w:p>
        </w:tc>
        <w:tc>
          <w:tcPr>
            <w:tcW w:w="6840" w:type="dxa"/>
          </w:tcPr>
          <w:p w14:paraId="1A393C7F" w14:textId="77777777" w:rsidR="007849F6" w:rsidRPr="007849F6" w:rsidRDefault="007849F6" w:rsidP="007849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Extracapsular cataract removal with insertion of intraocular lens prosthesis (1 stage procedure), manual or mechanical technique (</w:t>
            </w:r>
            <w:proofErr w:type="spellStart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</w:t>
            </w:r>
            <w:proofErr w:type="spellEnd"/>
            <w:r w:rsidRPr="0078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irrigation and aspiration or phacoemulsification); with endoscopic cyclophotocoagulation</w:t>
            </w:r>
          </w:p>
        </w:tc>
      </w:tr>
    </w:tbl>
    <w:p w14:paraId="4B6F469F" w14:textId="77777777" w:rsidR="00340681" w:rsidRPr="00633BA3" w:rsidRDefault="00340681" w:rsidP="00633BA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467B8BB" w14:textId="77777777" w:rsidR="00C76769" w:rsidRDefault="00C76769" w:rsidP="00633BA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6F51AA1" w14:textId="77777777" w:rsidR="00AD7BAC" w:rsidRPr="00633BA3" w:rsidRDefault="00074780" w:rsidP="00633BA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33BA3">
        <w:rPr>
          <w:rFonts w:ascii="Times New Roman" w:hAnsi="Times New Roman" w:cs="Times New Roman"/>
          <w:b/>
          <w:sz w:val="24"/>
          <w:szCs w:val="24"/>
        </w:rPr>
        <w:t>101</w:t>
      </w:r>
      <w:r w:rsidR="00990C42" w:rsidRPr="00633BA3">
        <w:rPr>
          <w:rFonts w:ascii="Times New Roman" w:hAnsi="Times New Roman" w:cs="Times New Roman"/>
          <w:b/>
          <w:sz w:val="24"/>
          <w:szCs w:val="24"/>
        </w:rPr>
        <w:t xml:space="preserve"> CMR </w:t>
      </w:r>
      <w:r w:rsidRPr="00633BA3">
        <w:rPr>
          <w:rFonts w:ascii="Times New Roman" w:hAnsi="Times New Roman" w:cs="Times New Roman"/>
          <w:b/>
          <w:sz w:val="24"/>
          <w:szCs w:val="24"/>
        </w:rPr>
        <w:t>3</w:t>
      </w:r>
      <w:r w:rsidR="00990C42" w:rsidRPr="00633BA3">
        <w:rPr>
          <w:rFonts w:ascii="Times New Roman" w:hAnsi="Times New Roman" w:cs="Times New Roman"/>
          <w:b/>
          <w:sz w:val="24"/>
          <w:szCs w:val="24"/>
        </w:rPr>
        <w:t>47.00 Deleted Codes</w:t>
      </w:r>
    </w:p>
    <w:p w14:paraId="040B564D" w14:textId="77777777" w:rsidR="00790F1F" w:rsidRPr="00633BA3" w:rsidRDefault="00790F1F" w:rsidP="00633BA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W w:w="9828" w:type="dxa"/>
        <w:tblLook w:val="01E0" w:firstRow="1" w:lastRow="1" w:firstColumn="1" w:lastColumn="1" w:noHBand="0" w:noVBand="0"/>
      </w:tblPr>
      <w:tblGrid>
        <w:gridCol w:w="1188"/>
        <w:gridCol w:w="8640"/>
      </w:tblGrid>
      <w:tr w:rsidR="00990C42" w:rsidRPr="00633BA3" w14:paraId="469FDDA1" w14:textId="77777777" w:rsidTr="00633BA3">
        <w:trPr>
          <w:trHeight w:val="620"/>
        </w:trPr>
        <w:tc>
          <w:tcPr>
            <w:tcW w:w="1188" w:type="dxa"/>
            <w:vAlign w:val="center"/>
          </w:tcPr>
          <w:p w14:paraId="41FA8A36" w14:textId="77777777" w:rsidR="00990C42" w:rsidRPr="00633BA3" w:rsidRDefault="00990C42" w:rsidP="00633BA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Deleted Codes</w:t>
            </w:r>
          </w:p>
        </w:tc>
        <w:tc>
          <w:tcPr>
            <w:tcW w:w="8640" w:type="dxa"/>
            <w:vAlign w:val="center"/>
          </w:tcPr>
          <w:p w14:paraId="439502F9" w14:textId="3BDB4BD3" w:rsidR="00990C42" w:rsidRPr="00633BA3" w:rsidRDefault="00990C42" w:rsidP="00A970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Code Description </w:t>
            </w:r>
          </w:p>
        </w:tc>
      </w:tr>
      <w:tr w:rsidR="00790F1F" w:rsidRPr="00633BA3" w14:paraId="36C42F0A" w14:textId="77777777" w:rsidTr="00790F1F">
        <w:tc>
          <w:tcPr>
            <w:tcW w:w="1188" w:type="dxa"/>
            <w:vAlign w:val="center"/>
          </w:tcPr>
          <w:p w14:paraId="7E0634CA" w14:textId="77777777" w:rsidR="00790F1F" w:rsidRPr="00633BA3" w:rsidRDefault="00790F1F" w:rsidP="00633BA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19304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4F241847" w14:textId="77777777" w:rsidR="00790F1F" w:rsidRPr="00633BA3" w:rsidRDefault="00790F1F" w:rsidP="00633B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Mastectomy, subcutaneous</w:t>
            </w:r>
          </w:p>
        </w:tc>
      </w:tr>
      <w:tr w:rsidR="00790F1F" w:rsidRPr="00633BA3" w14:paraId="5C3345EB" w14:textId="77777777" w:rsidTr="00790F1F">
        <w:tc>
          <w:tcPr>
            <w:tcW w:w="1188" w:type="dxa"/>
            <w:vAlign w:val="center"/>
          </w:tcPr>
          <w:p w14:paraId="1F4D64E8" w14:textId="77777777" w:rsidR="00790F1F" w:rsidRPr="00633BA3" w:rsidRDefault="00790F1F" w:rsidP="00633BA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20926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7724DCB0" w14:textId="77777777" w:rsidR="00790F1F" w:rsidRPr="00633BA3" w:rsidRDefault="00790F1F" w:rsidP="00633B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Tissue grafts, other (</w:t>
            </w:r>
            <w:proofErr w:type="spellStart"/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</w:t>
            </w:r>
            <w:proofErr w:type="spellEnd"/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paratenon</w:t>
            </w:r>
            <w:proofErr w:type="spellEnd"/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fat, dermis)</w:t>
            </w:r>
          </w:p>
        </w:tc>
      </w:tr>
      <w:tr w:rsidR="00790F1F" w:rsidRPr="00633BA3" w14:paraId="1697D77A" w14:textId="77777777" w:rsidTr="00790F1F">
        <w:tc>
          <w:tcPr>
            <w:tcW w:w="1188" w:type="dxa"/>
            <w:vAlign w:val="center"/>
          </w:tcPr>
          <w:p w14:paraId="360E3D7C" w14:textId="77777777" w:rsidR="00790F1F" w:rsidRPr="00633BA3" w:rsidRDefault="00790F1F" w:rsidP="00633BA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33010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5B599437" w14:textId="77777777" w:rsidR="00790F1F" w:rsidRPr="00633BA3" w:rsidRDefault="00790F1F" w:rsidP="00633B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Pericardiocentesis; initial</w:t>
            </w:r>
          </w:p>
        </w:tc>
      </w:tr>
      <w:tr w:rsidR="00790F1F" w:rsidRPr="00633BA3" w14:paraId="31AC6AF1" w14:textId="77777777" w:rsidTr="00790F1F">
        <w:tc>
          <w:tcPr>
            <w:tcW w:w="1188" w:type="dxa"/>
            <w:vAlign w:val="center"/>
          </w:tcPr>
          <w:p w14:paraId="5A322076" w14:textId="77777777" w:rsidR="00790F1F" w:rsidRPr="00633BA3" w:rsidRDefault="00790F1F" w:rsidP="00633BA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33011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50143119" w14:textId="77777777" w:rsidR="00790F1F" w:rsidRPr="00633BA3" w:rsidRDefault="00790F1F" w:rsidP="00633B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Pericardiocentesis; subsequent</w:t>
            </w:r>
          </w:p>
        </w:tc>
      </w:tr>
      <w:tr w:rsidR="00790F1F" w:rsidRPr="00633BA3" w14:paraId="6CA896CB" w14:textId="77777777" w:rsidTr="00790F1F">
        <w:tc>
          <w:tcPr>
            <w:tcW w:w="1188" w:type="dxa"/>
            <w:vAlign w:val="center"/>
          </w:tcPr>
          <w:p w14:paraId="3E8F77BE" w14:textId="77777777" w:rsidR="00790F1F" w:rsidRPr="00633BA3" w:rsidRDefault="00790F1F" w:rsidP="00633BA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35761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20F185D9" w14:textId="77777777" w:rsidR="00790F1F" w:rsidRPr="00633BA3" w:rsidRDefault="00790F1F" w:rsidP="00633B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Exploration (not followed by surgical repair), with or without lysis of artery; other vessels</w:t>
            </w:r>
          </w:p>
        </w:tc>
      </w:tr>
      <w:tr w:rsidR="00790F1F" w:rsidRPr="00633BA3" w14:paraId="5288C662" w14:textId="77777777" w:rsidTr="00790F1F">
        <w:tc>
          <w:tcPr>
            <w:tcW w:w="1188" w:type="dxa"/>
            <w:vAlign w:val="center"/>
          </w:tcPr>
          <w:p w14:paraId="1AADD618" w14:textId="77777777" w:rsidR="00790F1F" w:rsidRPr="00633BA3" w:rsidRDefault="00790F1F" w:rsidP="00633BA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64402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19FB235F" w14:textId="77777777" w:rsidR="00790F1F" w:rsidRPr="00633BA3" w:rsidRDefault="00790F1F" w:rsidP="00633B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Injection, anesthetic agent; facial nerve</w:t>
            </w:r>
          </w:p>
        </w:tc>
      </w:tr>
      <w:tr w:rsidR="00790F1F" w:rsidRPr="00633BA3" w14:paraId="19BC6B81" w14:textId="77777777" w:rsidTr="00790F1F">
        <w:tc>
          <w:tcPr>
            <w:tcW w:w="1188" w:type="dxa"/>
            <w:vAlign w:val="center"/>
          </w:tcPr>
          <w:p w14:paraId="642F7364" w14:textId="77777777" w:rsidR="00790F1F" w:rsidRPr="00633BA3" w:rsidRDefault="00790F1F" w:rsidP="00633BA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64410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0B6AC2B6" w14:textId="77777777" w:rsidR="00790F1F" w:rsidRPr="00633BA3" w:rsidRDefault="00790F1F" w:rsidP="00633B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Injection, anesthetic agent; phrenic nerve</w:t>
            </w:r>
          </w:p>
        </w:tc>
      </w:tr>
      <w:tr w:rsidR="00BE0707" w:rsidRPr="00633BA3" w14:paraId="1CC08F81" w14:textId="77777777" w:rsidTr="00790F1F">
        <w:tc>
          <w:tcPr>
            <w:tcW w:w="1188" w:type="dxa"/>
            <w:vAlign w:val="center"/>
          </w:tcPr>
          <w:p w14:paraId="34455FB8" w14:textId="224E17D0" w:rsidR="00BE0707" w:rsidRPr="00633BA3" w:rsidRDefault="00BE0707" w:rsidP="00633BA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64413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6475F839" w14:textId="2413E07D" w:rsidR="00BE0707" w:rsidRPr="00633BA3" w:rsidRDefault="00BE0707" w:rsidP="00633B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Injection, anesthetic agent; cervical plexus</w:t>
            </w:r>
          </w:p>
        </w:tc>
      </w:tr>
    </w:tbl>
    <w:p w14:paraId="6C74EDDB" w14:textId="77777777" w:rsidR="00990C42" w:rsidRPr="00633BA3" w:rsidRDefault="00990C42" w:rsidP="00633BA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5CD5DB06" w14:textId="77777777" w:rsidR="00106F3E" w:rsidRPr="00633BA3" w:rsidRDefault="00106F3E" w:rsidP="00633BA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34067C0" w14:textId="77777777" w:rsidR="00990C42" w:rsidRPr="00633BA3" w:rsidRDefault="00106F3E" w:rsidP="00633BA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33BA3">
        <w:rPr>
          <w:rFonts w:ascii="Times New Roman" w:hAnsi="Times New Roman" w:cs="Times New Roman"/>
          <w:b/>
          <w:sz w:val="24"/>
          <w:szCs w:val="24"/>
        </w:rPr>
        <w:t>1</w:t>
      </w:r>
      <w:r w:rsidR="00074780" w:rsidRPr="00633BA3">
        <w:rPr>
          <w:rFonts w:ascii="Times New Roman" w:hAnsi="Times New Roman" w:cs="Times New Roman"/>
          <w:b/>
          <w:sz w:val="24"/>
          <w:szCs w:val="24"/>
        </w:rPr>
        <w:t>01</w:t>
      </w:r>
      <w:r w:rsidR="00990C42" w:rsidRPr="00633BA3">
        <w:rPr>
          <w:rFonts w:ascii="Times New Roman" w:hAnsi="Times New Roman" w:cs="Times New Roman"/>
          <w:b/>
          <w:sz w:val="24"/>
          <w:szCs w:val="24"/>
        </w:rPr>
        <w:t xml:space="preserve"> CMR </w:t>
      </w:r>
      <w:r w:rsidR="00074780" w:rsidRPr="00633BA3">
        <w:rPr>
          <w:rFonts w:ascii="Times New Roman" w:hAnsi="Times New Roman" w:cs="Times New Roman"/>
          <w:b/>
          <w:sz w:val="24"/>
          <w:szCs w:val="24"/>
        </w:rPr>
        <w:t>3</w:t>
      </w:r>
      <w:r w:rsidR="00990C42" w:rsidRPr="00633BA3">
        <w:rPr>
          <w:rFonts w:ascii="Times New Roman" w:hAnsi="Times New Roman" w:cs="Times New Roman"/>
          <w:b/>
          <w:sz w:val="24"/>
          <w:szCs w:val="24"/>
        </w:rPr>
        <w:t>47.00: Crosswalk</w:t>
      </w:r>
    </w:p>
    <w:p w14:paraId="28D8D9D0" w14:textId="77777777" w:rsidR="00990C42" w:rsidRPr="00633BA3" w:rsidRDefault="00990C42" w:rsidP="00633BA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970"/>
      </w:tblGrid>
      <w:tr w:rsidR="00990C42" w:rsidRPr="00633BA3" w14:paraId="1E15748D" w14:textId="77777777" w:rsidTr="00633BA3">
        <w:trPr>
          <w:trHeight w:val="300"/>
          <w:tblHeader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2228C8B8" w14:textId="77777777" w:rsidR="00990C42" w:rsidRPr="00633BA3" w:rsidRDefault="00990C42" w:rsidP="00633BA3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b/>
                <w:sz w:val="24"/>
                <w:szCs w:val="24"/>
              </w:rPr>
              <w:t>Deleted codes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11A9119D" w14:textId="77777777" w:rsidR="00990C42" w:rsidRPr="00633BA3" w:rsidRDefault="00990C42" w:rsidP="00633BA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b/>
                <w:sz w:val="24"/>
                <w:szCs w:val="24"/>
              </w:rPr>
              <w:t>Replacement codes</w:t>
            </w:r>
          </w:p>
        </w:tc>
      </w:tr>
      <w:tr w:rsidR="00633BA3" w:rsidRPr="00633BA3" w14:paraId="584E1C70" w14:textId="77777777" w:rsidTr="00D12079">
        <w:trPr>
          <w:trHeight w:val="30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507C3" w14:textId="77777777" w:rsidR="00633BA3" w:rsidRPr="00633BA3" w:rsidRDefault="00633BA3" w:rsidP="00D12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sz w:val="24"/>
                <w:szCs w:val="24"/>
              </w:rPr>
              <w:t>20926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782B3" w14:textId="77777777" w:rsidR="00633BA3" w:rsidRPr="00633BA3" w:rsidRDefault="00633BA3" w:rsidP="00D12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sz w:val="24"/>
                <w:szCs w:val="24"/>
              </w:rPr>
              <w:t>15769, 15771, 15773</w:t>
            </w:r>
          </w:p>
        </w:tc>
      </w:tr>
      <w:tr w:rsidR="00633BA3" w:rsidRPr="00633BA3" w14:paraId="2FBB02B2" w14:textId="77777777" w:rsidTr="00D12079">
        <w:trPr>
          <w:trHeight w:val="30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5E801" w14:textId="77777777" w:rsidR="00633BA3" w:rsidRPr="00633BA3" w:rsidRDefault="00633BA3" w:rsidP="00D12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sz w:val="24"/>
                <w:szCs w:val="24"/>
              </w:rPr>
              <w:t>33010, 33011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236BF" w14:textId="337A0CBD" w:rsidR="00633BA3" w:rsidRPr="00633BA3" w:rsidRDefault="00633BA3" w:rsidP="00D120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A3">
              <w:rPr>
                <w:rFonts w:ascii="Times New Roman" w:hAnsi="Times New Roman" w:cs="Times New Roman"/>
                <w:sz w:val="24"/>
                <w:szCs w:val="24"/>
              </w:rPr>
              <w:t>33016</w:t>
            </w:r>
          </w:p>
        </w:tc>
      </w:tr>
    </w:tbl>
    <w:p w14:paraId="3463412E" w14:textId="77777777" w:rsidR="00990C42" w:rsidRPr="00633BA3" w:rsidRDefault="003C31B2" w:rsidP="00633BA3">
      <w:pPr>
        <w:contextualSpacing/>
        <w:rPr>
          <w:rFonts w:ascii="Times New Roman" w:hAnsi="Times New Roman" w:cs="Times New Roman"/>
          <w:sz w:val="24"/>
          <w:szCs w:val="24"/>
        </w:rPr>
      </w:pPr>
      <w:r w:rsidRPr="00633B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8455F" w14:textId="77777777" w:rsidR="007D5819" w:rsidRDefault="007D5819" w:rsidP="00633BA3">
      <w:pPr>
        <w:shd w:val="clear" w:color="auto" w:fill="FFFFFF"/>
        <w:spacing w:before="150" w:after="1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441A282D" w14:textId="77777777" w:rsidR="00633BA3" w:rsidRDefault="00633BA3" w:rsidP="00633BA3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322BC907" w14:textId="77777777" w:rsidR="002D1E16" w:rsidRDefault="002D1E16" w:rsidP="00633BA3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64E3C296" w14:textId="6C478713" w:rsidR="00760514" w:rsidRPr="00633BA3" w:rsidRDefault="00760514" w:rsidP="002D1E16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760514" w:rsidRPr="00633BA3" w:rsidSect="00561E84">
      <w:footerReference w:type="even" r:id="rId11"/>
      <w:footerReference w:type="default" r:id="rId12"/>
      <w:footerReference w:type="first" r:id="rId13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ABBCF" w14:textId="77777777" w:rsidR="00E62835" w:rsidRDefault="00E62835">
      <w:r>
        <w:separator/>
      </w:r>
    </w:p>
  </w:endnote>
  <w:endnote w:type="continuationSeparator" w:id="0">
    <w:p w14:paraId="31D7A2D7" w14:textId="77777777" w:rsidR="00E62835" w:rsidRDefault="00E62835">
      <w:r>
        <w:continuationSeparator/>
      </w:r>
    </w:p>
  </w:endnote>
  <w:endnote w:type="continuationNotice" w:id="1">
    <w:p w14:paraId="599A8727" w14:textId="77777777" w:rsidR="00E62835" w:rsidRDefault="00E62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1825D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2D65D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5686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441B808A" w14:textId="360EDDD0" w:rsidR="00ED13DD" w:rsidRPr="00C87B9E" w:rsidRDefault="00ED13DD">
        <w:pPr>
          <w:pStyle w:val="Footer"/>
          <w:jc w:val="right"/>
          <w:rPr>
            <w:rFonts w:ascii="Times New Roman" w:hAnsi="Times New Roman" w:cs="Times New Roman"/>
            <w:sz w:val="20"/>
          </w:rPr>
        </w:pPr>
        <w:r w:rsidRPr="00C87B9E">
          <w:rPr>
            <w:rFonts w:ascii="Times New Roman" w:hAnsi="Times New Roman" w:cs="Times New Roman"/>
            <w:sz w:val="20"/>
          </w:rPr>
          <w:fldChar w:fldCharType="begin"/>
        </w:r>
        <w:r w:rsidRPr="00C87B9E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C87B9E">
          <w:rPr>
            <w:rFonts w:ascii="Times New Roman" w:hAnsi="Times New Roman" w:cs="Times New Roman"/>
            <w:sz w:val="20"/>
          </w:rPr>
          <w:fldChar w:fldCharType="separate"/>
        </w:r>
        <w:r w:rsidR="00116F4A">
          <w:rPr>
            <w:rFonts w:ascii="Times New Roman" w:hAnsi="Times New Roman" w:cs="Times New Roman"/>
            <w:noProof/>
            <w:sz w:val="20"/>
          </w:rPr>
          <w:t>2</w:t>
        </w:r>
        <w:r w:rsidRPr="00C87B9E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14:paraId="5239D312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BDECE" w14:textId="50520C4F" w:rsidR="001B3F94" w:rsidRDefault="003F18CE">
    <w:pPr>
      <w:pStyle w:val="Footer"/>
    </w:pPr>
    <w:r>
      <w:rPr>
        <w:noProof/>
      </w:rPr>
      <w:drawing>
        <wp:inline distT="0" distB="0" distL="0" distR="0" wp14:anchorId="6DB4589D" wp14:editId="320A4DA9">
          <wp:extent cx="174625" cy="174625"/>
          <wp:effectExtent l="0" t="0" r="0" b="0"/>
          <wp:docPr id="3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47B20" w14:textId="77777777" w:rsidR="00E62835" w:rsidRDefault="00E62835">
      <w:r>
        <w:separator/>
      </w:r>
    </w:p>
  </w:footnote>
  <w:footnote w:type="continuationSeparator" w:id="0">
    <w:p w14:paraId="427EE03E" w14:textId="77777777" w:rsidR="00E62835" w:rsidRDefault="00E62835">
      <w:r>
        <w:continuationSeparator/>
      </w:r>
    </w:p>
  </w:footnote>
  <w:footnote w:type="continuationNotice" w:id="1">
    <w:p w14:paraId="3AD80857" w14:textId="77777777" w:rsidR="00E62835" w:rsidRDefault="00E628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00EC4"/>
    <w:rsid w:val="000218F6"/>
    <w:rsid w:val="0003631E"/>
    <w:rsid w:val="00045813"/>
    <w:rsid w:val="0005728E"/>
    <w:rsid w:val="00060CB1"/>
    <w:rsid w:val="00064F04"/>
    <w:rsid w:val="00074780"/>
    <w:rsid w:val="00091C99"/>
    <w:rsid w:val="000B2A09"/>
    <w:rsid w:val="000B5035"/>
    <w:rsid w:val="000C4540"/>
    <w:rsid w:val="000D1437"/>
    <w:rsid w:val="000E02D6"/>
    <w:rsid w:val="000F2FB3"/>
    <w:rsid w:val="001064C4"/>
    <w:rsid w:val="001066DC"/>
    <w:rsid w:val="00106F3E"/>
    <w:rsid w:val="0011159B"/>
    <w:rsid w:val="001145CC"/>
    <w:rsid w:val="00116F4A"/>
    <w:rsid w:val="00127E74"/>
    <w:rsid w:val="0014797B"/>
    <w:rsid w:val="00151378"/>
    <w:rsid w:val="00154ADA"/>
    <w:rsid w:val="00156E71"/>
    <w:rsid w:val="00167BF3"/>
    <w:rsid w:val="00170C17"/>
    <w:rsid w:val="001711AC"/>
    <w:rsid w:val="00172603"/>
    <w:rsid w:val="00186186"/>
    <w:rsid w:val="001A4FFD"/>
    <w:rsid w:val="001B1E05"/>
    <w:rsid w:val="001B3F94"/>
    <w:rsid w:val="001B45EB"/>
    <w:rsid w:val="001C3CAB"/>
    <w:rsid w:val="001E7C3D"/>
    <w:rsid w:val="00204607"/>
    <w:rsid w:val="00206158"/>
    <w:rsid w:val="00206A7D"/>
    <w:rsid w:val="0020717F"/>
    <w:rsid w:val="00215CAD"/>
    <w:rsid w:val="00220C31"/>
    <w:rsid w:val="00223B9F"/>
    <w:rsid w:val="00230E81"/>
    <w:rsid w:val="002520D5"/>
    <w:rsid w:val="002555B1"/>
    <w:rsid w:val="00260F0C"/>
    <w:rsid w:val="002630E2"/>
    <w:rsid w:val="00266394"/>
    <w:rsid w:val="00266A2F"/>
    <w:rsid w:val="00266AB2"/>
    <w:rsid w:val="00273A64"/>
    <w:rsid w:val="00286248"/>
    <w:rsid w:val="00286F6A"/>
    <w:rsid w:val="002A1427"/>
    <w:rsid w:val="002A4131"/>
    <w:rsid w:val="002A53A2"/>
    <w:rsid w:val="002A6A7E"/>
    <w:rsid w:val="002B591E"/>
    <w:rsid w:val="002D1E16"/>
    <w:rsid w:val="002D360A"/>
    <w:rsid w:val="002E066D"/>
    <w:rsid w:val="002F28A5"/>
    <w:rsid w:val="002F6908"/>
    <w:rsid w:val="00306619"/>
    <w:rsid w:val="00311FEC"/>
    <w:rsid w:val="00321471"/>
    <w:rsid w:val="00321E6E"/>
    <w:rsid w:val="00330313"/>
    <w:rsid w:val="00340681"/>
    <w:rsid w:val="00356E4E"/>
    <w:rsid w:val="00363CA2"/>
    <w:rsid w:val="00364B6A"/>
    <w:rsid w:val="003802F7"/>
    <w:rsid w:val="00386BCD"/>
    <w:rsid w:val="00395400"/>
    <w:rsid w:val="003C2E3A"/>
    <w:rsid w:val="003C31B2"/>
    <w:rsid w:val="003C770E"/>
    <w:rsid w:val="003D6EEC"/>
    <w:rsid w:val="003D7197"/>
    <w:rsid w:val="003E5CBF"/>
    <w:rsid w:val="003F18CE"/>
    <w:rsid w:val="0040104E"/>
    <w:rsid w:val="004016AD"/>
    <w:rsid w:val="0042319F"/>
    <w:rsid w:val="00435B3D"/>
    <w:rsid w:val="00450B8F"/>
    <w:rsid w:val="0045413B"/>
    <w:rsid w:val="00460463"/>
    <w:rsid w:val="00466B35"/>
    <w:rsid w:val="00467F87"/>
    <w:rsid w:val="0047119B"/>
    <w:rsid w:val="004730F3"/>
    <w:rsid w:val="0048130C"/>
    <w:rsid w:val="00483CA4"/>
    <w:rsid w:val="004A3036"/>
    <w:rsid w:val="004B2B19"/>
    <w:rsid w:val="004B2D14"/>
    <w:rsid w:val="004B6AAF"/>
    <w:rsid w:val="004C214E"/>
    <w:rsid w:val="004E6F3C"/>
    <w:rsid w:val="00501E02"/>
    <w:rsid w:val="005039CE"/>
    <w:rsid w:val="005049C6"/>
    <w:rsid w:val="0052514A"/>
    <w:rsid w:val="0052731E"/>
    <w:rsid w:val="00535125"/>
    <w:rsid w:val="0054227E"/>
    <w:rsid w:val="0054292A"/>
    <w:rsid w:val="0054480E"/>
    <w:rsid w:val="00546068"/>
    <w:rsid w:val="0054689D"/>
    <w:rsid w:val="00556A92"/>
    <w:rsid w:val="00561E84"/>
    <w:rsid w:val="005647B5"/>
    <w:rsid w:val="00564F8A"/>
    <w:rsid w:val="00565008"/>
    <w:rsid w:val="00596C18"/>
    <w:rsid w:val="005A0778"/>
    <w:rsid w:val="005A2338"/>
    <w:rsid w:val="005D39C2"/>
    <w:rsid w:val="005E5791"/>
    <w:rsid w:val="005F2412"/>
    <w:rsid w:val="005F6197"/>
    <w:rsid w:val="0060206A"/>
    <w:rsid w:val="006056CD"/>
    <w:rsid w:val="00605AAA"/>
    <w:rsid w:val="00606EEF"/>
    <w:rsid w:val="00613AFF"/>
    <w:rsid w:val="00617360"/>
    <w:rsid w:val="0061793F"/>
    <w:rsid w:val="00627028"/>
    <w:rsid w:val="00627C9B"/>
    <w:rsid w:val="00633BA3"/>
    <w:rsid w:val="00634B22"/>
    <w:rsid w:val="00660BE9"/>
    <w:rsid w:val="00670619"/>
    <w:rsid w:val="0067334C"/>
    <w:rsid w:val="00686059"/>
    <w:rsid w:val="006950AA"/>
    <w:rsid w:val="006A2F60"/>
    <w:rsid w:val="006A71D4"/>
    <w:rsid w:val="006B1960"/>
    <w:rsid w:val="006B535E"/>
    <w:rsid w:val="006C043F"/>
    <w:rsid w:val="006C182B"/>
    <w:rsid w:val="006C2607"/>
    <w:rsid w:val="006C2C25"/>
    <w:rsid w:val="006C4185"/>
    <w:rsid w:val="006C658A"/>
    <w:rsid w:val="006E3B04"/>
    <w:rsid w:val="006E47EE"/>
    <w:rsid w:val="006F7489"/>
    <w:rsid w:val="007302B1"/>
    <w:rsid w:val="00751EAB"/>
    <w:rsid w:val="007548FD"/>
    <w:rsid w:val="00760514"/>
    <w:rsid w:val="007629EF"/>
    <w:rsid w:val="007664C1"/>
    <w:rsid w:val="00773BF3"/>
    <w:rsid w:val="00776B6B"/>
    <w:rsid w:val="007802E3"/>
    <w:rsid w:val="007807A5"/>
    <w:rsid w:val="007849F6"/>
    <w:rsid w:val="007851B2"/>
    <w:rsid w:val="00790DDE"/>
    <w:rsid w:val="00790F1F"/>
    <w:rsid w:val="00791304"/>
    <w:rsid w:val="00792979"/>
    <w:rsid w:val="007A097E"/>
    <w:rsid w:val="007A44F0"/>
    <w:rsid w:val="007B5AB2"/>
    <w:rsid w:val="007C42CE"/>
    <w:rsid w:val="007D5150"/>
    <w:rsid w:val="007D5819"/>
    <w:rsid w:val="007E3366"/>
    <w:rsid w:val="007F0BF9"/>
    <w:rsid w:val="007F34FB"/>
    <w:rsid w:val="007F437F"/>
    <w:rsid w:val="007F4C57"/>
    <w:rsid w:val="007F7071"/>
    <w:rsid w:val="00805968"/>
    <w:rsid w:val="008065C3"/>
    <w:rsid w:val="008138ED"/>
    <w:rsid w:val="0082262F"/>
    <w:rsid w:val="00831485"/>
    <w:rsid w:val="00835BD2"/>
    <w:rsid w:val="0083619E"/>
    <w:rsid w:val="00840BA7"/>
    <w:rsid w:val="00846EFD"/>
    <w:rsid w:val="00852EB5"/>
    <w:rsid w:val="008747C6"/>
    <w:rsid w:val="00882DB4"/>
    <w:rsid w:val="008A091D"/>
    <w:rsid w:val="008A166B"/>
    <w:rsid w:val="008A2608"/>
    <w:rsid w:val="008D0E21"/>
    <w:rsid w:val="008D49C8"/>
    <w:rsid w:val="008E51E0"/>
    <w:rsid w:val="00903986"/>
    <w:rsid w:val="0091004E"/>
    <w:rsid w:val="009271D7"/>
    <w:rsid w:val="00930768"/>
    <w:rsid w:val="0093212C"/>
    <w:rsid w:val="0093489F"/>
    <w:rsid w:val="00947481"/>
    <w:rsid w:val="00951C89"/>
    <w:rsid w:val="00954FCE"/>
    <w:rsid w:val="00955834"/>
    <w:rsid w:val="00956F9B"/>
    <w:rsid w:val="00960FD3"/>
    <w:rsid w:val="00961654"/>
    <w:rsid w:val="00962923"/>
    <w:rsid w:val="0098335A"/>
    <w:rsid w:val="00983941"/>
    <w:rsid w:val="00990C42"/>
    <w:rsid w:val="0099568A"/>
    <w:rsid w:val="0099721B"/>
    <w:rsid w:val="00997297"/>
    <w:rsid w:val="009A0800"/>
    <w:rsid w:val="009B5726"/>
    <w:rsid w:val="009B7FF3"/>
    <w:rsid w:val="009E5F63"/>
    <w:rsid w:val="009E7BED"/>
    <w:rsid w:val="009F243C"/>
    <w:rsid w:val="009F77FD"/>
    <w:rsid w:val="009F7DCC"/>
    <w:rsid w:val="00A152D4"/>
    <w:rsid w:val="00A20582"/>
    <w:rsid w:val="00A32FEA"/>
    <w:rsid w:val="00A33691"/>
    <w:rsid w:val="00A42891"/>
    <w:rsid w:val="00A52D97"/>
    <w:rsid w:val="00A52F2F"/>
    <w:rsid w:val="00A6463E"/>
    <w:rsid w:val="00A665FD"/>
    <w:rsid w:val="00A66BFA"/>
    <w:rsid w:val="00A716AF"/>
    <w:rsid w:val="00A77971"/>
    <w:rsid w:val="00A77A3E"/>
    <w:rsid w:val="00A934F9"/>
    <w:rsid w:val="00A94E88"/>
    <w:rsid w:val="00A9707D"/>
    <w:rsid w:val="00A9748F"/>
    <w:rsid w:val="00AA115F"/>
    <w:rsid w:val="00AA6594"/>
    <w:rsid w:val="00AB0061"/>
    <w:rsid w:val="00AB1869"/>
    <w:rsid w:val="00AB687F"/>
    <w:rsid w:val="00AB721E"/>
    <w:rsid w:val="00AC4B6D"/>
    <w:rsid w:val="00AD6895"/>
    <w:rsid w:val="00AD7BAC"/>
    <w:rsid w:val="00AE0DA5"/>
    <w:rsid w:val="00AE3401"/>
    <w:rsid w:val="00AE64ED"/>
    <w:rsid w:val="00AF0179"/>
    <w:rsid w:val="00B00F4F"/>
    <w:rsid w:val="00B10A97"/>
    <w:rsid w:val="00B24419"/>
    <w:rsid w:val="00B308F1"/>
    <w:rsid w:val="00B333CB"/>
    <w:rsid w:val="00B36420"/>
    <w:rsid w:val="00B377A4"/>
    <w:rsid w:val="00B379E0"/>
    <w:rsid w:val="00B43A86"/>
    <w:rsid w:val="00B44F6E"/>
    <w:rsid w:val="00B46D7E"/>
    <w:rsid w:val="00B518C0"/>
    <w:rsid w:val="00B5467F"/>
    <w:rsid w:val="00B61866"/>
    <w:rsid w:val="00B61C09"/>
    <w:rsid w:val="00B63C04"/>
    <w:rsid w:val="00B67BA9"/>
    <w:rsid w:val="00B72DFC"/>
    <w:rsid w:val="00B83D0C"/>
    <w:rsid w:val="00B8652C"/>
    <w:rsid w:val="00B95039"/>
    <w:rsid w:val="00BA585A"/>
    <w:rsid w:val="00BB03BC"/>
    <w:rsid w:val="00BB6F19"/>
    <w:rsid w:val="00BC4CEB"/>
    <w:rsid w:val="00BE0707"/>
    <w:rsid w:val="00C31BCC"/>
    <w:rsid w:val="00C43D89"/>
    <w:rsid w:val="00C46D18"/>
    <w:rsid w:val="00C54AED"/>
    <w:rsid w:val="00C62306"/>
    <w:rsid w:val="00C62709"/>
    <w:rsid w:val="00C76769"/>
    <w:rsid w:val="00C86C5B"/>
    <w:rsid w:val="00C86E51"/>
    <w:rsid w:val="00C87B9E"/>
    <w:rsid w:val="00C91491"/>
    <w:rsid w:val="00C92130"/>
    <w:rsid w:val="00C95BD9"/>
    <w:rsid w:val="00C96BD0"/>
    <w:rsid w:val="00CB2C18"/>
    <w:rsid w:val="00CB6381"/>
    <w:rsid w:val="00CC1031"/>
    <w:rsid w:val="00CC47B3"/>
    <w:rsid w:val="00CC69C9"/>
    <w:rsid w:val="00CD18F0"/>
    <w:rsid w:val="00CD24F8"/>
    <w:rsid w:val="00D12079"/>
    <w:rsid w:val="00D14D01"/>
    <w:rsid w:val="00D2063F"/>
    <w:rsid w:val="00D2459B"/>
    <w:rsid w:val="00D32517"/>
    <w:rsid w:val="00D463AD"/>
    <w:rsid w:val="00D64949"/>
    <w:rsid w:val="00D73367"/>
    <w:rsid w:val="00D7361A"/>
    <w:rsid w:val="00D764D3"/>
    <w:rsid w:val="00D82A5A"/>
    <w:rsid w:val="00D87E5A"/>
    <w:rsid w:val="00D911CD"/>
    <w:rsid w:val="00D9168C"/>
    <w:rsid w:val="00D9206E"/>
    <w:rsid w:val="00D967D8"/>
    <w:rsid w:val="00DA27AF"/>
    <w:rsid w:val="00DA39D8"/>
    <w:rsid w:val="00DA6B72"/>
    <w:rsid w:val="00DB0922"/>
    <w:rsid w:val="00DB698B"/>
    <w:rsid w:val="00DC4C74"/>
    <w:rsid w:val="00DC7E3F"/>
    <w:rsid w:val="00DE096B"/>
    <w:rsid w:val="00DE0FB9"/>
    <w:rsid w:val="00DE2B81"/>
    <w:rsid w:val="00E20B5A"/>
    <w:rsid w:val="00E236AA"/>
    <w:rsid w:val="00E26DF9"/>
    <w:rsid w:val="00E3082D"/>
    <w:rsid w:val="00E329FF"/>
    <w:rsid w:val="00E32F24"/>
    <w:rsid w:val="00E45811"/>
    <w:rsid w:val="00E474FD"/>
    <w:rsid w:val="00E52AE5"/>
    <w:rsid w:val="00E62835"/>
    <w:rsid w:val="00E654FB"/>
    <w:rsid w:val="00E80490"/>
    <w:rsid w:val="00E8458C"/>
    <w:rsid w:val="00E93963"/>
    <w:rsid w:val="00EA042C"/>
    <w:rsid w:val="00EA30EE"/>
    <w:rsid w:val="00EB008B"/>
    <w:rsid w:val="00EB1CEA"/>
    <w:rsid w:val="00EB3441"/>
    <w:rsid w:val="00EB47C8"/>
    <w:rsid w:val="00EC4D91"/>
    <w:rsid w:val="00ED13DD"/>
    <w:rsid w:val="00EF1CB1"/>
    <w:rsid w:val="00EF376A"/>
    <w:rsid w:val="00EF49B3"/>
    <w:rsid w:val="00F0626C"/>
    <w:rsid w:val="00F2127A"/>
    <w:rsid w:val="00F243E6"/>
    <w:rsid w:val="00F27716"/>
    <w:rsid w:val="00F32956"/>
    <w:rsid w:val="00F34242"/>
    <w:rsid w:val="00F54C22"/>
    <w:rsid w:val="00F577D6"/>
    <w:rsid w:val="00F63BE1"/>
    <w:rsid w:val="00F65CA3"/>
    <w:rsid w:val="00F72D8C"/>
    <w:rsid w:val="00F8017E"/>
    <w:rsid w:val="00F805AC"/>
    <w:rsid w:val="00F86103"/>
    <w:rsid w:val="00F87454"/>
    <w:rsid w:val="00FA3F4C"/>
    <w:rsid w:val="00FB5A26"/>
    <w:rsid w:val="00FC12A0"/>
    <w:rsid w:val="00FC1F58"/>
    <w:rsid w:val="00FC25AE"/>
    <w:rsid w:val="00FC6171"/>
    <w:rsid w:val="00FD17EF"/>
    <w:rsid w:val="00FD3986"/>
    <w:rsid w:val="00FD4C75"/>
    <w:rsid w:val="00FD66E8"/>
    <w:rsid w:val="00FE76EF"/>
    <w:rsid w:val="00FF5262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4EC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uiPriority w:val="99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74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478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277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7716"/>
    <w:rPr>
      <w:sz w:val="20"/>
    </w:rPr>
  </w:style>
  <w:style w:type="character" w:customStyle="1" w:styleId="CommentTextChar">
    <w:name w:val="Comment Text Char"/>
    <w:link w:val="CommentText"/>
    <w:rsid w:val="00F2771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F27716"/>
    <w:rPr>
      <w:b/>
      <w:bCs/>
    </w:rPr>
  </w:style>
  <w:style w:type="character" w:customStyle="1" w:styleId="CommentSubjectChar">
    <w:name w:val="Comment Subject Char"/>
    <w:link w:val="CommentSubject"/>
    <w:rsid w:val="00F27716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uiPriority w:val="99"/>
    <w:unhideWhenUsed/>
    <w:rsid w:val="0098335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44F6E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D13DD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uiPriority w:val="99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74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478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277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7716"/>
    <w:rPr>
      <w:sz w:val="20"/>
    </w:rPr>
  </w:style>
  <w:style w:type="character" w:customStyle="1" w:styleId="CommentTextChar">
    <w:name w:val="Comment Text Char"/>
    <w:link w:val="CommentText"/>
    <w:rsid w:val="00F2771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F27716"/>
    <w:rPr>
      <w:b/>
      <w:bCs/>
    </w:rPr>
  </w:style>
  <w:style w:type="character" w:customStyle="1" w:styleId="CommentSubjectChar">
    <w:name w:val="Comment Subject Char"/>
    <w:link w:val="CommentSubject"/>
    <w:rsid w:val="00F27716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uiPriority w:val="99"/>
    <w:unhideWhenUsed/>
    <w:rsid w:val="0098335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44F6E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D13DD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54D47-6822-4584-9F80-67BDDE5E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3571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2020-05-14T12:46:00Z</cp:lastPrinted>
  <dcterms:created xsi:type="dcterms:W3CDTF">2020-05-14T13:31:00Z</dcterms:created>
  <dcterms:modified xsi:type="dcterms:W3CDTF">2020-05-14T13:31:00Z</dcterms:modified>
</cp:coreProperties>
</file>