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96CA4" w14:textId="77777777" w:rsidR="00D32D97" w:rsidRPr="006B0EA6" w:rsidRDefault="000D16CF">
      <w:pPr>
        <w:spacing w:before="120" w:after="240"/>
        <w:jc w:val="center"/>
        <w:rPr>
          <w:rFonts w:ascii="Times New Roman" w:eastAsia="Times New Roman" w:hAnsi="Times New Roman" w:cs="Times New Roman"/>
          <w:b/>
          <w:sz w:val="24"/>
          <w:szCs w:val="24"/>
        </w:rPr>
      </w:pPr>
      <w:bookmarkStart w:id="0" w:name="_gjdgxs" w:colFirst="0" w:colLast="0"/>
      <w:bookmarkEnd w:id="0"/>
      <w:r w:rsidRPr="006B0EA6">
        <w:rPr>
          <w:rFonts w:ascii="Times New Roman" w:hAnsi="Times New Roman" w:cs="Times New Roman"/>
          <w:noProof/>
          <w:sz w:val="24"/>
          <w:szCs w:val="24"/>
        </w:rPr>
        <w:drawing>
          <wp:inline distT="0" distB="0" distL="0" distR="0" wp14:anchorId="42AE7BCC" wp14:editId="3AD0188D">
            <wp:extent cx="6400800" cy="2179619"/>
            <wp:effectExtent l="0" t="0" r="0" b="0"/>
            <wp:docPr id="1" name="image2.jpg" descr="The Commonwealth of Massachusetts, Executive Office of Health and Human Services, Office of Medicaid, One Ashburton Place, Boston, Massachusetts 02108. Charles D. Baker, Governor, Karyn E. Polito, Lieutenant Governor, Marylou Sudders, Secretary, Daniel Tsai, Assistant Secretary for MassHealth. www.mass.gov/eohhs."/>
            <wp:cNvGraphicFramePr/>
            <a:graphic xmlns:a="http://schemas.openxmlformats.org/drawingml/2006/main">
              <a:graphicData uri="http://schemas.openxmlformats.org/drawingml/2006/picture">
                <pic:pic xmlns:pic="http://schemas.openxmlformats.org/drawingml/2006/picture">
                  <pic:nvPicPr>
                    <pic:cNvPr id="0" name="image2.jpg" descr="The Commonwealth of Massachusetts, Executive Office of Health and Human Services, Office of Medicaid, One Ashburton Place, Boston, Massachusetts 02108. Charles D. Baker, Governor, Karyn E. Polito, Lieutenant Governor, Marylou Sudders, Secretary, Daniel Tsai, Assistant Secretary for MassHealth. www.mass.gov/eohhs."/>
                    <pic:cNvPicPr preferRelativeResize="0"/>
                  </pic:nvPicPr>
                  <pic:blipFill>
                    <a:blip r:embed="rId7"/>
                    <a:srcRect t="11751"/>
                    <a:stretch>
                      <a:fillRect/>
                    </a:stretch>
                  </pic:blipFill>
                  <pic:spPr>
                    <a:xfrm>
                      <a:off x="0" y="0"/>
                      <a:ext cx="6400800" cy="2179619"/>
                    </a:xfrm>
                    <a:prstGeom prst="rect">
                      <a:avLst/>
                    </a:prstGeom>
                    <a:ln/>
                  </pic:spPr>
                </pic:pic>
              </a:graphicData>
            </a:graphic>
          </wp:inline>
        </w:drawing>
      </w:r>
    </w:p>
    <w:p w14:paraId="30E9C824" w14:textId="495E10AC" w:rsidR="00D32D97" w:rsidRPr="006B0EA6" w:rsidRDefault="000D16CF">
      <w:pPr>
        <w:spacing w:before="120" w:after="240"/>
        <w:jc w:val="center"/>
        <w:rPr>
          <w:rFonts w:ascii="Times New Roman" w:eastAsia="Times New Roman" w:hAnsi="Times New Roman" w:cs="Times New Roman"/>
          <w:b/>
          <w:sz w:val="24"/>
          <w:szCs w:val="24"/>
        </w:rPr>
      </w:pPr>
      <w:r w:rsidRPr="006B0EA6">
        <w:rPr>
          <w:rFonts w:ascii="Times New Roman" w:eastAsia="Times New Roman" w:hAnsi="Times New Roman" w:cs="Times New Roman"/>
          <w:b/>
          <w:sz w:val="24"/>
          <w:szCs w:val="24"/>
        </w:rPr>
        <w:t xml:space="preserve">Administrative Bulletin </w:t>
      </w:r>
      <w:r w:rsidR="00255EFF">
        <w:rPr>
          <w:rFonts w:ascii="Times New Roman" w:eastAsia="Times New Roman" w:hAnsi="Times New Roman" w:cs="Times New Roman"/>
          <w:b/>
          <w:sz w:val="24"/>
          <w:szCs w:val="24"/>
        </w:rPr>
        <w:t>20-</w:t>
      </w:r>
      <w:r w:rsidR="003B4006">
        <w:rPr>
          <w:rFonts w:ascii="Times New Roman" w:eastAsia="Times New Roman" w:hAnsi="Times New Roman" w:cs="Times New Roman"/>
          <w:b/>
          <w:sz w:val="24"/>
          <w:szCs w:val="24"/>
        </w:rPr>
        <w:t>57</w:t>
      </w:r>
    </w:p>
    <w:p w14:paraId="13AFCA99" w14:textId="77777777" w:rsidR="00D32D97" w:rsidRPr="006B0EA6" w:rsidRDefault="000D16CF">
      <w:pPr>
        <w:spacing w:after="240"/>
        <w:jc w:val="center"/>
        <w:rPr>
          <w:rFonts w:ascii="Times New Roman" w:eastAsia="Times New Roman" w:hAnsi="Times New Roman" w:cs="Times New Roman"/>
          <w:b/>
          <w:sz w:val="24"/>
          <w:szCs w:val="24"/>
        </w:rPr>
      </w:pPr>
      <w:r w:rsidRPr="006B0EA6">
        <w:rPr>
          <w:rFonts w:ascii="Times New Roman" w:eastAsia="Times New Roman" w:hAnsi="Times New Roman" w:cs="Times New Roman"/>
          <w:b/>
          <w:sz w:val="24"/>
          <w:szCs w:val="24"/>
        </w:rPr>
        <w:t>101 CMR 322.00: Durable Medical Equipment, Oxygen and Respiratory Therapy Equipment</w:t>
      </w:r>
    </w:p>
    <w:p w14:paraId="59FC07ED" w14:textId="7828DE77" w:rsidR="00D32D97" w:rsidRPr="006B0EA6" w:rsidRDefault="000D16CF">
      <w:pPr>
        <w:spacing w:after="240"/>
        <w:jc w:val="center"/>
        <w:rPr>
          <w:rFonts w:ascii="Times New Roman" w:eastAsia="Times New Roman" w:hAnsi="Times New Roman" w:cs="Times New Roman"/>
          <w:b/>
          <w:sz w:val="24"/>
          <w:szCs w:val="24"/>
        </w:rPr>
      </w:pPr>
      <w:bookmarkStart w:id="1" w:name="_GoBack"/>
      <w:r w:rsidRPr="006B0EA6">
        <w:rPr>
          <w:rFonts w:ascii="Times New Roman" w:eastAsia="Times New Roman" w:hAnsi="Times New Roman" w:cs="Times New Roman"/>
          <w:b/>
          <w:sz w:val="24"/>
          <w:szCs w:val="24"/>
        </w:rPr>
        <w:t>Effective January 1, 2020</w:t>
      </w:r>
    </w:p>
    <w:bookmarkEnd w:id="1"/>
    <w:p w14:paraId="52EB6EC5" w14:textId="0397F653" w:rsidR="006B0EA6" w:rsidRPr="006B0EA6" w:rsidRDefault="006B0EA6">
      <w:pPr>
        <w:spacing w:after="240"/>
        <w:jc w:val="center"/>
        <w:rPr>
          <w:rFonts w:ascii="Times New Roman" w:eastAsia="Times New Roman" w:hAnsi="Times New Roman" w:cs="Times New Roman"/>
          <w:b/>
          <w:sz w:val="24"/>
          <w:szCs w:val="24"/>
        </w:rPr>
      </w:pPr>
      <w:r w:rsidRPr="006B0EA6">
        <w:rPr>
          <w:rFonts w:ascii="Times New Roman" w:eastAsia="Times New Roman" w:hAnsi="Times New Roman" w:cs="Times New Roman"/>
          <w:b/>
          <w:sz w:val="24"/>
          <w:szCs w:val="24"/>
        </w:rPr>
        <w:t>CPT/HCPCS 2020 Coding Updates</w:t>
      </w:r>
    </w:p>
    <w:p w14:paraId="34C8FFB7" w14:textId="527BF312" w:rsidR="00D32D97" w:rsidRPr="006B0EA6" w:rsidRDefault="00D32D97" w:rsidP="006B0EA6">
      <w:pPr>
        <w:spacing w:after="240"/>
        <w:rPr>
          <w:rFonts w:ascii="Times New Roman" w:eastAsia="Times New Roman" w:hAnsi="Times New Roman" w:cs="Times New Roman"/>
          <w:b/>
          <w:sz w:val="24"/>
          <w:szCs w:val="24"/>
        </w:rPr>
      </w:pPr>
    </w:p>
    <w:p w14:paraId="1E06E98C" w14:textId="57D63110" w:rsidR="00D32D97" w:rsidRPr="006B0EA6" w:rsidRDefault="000D16CF">
      <w:pPr>
        <w:spacing w:after="240"/>
        <w:rPr>
          <w:rFonts w:ascii="Times New Roman" w:eastAsia="Times New Roman" w:hAnsi="Times New Roman" w:cs="Times New Roman"/>
          <w:sz w:val="24"/>
          <w:szCs w:val="24"/>
        </w:rPr>
      </w:pPr>
      <w:r w:rsidRPr="006B0EA6">
        <w:rPr>
          <w:rFonts w:ascii="Times New Roman" w:eastAsia="Times New Roman" w:hAnsi="Times New Roman" w:cs="Times New Roman"/>
          <w:sz w:val="24"/>
          <w:szCs w:val="24"/>
        </w:rPr>
        <w:t>Under the authority of</w:t>
      </w:r>
      <w:r w:rsidR="00B3208B" w:rsidRPr="006B0EA6">
        <w:rPr>
          <w:rFonts w:ascii="Times New Roman" w:eastAsia="Times New Roman" w:hAnsi="Times New Roman" w:cs="Times New Roman"/>
          <w:sz w:val="24"/>
          <w:szCs w:val="24"/>
        </w:rPr>
        <w:t xml:space="preserve"> </w:t>
      </w:r>
      <w:r w:rsidRPr="006B0EA6">
        <w:rPr>
          <w:rFonts w:ascii="Times New Roman" w:eastAsia="Times New Roman" w:hAnsi="Times New Roman" w:cs="Times New Roman"/>
          <w:sz w:val="24"/>
          <w:szCs w:val="24"/>
        </w:rPr>
        <w:t>101 CMR 322.01(5), the Executive Office of Health and Human Services is add</w:t>
      </w:r>
      <w:r w:rsidR="00C200E2" w:rsidRPr="006B0EA6">
        <w:rPr>
          <w:rFonts w:ascii="Times New Roman" w:eastAsia="Times New Roman" w:hAnsi="Times New Roman" w:cs="Times New Roman"/>
          <w:sz w:val="24"/>
          <w:szCs w:val="24"/>
        </w:rPr>
        <w:t>ing</w:t>
      </w:r>
      <w:r w:rsidRPr="006B0EA6">
        <w:rPr>
          <w:rFonts w:ascii="Times New Roman" w:eastAsia="Times New Roman" w:hAnsi="Times New Roman" w:cs="Times New Roman"/>
          <w:sz w:val="24"/>
          <w:szCs w:val="24"/>
        </w:rPr>
        <w:t xml:space="preserve"> new </w:t>
      </w:r>
      <w:r w:rsidR="00C200E2" w:rsidRPr="006B0EA6">
        <w:rPr>
          <w:rFonts w:ascii="Times New Roman" w:eastAsia="Times New Roman" w:hAnsi="Times New Roman" w:cs="Times New Roman"/>
          <w:sz w:val="24"/>
          <w:szCs w:val="24"/>
        </w:rPr>
        <w:t xml:space="preserve">service </w:t>
      </w:r>
      <w:r w:rsidRPr="006B0EA6">
        <w:rPr>
          <w:rFonts w:ascii="Times New Roman" w:eastAsia="Times New Roman" w:hAnsi="Times New Roman" w:cs="Times New Roman"/>
          <w:sz w:val="24"/>
          <w:szCs w:val="24"/>
        </w:rPr>
        <w:t>codes and revis</w:t>
      </w:r>
      <w:r w:rsidR="00C200E2" w:rsidRPr="006B0EA6">
        <w:rPr>
          <w:rFonts w:ascii="Times New Roman" w:eastAsia="Times New Roman" w:hAnsi="Times New Roman" w:cs="Times New Roman"/>
          <w:sz w:val="24"/>
          <w:szCs w:val="24"/>
        </w:rPr>
        <w:t>ing</w:t>
      </w:r>
      <w:r w:rsidRPr="006B0EA6">
        <w:rPr>
          <w:rFonts w:ascii="Times New Roman" w:eastAsia="Times New Roman" w:hAnsi="Times New Roman" w:cs="Times New Roman"/>
          <w:sz w:val="24"/>
          <w:szCs w:val="24"/>
        </w:rPr>
        <w:t xml:space="preserve"> </w:t>
      </w:r>
      <w:r w:rsidR="002326D3" w:rsidRPr="006B0EA6">
        <w:rPr>
          <w:rFonts w:ascii="Times New Roman" w:eastAsia="Times New Roman" w:hAnsi="Times New Roman" w:cs="Times New Roman"/>
          <w:sz w:val="24"/>
          <w:szCs w:val="24"/>
        </w:rPr>
        <w:t xml:space="preserve">the </w:t>
      </w:r>
      <w:r w:rsidRPr="006B0EA6">
        <w:rPr>
          <w:rFonts w:ascii="Times New Roman" w:eastAsia="Times New Roman" w:hAnsi="Times New Roman" w:cs="Times New Roman"/>
          <w:sz w:val="24"/>
          <w:szCs w:val="24"/>
        </w:rPr>
        <w:t xml:space="preserve">description </w:t>
      </w:r>
      <w:r w:rsidR="00C200E2" w:rsidRPr="006B0EA6">
        <w:rPr>
          <w:rFonts w:ascii="Times New Roman" w:eastAsia="Times New Roman" w:hAnsi="Times New Roman" w:cs="Times New Roman"/>
          <w:sz w:val="24"/>
          <w:szCs w:val="24"/>
        </w:rPr>
        <w:t>of</w:t>
      </w:r>
      <w:r w:rsidRPr="006B0EA6">
        <w:rPr>
          <w:rFonts w:ascii="Times New Roman" w:eastAsia="Times New Roman" w:hAnsi="Times New Roman" w:cs="Times New Roman"/>
          <w:sz w:val="24"/>
          <w:szCs w:val="24"/>
        </w:rPr>
        <w:t xml:space="preserve"> </w:t>
      </w:r>
      <w:r w:rsidR="00B3208B" w:rsidRPr="006B0EA6">
        <w:rPr>
          <w:rFonts w:ascii="Times New Roman" w:eastAsia="Times New Roman" w:hAnsi="Times New Roman" w:cs="Times New Roman"/>
          <w:sz w:val="24"/>
          <w:szCs w:val="24"/>
        </w:rPr>
        <w:t xml:space="preserve">an </w:t>
      </w:r>
      <w:r w:rsidRPr="006B0EA6">
        <w:rPr>
          <w:rFonts w:ascii="Times New Roman" w:eastAsia="Times New Roman" w:hAnsi="Times New Roman" w:cs="Times New Roman"/>
          <w:sz w:val="24"/>
          <w:szCs w:val="24"/>
        </w:rPr>
        <w:t xml:space="preserve">existing </w:t>
      </w:r>
      <w:r w:rsidR="00C200E2" w:rsidRPr="006B0EA6">
        <w:rPr>
          <w:rFonts w:ascii="Times New Roman" w:eastAsia="Times New Roman" w:hAnsi="Times New Roman" w:cs="Times New Roman"/>
          <w:sz w:val="24"/>
          <w:szCs w:val="24"/>
        </w:rPr>
        <w:t xml:space="preserve">service </w:t>
      </w:r>
      <w:r w:rsidRPr="006B0EA6">
        <w:rPr>
          <w:rFonts w:ascii="Times New Roman" w:eastAsia="Times New Roman" w:hAnsi="Times New Roman" w:cs="Times New Roman"/>
          <w:sz w:val="24"/>
          <w:szCs w:val="24"/>
        </w:rPr>
        <w:t>code</w:t>
      </w:r>
      <w:r w:rsidR="00C200E2" w:rsidRPr="006B0EA6">
        <w:rPr>
          <w:rFonts w:ascii="Times New Roman" w:eastAsia="Times New Roman" w:hAnsi="Times New Roman" w:cs="Times New Roman"/>
          <w:sz w:val="24"/>
          <w:szCs w:val="24"/>
        </w:rPr>
        <w:t xml:space="preserve">, effective for dates of service </w:t>
      </w:r>
      <w:r w:rsidRPr="006B0EA6">
        <w:rPr>
          <w:rFonts w:ascii="Times New Roman" w:eastAsia="Times New Roman" w:hAnsi="Times New Roman" w:cs="Times New Roman"/>
          <w:sz w:val="24"/>
          <w:szCs w:val="24"/>
        </w:rPr>
        <w:t>on or after January 1, 2020.</w:t>
      </w:r>
    </w:p>
    <w:p w14:paraId="0A3A6014" w14:textId="17A4201F" w:rsidR="00D32D97" w:rsidRPr="006B0EA6" w:rsidRDefault="00A04657">
      <w:pPr>
        <w:spacing w:after="240"/>
        <w:rPr>
          <w:rFonts w:ascii="Times New Roman" w:eastAsia="Times New Roman" w:hAnsi="Times New Roman" w:cs="Times New Roman"/>
          <w:sz w:val="24"/>
          <w:szCs w:val="24"/>
        </w:rPr>
      </w:pPr>
      <w:r w:rsidRPr="006B0EA6">
        <w:rPr>
          <w:rFonts w:ascii="Times New Roman" w:eastAsia="Times New Roman" w:hAnsi="Times New Roman" w:cs="Times New Roman"/>
          <w:sz w:val="24"/>
          <w:szCs w:val="24"/>
        </w:rPr>
        <w:t>In accordance with 101 CMR 322.01(5)(d), for new codes for which there are no Medicare fees available, rates are set at individual consideration, as defined in 101 CMR 322.02. For the existing code for which only the description has changed, the rate remain</w:t>
      </w:r>
      <w:r w:rsidR="006B0EA6" w:rsidRPr="006B0EA6">
        <w:rPr>
          <w:rFonts w:ascii="Times New Roman" w:eastAsia="Times New Roman" w:hAnsi="Times New Roman" w:cs="Times New Roman"/>
          <w:sz w:val="24"/>
          <w:szCs w:val="24"/>
        </w:rPr>
        <w:t>s</w:t>
      </w:r>
      <w:r w:rsidRPr="006B0EA6">
        <w:rPr>
          <w:rFonts w:ascii="Times New Roman" w:eastAsia="Times New Roman" w:hAnsi="Times New Roman" w:cs="Times New Roman"/>
          <w:sz w:val="24"/>
          <w:szCs w:val="24"/>
        </w:rPr>
        <w:t xml:space="preserve"> unchanged in accordance with 101 CMR 322.01(5)(b).</w:t>
      </w:r>
      <w:r w:rsidR="006B0EA6" w:rsidRPr="006B0EA6">
        <w:rPr>
          <w:rFonts w:ascii="Times New Roman" w:eastAsia="Times New Roman" w:hAnsi="Times New Roman" w:cs="Times New Roman"/>
          <w:sz w:val="24"/>
          <w:szCs w:val="24"/>
        </w:rPr>
        <w:t xml:space="preserve"> </w:t>
      </w:r>
      <w:r w:rsidR="00B3208B" w:rsidRPr="006B0EA6">
        <w:rPr>
          <w:rFonts w:ascii="Times New Roman" w:eastAsia="Times New Roman" w:hAnsi="Times New Roman" w:cs="Times New Roman"/>
          <w:sz w:val="24"/>
          <w:szCs w:val="24"/>
        </w:rPr>
        <w:t xml:space="preserve"> </w:t>
      </w:r>
      <w:r w:rsidRPr="006B0EA6">
        <w:rPr>
          <w:rFonts w:ascii="Times New Roman" w:eastAsia="Times New Roman" w:hAnsi="Times New Roman" w:cs="Times New Roman"/>
          <w:sz w:val="24"/>
          <w:szCs w:val="24"/>
        </w:rPr>
        <w:t>Rates listed in this administrative bulletin are applicable until revised rates are issued by the EOHHS.</w:t>
      </w:r>
    </w:p>
    <w:p w14:paraId="7C8485ED" w14:textId="0E711271" w:rsidR="00D32D97" w:rsidRPr="006B0EA6" w:rsidRDefault="000D16CF">
      <w:pPr>
        <w:spacing w:after="240"/>
        <w:rPr>
          <w:rFonts w:ascii="Times New Roman" w:eastAsia="Times New Roman" w:hAnsi="Times New Roman" w:cs="Times New Roman"/>
          <w:sz w:val="24"/>
          <w:szCs w:val="24"/>
        </w:rPr>
      </w:pPr>
      <w:r w:rsidRPr="006B0EA6">
        <w:rPr>
          <w:rFonts w:ascii="Times New Roman" w:eastAsia="Times New Roman" w:hAnsi="Times New Roman" w:cs="Times New Roman"/>
          <w:sz w:val="24"/>
          <w:szCs w:val="24"/>
        </w:rPr>
        <w:t>The appearance of a code in the table below does not constitute authorization for, or approval of, the procedures or services for which rates are determined pursuant to 101 CMR 322.00. Governmental units that purchase care are responsible for the definition, authorization, and approval of care to publicly aided individuals.</w:t>
      </w:r>
    </w:p>
    <w:p w14:paraId="7E0BD682" w14:textId="2BBC34D8" w:rsidR="00D32D97" w:rsidRPr="006B0EA6" w:rsidRDefault="000D16CF" w:rsidP="00FF1BF9">
      <w:pPr>
        <w:spacing w:after="240"/>
        <w:rPr>
          <w:rFonts w:ascii="Times New Roman" w:eastAsia="Times New Roman" w:hAnsi="Times New Roman" w:cs="Times New Roman"/>
          <w:sz w:val="24"/>
          <w:szCs w:val="24"/>
        </w:rPr>
      </w:pPr>
      <w:r w:rsidRPr="006B0EA6">
        <w:rPr>
          <w:rFonts w:ascii="Times New Roman" w:eastAsia="Times New Roman" w:hAnsi="Times New Roman" w:cs="Times New Roman"/>
          <w:b/>
          <w:sz w:val="24"/>
          <w:szCs w:val="24"/>
        </w:rPr>
        <w:t>Entirely New Codes that Do Not Crosswalk to Existing Codes</w:t>
      </w:r>
    </w:p>
    <w:tbl>
      <w:tblPr>
        <w:tblStyle w:val="a"/>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34"/>
        <w:gridCol w:w="7521"/>
      </w:tblGrid>
      <w:tr w:rsidR="00D32D97" w:rsidRPr="006B0EA6" w14:paraId="4035A336" w14:textId="77777777" w:rsidTr="00FF1BF9">
        <w:trPr>
          <w:cantSplit/>
          <w:tblHeader/>
        </w:trPr>
        <w:tc>
          <w:tcPr>
            <w:tcW w:w="1440" w:type="dxa"/>
            <w:shd w:val="clear" w:color="auto" w:fill="auto"/>
            <w:tcMar>
              <w:top w:w="29" w:type="dxa"/>
              <w:left w:w="115" w:type="dxa"/>
              <w:bottom w:w="29" w:type="dxa"/>
              <w:right w:w="115" w:type="dxa"/>
            </w:tcMar>
            <w:vAlign w:val="center"/>
          </w:tcPr>
          <w:p w14:paraId="2731329C" w14:textId="77777777" w:rsidR="00D32D97" w:rsidRPr="006B0EA6" w:rsidRDefault="000D16CF">
            <w:pPr>
              <w:jc w:val="center"/>
              <w:rPr>
                <w:rFonts w:ascii="Times New Roman" w:eastAsia="Times New Roman" w:hAnsi="Times New Roman" w:cs="Times New Roman"/>
                <w:b/>
                <w:sz w:val="24"/>
                <w:szCs w:val="24"/>
              </w:rPr>
            </w:pPr>
            <w:r w:rsidRPr="006B0EA6">
              <w:rPr>
                <w:rFonts w:ascii="Times New Roman" w:eastAsia="Times New Roman" w:hAnsi="Times New Roman" w:cs="Times New Roman"/>
                <w:b/>
                <w:sz w:val="24"/>
                <w:szCs w:val="24"/>
              </w:rPr>
              <w:t>Code</w:t>
            </w:r>
          </w:p>
        </w:tc>
        <w:tc>
          <w:tcPr>
            <w:tcW w:w="1234" w:type="dxa"/>
            <w:shd w:val="clear" w:color="auto" w:fill="auto"/>
            <w:tcMar>
              <w:top w:w="29" w:type="dxa"/>
              <w:left w:w="115" w:type="dxa"/>
              <w:bottom w:w="29" w:type="dxa"/>
              <w:right w:w="115" w:type="dxa"/>
            </w:tcMar>
            <w:vAlign w:val="center"/>
          </w:tcPr>
          <w:p w14:paraId="256F408C" w14:textId="77777777" w:rsidR="00D32D97" w:rsidRPr="006B0EA6" w:rsidRDefault="000D16CF">
            <w:pPr>
              <w:jc w:val="center"/>
              <w:rPr>
                <w:rFonts w:ascii="Times New Roman" w:eastAsia="Times New Roman" w:hAnsi="Times New Roman" w:cs="Times New Roman"/>
                <w:b/>
                <w:sz w:val="24"/>
                <w:szCs w:val="24"/>
              </w:rPr>
            </w:pPr>
            <w:r w:rsidRPr="006B0EA6">
              <w:rPr>
                <w:rFonts w:ascii="Times New Roman" w:eastAsia="Times New Roman" w:hAnsi="Times New Roman" w:cs="Times New Roman"/>
                <w:b/>
                <w:sz w:val="24"/>
                <w:szCs w:val="24"/>
              </w:rPr>
              <w:t>Rate</w:t>
            </w:r>
          </w:p>
        </w:tc>
        <w:tc>
          <w:tcPr>
            <w:tcW w:w="7521" w:type="dxa"/>
            <w:shd w:val="clear" w:color="auto" w:fill="auto"/>
            <w:tcMar>
              <w:top w:w="29" w:type="dxa"/>
              <w:left w:w="115" w:type="dxa"/>
              <w:bottom w:w="29" w:type="dxa"/>
              <w:right w:w="115" w:type="dxa"/>
            </w:tcMar>
            <w:vAlign w:val="center"/>
          </w:tcPr>
          <w:p w14:paraId="380C0557" w14:textId="77777777" w:rsidR="00D32D97" w:rsidRPr="006B0EA6" w:rsidRDefault="000D16CF">
            <w:pPr>
              <w:jc w:val="center"/>
              <w:rPr>
                <w:rFonts w:ascii="Times New Roman" w:eastAsia="Times New Roman" w:hAnsi="Times New Roman" w:cs="Times New Roman"/>
                <w:b/>
                <w:sz w:val="24"/>
                <w:szCs w:val="24"/>
              </w:rPr>
            </w:pPr>
            <w:r w:rsidRPr="006B0EA6">
              <w:rPr>
                <w:rFonts w:ascii="Times New Roman" w:eastAsia="Times New Roman" w:hAnsi="Times New Roman" w:cs="Times New Roman"/>
                <w:b/>
                <w:sz w:val="24"/>
                <w:szCs w:val="24"/>
              </w:rPr>
              <w:t>Description</w:t>
            </w:r>
          </w:p>
        </w:tc>
      </w:tr>
      <w:tr w:rsidR="00D32D97" w:rsidRPr="006B0EA6" w14:paraId="2A84FEE7" w14:textId="77777777">
        <w:tc>
          <w:tcPr>
            <w:tcW w:w="1440" w:type="dxa"/>
            <w:shd w:val="clear" w:color="auto" w:fill="auto"/>
            <w:tcMar>
              <w:top w:w="29" w:type="dxa"/>
              <w:left w:w="115" w:type="dxa"/>
              <w:bottom w:w="29" w:type="dxa"/>
              <w:right w:w="115" w:type="dxa"/>
            </w:tcMar>
            <w:vAlign w:val="center"/>
          </w:tcPr>
          <w:p w14:paraId="64C328D4" w14:textId="77777777" w:rsidR="00D32D97" w:rsidRPr="006B0EA6" w:rsidRDefault="000D16CF">
            <w:pPr>
              <w:jc w:val="center"/>
              <w:rPr>
                <w:rFonts w:ascii="Times New Roman" w:eastAsia="Times New Roman" w:hAnsi="Times New Roman" w:cs="Times New Roman"/>
                <w:sz w:val="24"/>
                <w:szCs w:val="24"/>
              </w:rPr>
            </w:pPr>
            <w:r w:rsidRPr="006B0EA6">
              <w:rPr>
                <w:rFonts w:ascii="Times New Roman" w:eastAsia="Times New Roman" w:hAnsi="Times New Roman" w:cs="Times New Roman"/>
                <w:sz w:val="24"/>
                <w:szCs w:val="24"/>
              </w:rPr>
              <w:t>A4226</w:t>
            </w:r>
          </w:p>
        </w:tc>
        <w:tc>
          <w:tcPr>
            <w:tcW w:w="1234" w:type="dxa"/>
            <w:shd w:val="clear" w:color="auto" w:fill="auto"/>
            <w:tcMar>
              <w:top w:w="29" w:type="dxa"/>
              <w:left w:w="115" w:type="dxa"/>
              <w:bottom w:w="29" w:type="dxa"/>
              <w:right w:w="115" w:type="dxa"/>
            </w:tcMar>
            <w:vAlign w:val="center"/>
          </w:tcPr>
          <w:p w14:paraId="2E024188" w14:textId="77777777" w:rsidR="00D32D97" w:rsidRPr="006B0EA6" w:rsidRDefault="000D16CF">
            <w:pPr>
              <w:jc w:val="center"/>
              <w:rPr>
                <w:rFonts w:ascii="Times New Roman" w:eastAsia="Times New Roman" w:hAnsi="Times New Roman" w:cs="Times New Roman"/>
                <w:sz w:val="24"/>
                <w:szCs w:val="24"/>
              </w:rPr>
            </w:pPr>
            <w:r w:rsidRPr="006B0EA6">
              <w:rPr>
                <w:rFonts w:ascii="Times New Roman" w:eastAsia="Times New Roman" w:hAnsi="Times New Roman" w:cs="Times New Roman"/>
                <w:sz w:val="24"/>
                <w:szCs w:val="24"/>
              </w:rPr>
              <w:t>I.C.</w:t>
            </w:r>
          </w:p>
        </w:tc>
        <w:tc>
          <w:tcPr>
            <w:tcW w:w="7521" w:type="dxa"/>
            <w:shd w:val="clear" w:color="auto" w:fill="auto"/>
            <w:tcMar>
              <w:top w:w="29" w:type="dxa"/>
              <w:left w:w="115" w:type="dxa"/>
              <w:bottom w:w="29" w:type="dxa"/>
              <w:right w:w="115" w:type="dxa"/>
            </w:tcMar>
            <w:vAlign w:val="bottom"/>
          </w:tcPr>
          <w:p w14:paraId="2798C331" w14:textId="77777777" w:rsidR="00D32D97" w:rsidRPr="006B0EA6" w:rsidRDefault="000D16CF">
            <w:pPr>
              <w:rPr>
                <w:rFonts w:ascii="Times New Roman" w:eastAsia="Times New Roman" w:hAnsi="Times New Roman" w:cs="Times New Roman"/>
                <w:color w:val="000000"/>
                <w:sz w:val="24"/>
                <w:szCs w:val="24"/>
              </w:rPr>
            </w:pPr>
            <w:r w:rsidRPr="006B0EA6">
              <w:rPr>
                <w:rFonts w:ascii="Times New Roman" w:eastAsia="Times New Roman" w:hAnsi="Times New Roman" w:cs="Times New Roman"/>
                <w:sz w:val="24"/>
                <w:szCs w:val="24"/>
              </w:rPr>
              <w:t>Supplies for maintenance of insulin infusion pump with dosage rate adjustment using therapeutic continuous glucose sensing, per week</w:t>
            </w:r>
          </w:p>
        </w:tc>
      </w:tr>
      <w:tr w:rsidR="00D32D97" w:rsidRPr="006B0EA6" w14:paraId="463CFA9E" w14:textId="77777777">
        <w:tc>
          <w:tcPr>
            <w:tcW w:w="1440" w:type="dxa"/>
            <w:shd w:val="clear" w:color="auto" w:fill="auto"/>
            <w:tcMar>
              <w:top w:w="29" w:type="dxa"/>
              <w:left w:w="115" w:type="dxa"/>
              <w:bottom w:w="29" w:type="dxa"/>
              <w:right w:w="115" w:type="dxa"/>
            </w:tcMar>
            <w:vAlign w:val="center"/>
          </w:tcPr>
          <w:p w14:paraId="4B339E10" w14:textId="77777777" w:rsidR="00D32D97" w:rsidRPr="006B0EA6" w:rsidRDefault="000D16CF">
            <w:pPr>
              <w:jc w:val="center"/>
              <w:rPr>
                <w:rFonts w:ascii="Times New Roman" w:eastAsia="Times New Roman" w:hAnsi="Times New Roman" w:cs="Times New Roman"/>
                <w:sz w:val="24"/>
                <w:szCs w:val="24"/>
              </w:rPr>
            </w:pPr>
            <w:r w:rsidRPr="006B0EA6">
              <w:rPr>
                <w:rFonts w:ascii="Times New Roman" w:eastAsia="Times New Roman" w:hAnsi="Times New Roman" w:cs="Times New Roman"/>
                <w:sz w:val="24"/>
                <w:szCs w:val="24"/>
              </w:rPr>
              <w:t>E0787</w:t>
            </w:r>
          </w:p>
        </w:tc>
        <w:tc>
          <w:tcPr>
            <w:tcW w:w="1234" w:type="dxa"/>
            <w:shd w:val="clear" w:color="auto" w:fill="auto"/>
            <w:tcMar>
              <w:top w:w="29" w:type="dxa"/>
              <w:left w:w="115" w:type="dxa"/>
              <w:bottom w:w="29" w:type="dxa"/>
              <w:right w:w="115" w:type="dxa"/>
            </w:tcMar>
            <w:vAlign w:val="center"/>
          </w:tcPr>
          <w:p w14:paraId="1643A3DB" w14:textId="77777777" w:rsidR="00D32D97" w:rsidRPr="006B0EA6" w:rsidRDefault="000D16CF">
            <w:pPr>
              <w:jc w:val="center"/>
              <w:rPr>
                <w:rFonts w:ascii="Times New Roman" w:eastAsia="Times New Roman" w:hAnsi="Times New Roman" w:cs="Times New Roman"/>
                <w:sz w:val="24"/>
                <w:szCs w:val="24"/>
              </w:rPr>
            </w:pPr>
            <w:r w:rsidRPr="006B0EA6">
              <w:rPr>
                <w:rFonts w:ascii="Times New Roman" w:eastAsia="Times New Roman" w:hAnsi="Times New Roman" w:cs="Times New Roman"/>
                <w:sz w:val="24"/>
                <w:szCs w:val="24"/>
              </w:rPr>
              <w:t>I.C.</w:t>
            </w:r>
          </w:p>
        </w:tc>
        <w:tc>
          <w:tcPr>
            <w:tcW w:w="7521" w:type="dxa"/>
            <w:shd w:val="clear" w:color="auto" w:fill="auto"/>
            <w:tcMar>
              <w:top w:w="29" w:type="dxa"/>
              <w:left w:w="115" w:type="dxa"/>
              <w:bottom w:w="29" w:type="dxa"/>
              <w:right w:w="115" w:type="dxa"/>
            </w:tcMar>
            <w:vAlign w:val="bottom"/>
          </w:tcPr>
          <w:p w14:paraId="3BF1CC72" w14:textId="77777777" w:rsidR="00D32D97" w:rsidRPr="006B0EA6" w:rsidRDefault="000D16CF">
            <w:pPr>
              <w:rPr>
                <w:rFonts w:ascii="Times New Roman" w:eastAsia="Times New Roman" w:hAnsi="Times New Roman" w:cs="Times New Roman"/>
                <w:color w:val="000000"/>
                <w:sz w:val="24"/>
                <w:szCs w:val="24"/>
              </w:rPr>
            </w:pPr>
            <w:r w:rsidRPr="006B0EA6">
              <w:rPr>
                <w:rFonts w:ascii="Times New Roman" w:eastAsia="Times New Roman" w:hAnsi="Times New Roman" w:cs="Times New Roman"/>
                <w:sz w:val="24"/>
                <w:szCs w:val="24"/>
              </w:rPr>
              <w:t>External ambulatory infusion pump, insulin, dosage rate adjustment using therapeutic continuous glucose sensing</w:t>
            </w:r>
          </w:p>
        </w:tc>
      </w:tr>
      <w:tr w:rsidR="00D32D97" w:rsidRPr="006B0EA6" w14:paraId="68D6E1D8" w14:textId="77777777">
        <w:tc>
          <w:tcPr>
            <w:tcW w:w="1440" w:type="dxa"/>
            <w:shd w:val="clear" w:color="auto" w:fill="auto"/>
            <w:tcMar>
              <w:top w:w="29" w:type="dxa"/>
              <w:left w:w="115" w:type="dxa"/>
              <w:bottom w:w="29" w:type="dxa"/>
              <w:right w:w="115" w:type="dxa"/>
            </w:tcMar>
            <w:vAlign w:val="center"/>
          </w:tcPr>
          <w:p w14:paraId="2C676AFF" w14:textId="77777777" w:rsidR="00D32D97" w:rsidRPr="006B0EA6" w:rsidRDefault="000D16CF">
            <w:pPr>
              <w:jc w:val="center"/>
              <w:rPr>
                <w:rFonts w:ascii="Times New Roman" w:eastAsia="Times New Roman" w:hAnsi="Times New Roman" w:cs="Times New Roman"/>
                <w:sz w:val="24"/>
                <w:szCs w:val="24"/>
              </w:rPr>
            </w:pPr>
            <w:r w:rsidRPr="006B0EA6">
              <w:rPr>
                <w:rFonts w:ascii="Times New Roman" w:eastAsia="Times New Roman" w:hAnsi="Times New Roman" w:cs="Times New Roman"/>
                <w:sz w:val="24"/>
                <w:szCs w:val="24"/>
              </w:rPr>
              <w:t>B4187</w:t>
            </w:r>
          </w:p>
        </w:tc>
        <w:tc>
          <w:tcPr>
            <w:tcW w:w="1234" w:type="dxa"/>
            <w:shd w:val="clear" w:color="auto" w:fill="auto"/>
            <w:tcMar>
              <w:top w:w="29" w:type="dxa"/>
              <w:left w:w="115" w:type="dxa"/>
              <w:bottom w:w="29" w:type="dxa"/>
              <w:right w:w="115" w:type="dxa"/>
            </w:tcMar>
            <w:vAlign w:val="center"/>
          </w:tcPr>
          <w:p w14:paraId="16808C2F" w14:textId="77777777" w:rsidR="00D32D97" w:rsidRPr="006B0EA6" w:rsidRDefault="000D16CF">
            <w:pPr>
              <w:jc w:val="center"/>
              <w:rPr>
                <w:rFonts w:ascii="Times New Roman" w:eastAsia="Times New Roman" w:hAnsi="Times New Roman" w:cs="Times New Roman"/>
                <w:sz w:val="24"/>
                <w:szCs w:val="24"/>
              </w:rPr>
            </w:pPr>
            <w:r w:rsidRPr="006B0EA6">
              <w:rPr>
                <w:rFonts w:ascii="Times New Roman" w:eastAsia="Times New Roman" w:hAnsi="Times New Roman" w:cs="Times New Roman"/>
                <w:sz w:val="24"/>
                <w:szCs w:val="24"/>
              </w:rPr>
              <w:t>I.C.</w:t>
            </w:r>
          </w:p>
        </w:tc>
        <w:tc>
          <w:tcPr>
            <w:tcW w:w="7521" w:type="dxa"/>
            <w:shd w:val="clear" w:color="auto" w:fill="auto"/>
            <w:tcMar>
              <w:top w:w="29" w:type="dxa"/>
              <w:left w:w="115" w:type="dxa"/>
              <w:bottom w:w="29" w:type="dxa"/>
              <w:right w:w="115" w:type="dxa"/>
            </w:tcMar>
            <w:vAlign w:val="center"/>
          </w:tcPr>
          <w:p w14:paraId="5C8EAEDB" w14:textId="77777777" w:rsidR="00D32D97" w:rsidRPr="006B0EA6" w:rsidRDefault="000D16CF">
            <w:pPr>
              <w:rPr>
                <w:rFonts w:ascii="Times New Roman" w:eastAsia="Times New Roman" w:hAnsi="Times New Roman" w:cs="Times New Roman"/>
                <w:color w:val="000000"/>
                <w:sz w:val="24"/>
                <w:szCs w:val="24"/>
              </w:rPr>
            </w:pPr>
            <w:proofErr w:type="spellStart"/>
            <w:r w:rsidRPr="006B0EA6">
              <w:rPr>
                <w:rFonts w:ascii="Times New Roman" w:eastAsia="Times New Roman" w:hAnsi="Times New Roman" w:cs="Times New Roman"/>
                <w:sz w:val="24"/>
                <w:szCs w:val="24"/>
              </w:rPr>
              <w:t>Omegaven</w:t>
            </w:r>
            <w:proofErr w:type="spellEnd"/>
            <w:r w:rsidRPr="006B0EA6">
              <w:rPr>
                <w:rFonts w:ascii="Times New Roman" w:eastAsia="Times New Roman" w:hAnsi="Times New Roman" w:cs="Times New Roman"/>
                <w:sz w:val="24"/>
                <w:szCs w:val="24"/>
              </w:rPr>
              <w:t>, 10 grams lipids</w:t>
            </w:r>
          </w:p>
        </w:tc>
      </w:tr>
      <w:tr w:rsidR="00D32D97" w:rsidRPr="006B0EA6" w14:paraId="43F7692F" w14:textId="77777777">
        <w:tc>
          <w:tcPr>
            <w:tcW w:w="1440" w:type="dxa"/>
            <w:shd w:val="clear" w:color="auto" w:fill="auto"/>
            <w:tcMar>
              <w:top w:w="29" w:type="dxa"/>
              <w:left w:w="115" w:type="dxa"/>
              <w:bottom w:w="29" w:type="dxa"/>
              <w:right w:w="115" w:type="dxa"/>
            </w:tcMar>
            <w:vAlign w:val="center"/>
          </w:tcPr>
          <w:p w14:paraId="16A316F4" w14:textId="77777777" w:rsidR="00D32D97" w:rsidRPr="006B0EA6" w:rsidRDefault="000D16CF">
            <w:pPr>
              <w:jc w:val="center"/>
              <w:rPr>
                <w:rFonts w:ascii="Times New Roman" w:eastAsia="Times New Roman" w:hAnsi="Times New Roman" w:cs="Times New Roman"/>
                <w:sz w:val="24"/>
                <w:szCs w:val="24"/>
              </w:rPr>
            </w:pPr>
            <w:r w:rsidRPr="006B0EA6">
              <w:rPr>
                <w:rFonts w:ascii="Times New Roman" w:eastAsia="Times New Roman" w:hAnsi="Times New Roman" w:cs="Times New Roman"/>
                <w:sz w:val="24"/>
                <w:szCs w:val="24"/>
              </w:rPr>
              <w:t>E2398</w:t>
            </w:r>
          </w:p>
        </w:tc>
        <w:tc>
          <w:tcPr>
            <w:tcW w:w="1234" w:type="dxa"/>
            <w:shd w:val="clear" w:color="auto" w:fill="auto"/>
            <w:tcMar>
              <w:top w:w="29" w:type="dxa"/>
              <w:left w:w="115" w:type="dxa"/>
              <w:bottom w:w="29" w:type="dxa"/>
              <w:right w:w="115" w:type="dxa"/>
            </w:tcMar>
            <w:vAlign w:val="center"/>
          </w:tcPr>
          <w:p w14:paraId="09B44F4F" w14:textId="77777777" w:rsidR="00D32D97" w:rsidRPr="006B0EA6" w:rsidRDefault="000D16CF">
            <w:pPr>
              <w:jc w:val="center"/>
              <w:rPr>
                <w:rFonts w:ascii="Times New Roman" w:eastAsia="Times New Roman" w:hAnsi="Times New Roman" w:cs="Times New Roman"/>
                <w:sz w:val="24"/>
                <w:szCs w:val="24"/>
              </w:rPr>
            </w:pPr>
            <w:r w:rsidRPr="006B0EA6">
              <w:rPr>
                <w:rFonts w:ascii="Times New Roman" w:eastAsia="Times New Roman" w:hAnsi="Times New Roman" w:cs="Times New Roman"/>
                <w:sz w:val="24"/>
                <w:szCs w:val="24"/>
              </w:rPr>
              <w:t>I.C.</w:t>
            </w:r>
          </w:p>
        </w:tc>
        <w:tc>
          <w:tcPr>
            <w:tcW w:w="7521" w:type="dxa"/>
            <w:shd w:val="clear" w:color="auto" w:fill="auto"/>
            <w:tcMar>
              <w:top w:w="29" w:type="dxa"/>
              <w:left w:w="115" w:type="dxa"/>
              <w:bottom w:w="29" w:type="dxa"/>
              <w:right w:w="115" w:type="dxa"/>
            </w:tcMar>
            <w:vAlign w:val="bottom"/>
          </w:tcPr>
          <w:p w14:paraId="655333CF" w14:textId="77777777" w:rsidR="00D32D97" w:rsidRPr="006B0EA6" w:rsidRDefault="000D16CF">
            <w:pPr>
              <w:rPr>
                <w:rFonts w:ascii="Times New Roman" w:eastAsia="Times New Roman" w:hAnsi="Times New Roman" w:cs="Times New Roman"/>
                <w:color w:val="000000"/>
                <w:sz w:val="24"/>
                <w:szCs w:val="24"/>
              </w:rPr>
            </w:pPr>
            <w:r w:rsidRPr="006B0EA6">
              <w:rPr>
                <w:rFonts w:ascii="Times New Roman" w:eastAsia="Times New Roman" w:hAnsi="Times New Roman" w:cs="Times New Roman"/>
                <w:sz w:val="24"/>
                <w:szCs w:val="24"/>
              </w:rPr>
              <w:t>Wheelchair accessory, dynamic positioning hardware for back</w:t>
            </w:r>
          </w:p>
        </w:tc>
      </w:tr>
      <w:tr w:rsidR="00D32D97" w:rsidRPr="006B0EA6" w14:paraId="73FFF85B" w14:textId="77777777">
        <w:tc>
          <w:tcPr>
            <w:tcW w:w="1440" w:type="dxa"/>
            <w:shd w:val="clear" w:color="auto" w:fill="auto"/>
            <w:tcMar>
              <w:top w:w="29" w:type="dxa"/>
              <w:left w:w="115" w:type="dxa"/>
              <w:bottom w:w="29" w:type="dxa"/>
              <w:right w:w="115" w:type="dxa"/>
            </w:tcMar>
            <w:vAlign w:val="center"/>
          </w:tcPr>
          <w:p w14:paraId="058B19E0" w14:textId="77777777" w:rsidR="00D32D97" w:rsidRPr="006B0EA6" w:rsidRDefault="000D16CF">
            <w:pPr>
              <w:jc w:val="center"/>
              <w:rPr>
                <w:rFonts w:ascii="Times New Roman" w:eastAsia="Times New Roman" w:hAnsi="Times New Roman" w:cs="Times New Roman"/>
                <w:sz w:val="24"/>
                <w:szCs w:val="24"/>
              </w:rPr>
            </w:pPr>
            <w:r w:rsidRPr="006B0EA6">
              <w:rPr>
                <w:rFonts w:ascii="Times New Roman" w:eastAsia="Times New Roman" w:hAnsi="Times New Roman" w:cs="Times New Roman"/>
                <w:sz w:val="24"/>
                <w:szCs w:val="24"/>
              </w:rPr>
              <w:t>K1001</w:t>
            </w:r>
          </w:p>
        </w:tc>
        <w:tc>
          <w:tcPr>
            <w:tcW w:w="1234" w:type="dxa"/>
            <w:shd w:val="clear" w:color="auto" w:fill="auto"/>
            <w:tcMar>
              <w:top w:w="29" w:type="dxa"/>
              <w:left w:w="115" w:type="dxa"/>
              <w:bottom w:w="29" w:type="dxa"/>
              <w:right w:w="115" w:type="dxa"/>
            </w:tcMar>
            <w:vAlign w:val="center"/>
          </w:tcPr>
          <w:p w14:paraId="446C6C22" w14:textId="77777777" w:rsidR="00D32D97" w:rsidRPr="006B0EA6" w:rsidRDefault="000D16CF">
            <w:pPr>
              <w:jc w:val="center"/>
              <w:rPr>
                <w:rFonts w:ascii="Times New Roman" w:eastAsia="Times New Roman" w:hAnsi="Times New Roman" w:cs="Times New Roman"/>
                <w:sz w:val="24"/>
                <w:szCs w:val="24"/>
              </w:rPr>
            </w:pPr>
            <w:r w:rsidRPr="006B0EA6">
              <w:rPr>
                <w:rFonts w:ascii="Times New Roman" w:eastAsia="Times New Roman" w:hAnsi="Times New Roman" w:cs="Times New Roman"/>
                <w:sz w:val="24"/>
                <w:szCs w:val="24"/>
              </w:rPr>
              <w:t>I.C.</w:t>
            </w:r>
          </w:p>
        </w:tc>
        <w:tc>
          <w:tcPr>
            <w:tcW w:w="7521" w:type="dxa"/>
            <w:shd w:val="clear" w:color="auto" w:fill="auto"/>
            <w:tcMar>
              <w:top w:w="29" w:type="dxa"/>
              <w:left w:w="115" w:type="dxa"/>
              <w:bottom w:w="29" w:type="dxa"/>
              <w:right w:w="115" w:type="dxa"/>
            </w:tcMar>
            <w:vAlign w:val="bottom"/>
          </w:tcPr>
          <w:p w14:paraId="0E7D3251" w14:textId="77777777" w:rsidR="00D32D97" w:rsidRPr="006B0EA6" w:rsidRDefault="000D16CF">
            <w:pPr>
              <w:rPr>
                <w:rFonts w:ascii="Times New Roman" w:eastAsia="Times New Roman" w:hAnsi="Times New Roman" w:cs="Times New Roman"/>
                <w:color w:val="000000"/>
                <w:sz w:val="24"/>
                <w:szCs w:val="24"/>
              </w:rPr>
            </w:pPr>
            <w:r w:rsidRPr="006B0EA6">
              <w:rPr>
                <w:rFonts w:ascii="Times New Roman" w:eastAsia="Times New Roman" w:hAnsi="Times New Roman" w:cs="Times New Roman"/>
                <w:sz w:val="24"/>
                <w:szCs w:val="24"/>
              </w:rPr>
              <w:t>Electronic positional obstructive sleep apnea treatment, with sensor, includes all components and accessories, any type</w:t>
            </w:r>
          </w:p>
        </w:tc>
      </w:tr>
      <w:tr w:rsidR="00D32D97" w:rsidRPr="006B0EA6" w14:paraId="19721460" w14:textId="77777777">
        <w:tc>
          <w:tcPr>
            <w:tcW w:w="1440" w:type="dxa"/>
            <w:shd w:val="clear" w:color="auto" w:fill="auto"/>
            <w:tcMar>
              <w:top w:w="29" w:type="dxa"/>
              <w:left w:w="115" w:type="dxa"/>
              <w:bottom w:w="29" w:type="dxa"/>
              <w:right w:w="115" w:type="dxa"/>
            </w:tcMar>
            <w:vAlign w:val="center"/>
          </w:tcPr>
          <w:p w14:paraId="3DE7BE55" w14:textId="77777777" w:rsidR="00D32D97" w:rsidRPr="006B0EA6" w:rsidRDefault="000D16CF">
            <w:pPr>
              <w:jc w:val="center"/>
              <w:rPr>
                <w:rFonts w:ascii="Times New Roman" w:eastAsia="Times New Roman" w:hAnsi="Times New Roman" w:cs="Times New Roman"/>
                <w:sz w:val="24"/>
                <w:szCs w:val="24"/>
              </w:rPr>
            </w:pPr>
            <w:r w:rsidRPr="006B0EA6">
              <w:rPr>
                <w:rFonts w:ascii="Times New Roman" w:eastAsia="Times New Roman" w:hAnsi="Times New Roman" w:cs="Times New Roman"/>
                <w:sz w:val="24"/>
                <w:szCs w:val="24"/>
              </w:rPr>
              <w:t>K1002</w:t>
            </w:r>
          </w:p>
        </w:tc>
        <w:tc>
          <w:tcPr>
            <w:tcW w:w="1234" w:type="dxa"/>
            <w:shd w:val="clear" w:color="auto" w:fill="auto"/>
            <w:tcMar>
              <w:top w:w="29" w:type="dxa"/>
              <w:left w:w="115" w:type="dxa"/>
              <w:bottom w:w="29" w:type="dxa"/>
              <w:right w:w="115" w:type="dxa"/>
            </w:tcMar>
            <w:vAlign w:val="center"/>
          </w:tcPr>
          <w:p w14:paraId="7E7DA5B5" w14:textId="77777777" w:rsidR="00D32D97" w:rsidRPr="006B0EA6" w:rsidRDefault="000D16CF">
            <w:pPr>
              <w:jc w:val="center"/>
              <w:rPr>
                <w:rFonts w:ascii="Times New Roman" w:eastAsia="Times New Roman" w:hAnsi="Times New Roman" w:cs="Times New Roman"/>
                <w:sz w:val="24"/>
                <w:szCs w:val="24"/>
              </w:rPr>
            </w:pPr>
            <w:r w:rsidRPr="006B0EA6">
              <w:rPr>
                <w:rFonts w:ascii="Times New Roman" w:eastAsia="Times New Roman" w:hAnsi="Times New Roman" w:cs="Times New Roman"/>
                <w:sz w:val="24"/>
                <w:szCs w:val="24"/>
              </w:rPr>
              <w:t>I.C.</w:t>
            </w:r>
          </w:p>
        </w:tc>
        <w:tc>
          <w:tcPr>
            <w:tcW w:w="7521" w:type="dxa"/>
            <w:shd w:val="clear" w:color="auto" w:fill="auto"/>
            <w:tcMar>
              <w:top w:w="29" w:type="dxa"/>
              <w:left w:w="115" w:type="dxa"/>
              <w:bottom w:w="29" w:type="dxa"/>
              <w:right w:w="115" w:type="dxa"/>
            </w:tcMar>
            <w:vAlign w:val="bottom"/>
          </w:tcPr>
          <w:p w14:paraId="354B00FF" w14:textId="77777777" w:rsidR="00D32D97" w:rsidRPr="006B0EA6" w:rsidRDefault="000D16CF">
            <w:pPr>
              <w:rPr>
                <w:rFonts w:ascii="Times New Roman" w:eastAsia="Times New Roman" w:hAnsi="Times New Roman" w:cs="Times New Roman"/>
                <w:sz w:val="24"/>
                <w:szCs w:val="24"/>
              </w:rPr>
            </w:pPr>
            <w:r w:rsidRPr="006B0EA6">
              <w:rPr>
                <w:rFonts w:ascii="Times New Roman" w:eastAsia="Times New Roman" w:hAnsi="Times New Roman" w:cs="Times New Roman"/>
                <w:sz w:val="24"/>
                <w:szCs w:val="24"/>
              </w:rPr>
              <w:t xml:space="preserve">Cranial electrotherapy stimulation(CES) system, includes all supplies and </w:t>
            </w:r>
            <w:r w:rsidRPr="006B0EA6">
              <w:rPr>
                <w:rFonts w:ascii="Times New Roman" w:eastAsia="Times New Roman" w:hAnsi="Times New Roman" w:cs="Times New Roman"/>
                <w:sz w:val="24"/>
                <w:szCs w:val="24"/>
              </w:rPr>
              <w:lastRenderedPageBreak/>
              <w:t>accessories, any type</w:t>
            </w:r>
          </w:p>
        </w:tc>
      </w:tr>
      <w:tr w:rsidR="00D32D97" w:rsidRPr="006B0EA6" w14:paraId="6000977C" w14:textId="77777777">
        <w:tc>
          <w:tcPr>
            <w:tcW w:w="1440" w:type="dxa"/>
            <w:shd w:val="clear" w:color="auto" w:fill="auto"/>
            <w:tcMar>
              <w:top w:w="29" w:type="dxa"/>
              <w:left w:w="115" w:type="dxa"/>
              <w:bottom w:w="29" w:type="dxa"/>
              <w:right w:w="115" w:type="dxa"/>
            </w:tcMar>
            <w:vAlign w:val="center"/>
          </w:tcPr>
          <w:p w14:paraId="48846344" w14:textId="77777777" w:rsidR="00D32D97" w:rsidRPr="006B0EA6" w:rsidRDefault="000D16CF">
            <w:pPr>
              <w:jc w:val="center"/>
              <w:rPr>
                <w:rFonts w:ascii="Times New Roman" w:eastAsia="Times New Roman" w:hAnsi="Times New Roman" w:cs="Times New Roman"/>
                <w:sz w:val="24"/>
                <w:szCs w:val="24"/>
              </w:rPr>
            </w:pPr>
            <w:r w:rsidRPr="006B0EA6">
              <w:rPr>
                <w:rFonts w:ascii="Times New Roman" w:eastAsia="Times New Roman" w:hAnsi="Times New Roman" w:cs="Times New Roman"/>
                <w:sz w:val="24"/>
                <w:szCs w:val="24"/>
              </w:rPr>
              <w:lastRenderedPageBreak/>
              <w:t>K1003</w:t>
            </w:r>
          </w:p>
        </w:tc>
        <w:tc>
          <w:tcPr>
            <w:tcW w:w="1234" w:type="dxa"/>
            <w:shd w:val="clear" w:color="auto" w:fill="auto"/>
            <w:tcMar>
              <w:top w:w="29" w:type="dxa"/>
              <w:left w:w="115" w:type="dxa"/>
              <w:bottom w:w="29" w:type="dxa"/>
              <w:right w:w="115" w:type="dxa"/>
            </w:tcMar>
            <w:vAlign w:val="center"/>
          </w:tcPr>
          <w:p w14:paraId="19E110FB" w14:textId="77777777" w:rsidR="00D32D97" w:rsidRPr="006B0EA6" w:rsidRDefault="000D16CF">
            <w:pPr>
              <w:jc w:val="center"/>
              <w:rPr>
                <w:rFonts w:ascii="Times New Roman" w:eastAsia="Times New Roman" w:hAnsi="Times New Roman" w:cs="Times New Roman"/>
                <w:sz w:val="24"/>
                <w:szCs w:val="24"/>
              </w:rPr>
            </w:pPr>
            <w:r w:rsidRPr="006B0EA6">
              <w:rPr>
                <w:rFonts w:ascii="Times New Roman" w:eastAsia="Times New Roman" w:hAnsi="Times New Roman" w:cs="Times New Roman"/>
                <w:sz w:val="24"/>
                <w:szCs w:val="24"/>
              </w:rPr>
              <w:t>I.C.</w:t>
            </w:r>
          </w:p>
        </w:tc>
        <w:tc>
          <w:tcPr>
            <w:tcW w:w="7521" w:type="dxa"/>
            <w:shd w:val="clear" w:color="auto" w:fill="auto"/>
            <w:tcMar>
              <w:top w:w="29" w:type="dxa"/>
              <w:left w:w="115" w:type="dxa"/>
              <w:bottom w:w="29" w:type="dxa"/>
              <w:right w:w="115" w:type="dxa"/>
            </w:tcMar>
            <w:vAlign w:val="bottom"/>
          </w:tcPr>
          <w:p w14:paraId="6A552886" w14:textId="77777777" w:rsidR="00D32D97" w:rsidRPr="006B0EA6" w:rsidRDefault="000D16CF">
            <w:pPr>
              <w:rPr>
                <w:rFonts w:ascii="Times New Roman" w:eastAsia="Times New Roman" w:hAnsi="Times New Roman" w:cs="Times New Roman"/>
                <w:sz w:val="24"/>
                <w:szCs w:val="24"/>
              </w:rPr>
            </w:pPr>
            <w:r w:rsidRPr="006B0EA6">
              <w:rPr>
                <w:rFonts w:ascii="Times New Roman" w:eastAsia="Times New Roman" w:hAnsi="Times New Roman" w:cs="Times New Roman"/>
                <w:sz w:val="24"/>
                <w:szCs w:val="24"/>
              </w:rPr>
              <w:t>Whirlpool tub, walk-in, portable</w:t>
            </w:r>
          </w:p>
        </w:tc>
      </w:tr>
      <w:tr w:rsidR="00D32D97" w:rsidRPr="006B0EA6" w14:paraId="613D7D1D" w14:textId="77777777">
        <w:tc>
          <w:tcPr>
            <w:tcW w:w="1440" w:type="dxa"/>
            <w:shd w:val="clear" w:color="auto" w:fill="auto"/>
            <w:tcMar>
              <w:top w:w="29" w:type="dxa"/>
              <w:left w:w="115" w:type="dxa"/>
              <w:bottom w:w="29" w:type="dxa"/>
              <w:right w:w="115" w:type="dxa"/>
            </w:tcMar>
            <w:vAlign w:val="center"/>
          </w:tcPr>
          <w:p w14:paraId="57FC58F7" w14:textId="77777777" w:rsidR="00D32D97" w:rsidRPr="006B0EA6" w:rsidRDefault="000D16CF">
            <w:pPr>
              <w:jc w:val="center"/>
              <w:rPr>
                <w:rFonts w:ascii="Times New Roman" w:eastAsia="Times New Roman" w:hAnsi="Times New Roman" w:cs="Times New Roman"/>
                <w:sz w:val="24"/>
                <w:szCs w:val="24"/>
              </w:rPr>
            </w:pPr>
            <w:r w:rsidRPr="006B0EA6">
              <w:rPr>
                <w:rFonts w:ascii="Times New Roman" w:eastAsia="Times New Roman" w:hAnsi="Times New Roman" w:cs="Times New Roman"/>
                <w:sz w:val="24"/>
                <w:szCs w:val="24"/>
              </w:rPr>
              <w:t>K1005</w:t>
            </w:r>
          </w:p>
        </w:tc>
        <w:tc>
          <w:tcPr>
            <w:tcW w:w="1234" w:type="dxa"/>
            <w:shd w:val="clear" w:color="auto" w:fill="auto"/>
            <w:tcMar>
              <w:top w:w="29" w:type="dxa"/>
              <w:left w:w="115" w:type="dxa"/>
              <w:bottom w:w="29" w:type="dxa"/>
              <w:right w:w="115" w:type="dxa"/>
            </w:tcMar>
            <w:vAlign w:val="center"/>
          </w:tcPr>
          <w:p w14:paraId="06EDEF33" w14:textId="77777777" w:rsidR="00D32D97" w:rsidRPr="006B0EA6" w:rsidRDefault="000D16CF">
            <w:pPr>
              <w:jc w:val="center"/>
              <w:rPr>
                <w:rFonts w:ascii="Times New Roman" w:eastAsia="Times New Roman" w:hAnsi="Times New Roman" w:cs="Times New Roman"/>
                <w:sz w:val="24"/>
                <w:szCs w:val="24"/>
              </w:rPr>
            </w:pPr>
            <w:r w:rsidRPr="006B0EA6">
              <w:rPr>
                <w:rFonts w:ascii="Times New Roman" w:eastAsia="Times New Roman" w:hAnsi="Times New Roman" w:cs="Times New Roman"/>
                <w:sz w:val="24"/>
                <w:szCs w:val="24"/>
              </w:rPr>
              <w:t>I.C.</w:t>
            </w:r>
          </w:p>
        </w:tc>
        <w:tc>
          <w:tcPr>
            <w:tcW w:w="7521" w:type="dxa"/>
            <w:shd w:val="clear" w:color="auto" w:fill="auto"/>
            <w:tcMar>
              <w:top w:w="29" w:type="dxa"/>
              <w:left w:w="115" w:type="dxa"/>
              <w:bottom w:w="29" w:type="dxa"/>
              <w:right w:w="115" w:type="dxa"/>
            </w:tcMar>
            <w:vAlign w:val="bottom"/>
          </w:tcPr>
          <w:p w14:paraId="70FE277B" w14:textId="77777777" w:rsidR="00D32D97" w:rsidRPr="006B0EA6" w:rsidRDefault="000D16CF">
            <w:pPr>
              <w:rPr>
                <w:rFonts w:ascii="Times New Roman" w:eastAsia="Times New Roman" w:hAnsi="Times New Roman" w:cs="Times New Roman"/>
                <w:sz w:val="24"/>
                <w:szCs w:val="24"/>
              </w:rPr>
            </w:pPr>
            <w:r w:rsidRPr="006B0EA6">
              <w:rPr>
                <w:rFonts w:ascii="Times New Roman" w:eastAsia="Times New Roman" w:hAnsi="Times New Roman" w:cs="Times New Roman"/>
                <w:sz w:val="24"/>
                <w:szCs w:val="24"/>
              </w:rPr>
              <w:t>Disposable collection and storage for bag for breast milk, any size, any type, each</w:t>
            </w:r>
          </w:p>
        </w:tc>
      </w:tr>
    </w:tbl>
    <w:p w14:paraId="0EF59CE0" w14:textId="77777777" w:rsidR="00D32D97" w:rsidRPr="006B0EA6" w:rsidRDefault="00D32D97">
      <w:pPr>
        <w:rPr>
          <w:rFonts w:ascii="Times New Roman" w:eastAsia="Times New Roman" w:hAnsi="Times New Roman" w:cs="Times New Roman"/>
          <w:sz w:val="24"/>
          <w:szCs w:val="24"/>
        </w:rPr>
      </w:pPr>
    </w:p>
    <w:p w14:paraId="5281B110" w14:textId="330FDA5B" w:rsidR="00D32D97" w:rsidRPr="006B0EA6" w:rsidRDefault="000D16CF">
      <w:pPr>
        <w:spacing w:after="120"/>
        <w:rPr>
          <w:rFonts w:ascii="Times New Roman" w:eastAsia="Times New Roman" w:hAnsi="Times New Roman" w:cs="Times New Roman"/>
          <w:sz w:val="24"/>
          <w:szCs w:val="24"/>
        </w:rPr>
      </w:pPr>
      <w:r w:rsidRPr="006B0EA6">
        <w:rPr>
          <w:rFonts w:ascii="Times New Roman" w:eastAsia="Times New Roman" w:hAnsi="Times New Roman" w:cs="Times New Roman"/>
          <w:b/>
          <w:sz w:val="24"/>
          <w:szCs w:val="24"/>
        </w:rPr>
        <w:t>Code Description Revision</w:t>
      </w:r>
    </w:p>
    <w:tbl>
      <w:tblPr>
        <w:tblStyle w:val="a0"/>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
        <w:gridCol w:w="4442"/>
        <w:gridCol w:w="4680"/>
      </w:tblGrid>
      <w:tr w:rsidR="00D32D97" w:rsidRPr="006B0EA6" w14:paraId="09D887EB" w14:textId="77777777">
        <w:tc>
          <w:tcPr>
            <w:tcW w:w="1048" w:type="dxa"/>
            <w:shd w:val="clear" w:color="auto" w:fill="auto"/>
            <w:tcMar>
              <w:top w:w="29" w:type="dxa"/>
              <w:left w:w="115" w:type="dxa"/>
              <w:bottom w:w="29" w:type="dxa"/>
              <w:right w:w="115" w:type="dxa"/>
            </w:tcMar>
            <w:vAlign w:val="center"/>
          </w:tcPr>
          <w:p w14:paraId="5472889B" w14:textId="77777777" w:rsidR="00D32D97" w:rsidRPr="006B0EA6" w:rsidRDefault="000D16CF">
            <w:pPr>
              <w:jc w:val="center"/>
              <w:rPr>
                <w:rFonts w:ascii="Times New Roman" w:eastAsia="Times New Roman" w:hAnsi="Times New Roman" w:cs="Times New Roman"/>
                <w:b/>
                <w:sz w:val="24"/>
                <w:szCs w:val="24"/>
              </w:rPr>
            </w:pPr>
            <w:r w:rsidRPr="006B0EA6">
              <w:rPr>
                <w:rFonts w:ascii="Times New Roman" w:eastAsia="Times New Roman" w:hAnsi="Times New Roman" w:cs="Times New Roman"/>
                <w:b/>
                <w:sz w:val="24"/>
                <w:szCs w:val="24"/>
              </w:rPr>
              <w:t>Code</w:t>
            </w:r>
          </w:p>
        </w:tc>
        <w:tc>
          <w:tcPr>
            <w:tcW w:w="4442" w:type="dxa"/>
            <w:shd w:val="clear" w:color="auto" w:fill="auto"/>
            <w:tcMar>
              <w:top w:w="29" w:type="dxa"/>
              <w:left w:w="115" w:type="dxa"/>
              <w:bottom w:w="29" w:type="dxa"/>
              <w:right w:w="115" w:type="dxa"/>
            </w:tcMar>
            <w:vAlign w:val="center"/>
          </w:tcPr>
          <w:p w14:paraId="48EF7B53" w14:textId="77777777" w:rsidR="00D32D97" w:rsidRPr="006B0EA6" w:rsidRDefault="000D16CF">
            <w:pPr>
              <w:jc w:val="center"/>
              <w:rPr>
                <w:rFonts w:ascii="Times New Roman" w:eastAsia="Times New Roman" w:hAnsi="Times New Roman" w:cs="Times New Roman"/>
                <w:b/>
                <w:sz w:val="24"/>
                <w:szCs w:val="24"/>
              </w:rPr>
            </w:pPr>
            <w:r w:rsidRPr="006B0EA6">
              <w:rPr>
                <w:rFonts w:ascii="Times New Roman" w:eastAsia="Times New Roman" w:hAnsi="Times New Roman" w:cs="Times New Roman"/>
                <w:b/>
                <w:sz w:val="24"/>
                <w:szCs w:val="24"/>
              </w:rPr>
              <w:t>Old Description</w:t>
            </w:r>
          </w:p>
        </w:tc>
        <w:tc>
          <w:tcPr>
            <w:tcW w:w="4680" w:type="dxa"/>
            <w:shd w:val="clear" w:color="auto" w:fill="auto"/>
            <w:tcMar>
              <w:top w:w="29" w:type="dxa"/>
              <w:left w:w="115" w:type="dxa"/>
              <w:bottom w:w="29" w:type="dxa"/>
              <w:right w:w="115" w:type="dxa"/>
            </w:tcMar>
            <w:vAlign w:val="center"/>
          </w:tcPr>
          <w:p w14:paraId="265AF0E7" w14:textId="77777777" w:rsidR="00D32D97" w:rsidRPr="006B0EA6" w:rsidRDefault="000D16CF">
            <w:pPr>
              <w:jc w:val="center"/>
              <w:rPr>
                <w:rFonts w:ascii="Times New Roman" w:eastAsia="Times New Roman" w:hAnsi="Times New Roman" w:cs="Times New Roman"/>
                <w:b/>
                <w:sz w:val="24"/>
                <w:szCs w:val="24"/>
              </w:rPr>
            </w:pPr>
            <w:r w:rsidRPr="006B0EA6">
              <w:rPr>
                <w:rFonts w:ascii="Times New Roman" w:eastAsia="Times New Roman" w:hAnsi="Times New Roman" w:cs="Times New Roman"/>
                <w:b/>
                <w:sz w:val="24"/>
                <w:szCs w:val="24"/>
              </w:rPr>
              <w:t>New Description</w:t>
            </w:r>
          </w:p>
        </w:tc>
      </w:tr>
      <w:tr w:rsidR="00D32D97" w:rsidRPr="006B0EA6" w14:paraId="5DEEC642" w14:textId="77777777" w:rsidTr="00FA1F13">
        <w:tc>
          <w:tcPr>
            <w:tcW w:w="1048" w:type="dxa"/>
            <w:shd w:val="clear" w:color="auto" w:fill="auto"/>
            <w:tcMar>
              <w:top w:w="29" w:type="dxa"/>
              <w:left w:w="115" w:type="dxa"/>
              <w:bottom w:w="29" w:type="dxa"/>
              <w:right w:w="115" w:type="dxa"/>
            </w:tcMar>
            <w:vAlign w:val="center"/>
          </w:tcPr>
          <w:p w14:paraId="52E2E61C" w14:textId="77777777" w:rsidR="00D32D97" w:rsidRPr="006B0EA6" w:rsidRDefault="000D16CF" w:rsidP="00FA1F13">
            <w:pPr>
              <w:jc w:val="center"/>
              <w:rPr>
                <w:rFonts w:ascii="Times New Roman" w:eastAsia="Times New Roman" w:hAnsi="Times New Roman" w:cs="Times New Roman"/>
                <w:sz w:val="24"/>
                <w:szCs w:val="24"/>
              </w:rPr>
            </w:pPr>
            <w:r w:rsidRPr="006B0EA6">
              <w:rPr>
                <w:rFonts w:ascii="Times New Roman" w:eastAsia="Times New Roman" w:hAnsi="Times New Roman" w:cs="Times New Roman"/>
                <w:sz w:val="24"/>
                <w:szCs w:val="24"/>
              </w:rPr>
              <w:t>B4185</w:t>
            </w:r>
          </w:p>
        </w:tc>
        <w:tc>
          <w:tcPr>
            <w:tcW w:w="4442" w:type="dxa"/>
            <w:shd w:val="clear" w:color="auto" w:fill="auto"/>
            <w:tcMar>
              <w:top w:w="29" w:type="dxa"/>
              <w:left w:w="115" w:type="dxa"/>
              <w:bottom w:w="29" w:type="dxa"/>
              <w:right w:w="115" w:type="dxa"/>
            </w:tcMar>
            <w:vAlign w:val="center"/>
          </w:tcPr>
          <w:p w14:paraId="65A2B2A9" w14:textId="77777777" w:rsidR="00D32D97" w:rsidRPr="006B0EA6" w:rsidRDefault="000D16CF">
            <w:pPr>
              <w:rPr>
                <w:rFonts w:ascii="Times New Roman" w:eastAsia="Times New Roman" w:hAnsi="Times New Roman" w:cs="Times New Roman"/>
                <w:color w:val="000000"/>
                <w:sz w:val="24"/>
                <w:szCs w:val="24"/>
              </w:rPr>
            </w:pPr>
            <w:r w:rsidRPr="006B0EA6">
              <w:rPr>
                <w:rFonts w:ascii="Times New Roman" w:eastAsia="Times New Roman" w:hAnsi="Times New Roman" w:cs="Times New Roman"/>
                <w:sz w:val="24"/>
                <w:szCs w:val="24"/>
              </w:rPr>
              <w:t>Parental nutrition solution, per 10 grams lipids</w:t>
            </w:r>
          </w:p>
        </w:tc>
        <w:tc>
          <w:tcPr>
            <w:tcW w:w="4680" w:type="dxa"/>
            <w:shd w:val="clear" w:color="auto" w:fill="auto"/>
            <w:tcMar>
              <w:top w:w="29" w:type="dxa"/>
              <w:left w:w="115" w:type="dxa"/>
              <w:bottom w:w="29" w:type="dxa"/>
              <w:right w:w="115" w:type="dxa"/>
            </w:tcMar>
            <w:vAlign w:val="center"/>
          </w:tcPr>
          <w:p w14:paraId="2DACEC37" w14:textId="77777777" w:rsidR="00D32D97" w:rsidRPr="006B0EA6" w:rsidRDefault="000D16CF">
            <w:pPr>
              <w:rPr>
                <w:rFonts w:ascii="Times New Roman" w:eastAsia="Times New Roman" w:hAnsi="Times New Roman" w:cs="Times New Roman"/>
                <w:color w:val="000000"/>
                <w:sz w:val="24"/>
                <w:szCs w:val="24"/>
              </w:rPr>
            </w:pPr>
            <w:r w:rsidRPr="006B0EA6">
              <w:rPr>
                <w:rFonts w:ascii="Times New Roman" w:eastAsia="Times New Roman" w:hAnsi="Times New Roman" w:cs="Times New Roman"/>
                <w:sz w:val="24"/>
                <w:szCs w:val="24"/>
              </w:rPr>
              <w:t>Parenteral nutrition solution, not otherwise specified, 10 grams lipids</w:t>
            </w:r>
          </w:p>
        </w:tc>
      </w:tr>
    </w:tbl>
    <w:p w14:paraId="5172F85A" w14:textId="77777777" w:rsidR="00D32D97" w:rsidRPr="006B0EA6" w:rsidRDefault="00D32D97">
      <w:pPr>
        <w:tabs>
          <w:tab w:val="left" w:pos="1440"/>
          <w:tab w:val="center" w:pos="4925"/>
        </w:tabs>
        <w:rPr>
          <w:rFonts w:ascii="Times New Roman" w:eastAsia="Times New Roman" w:hAnsi="Times New Roman" w:cs="Times New Roman"/>
          <w:sz w:val="24"/>
          <w:szCs w:val="24"/>
        </w:rPr>
      </w:pPr>
    </w:p>
    <w:sectPr w:rsidR="00D32D97" w:rsidRPr="006B0EA6">
      <w:footerReference w:type="even" r:id="rId8"/>
      <w:footerReference w:type="default" r:id="rId9"/>
      <w:footerReference w:type="first" r:id="rId10"/>
      <w:pgSz w:w="12240" w:h="15840"/>
      <w:pgMar w:top="720" w:right="1080" w:bottom="576" w:left="1080" w:header="720" w:footer="49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FB845" w14:textId="77777777" w:rsidR="004519BD" w:rsidRDefault="004519BD">
      <w:r>
        <w:separator/>
      </w:r>
    </w:p>
  </w:endnote>
  <w:endnote w:type="continuationSeparator" w:id="0">
    <w:p w14:paraId="2787B5E1" w14:textId="77777777" w:rsidR="004519BD" w:rsidRDefault="0045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3361D" w14:textId="77777777" w:rsidR="00D32D97" w:rsidRDefault="000D16C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546FE14F" w14:textId="77777777" w:rsidR="00D32D97" w:rsidRDefault="00D32D9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26368" w14:textId="77777777" w:rsidR="00D32D97" w:rsidRDefault="000D16CF">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EF6A7F">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6DEC8530" w14:textId="77777777" w:rsidR="00D32D97" w:rsidRDefault="00D32D97">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E4642" w14:textId="77777777" w:rsidR="00D32D97" w:rsidRDefault="000D16CF">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4538FC83" wp14:editId="363C0B7A">
          <wp:extent cx="184150" cy="184150"/>
          <wp:effectExtent l="0" t="0" r="0" b="0"/>
          <wp:docPr id="2" name="image1.png" descr="Recycle_bk3"/>
          <wp:cNvGraphicFramePr/>
          <a:graphic xmlns:a="http://schemas.openxmlformats.org/drawingml/2006/main">
            <a:graphicData uri="http://schemas.openxmlformats.org/drawingml/2006/picture">
              <pic:pic xmlns:pic="http://schemas.openxmlformats.org/drawingml/2006/picture">
                <pic:nvPicPr>
                  <pic:cNvPr id="0" name="image1.png" descr="Recycle_bk3"/>
                  <pic:cNvPicPr preferRelativeResize="0"/>
                </pic:nvPicPr>
                <pic:blipFill>
                  <a:blip r:embed="rId1"/>
                  <a:srcRect/>
                  <a:stretch>
                    <a:fillRect/>
                  </a:stretch>
                </pic:blipFill>
                <pic:spPr>
                  <a:xfrm>
                    <a:off x="0" y="0"/>
                    <a:ext cx="184150" cy="1841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C66F3" w14:textId="77777777" w:rsidR="004519BD" w:rsidRDefault="004519BD">
      <w:r>
        <w:separator/>
      </w:r>
    </w:p>
  </w:footnote>
  <w:footnote w:type="continuationSeparator" w:id="0">
    <w:p w14:paraId="59400AE1" w14:textId="77777777" w:rsidR="004519BD" w:rsidRDefault="00451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D97"/>
    <w:rsid w:val="000D16CF"/>
    <w:rsid w:val="00120845"/>
    <w:rsid w:val="002326D3"/>
    <w:rsid w:val="00255EFF"/>
    <w:rsid w:val="00266D7D"/>
    <w:rsid w:val="003B4006"/>
    <w:rsid w:val="003C5C34"/>
    <w:rsid w:val="003E1C20"/>
    <w:rsid w:val="00412BCA"/>
    <w:rsid w:val="004519BD"/>
    <w:rsid w:val="004956FA"/>
    <w:rsid w:val="004D0AEA"/>
    <w:rsid w:val="004E57EF"/>
    <w:rsid w:val="00540664"/>
    <w:rsid w:val="005B250A"/>
    <w:rsid w:val="005B4F38"/>
    <w:rsid w:val="005E2635"/>
    <w:rsid w:val="00634C48"/>
    <w:rsid w:val="006559BC"/>
    <w:rsid w:val="006B0EA6"/>
    <w:rsid w:val="006E5711"/>
    <w:rsid w:val="006F4F95"/>
    <w:rsid w:val="007A07A9"/>
    <w:rsid w:val="00820EE6"/>
    <w:rsid w:val="00924A92"/>
    <w:rsid w:val="00A04657"/>
    <w:rsid w:val="00A16956"/>
    <w:rsid w:val="00A7215D"/>
    <w:rsid w:val="00A92DED"/>
    <w:rsid w:val="00A930EB"/>
    <w:rsid w:val="00B3208B"/>
    <w:rsid w:val="00BB42F1"/>
    <w:rsid w:val="00BD47EC"/>
    <w:rsid w:val="00C200E2"/>
    <w:rsid w:val="00C73DFD"/>
    <w:rsid w:val="00C80607"/>
    <w:rsid w:val="00C82EE0"/>
    <w:rsid w:val="00CA36FD"/>
    <w:rsid w:val="00D32D97"/>
    <w:rsid w:val="00D87C00"/>
    <w:rsid w:val="00DE2348"/>
    <w:rsid w:val="00E90DEE"/>
    <w:rsid w:val="00EA1E49"/>
    <w:rsid w:val="00ED7718"/>
    <w:rsid w:val="00EE0E4E"/>
    <w:rsid w:val="00EF6A7F"/>
    <w:rsid w:val="00F76EED"/>
    <w:rsid w:val="00F85E7E"/>
    <w:rsid w:val="00FA1F13"/>
    <w:rsid w:val="00FF1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Bookman" w:eastAsia="Bookman" w:hAnsi="Bookman" w:cs="Bookman"/>
      <w:i/>
      <w:sz w:val="28"/>
      <w:szCs w:val="28"/>
    </w:rPr>
  </w:style>
  <w:style w:type="paragraph" w:styleId="Heading2">
    <w:name w:val="heading 2"/>
    <w:basedOn w:val="Normal"/>
    <w:next w:val="Normal"/>
    <w:uiPriority w:val="9"/>
    <w:semiHidden/>
    <w:unhideWhenUsed/>
    <w:qFormat/>
    <w:pPr>
      <w:keepNext/>
      <w:jc w:val="center"/>
      <w:outlineLvl w:val="1"/>
    </w:pPr>
    <w:rPr>
      <w:rFonts w:ascii="Bookman" w:eastAsia="Bookman" w:hAnsi="Bookman" w:cs="Bookman"/>
      <w:i/>
      <w:color w:val="333399"/>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nhideWhenUsed/>
    <w:rsid w:val="00ED7718"/>
    <w:rPr>
      <w:sz w:val="16"/>
      <w:szCs w:val="16"/>
    </w:rPr>
  </w:style>
  <w:style w:type="paragraph" w:styleId="CommentText">
    <w:name w:val="annotation text"/>
    <w:basedOn w:val="Normal"/>
    <w:link w:val="CommentTextChar"/>
    <w:uiPriority w:val="99"/>
    <w:semiHidden/>
    <w:unhideWhenUsed/>
    <w:rsid w:val="00ED7718"/>
    <w:rPr>
      <w:sz w:val="20"/>
      <w:szCs w:val="20"/>
    </w:rPr>
  </w:style>
  <w:style w:type="character" w:customStyle="1" w:styleId="CommentTextChar">
    <w:name w:val="Comment Text Char"/>
    <w:basedOn w:val="DefaultParagraphFont"/>
    <w:link w:val="CommentText"/>
    <w:uiPriority w:val="99"/>
    <w:semiHidden/>
    <w:rsid w:val="00ED7718"/>
    <w:rPr>
      <w:sz w:val="20"/>
      <w:szCs w:val="20"/>
    </w:rPr>
  </w:style>
  <w:style w:type="paragraph" w:styleId="CommentSubject">
    <w:name w:val="annotation subject"/>
    <w:basedOn w:val="CommentText"/>
    <w:next w:val="CommentText"/>
    <w:link w:val="CommentSubjectChar"/>
    <w:uiPriority w:val="99"/>
    <w:semiHidden/>
    <w:unhideWhenUsed/>
    <w:rsid w:val="00ED7718"/>
    <w:rPr>
      <w:b/>
      <w:bCs/>
    </w:rPr>
  </w:style>
  <w:style w:type="character" w:customStyle="1" w:styleId="CommentSubjectChar">
    <w:name w:val="Comment Subject Char"/>
    <w:basedOn w:val="CommentTextChar"/>
    <w:link w:val="CommentSubject"/>
    <w:uiPriority w:val="99"/>
    <w:semiHidden/>
    <w:rsid w:val="00ED7718"/>
    <w:rPr>
      <w:b/>
      <w:bCs/>
      <w:sz w:val="20"/>
      <w:szCs w:val="20"/>
    </w:rPr>
  </w:style>
  <w:style w:type="paragraph" w:styleId="BalloonText">
    <w:name w:val="Balloon Text"/>
    <w:basedOn w:val="Normal"/>
    <w:link w:val="BalloonTextChar"/>
    <w:uiPriority w:val="99"/>
    <w:semiHidden/>
    <w:unhideWhenUsed/>
    <w:rsid w:val="00ED77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7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Bookman" w:eastAsia="Bookman" w:hAnsi="Bookman" w:cs="Bookman"/>
      <w:i/>
      <w:sz w:val="28"/>
      <w:szCs w:val="28"/>
    </w:rPr>
  </w:style>
  <w:style w:type="paragraph" w:styleId="Heading2">
    <w:name w:val="heading 2"/>
    <w:basedOn w:val="Normal"/>
    <w:next w:val="Normal"/>
    <w:uiPriority w:val="9"/>
    <w:semiHidden/>
    <w:unhideWhenUsed/>
    <w:qFormat/>
    <w:pPr>
      <w:keepNext/>
      <w:jc w:val="center"/>
      <w:outlineLvl w:val="1"/>
    </w:pPr>
    <w:rPr>
      <w:rFonts w:ascii="Bookman" w:eastAsia="Bookman" w:hAnsi="Bookman" w:cs="Bookman"/>
      <w:i/>
      <w:color w:val="333399"/>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nhideWhenUsed/>
    <w:rsid w:val="00ED7718"/>
    <w:rPr>
      <w:sz w:val="16"/>
      <w:szCs w:val="16"/>
    </w:rPr>
  </w:style>
  <w:style w:type="paragraph" w:styleId="CommentText">
    <w:name w:val="annotation text"/>
    <w:basedOn w:val="Normal"/>
    <w:link w:val="CommentTextChar"/>
    <w:uiPriority w:val="99"/>
    <w:semiHidden/>
    <w:unhideWhenUsed/>
    <w:rsid w:val="00ED7718"/>
    <w:rPr>
      <w:sz w:val="20"/>
      <w:szCs w:val="20"/>
    </w:rPr>
  </w:style>
  <w:style w:type="character" w:customStyle="1" w:styleId="CommentTextChar">
    <w:name w:val="Comment Text Char"/>
    <w:basedOn w:val="DefaultParagraphFont"/>
    <w:link w:val="CommentText"/>
    <w:uiPriority w:val="99"/>
    <w:semiHidden/>
    <w:rsid w:val="00ED7718"/>
    <w:rPr>
      <w:sz w:val="20"/>
      <w:szCs w:val="20"/>
    </w:rPr>
  </w:style>
  <w:style w:type="paragraph" w:styleId="CommentSubject">
    <w:name w:val="annotation subject"/>
    <w:basedOn w:val="CommentText"/>
    <w:next w:val="CommentText"/>
    <w:link w:val="CommentSubjectChar"/>
    <w:uiPriority w:val="99"/>
    <w:semiHidden/>
    <w:unhideWhenUsed/>
    <w:rsid w:val="00ED7718"/>
    <w:rPr>
      <w:b/>
      <w:bCs/>
    </w:rPr>
  </w:style>
  <w:style w:type="character" w:customStyle="1" w:styleId="CommentSubjectChar">
    <w:name w:val="Comment Subject Char"/>
    <w:basedOn w:val="CommentTextChar"/>
    <w:link w:val="CommentSubject"/>
    <w:uiPriority w:val="99"/>
    <w:semiHidden/>
    <w:rsid w:val="00ED7718"/>
    <w:rPr>
      <w:b/>
      <w:bCs/>
      <w:sz w:val="20"/>
      <w:szCs w:val="20"/>
    </w:rPr>
  </w:style>
  <w:style w:type="paragraph" w:styleId="BalloonText">
    <w:name w:val="Balloon Text"/>
    <w:basedOn w:val="Normal"/>
    <w:link w:val="BalloonTextChar"/>
    <w:uiPriority w:val="99"/>
    <w:semiHidden/>
    <w:unhideWhenUsed/>
    <w:rsid w:val="00ED77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Dello Russo, Regina</dc:creator>
  <cp:lastModifiedBy>Administrator</cp:lastModifiedBy>
  <cp:revision>2</cp:revision>
  <dcterms:created xsi:type="dcterms:W3CDTF">2020-06-11T14:27:00Z</dcterms:created>
  <dcterms:modified xsi:type="dcterms:W3CDTF">2020-06-11T14:27:00Z</dcterms:modified>
</cp:coreProperties>
</file>