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760C7" w14:textId="77777777" w:rsidR="007802E3" w:rsidRPr="00C4145B" w:rsidRDefault="00C4145B" w:rsidP="00C4145B">
      <w:pPr>
        <w:ind w:left="-1080"/>
      </w:pPr>
      <w:r>
        <w:rPr>
          <w:noProof/>
        </w:rPr>
        <w:drawing>
          <wp:inline distT="0" distB="0" distL="0" distR="0" wp14:anchorId="7E2A5D46" wp14:editId="3A4944C2">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0AB876C8" w14:textId="77777777" w:rsidR="007D5819" w:rsidRPr="00B40A14" w:rsidRDefault="007D5819" w:rsidP="00C45A45">
      <w:pPr>
        <w:pStyle w:val="Heading1"/>
      </w:pPr>
      <w:r w:rsidRPr="00C45A45">
        <w:t xml:space="preserve">Administrative Bulletin </w:t>
      </w:r>
      <w:r w:rsidR="00B40A14">
        <w:t>21</w:t>
      </w:r>
      <w:r w:rsidR="00195FFD">
        <w:t>-03</w:t>
      </w:r>
    </w:p>
    <w:p w14:paraId="61B18AE1" w14:textId="77777777" w:rsidR="007D5819" w:rsidRPr="00B40A14" w:rsidRDefault="007D5819" w:rsidP="007D5819">
      <w:pPr>
        <w:tabs>
          <w:tab w:val="center" w:pos="4950"/>
        </w:tabs>
        <w:jc w:val="center"/>
        <w:rPr>
          <w:rFonts w:ascii="Times New Roman" w:eastAsia="Calibri" w:hAnsi="Times New Roman" w:cs="Times New Roman"/>
          <w:b/>
          <w:szCs w:val="22"/>
        </w:rPr>
      </w:pPr>
    </w:p>
    <w:p w14:paraId="7329CABA" w14:textId="77777777" w:rsidR="007D5819" w:rsidRPr="00B40A14" w:rsidRDefault="00B40A14" w:rsidP="007D5819">
      <w:pPr>
        <w:jc w:val="center"/>
        <w:rPr>
          <w:rFonts w:ascii="Times New Roman" w:eastAsia="Calibri" w:hAnsi="Times New Roman" w:cs="Times New Roman"/>
          <w:b/>
          <w:szCs w:val="22"/>
        </w:rPr>
      </w:pPr>
      <w:r w:rsidRPr="00B40A14">
        <w:rPr>
          <w:rFonts w:ascii="Times New Roman" w:eastAsia="Calibri" w:hAnsi="Times New Roman" w:cs="Times New Roman"/>
          <w:b/>
          <w:bCs/>
          <w:szCs w:val="22"/>
        </w:rPr>
        <w:t>101 CMR 315.00: Vision Care Services and Ophthalmic Materials</w:t>
      </w:r>
    </w:p>
    <w:p w14:paraId="25533E7A" w14:textId="77777777" w:rsidR="007D5819" w:rsidRPr="00B40A14" w:rsidRDefault="007D5819" w:rsidP="007D5819">
      <w:pPr>
        <w:jc w:val="center"/>
        <w:rPr>
          <w:b/>
        </w:rPr>
      </w:pPr>
    </w:p>
    <w:p w14:paraId="0590A05F" w14:textId="77777777" w:rsidR="007D5819" w:rsidRPr="00B40A14" w:rsidRDefault="007D5819" w:rsidP="007D5819">
      <w:pPr>
        <w:spacing w:after="240"/>
        <w:jc w:val="center"/>
        <w:rPr>
          <w:rFonts w:ascii="Times New Roman" w:eastAsia="Calibri" w:hAnsi="Times New Roman" w:cs="Times New Roman"/>
          <w:szCs w:val="22"/>
        </w:rPr>
      </w:pPr>
      <w:r w:rsidRPr="00B40A14">
        <w:rPr>
          <w:rFonts w:ascii="Times New Roman" w:eastAsia="Calibri" w:hAnsi="Times New Roman" w:cs="Times New Roman"/>
          <w:szCs w:val="22"/>
        </w:rPr>
        <w:t xml:space="preserve">Effective </w:t>
      </w:r>
      <w:r w:rsidR="00B40A14" w:rsidRPr="00B40A14">
        <w:rPr>
          <w:rFonts w:ascii="Times New Roman" w:eastAsia="Calibri" w:hAnsi="Times New Roman" w:cs="Times New Roman"/>
          <w:szCs w:val="22"/>
        </w:rPr>
        <w:t>January 1, 2021</w:t>
      </w:r>
    </w:p>
    <w:p w14:paraId="18650C05" w14:textId="77777777" w:rsidR="007D5819" w:rsidRPr="00B40A14" w:rsidRDefault="00B40A14" w:rsidP="007D5819">
      <w:pPr>
        <w:shd w:val="clear" w:color="auto" w:fill="FFFFFF"/>
        <w:spacing w:after="240" w:line="276" w:lineRule="auto"/>
        <w:jc w:val="center"/>
        <w:rPr>
          <w:rFonts w:ascii="Times New Roman" w:hAnsi="Times New Roman" w:cs="Times New Roman"/>
          <w:b/>
          <w:szCs w:val="22"/>
        </w:rPr>
      </w:pPr>
      <w:r w:rsidRPr="00B40A14">
        <w:rPr>
          <w:rFonts w:ascii="Times New Roman" w:hAnsi="Times New Roman" w:cs="Times New Roman"/>
          <w:b/>
          <w:szCs w:val="22"/>
        </w:rPr>
        <w:t>CPT/HCPCS 2021 Procedure Code Update</w:t>
      </w:r>
      <w:r w:rsidR="005E1A55">
        <w:rPr>
          <w:rFonts w:ascii="Times New Roman" w:hAnsi="Times New Roman" w:cs="Times New Roman"/>
          <w:b/>
          <w:szCs w:val="22"/>
        </w:rPr>
        <w:t>s</w:t>
      </w:r>
    </w:p>
    <w:p w14:paraId="778AD56F" w14:textId="77777777" w:rsidR="00B40A14" w:rsidRPr="00B40A14" w:rsidRDefault="00B40A14" w:rsidP="00B40A14">
      <w:pPr>
        <w:shd w:val="clear" w:color="auto" w:fill="FFFFFF"/>
        <w:spacing w:before="150" w:after="120" w:line="312" w:lineRule="atLeast"/>
        <w:rPr>
          <w:rFonts w:ascii="Times New Roman" w:hAnsi="Times New Roman" w:cs="Times New Roman"/>
          <w:szCs w:val="22"/>
        </w:rPr>
      </w:pPr>
      <w:r w:rsidRPr="00B40A14">
        <w:rPr>
          <w:rFonts w:ascii="Times New Roman" w:hAnsi="Times New Roman" w:cs="Times New Roman"/>
          <w:szCs w:val="22"/>
        </w:rPr>
        <w:t>Under the authority of regulation 101 CMR 315.01(4)</w:t>
      </w:r>
      <w:r w:rsidR="00616DA4">
        <w:rPr>
          <w:rFonts w:ascii="Times New Roman" w:hAnsi="Times New Roman" w:cs="Times New Roman"/>
          <w:szCs w:val="22"/>
        </w:rPr>
        <w:t xml:space="preserve">:  </w:t>
      </w:r>
      <w:r w:rsidR="00616DA4" w:rsidRPr="00DE1AAB">
        <w:rPr>
          <w:rFonts w:ascii="Times New Roman" w:hAnsi="Times New Roman" w:cs="Times New Roman"/>
          <w:i/>
          <w:szCs w:val="22"/>
        </w:rPr>
        <w:t>Coding Updates and Correction</w:t>
      </w:r>
      <w:r w:rsidR="00616DA4">
        <w:rPr>
          <w:rFonts w:ascii="Times New Roman" w:hAnsi="Times New Roman" w:cs="Times New Roman"/>
          <w:i/>
          <w:szCs w:val="22"/>
        </w:rPr>
        <w:t>s</w:t>
      </w:r>
      <w:r w:rsidRPr="00B40A14">
        <w:rPr>
          <w:rFonts w:ascii="Times New Roman" w:hAnsi="Times New Roman" w:cs="Times New Roman"/>
          <w:szCs w:val="22"/>
        </w:rPr>
        <w:t xml:space="preserve">, the Executive Office of Health and Human Services is adding new procedure codes and deleting outdated codes. Rates for new codes are set at individual consideration (I.C.) until appropriate rates are established under 101 CMR 315.00. The changes, effective </w:t>
      </w:r>
      <w:r w:rsidR="00616DA4">
        <w:rPr>
          <w:rFonts w:ascii="Times New Roman" w:hAnsi="Times New Roman" w:cs="Times New Roman"/>
          <w:szCs w:val="22"/>
        </w:rPr>
        <w:t xml:space="preserve">for dates of service provided on or after </w:t>
      </w:r>
      <w:r w:rsidRPr="00B40A14">
        <w:rPr>
          <w:rFonts w:ascii="Times New Roman" w:hAnsi="Times New Roman" w:cs="Times New Roman"/>
          <w:szCs w:val="22"/>
        </w:rPr>
        <w:t>January 1, 2021, are as follows</w:t>
      </w:r>
      <w:r w:rsidR="007F5176">
        <w:rPr>
          <w:rFonts w:ascii="Times New Roman" w:hAnsi="Times New Roman" w:cs="Times New Roman"/>
          <w:szCs w:val="22"/>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1395"/>
        <w:gridCol w:w="853"/>
        <w:gridCol w:w="6750"/>
      </w:tblGrid>
      <w:tr w:rsidR="00B40A14" w:rsidRPr="00B40A14" w14:paraId="19D45FC5" w14:textId="77777777" w:rsidTr="009B0F44">
        <w:trPr>
          <w:trHeight w:val="170"/>
        </w:trPr>
        <w:tc>
          <w:tcPr>
            <w:tcW w:w="902" w:type="dxa"/>
            <w:shd w:val="clear" w:color="auto" w:fill="auto"/>
          </w:tcPr>
          <w:p w14:paraId="242AF751" w14:textId="77777777" w:rsidR="00B40A14" w:rsidRPr="00C03EF1" w:rsidRDefault="00B40A14" w:rsidP="00B40A14">
            <w:pPr>
              <w:shd w:val="clear" w:color="auto" w:fill="FFFFFF"/>
              <w:spacing w:before="150" w:after="120" w:line="312" w:lineRule="atLeast"/>
              <w:rPr>
                <w:rFonts w:ascii="Times New Roman" w:hAnsi="Times New Roman" w:cs="Times New Roman"/>
                <w:b/>
                <w:szCs w:val="22"/>
              </w:rPr>
            </w:pPr>
            <w:r w:rsidRPr="00C03EF1">
              <w:rPr>
                <w:rFonts w:ascii="Times New Roman" w:hAnsi="Times New Roman" w:cs="Times New Roman"/>
                <w:b/>
                <w:szCs w:val="22"/>
              </w:rPr>
              <w:t>Code</w:t>
            </w:r>
          </w:p>
        </w:tc>
        <w:tc>
          <w:tcPr>
            <w:tcW w:w="1395" w:type="dxa"/>
            <w:shd w:val="clear" w:color="auto" w:fill="auto"/>
          </w:tcPr>
          <w:p w14:paraId="1F5E98CC" w14:textId="77777777" w:rsidR="00B40A14" w:rsidRPr="00C03EF1" w:rsidRDefault="00B40A14" w:rsidP="00B40A14">
            <w:pPr>
              <w:shd w:val="clear" w:color="auto" w:fill="FFFFFF"/>
              <w:spacing w:before="150" w:after="120" w:line="312" w:lineRule="atLeast"/>
              <w:rPr>
                <w:rFonts w:ascii="Times New Roman" w:hAnsi="Times New Roman" w:cs="Times New Roman"/>
                <w:b/>
                <w:szCs w:val="22"/>
              </w:rPr>
            </w:pPr>
            <w:r w:rsidRPr="00C03EF1">
              <w:rPr>
                <w:rFonts w:ascii="Times New Roman" w:hAnsi="Times New Roman" w:cs="Times New Roman"/>
                <w:b/>
                <w:szCs w:val="22"/>
              </w:rPr>
              <w:t>Change</w:t>
            </w:r>
          </w:p>
        </w:tc>
        <w:tc>
          <w:tcPr>
            <w:tcW w:w="853" w:type="dxa"/>
            <w:shd w:val="clear" w:color="auto" w:fill="auto"/>
          </w:tcPr>
          <w:p w14:paraId="0B1890B2" w14:textId="77777777" w:rsidR="00B40A14" w:rsidRPr="00C03EF1" w:rsidRDefault="00B40A14" w:rsidP="00B40A14">
            <w:pPr>
              <w:shd w:val="clear" w:color="auto" w:fill="FFFFFF"/>
              <w:spacing w:before="150" w:after="120" w:line="312" w:lineRule="atLeast"/>
              <w:rPr>
                <w:rFonts w:ascii="Times New Roman" w:hAnsi="Times New Roman" w:cs="Times New Roman"/>
                <w:b/>
                <w:szCs w:val="22"/>
              </w:rPr>
            </w:pPr>
            <w:r w:rsidRPr="00C03EF1">
              <w:rPr>
                <w:rFonts w:ascii="Times New Roman" w:hAnsi="Times New Roman" w:cs="Times New Roman"/>
                <w:b/>
                <w:szCs w:val="22"/>
              </w:rPr>
              <w:t>Rate</w:t>
            </w:r>
          </w:p>
        </w:tc>
        <w:tc>
          <w:tcPr>
            <w:tcW w:w="6750" w:type="dxa"/>
            <w:shd w:val="clear" w:color="auto" w:fill="auto"/>
          </w:tcPr>
          <w:p w14:paraId="4873B430" w14:textId="77777777" w:rsidR="00B40A14" w:rsidRPr="00C03EF1" w:rsidRDefault="00B40A14" w:rsidP="00B40A14">
            <w:pPr>
              <w:shd w:val="clear" w:color="auto" w:fill="FFFFFF"/>
              <w:spacing w:before="150" w:after="120" w:line="312" w:lineRule="atLeast"/>
              <w:rPr>
                <w:rFonts w:ascii="Times New Roman" w:hAnsi="Times New Roman" w:cs="Times New Roman"/>
                <w:b/>
                <w:szCs w:val="22"/>
              </w:rPr>
            </w:pPr>
            <w:r w:rsidRPr="00C03EF1">
              <w:rPr>
                <w:rFonts w:ascii="Times New Roman" w:hAnsi="Times New Roman" w:cs="Times New Roman"/>
                <w:b/>
                <w:szCs w:val="22"/>
              </w:rPr>
              <w:t xml:space="preserve">Code Description </w:t>
            </w:r>
          </w:p>
        </w:tc>
      </w:tr>
      <w:tr w:rsidR="00B40A14" w:rsidRPr="00B40A14" w14:paraId="6751041A" w14:textId="77777777" w:rsidTr="009B0F44">
        <w:tc>
          <w:tcPr>
            <w:tcW w:w="902" w:type="dxa"/>
            <w:shd w:val="clear" w:color="auto" w:fill="auto"/>
          </w:tcPr>
          <w:p w14:paraId="036AC33D" w14:textId="77777777" w:rsidR="00B40A14" w:rsidRPr="00B40A14" w:rsidRDefault="00B40A14" w:rsidP="00B40A14">
            <w:pPr>
              <w:shd w:val="clear" w:color="auto" w:fill="FFFFFF"/>
              <w:spacing w:before="150" w:after="120" w:line="312" w:lineRule="atLeast"/>
              <w:rPr>
                <w:rFonts w:ascii="Times New Roman" w:hAnsi="Times New Roman" w:cs="Times New Roman"/>
                <w:szCs w:val="22"/>
              </w:rPr>
            </w:pPr>
            <w:r w:rsidRPr="00B40A14">
              <w:rPr>
                <w:rFonts w:ascii="Times New Roman" w:hAnsi="Times New Roman" w:cs="Times New Roman"/>
                <w:szCs w:val="22"/>
              </w:rPr>
              <w:t>92229</w:t>
            </w:r>
          </w:p>
        </w:tc>
        <w:tc>
          <w:tcPr>
            <w:tcW w:w="1395" w:type="dxa"/>
            <w:shd w:val="clear" w:color="auto" w:fill="auto"/>
          </w:tcPr>
          <w:p w14:paraId="31D0B741" w14:textId="77777777" w:rsidR="00B40A14" w:rsidRPr="00B40A14" w:rsidRDefault="00B40A14" w:rsidP="00B40A14">
            <w:pPr>
              <w:shd w:val="clear" w:color="auto" w:fill="FFFFFF"/>
              <w:spacing w:before="150" w:after="120" w:line="312" w:lineRule="atLeast"/>
              <w:rPr>
                <w:rFonts w:ascii="Times New Roman" w:hAnsi="Times New Roman" w:cs="Times New Roman"/>
                <w:szCs w:val="22"/>
              </w:rPr>
            </w:pPr>
            <w:r w:rsidRPr="00B40A14">
              <w:rPr>
                <w:rFonts w:ascii="Times New Roman" w:hAnsi="Times New Roman" w:cs="Times New Roman"/>
                <w:szCs w:val="22"/>
              </w:rPr>
              <w:t>Addition</w:t>
            </w:r>
          </w:p>
        </w:tc>
        <w:tc>
          <w:tcPr>
            <w:tcW w:w="853" w:type="dxa"/>
            <w:shd w:val="clear" w:color="auto" w:fill="auto"/>
          </w:tcPr>
          <w:p w14:paraId="2F130604" w14:textId="77777777" w:rsidR="00B40A14" w:rsidRPr="00B40A14" w:rsidRDefault="00B40A14" w:rsidP="00B40A14">
            <w:pPr>
              <w:shd w:val="clear" w:color="auto" w:fill="FFFFFF"/>
              <w:spacing w:before="150" w:after="120" w:line="312" w:lineRule="atLeast"/>
              <w:rPr>
                <w:rFonts w:ascii="Times New Roman" w:hAnsi="Times New Roman" w:cs="Times New Roman"/>
                <w:szCs w:val="22"/>
              </w:rPr>
            </w:pPr>
            <w:r w:rsidRPr="00B40A14">
              <w:rPr>
                <w:rFonts w:ascii="Times New Roman" w:hAnsi="Times New Roman" w:cs="Times New Roman"/>
                <w:szCs w:val="22"/>
              </w:rPr>
              <w:t>I.C.</w:t>
            </w:r>
          </w:p>
        </w:tc>
        <w:tc>
          <w:tcPr>
            <w:tcW w:w="6750" w:type="dxa"/>
            <w:shd w:val="clear" w:color="auto" w:fill="auto"/>
            <w:vAlign w:val="bottom"/>
          </w:tcPr>
          <w:p w14:paraId="07DA9349" w14:textId="77777777" w:rsidR="00B40A14" w:rsidRPr="00B40A14" w:rsidRDefault="00B40A14" w:rsidP="00B40A14">
            <w:pPr>
              <w:shd w:val="clear" w:color="auto" w:fill="FFFFFF"/>
              <w:spacing w:before="150" w:after="120" w:line="312" w:lineRule="atLeast"/>
              <w:rPr>
                <w:rFonts w:ascii="Times New Roman" w:hAnsi="Times New Roman" w:cs="Times New Roman"/>
                <w:szCs w:val="22"/>
              </w:rPr>
            </w:pPr>
            <w:r w:rsidRPr="00B40A14">
              <w:rPr>
                <w:rFonts w:ascii="Times New Roman" w:hAnsi="Times New Roman" w:cs="Times New Roman"/>
                <w:szCs w:val="22"/>
              </w:rPr>
              <w:t>Imaging of retina for disease detection, with automated review and report at point of care</w:t>
            </w:r>
          </w:p>
        </w:tc>
      </w:tr>
      <w:tr w:rsidR="00B40A14" w:rsidRPr="00B40A14" w14:paraId="3B085BB0" w14:textId="77777777" w:rsidTr="009B0F44">
        <w:trPr>
          <w:trHeight w:val="2042"/>
        </w:trPr>
        <w:tc>
          <w:tcPr>
            <w:tcW w:w="902" w:type="dxa"/>
            <w:shd w:val="clear" w:color="auto" w:fill="auto"/>
          </w:tcPr>
          <w:p w14:paraId="2A173635" w14:textId="77777777" w:rsidR="00B40A14" w:rsidRPr="00B40A14" w:rsidRDefault="00B40A14" w:rsidP="00B40A14">
            <w:pPr>
              <w:shd w:val="clear" w:color="auto" w:fill="FFFFFF"/>
              <w:spacing w:before="150" w:after="120" w:line="312" w:lineRule="atLeast"/>
              <w:rPr>
                <w:rFonts w:ascii="Times New Roman" w:hAnsi="Times New Roman" w:cs="Times New Roman"/>
                <w:szCs w:val="22"/>
              </w:rPr>
            </w:pPr>
            <w:r w:rsidRPr="00B40A14">
              <w:rPr>
                <w:rFonts w:ascii="Times New Roman" w:hAnsi="Times New Roman" w:cs="Times New Roman"/>
                <w:szCs w:val="22"/>
              </w:rPr>
              <w:t>99201</w:t>
            </w:r>
          </w:p>
        </w:tc>
        <w:tc>
          <w:tcPr>
            <w:tcW w:w="1395" w:type="dxa"/>
            <w:shd w:val="clear" w:color="auto" w:fill="auto"/>
          </w:tcPr>
          <w:p w14:paraId="57876426" w14:textId="77777777" w:rsidR="00B40A14" w:rsidRPr="00B40A14" w:rsidRDefault="00B40A14" w:rsidP="00B40A14">
            <w:pPr>
              <w:shd w:val="clear" w:color="auto" w:fill="FFFFFF"/>
              <w:spacing w:before="150" w:after="120" w:line="312" w:lineRule="atLeast"/>
              <w:rPr>
                <w:rFonts w:ascii="Times New Roman" w:hAnsi="Times New Roman" w:cs="Times New Roman"/>
                <w:szCs w:val="22"/>
              </w:rPr>
            </w:pPr>
            <w:r w:rsidRPr="00B40A14">
              <w:rPr>
                <w:rFonts w:ascii="Times New Roman" w:hAnsi="Times New Roman" w:cs="Times New Roman"/>
                <w:szCs w:val="22"/>
              </w:rPr>
              <w:t>Discontinued</w:t>
            </w:r>
          </w:p>
        </w:tc>
        <w:tc>
          <w:tcPr>
            <w:tcW w:w="853" w:type="dxa"/>
            <w:shd w:val="clear" w:color="auto" w:fill="auto"/>
          </w:tcPr>
          <w:p w14:paraId="0019D7EE" w14:textId="77777777" w:rsidR="00B40A14" w:rsidRPr="00B40A14" w:rsidRDefault="00B40A14" w:rsidP="00B40A14">
            <w:pPr>
              <w:shd w:val="clear" w:color="auto" w:fill="FFFFFF"/>
              <w:spacing w:before="150" w:after="120" w:line="312" w:lineRule="atLeast"/>
              <w:rPr>
                <w:rFonts w:ascii="Times New Roman" w:hAnsi="Times New Roman" w:cs="Times New Roman"/>
                <w:szCs w:val="22"/>
              </w:rPr>
            </w:pPr>
            <w:r w:rsidRPr="00B40A14">
              <w:rPr>
                <w:rFonts w:ascii="Times New Roman" w:hAnsi="Times New Roman" w:cs="Times New Roman"/>
                <w:szCs w:val="22"/>
              </w:rPr>
              <w:t>$28.33</w:t>
            </w:r>
          </w:p>
        </w:tc>
        <w:tc>
          <w:tcPr>
            <w:tcW w:w="6750" w:type="dxa"/>
            <w:shd w:val="clear" w:color="auto" w:fill="auto"/>
            <w:vAlign w:val="bottom"/>
          </w:tcPr>
          <w:p w14:paraId="7A7D7BEE" w14:textId="77777777" w:rsidR="00B40A14" w:rsidRPr="00B40A14" w:rsidRDefault="00B40A14" w:rsidP="00B40A14">
            <w:pPr>
              <w:shd w:val="clear" w:color="auto" w:fill="FFFFFF"/>
              <w:spacing w:before="150" w:after="120" w:line="312" w:lineRule="atLeast"/>
              <w:rPr>
                <w:rFonts w:ascii="Times New Roman" w:hAnsi="Times New Roman" w:cs="Times New Roman"/>
                <w:szCs w:val="22"/>
              </w:rPr>
            </w:pPr>
            <w:r w:rsidRPr="00B40A14">
              <w:rPr>
                <w:rFonts w:ascii="Times New Roman" w:hAnsi="Times New Roman" w:cs="Times New Roman"/>
                <w:szCs w:val="22"/>
              </w:rPr>
              <w:t>Office or other outpatient visit for the evaluation and management of a new patient, which requires these three key components: A problem focused history; A problem focused examination;</w:t>
            </w:r>
            <w:r w:rsidR="009B0F44">
              <w:rPr>
                <w:rFonts w:ascii="Times New Roman" w:hAnsi="Times New Roman" w:cs="Times New Roman"/>
                <w:szCs w:val="22"/>
              </w:rPr>
              <w:t xml:space="preserve"> </w:t>
            </w:r>
            <w:r w:rsidRPr="00B40A14">
              <w:rPr>
                <w:rFonts w:ascii="Times New Roman" w:hAnsi="Times New Roman" w:cs="Times New Roman"/>
                <w:szCs w:val="22"/>
              </w:rPr>
              <w:t>Straightforward medical decision making. Counseling and/or coordination of care with other physicians, other qualified health care professionals, or agencies are provided consistent with the nature of the problem(s) and the patient's and/or family's needs. Usually, the presenting problem(s) are self</w:t>
            </w:r>
            <w:r w:rsidR="009B0F44">
              <w:rPr>
                <w:rFonts w:ascii="Times New Roman" w:hAnsi="Times New Roman" w:cs="Times New Roman"/>
                <w:szCs w:val="22"/>
              </w:rPr>
              <w:t>-</w:t>
            </w:r>
            <w:r w:rsidRPr="00B40A14">
              <w:rPr>
                <w:rFonts w:ascii="Times New Roman" w:hAnsi="Times New Roman" w:cs="Times New Roman"/>
                <w:szCs w:val="22"/>
              </w:rPr>
              <w:t>limited or minor. Typically, 10 minutes are spent face-to-face with the patient and/or family.</w:t>
            </w:r>
          </w:p>
        </w:tc>
      </w:tr>
    </w:tbl>
    <w:p w14:paraId="4AB24AB9" w14:textId="77777777" w:rsidR="007D5819" w:rsidRDefault="00C4145B" w:rsidP="00C4145B">
      <w:pPr>
        <w:shd w:val="clear" w:color="auto" w:fill="FFFFFF"/>
        <w:spacing w:before="150" w:after="120" w:line="312" w:lineRule="atLeast"/>
        <w:rPr>
          <w:rFonts w:ascii="Times New Roman" w:hAnsi="Times New Roman" w:cs="Times New Roman"/>
          <w:sz w:val="24"/>
          <w:szCs w:val="24"/>
        </w:rPr>
      </w:pPr>
      <w:r>
        <w:rPr>
          <w:rFonts w:ascii="Times New Roman" w:hAnsi="Times New Roman" w:cs="Times New Roman"/>
          <w:sz w:val="24"/>
          <w:szCs w:val="24"/>
        </w:rPr>
        <w:t xml:space="preserve"> </w:t>
      </w:r>
    </w:p>
    <w:p w14:paraId="34E9889A"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1899F" w14:textId="77777777" w:rsidR="00A21548" w:rsidRDefault="00A21548">
      <w:r>
        <w:separator/>
      </w:r>
    </w:p>
  </w:endnote>
  <w:endnote w:type="continuationSeparator" w:id="0">
    <w:p w14:paraId="1B284DBD" w14:textId="77777777" w:rsidR="00A21548" w:rsidRDefault="00A2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ED57C"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A0F115"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9AAC"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40E26CDC"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6E5B5" w14:textId="77777777" w:rsidR="001B3F94" w:rsidRDefault="00B90025">
    <w:pPr>
      <w:pStyle w:val="Footer"/>
    </w:pPr>
    <w:r>
      <w:rPr>
        <w:noProof/>
      </w:rPr>
      <w:drawing>
        <wp:inline distT="0" distB="0" distL="0" distR="0" wp14:anchorId="7241B29F" wp14:editId="5D6E751F">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0F3E2" w14:textId="77777777" w:rsidR="00A21548" w:rsidRDefault="00A21548">
      <w:r>
        <w:separator/>
      </w:r>
    </w:p>
  </w:footnote>
  <w:footnote w:type="continuationSeparator" w:id="0">
    <w:p w14:paraId="0634026B" w14:textId="77777777" w:rsidR="00A21548" w:rsidRDefault="00A21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60CB1"/>
    <w:rsid w:val="00064F04"/>
    <w:rsid w:val="000D1437"/>
    <w:rsid w:val="000D6193"/>
    <w:rsid w:val="000E02D6"/>
    <w:rsid w:val="000F2FB3"/>
    <w:rsid w:val="001066DC"/>
    <w:rsid w:val="0011159B"/>
    <w:rsid w:val="001145CC"/>
    <w:rsid w:val="0014797B"/>
    <w:rsid w:val="00151378"/>
    <w:rsid w:val="00170C17"/>
    <w:rsid w:val="001777EE"/>
    <w:rsid w:val="00186186"/>
    <w:rsid w:val="00195FFD"/>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6205A"/>
    <w:rsid w:val="00386BCD"/>
    <w:rsid w:val="00395400"/>
    <w:rsid w:val="003C2E3A"/>
    <w:rsid w:val="003C770E"/>
    <w:rsid w:val="003D6EEC"/>
    <w:rsid w:val="004016AD"/>
    <w:rsid w:val="00441B25"/>
    <w:rsid w:val="00460463"/>
    <w:rsid w:val="00466B35"/>
    <w:rsid w:val="0047119B"/>
    <w:rsid w:val="004921BC"/>
    <w:rsid w:val="004B2B19"/>
    <w:rsid w:val="004B6AAF"/>
    <w:rsid w:val="005049C6"/>
    <w:rsid w:val="00535125"/>
    <w:rsid w:val="0054227E"/>
    <w:rsid w:val="0054689D"/>
    <w:rsid w:val="00556A92"/>
    <w:rsid w:val="00561E84"/>
    <w:rsid w:val="00564F8A"/>
    <w:rsid w:val="00565008"/>
    <w:rsid w:val="005A0778"/>
    <w:rsid w:val="005E1A55"/>
    <w:rsid w:val="005F2412"/>
    <w:rsid w:val="006056CD"/>
    <w:rsid w:val="00605AAA"/>
    <w:rsid w:val="00613AFF"/>
    <w:rsid w:val="00616DA4"/>
    <w:rsid w:val="00627028"/>
    <w:rsid w:val="006625FA"/>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5176"/>
    <w:rsid w:val="007F7071"/>
    <w:rsid w:val="008065C3"/>
    <w:rsid w:val="008138ED"/>
    <w:rsid w:val="0082262F"/>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0F44"/>
    <w:rsid w:val="009B5726"/>
    <w:rsid w:val="009E5F63"/>
    <w:rsid w:val="009E7BED"/>
    <w:rsid w:val="009F243C"/>
    <w:rsid w:val="009F77FD"/>
    <w:rsid w:val="009F7DCC"/>
    <w:rsid w:val="00A152D4"/>
    <w:rsid w:val="00A20582"/>
    <w:rsid w:val="00A21548"/>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0A14"/>
    <w:rsid w:val="00B43A86"/>
    <w:rsid w:val="00B5467F"/>
    <w:rsid w:val="00B67BA9"/>
    <w:rsid w:val="00B90025"/>
    <w:rsid w:val="00B95039"/>
    <w:rsid w:val="00BA585A"/>
    <w:rsid w:val="00BB6F19"/>
    <w:rsid w:val="00C03EF1"/>
    <w:rsid w:val="00C13CB0"/>
    <w:rsid w:val="00C31BCC"/>
    <w:rsid w:val="00C4145B"/>
    <w:rsid w:val="00C43D89"/>
    <w:rsid w:val="00C45A45"/>
    <w:rsid w:val="00C46D18"/>
    <w:rsid w:val="00C54AED"/>
    <w:rsid w:val="00C62306"/>
    <w:rsid w:val="00C80D4D"/>
    <w:rsid w:val="00C91491"/>
    <w:rsid w:val="00C92130"/>
    <w:rsid w:val="00C934D4"/>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4ED1"/>
    <w:rsid w:val="00DC7E3F"/>
    <w:rsid w:val="00DE096B"/>
    <w:rsid w:val="00DE0FB9"/>
    <w:rsid w:val="00DE1AAB"/>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BDF95"/>
  <w15:docId w15:val="{07263D81-F26D-4B62-9AFA-FA5C7E54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C508-3121-40C7-9340-E1F3045D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2016-03-10T17:00:00Z</cp:lastPrinted>
  <dcterms:created xsi:type="dcterms:W3CDTF">2021-02-22T14:12:00Z</dcterms:created>
  <dcterms:modified xsi:type="dcterms:W3CDTF">2021-02-22T14:12:00Z</dcterms:modified>
</cp:coreProperties>
</file>