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924F7C">
        <w:t>21-07</w:t>
      </w:r>
    </w:p>
    <w:p w:rsidR="007D5819" w:rsidRDefault="007D5819" w:rsidP="007D5819">
      <w:pPr>
        <w:tabs>
          <w:tab w:val="center" w:pos="4950"/>
        </w:tabs>
        <w:jc w:val="center"/>
        <w:rPr>
          <w:rFonts w:ascii="Times New Roman" w:eastAsia="Calibri" w:hAnsi="Times New Roman" w:cs="Times New Roman"/>
          <w:b/>
          <w:szCs w:val="22"/>
        </w:rPr>
      </w:pPr>
    </w:p>
    <w:p w:rsidR="007D5819" w:rsidRPr="006B72B0" w:rsidRDefault="00384A58" w:rsidP="007D5819">
      <w:pPr>
        <w:jc w:val="center"/>
        <w:rPr>
          <w:rFonts w:ascii="Times New Roman" w:eastAsia="Calibri" w:hAnsi="Times New Roman" w:cs="Times New Roman"/>
          <w:b/>
          <w:szCs w:val="22"/>
        </w:rPr>
      </w:pPr>
      <w:r>
        <w:rPr>
          <w:rFonts w:ascii="Times New Roman" w:eastAsia="Calibri" w:hAnsi="Times New Roman" w:cs="Times New Roman"/>
          <w:b/>
          <w:szCs w:val="22"/>
        </w:rPr>
        <w:t>101</w:t>
      </w:r>
      <w:r w:rsidR="00B11E56" w:rsidRPr="006B72B0">
        <w:rPr>
          <w:rFonts w:ascii="Times New Roman" w:eastAsia="Calibri" w:hAnsi="Times New Roman" w:cs="Times New Roman"/>
          <w:b/>
          <w:szCs w:val="22"/>
        </w:rPr>
        <w:t xml:space="preserve"> CMR 320.00:  </w:t>
      </w:r>
      <w:r w:rsidR="00B11E56" w:rsidRPr="00924F7C">
        <w:rPr>
          <w:rFonts w:ascii="Times New Roman" w:eastAsia="Calibri" w:hAnsi="Times New Roman" w:cs="Times New Roman"/>
          <w:b/>
          <w:i/>
          <w:szCs w:val="22"/>
        </w:rPr>
        <w:t>Clinical Laboratory Services</w:t>
      </w:r>
    </w:p>
    <w:p w:rsidR="007D5819" w:rsidRPr="006B72B0" w:rsidRDefault="007D5819" w:rsidP="007D5819">
      <w:pPr>
        <w:jc w:val="center"/>
        <w:rPr>
          <w:b/>
        </w:rPr>
      </w:pPr>
    </w:p>
    <w:p w:rsidR="007D5819" w:rsidRPr="006B72B0" w:rsidRDefault="007D5819" w:rsidP="007D5819">
      <w:pPr>
        <w:spacing w:after="240"/>
        <w:jc w:val="center"/>
        <w:rPr>
          <w:rFonts w:ascii="Times New Roman" w:eastAsia="Calibri" w:hAnsi="Times New Roman" w:cs="Times New Roman"/>
          <w:szCs w:val="22"/>
        </w:rPr>
      </w:pPr>
      <w:bookmarkStart w:id="0" w:name="_GoBack"/>
      <w:r w:rsidRPr="006B72B0">
        <w:rPr>
          <w:rFonts w:ascii="Times New Roman" w:eastAsia="Calibri" w:hAnsi="Times New Roman" w:cs="Times New Roman"/>
          <w:szCs w:val="22"/>
        </w:rPr>
        <w:t xml:space="preserve">Effective </w:t>
      </w:r>
      <w:r w:rsidR="006B72B0">
        <w:rPr>
          <w:rFonts w:ascii="Times New Roman" w:eastAsia="Calibri" w:hAnsi="Times New Roman" w:cs="Times New Roman"/>
          <w:szCs w:val="22"/>
        </w:rPr>
        <w:t>January 1, 2021</w:t>
      </w:r>
    </w:p>
    <w:bookmarkEnd w:id="0"/>
    <w:p w:rsidR="00980B8C" w:rsidRDefault="00980B8C" w:rsidP="00980B8C">
      <w:pPr>
        <w:contextualSpacing/>
        <w:jc w:val="center"/>
        <w:rPr>
          <w:rFonts w:ascii="Times New Roman" w:hAnsi="Times New Roman"/>
          <w:b/>
        </w:rPr>
      </w:pPr>
      <w:r>
        <w:rPr>
          <w:rFonts w:ascii="Times New Roman" w:hAnsi="Times New Roman"/>
          <w:b/>
        </w:rPr>
        <w:t>(1) CPT 2021</w:t>
      </w:r>
      <w:r w:rsidRPr="00181A96">
        <w:rPr>
          <w:rFonts w:ascii="Times New Roman" w:hAnsi="Times New Roman"/>
          <w:b/>
        </w:rPr>
        <w:t xml:space="preserve"> Coding Updates</w:t>
      </w:r>
      <w:r>
        <w:rPr>
          <w:rFonts w:ascii="Times New Roman" w:hAnsi="Times New Roman"/>
          <w:b/>
        </w:rPr>
        <w:t>; and</w:t>
      </w:r>
    </w:p>
    <w:p w:rsidR="00980B8C" w:rsidRDefault="00980B8C" w:rsidP="00980B8C">
      <w:pPr>
        <w:contextualSpacing/>
        <w:jc w:val="center"/>
        <w:rPr>
          <w:rFonts w:ascii="Times New Roman" w:hAnsi="Times New Roman"/>
          <w:b/>
        </w:rPr>
      </w:pPr>
      <w:r>
        <w:rPr>
          <w:rFonts w:ascii="Times New Roman" w:hAnsi="Times New Roman"/>
          <w:b/>
        </w:rPr>
        <w:t>(2) CPT 2020</w:t>
      </w:r>
      <w:r w:rsidRPr="00181A96">
        <w:rPr>
          <w:rFonts w:ascii="Times New Roman" w:hAnsi="Times New Roman"/>
          <w:b/>
        </w:rPr>
        <w:t xml:space="preserve"> Coding Updates</w:t>
      </w:r>
    </w:p>
    <w:p w:rsidR="00980B8C" w:rsidRDefault="00980B8C" w:rsidP="00980B8C">
      <w:pPr>
        <w:autoSpaceDE w:val="0"/>
        <w:autoSpaceDN w:val="0"/>
        <w:adjustRightInd w:val="0"/>
        <w:ind w:right="-720"/>
        <w:rPr>
          <w:rFonts w:ascii="Times New Roman" w:hAnsi="Times New Roman" w:cs="Times New Roman"/>
          <w:b/>
          <w:szCs w:val="22"/>
        </w:rPr>
      </w:pPr>
    </w:p>
    <w:p w:rsidR="00980B8C" w:rsidRPr="005051A8" w:rsidRDefault="00980B8C" w:rsidP="005051A8">
      <w:pPr>
        <w:pStyle w:val="Heading2"/>
      </w:pPr>
      <w:r w:rsidRPr="005051A8">
        <w:t>Part I:  2021 CPT Coding Updates</w:t>
      </w:r>
    </w:p>
    <w:p w:rsidR="00760514" w:rsidRDefault="00760514" w:rsidP="00962923">
      <w:pPr>
        <w:tabs>
          <w:tab w:val="left" w:pos="1440"/>
          <w:tab w:val="center" w:pos="4925"/>
        </w:tabs>
        <w:rPr>
          <w:rFonts w:ascii="Times New Roman" w:hAnsi="Times New Roman" w:cs="Times New Roman"/>
          <w:sz w:val="24"/>
          <w:szCs w:val="24"/>
        </w:rPr>
      </w:pPr>
    </w:p>
    <w:p w:rsidR="00980B8C" w:rsidRPr="00980B8C" w:rsidRDefault="00980B8C" w:rsidP="00980B8C">
      <w:pPr>
        <w:rPr>
          <w:rFonts w:ascii="Times New Roman" w:hAnsi="Times New Roman" w:cs="Times New Roman"/>
          <w:sz w:val="24"/>
          <w:szCs w:val="24"/>
        </w:rPr>
      </w:pPr>
      <w:r w:rsidRPr="00980B8C">
        <w:rPr>
          <w:rFonts w:ascii="Times New Roman" w:hAnsi="Times New Roman" w:cs="Times New Roman"/>
          <w:sz w:val="24"/>
          <w:szCs w:val="24"/>
        </w:rPr>
        <w:t>Pursuant to 101 CMR 320.01(4), the Executive Office of Health and Human Services is adding new procedure codes and deleting outdated codes, effective for dates of service on and after January 1, 2021. As set forth in 101 CMR 320.01(4</w:t>
      </w:r>
      <w:proofErr w:type="gramStart"/>
      <w:r w:rsidRPr="00980B8C">
        <w:rPr>
          <w:rFonts w:ascii="Times New Roman" w:hAnsi="Times New Roman" w:cs="Times New Roman"/>
          <w:sz w:val="24"/>
          <w:szCs w:val="24"/>
        </w:rPr>
        <w:t>)(</w:t>
      </w:r>
      <w:proofErr w:type="gramEnd"/>
      <w:r w:rsidRPr="00980B8C">
        <w:rPr>
          <w:rFonts w:ascii="Times New Roman" w:hAnsi="Times New Roman" w:cs="Times New Roman"/>
          <w:sz w:val="24"/>
          <w:szCs w:val="24"/>
        </w:rPr>
        <w:t xml:space="preserve">c), the rates for newly added codes </w:t>
      </w:r>
      <w:bookmarkStart w:id="1" w:name="_Hlk33538529"/>
      <w:r w:rsidRPr="00980B8C">
        <w:rPr>
          <w:rFonts w:ascii="Times New Roman" w:hAnsi="Times New Roman" w:cs="Times New Roman"/>
          <w:sz w:val="24"/>
          <w:szCs w:val="24"/>
        </w:rPr>
        <w:t>are calculated according to the rate methodology used in setting clinical laboratory rates</w:t>
      </w:r>
      <w:bookmarkEnd w:id="1"/>
      <w:r w:rsidRPr="00980B8C">
        <w:rPr>
          <w:rFonts w:ascii="Times New Roman" w:hAnsi="Times New Roman" w:cs="Times New Roman"/>
          <w:sz w:val="24"/>
          <w:szCs w:val="24"/>
        </w:rPr>
        <w:t>. Added codes without Medicare fees are reimbursed at individual consideration (I.C.). Rates listed in this administrative bulletin are applicable until revised rates are issued by the EOHHS. Deleted codes are not available for use for dates of service after December 31, 2020.</w:t>
      </w:r>
    </w:p>
    <w:p w:rsidR="00980B8C" w:rsidRDefault="00980B8C" w:rsidP="00962923">
      <w:pPr>
        <w:tabs>
          <w:tab w:val="left" w:pos="1440"/>
          <w:tab w:val="center" w:pos="4925"/>
        </w:tabs>
        <w:rPr>
          <w:rFonts w:ascii="Times New Roman" w:hAnsi="Times New Roman" w:cs="Times New Roman"/>
          <w:sz w:val="24"/>
          <w:szCs w:val="24"/>
        </w:rPr>
      </w:pPr>
    </w:p>
    <w:tbl>
      <w:tblPr>
        <w:tblStyle w:val="TableGrid"/>
        <w:tblW w:w="4944" w:type="pct"/>
        <w:tblInd w:w="115" w:type="dxa"/>
        <w:tblCellMar>
          <w:left w:w="115" w:type="dxa"/>
          <w:right w:w="115" w:type="dxa"/>
        </w:tblCellMar>
        <w:tblLook w:val="01E0" w:firstRow="1" w:lastRow="1" w:firstColumn="1" w:lastColumn="1" w:noHBand="0" w:noVBand="0"/>
        <w:tblCaption w:val="Table of  Procedure Code Updates"/>
        <w:tblDescription w:val="The changes, effective January 1, 2019."/>
      </w:tblPr>
      <w:tblGrid>
        <w:gridCol w:w="990"/>
        <w:gridCol w:w="2066"/>
        <w:gridCol w:w="1409"/>
        <w:gridCol w:w="5730"/>
      </w:tblGrid>
      <w:tr w:rsidR="00D209BE" w:rsidRPr="001B268D" w:rsidTr="001B613B">
        <w:trPr>
          <w:trHeight w:val="170"/>
          <w:tblHeader/>
        </w:trPr>
        <w:tc>
          <w:tcPr>
            <w:tcW w:w="486" w:type="pct"/>
            <w:tcMar>
              <w:top w:w="14" w:type="dxa"/>
              <w:left w:w="115" w:type="dxa"/>
              <w:bottom w:w="14" w:type="dxa"/>
              <w:right w:w="115" w:type="dxa"/>
            </w:tcMar>
          </w:tcPr>
          <w:p w:rsidR="00D209BE" w:rsidRPr="001E325E" w:rsidRDefault="00D209BE" w:rsidP="00D662FA">
            <w:pPr>
              <w:contextualSpacing/>
              <w:jc w:val="center"/>
              <w:rPr>
                <w:rFonts w:ascii="Times New Roman" w:hAnsi="Times New Roman" w:cs="Times New Roman"/>
                <w:b/>
                <w:sz w:val="24"/>
                <w:szCs w:val="24"/>
              </w:rPr>
            </w:pPr>
            <w:r w:rsidRPr="001E325E">
              <w:rPr>
                <w:rFonts w:ascii="Times New Roman" w:hAnsi="Times New Roman" w:cs="Times New Roman"/>
                <w:b/>
                <w:sz w:val="24"/>
                <w:szCs w:val="24"/>
              </w:rPr>
              <w:t>Code</w:t>
            </w:r>
          </w:p>
        </w:tc>
        <w:tc>
          <w:tcPr>
            <w:tcW w:w="1013" w:type="pct"/>
            <w:tcMar>
              <w:top w:w="14" w:type="dxa"/>
              <w:left w:w="115" w:type="dxa"/>
              <w:bottom w:w="14" w:type="dxa"/>
              <w:right w:w="115" w:type="dxa"/>
            </w:tcMar>
          </w:tcPr>
          <w:p w:rsidR="00D209BE" w:rsidRPr="001E325E" w:rsidRDefault="00D209BE" w:rsidP="00D662FA">
            <w:pPr>
              <w:contextualSpacing/>
              <w:jc w:val="center"/>
              <w:rPr>
                <w:rFonts w:ascii="Times New Roman" w:hAnsi="Times New Roman" w:cs="Times New Roman"/>
                <w:b/>
                <w:sz w:val="24"/>
                <w:szCs w:val="24"/>
              </w:rPr>
            </w:pPr>
            <w:r w:rsidRPr="001E325E">
              <w:rPr>
                <w:rFonts w:ascii="Times New Roman" w:hAnsi="Times New Roman" w:cs="Times New Roman"/>
                <w:b/>
                <w:sz w:val="24"/>
                <w:szCs w:val="24"/>
              </w:rPr>
              <w:t>Change</w:t>
            </w:r>
          </w:p>
        </w:tc>
        <w:tc>
          <w:tcPr>
            <w:tcW w:w="691" w:type="pct"/>
            <w:tcMar>
              <w:top w:w="14" w:type="dxa"/>
              <w:left w:w="115" w:type="dxa"/>
              <w:bottom w:w="14" w:type="dxa"/>
              <w:right w:w="115" w:type="dxa"/>
            </w:tcMar>
          </w:tcPr>
          <w:p w:rsidR="00D209BE" w:rsidRPr="001E325E" w:rsidRDefault="00D209BE" w:rsidP="00D662FA">
            <w:pPr>
              <w:contextualSpacing/>
              <w:jc w:val="center"/>
              <w:rPr>
                <w:rFonts w:ascii="Times New Roman" w:hAnsi="Times New Roman" w:cs="Times New Roman"/>
                <w:b/>
                <w:sz w:val="24"/>
                <w:szCs w:val="24"/>
              </w:rPr>
            </w:pPr>
            <w:r w:rsidRPr="001E325E">
              <w:rPr>
                <w:rFonts w:ascii="Times New Roman" w:hAnsi="Times New Roman" w:cs="Times New Roman"/>
                <w:b/>
                <w:sz w:val="24"/>
                <w:szCs w:val="24"/>
              </w:rPr>
              <w:t>Rate</w:t>
            </w:r>
          </w:p>
        </w:tc>
        <w:tc>
          <w:tcPr>
            <w:tcW w:w="2811" w:type="pct"/>
            <w:tcBorders>
              <w:bottom w:val="single" w:sz="4" w:space="0" w:color="auto"/>
            </w:tcBorders>
            <w:tcMar>
              <w:top w:w="14" w:type="dxa"/>
              <w:left w:w="115" w:type="dxa"/>
              <w:bottom w:w="14" w:type="dxa"/>
              <w:right w:w="115" w:type="dxa"/>
            </w:tcMar>
          </w:tcPr>
          <w:p w:rsidR="00D209BE" w:rsidRPr="001E325E" w:rsidRDefault="00D209BE" w:rsidP="00D662FA">
            <w:pPr>
              <w:contextualSpacing/>
              <w:jc w:val="center"/>
              <w:rPr>
                <w:rFonts w:ascii="Times New Roman" w:hAnsi="Times New Roman" w:cs="Times New Roman"/>
                <w:b/>
                <w:sz w:val="24"/>
                <w:szCs w:val="24"/>
              </w:rPr>
            </w:pPr>
            <w:r w:rsidRPr="001E325E">
              <w:rPr>
                <w:rFonts w:ascii="Times New Roman" w:hAnsi="Times New Roman" w:cs="Times New Roman"/>
                <w:b/>
                <w:sz w:val="24"/>
                <w:szCs w:val="24"/>
              </w:rPr>
              <w:t>Code Description</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80143</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$13.77</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acetaminophen</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80151</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$13.77</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amiodarone</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80161</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$13.77</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carbamazepine-10,11-epoxide</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80167</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$13.77</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 xml:space="preserve">Measurement of </w:t>
            </w:r>
            <w:proofErr w:type="spellStart"/>
            <w:r w:rsidRPr="001E325E">
              <w:rPr>
                <w:rFonts w:ascii="Times New Roman" w:hAnsi="Times New Roman" w:cs="Times New Roman"/>
                <w:color w:val="000000"/>
                <w:sz w:val="24"/>
                <w:szCs w:val="24"/>
              </w:rPr>
              <w:t>felbamate</w:t>
            </w:r>
            <w:proofErr w:type="spellEnd"/>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80179</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$13.77</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salicylate</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80181</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$13.77</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flecainide</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80189</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$20.03</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 xml:space="preserve">Measurement of </w:t>
            </w:r>
            <w:proofErr w:type="spellStart"/>
            <w:r w:rsidRPr="001E325E">
              <w:rPr>
                <w:rFonts w:ascii="Times New Roman" w:hAnsi="Times New Roman" w:cs="Times New Roman"/>
                <w:color w:val="000000"/>
                <w:sz w:val="24"/>
                <w:szCs w:val="24"/>
              </w:rPr>
              <w:t>itraconazole</w:t>
            </w:r>
            <w:proofErr w:type="spellEnd"/>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80193</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$28.50</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 xml:space="preserve">Measurement of </w:t>
            </w:r>
            <w:proofErr w:type="spellStart"/>
            <w:r w:rsidRPr="001E325E">
              <w:rPr>
                <w:rFonts w:ascii="Times New Roman" w:hAnsi="Times New Roman" w:cs="Times New Roman"/>
                <w:color w:val="000000"/>
                <w:sz w:val="24"/>
                <w:szCs w:val="24"/>
              </w:rPr>
              <w:t>leflunomide</w:t>
            </w:r>
            <w:proofErr w:type="spellEnd"/>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80204</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$28.50</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methotrexate</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80210</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$20.03</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 xml:space="preserve">Measurement of </w:t>
            </w:r>
            <w:proofErr w:type="spellStart"/>
            <w:r w:rsidRPr="001E325E">
              <w:rPr>
                <w:rFonts w:ascii="Times New Roman" w:hAnsi="Times New Roman" w:cs="Times New Roman"/>
                <w:color w:val="000000"/>
                <w:sz w:val="24"/>
                <w:szCs w:val="24"/>
              </w:rPr>
              <w:t>rufinamide</w:t>
            </w:r>
            <w:proofErr w:type="spellEnd"/>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81168</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$153.18</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(CCND1/IGH (t(11;14))) translocation analysis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81191</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$153.18</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(neurotrophic receptor tyrosine kinase 1) translocation analysis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lastRenderedPageBreak/>
              <w:t>81192</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$153.18</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(neurotrophic receptor tyrosine kinase 2) translocation analysis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81193</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$153.18</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(neurotrophic receptor tyrosine kinase 3) translocation analysis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81194</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$382.96</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(neurotrophic receptor tyrosine kinase 1, 2, and 3) translocation analysis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81278</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$153.18</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(IGH@/BCL2 (t(14;18)) translocation analysis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81279</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$136.84</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(Janus kinase 2) targeted sequence analysis</w:t>
            </w:r>
          </w:p>
        </w:tc>
      </w:tr>
      <w:tr w:rsidR="00D209BE" w:rsidRPr="0080177E" w:rsidTr="001B613B">
        <w:trPr>
          <w:trHeight w:val="52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81338</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$111.08</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 xml:space="preserve">Gene analysis (MPL proto-oncogene, </w:t>
            </w:r>
            <w:proofErr w:type="spellStart"/>
            <w:r w:rsidRPr="001E325E">
              <w:rPr>
                <w:rFonts w:ascii="Times New Roman" w:hAnsi="Times New Roman" w:cs="Times New Roman"/>
                <w:color w:val="000000"/>
                <w:sz w:val="24"/>
                <w:szCs w:val="24"/>
              </w:rPr>
              <w:t>thrombopoietin</w:t>
            </w:r>
            <w:proofErr w:type="spellEnd"/>
            <w:r w:rsidRPr="001E325E">
              <w:rPr>
                <w:rFonts w:ascii="Times New Roman" w:hAnsi="Times New Roman" w:cs="Times New Roman"/>
                <w:color w:val="000000"/>
                <w:sz w:val="24"/>
                <w:szCs w:val="24"/>
              </w:rPr>
              <w:t xml:space="preserve"> receptor) for detection of common variants</w:t>
            </w:r>
          </w:p>
        </w:tc>
      </w:tr>
      <w:tr w:rsidR="00D209BE" w:rsidRPr="0080177E" w:rsidTr="001B613B">
        <w:trPr>
          <w:trHeight w:val="52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81339</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$136.84</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 xml:space="preserve">Gene analysis (MPL proto-oncogene, </w:t>
            </w:r>
            <w:proofErr w:type="spellStart"/>
            <w:r w:rsidRPr="001E325E">
              <w:rPr>
                <w:rFonts w:ascii="Times New Roman" w:hAnsi="Times New Roman" w:cs="Times New Roman"/>
                <w:color w:val="000000"/>
                <w:sz w:val="24"/>
                <w:szCs w:val="24"/>
              </w:rPr>
              <w:t>thrombopoietin</w:t>
            </w:r>
            <w:proofErr w:type="spellEnd"/>
            <w:r w:rsidRPr="001E325E">
              <w:rPr>
                <w:rFonts w:ascii="Times New Roman" w:hAnsi="Times New Roman" w:cs="Times New Roman"/>
                <w:color w:val="000000"/>
                <w:sz w:val="24"/>
                <w:szCs w:val="24"/>
              </w:rPr>
              <w:t xml:space="preserve"> receptor) sequence analysis of exon 10</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81347</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$142.79</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(splicing factor [3b] subunit B1) for detection of common variants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81348</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$129.60</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(serine and arginine-rich splicing factor 2) for detection of common variants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81351</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$474.26</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(tumor protein 53) full sequence analysis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81352</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$243.47</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(tumor protein 53) targeted sequence analysis</w:t>
            </w:r>
          </w:p>
        </w:tc>
      </w:tr>
      <w:tr w:rsidR="00D209BE" w:rsidRPr="0080177E" w:rsidTr="001B613B">
        <w:trPr>
          <w:trHeight w:val="52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81353</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$227.58</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(tumor protein 53) targeted sequence analysis for detection of known familial variant</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81357</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$142.79</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(U2 small nuclear RNA auxiliary factor 1) for detection of common variants</w:t>
            </w:r>
          </w:p>
        </w:tc>
      </w:tr>
      <w:tr w:rsidR="00D209BE" w:rsidRPr="0080177E" w:rsidTr="001B613B">
        <w:trPr>
          <w:trHeight w:val="52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81360</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$142.79</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(zinc finger CCCH-type, RNA binding motif and serine/arginine-rich 2) for detection of common variants</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81419</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$1,809.24</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Gene analysis panel for evaluation of genes associated with epilepsy</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81513</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$105.39</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RNA of bacteria in vaginal fluid specimen</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81514</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$194.32</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DNA of bacteria in vaginal fluid specimen</w:t>
            </w:r>
          </w:p>
        </w:tc>
      </w:tr>
      <w:tr w:rsidR="00D209BE" w:rsidRPr="0080177E" w:rsidTr="001B613B">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81529</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vAlign w:val="cente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$5,314.91</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mRNA gene analysis of 13 genes in skin melanoma tissue specimen</w:t>
            </w:r>
          </w:p>
        </w:tc>
      </w:tr>
      <w:tr w:rsidR="00D209BE" w:rsidRPr="0080177E" w:rsidTr="001B613B">
        <w:tblPrEx>
          <w:tblLook w:val="04A0" w:firstRow="1" w:lastRow="0" w:firstColumn="1" w:lastColumn="0" w:noHBand="0" w:noVBand="1"/>
        </w:tblPrEx>
        <w:trPr>
          <w:trHeight w:val="52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81546</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$2,660.04</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mRNA gene analysis of 10,196 genes in fine needle aspiration thyroid specimen, reported as category result (</w:t>
            </w:r>
            <w:r w:rsidRPr="00924F7C">
              <w:rPr>
                <w:rFonts w:ascii="Times New Roman" w:hAnsi="Times New Roman" w:cs="Times New Roman"/>
                <w:i/>
                <w:color w:val="000000"/>
                <w:sz w:val="24"/>
                <w:szCs w:val="24"/>
              </w:rPr>
              <w:t>e.g</w:t>
            </w:r>
            <w:r w:rsidRPr="001E325E">
              <w:rPr>
                <w:rFonts w:ascii="Times New Roman" w:hAnsi="Times New Roman" w:cs="Times New Roman"/>
                <w:color w:val="000000"/>
                <w:sz w:val="24"/>
                <w:szCs w:val="24"/>
              </w:rPr>
              <w:t>. benign, suspicious)</w:t>
            </w:r>
          </w:p>
        </w:tc>
      </w:tr>
      <w:tr w:rsidR="00D209BE" w:rsidRPr="0080177E" w:rsidTr="001B613B">
        <w:tblPrEx>
          <w:tblLook w:val="04A0" w:firstRow="1" w:lastRow="0" w:firstColumn="1" w:lastColumn="0" w:noHBand="0" w:noVBand="1"/>
        </w:tblPrEx>
        <w:trPr>
          <w:trHeight w:val="52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81554</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$4,063.95</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 xml:space="preserve">mRNA gene analysis of 190 genes associated with lung disease (idiopathic pulmonary fibrosis) in </w:t>
            </w:r>
            <w:proofErr w:type="spellStart"/>
            <w:r w:rsidRPr="001E325E">
              <w:rPr>
                <w:rFonts w:ascii="Times New Roman" w:hAnsi="Times New Roman" w:cs="Times New Roman"/>
                <w:color w:val="000000"/>
                <w:sz w:val="24"/>
                <w:szCs w:val="24"/>
              </w:rPr>
              <w:t>transbronchial</w:t>
            </w:r>
            <w:proofErr w:type="spellEnd"/>
            <w:r w:rsidRPr="001E325E">
              <w:rPr>
                <w:rFonts w:ascii="Times New Roman" w:hAnsi="Times New Roman" w:cs="Times New Roman"/>
                <w:color w:val="000000"/>
                <w:sz w:val="24"/>
                <w:szCs w:val="24"/>
              </w:rPr>
              <w:t xml:space="preserve"> biopsy specimen of lung</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82077</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$12.76</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Measurement of alcohol level in specimen other than breath or urine</w:t>
            </w:r>
          </w:p>
        </w:tc>
      </w:tr>
      <w:tr w:rsidR="00D209BE" w:rsidRPr="0080177E" w:rsidTr="001B613B">
        <w:tblPrEx>
          <w:tblLook w:val="04A0" w:firstRow="1" w:lastRow="0" w:firstColumn="1" w:lastColumn="0" w:noHBand="0" w:noVBand="1"/>
        </w:tblPrEx>
        <w:trPr>
          <w:trHeight w:val="29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82681</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$20.64</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Direct measurement of free estradiol (hormone)</w:t>
            </w:r>
          </w:p>
        </w:tc>
      </w:tr>
      <w:tr w:rsidR="00D209BE" w:rsidRPr="0080177E" w:rsidTr="001B613B">
        <w:tblPrEx>
          <w:tblLook w:val="04A0" w:firstRow="1" w:lastRow="0" w:firstColumn="1" w:lastColumn="0" w:noHBand="0" w:noVBand="1"/>
        </w:tblPrEx>
        <w:trPr>
          <w:trHeight w:val="77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lastRenderedPageBreak/>
              <w:t>87636</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I.C.</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Infectious agent detection by nucleic acid (</w:t>
            </w:r>
            <w:r w:rsidR="00ED0E2B">
              <w:rPr>
                <w:rFonts w:ascii="Times New Roman" w:hAnsi="Times New Roman" w:cs="Times New Roman"/>
                <w:color w:val="000000"/>
                <w:sz w:val="24"/>
                <w:szCs w:val="24"/>
              </w:rPr>
              <w:t>DNA</w:t>
            </w:r>
            <w:r w:rsidRPr="001E325E">
              <w:rPr>
                <w:rFonts w:ascii="Times New Roman" w:hAnsi="Times New Roman" w:cs="Times New Roman"/>
                <w:color w:val="000000"/>
                <w:sz w:val="24"/>
                <w:szCs w:val="24"/>
              </w:rPr>
              <w:t xml:space="preserve"> or </w:t>
            </w:r>
            <w:r w:rsidR="00ED0E2B">
              <w:rPr>
                <w:rFonts w:ascii="Times New Roman" w:hAnsi="Times New Roman" w:cs="Times New Roman"/>
                <w:color w:val="000000"/>
                <w:sz w:val="24"/>
                <w:szCs w:val="24"/>
              </w:rPr>
              <w:t>RNA</w:t>
            </w:r>
            <w:r w:rsidRPr="001E325E">
              <w:rPr>
                <w:rFonts w:ascii="Times New Roman" w:hAnsi="Times New Roman" w:cs="Times New Roman"/>
                <w:color w:val="000000"/>
                <w:sz w:val="24"/>
                <w:szCs w:val="24"/>
              </w:rPr>
              <w:t>); severe acute respiratory syndrome coronavirus 2 (</w:t>
            </w:r>
            <w:r w:rsidR="00ED0E2B">
              <w:rPr>
                <w:rFonts w:ascii="Times New Roman" w:hAnsi="Times New Roman" w:cs="Times New Roman"/>
                <w:color w:val="000000"/>
                <w:sz w:val="24"/>
                <w:szCs w:val="24"/>
              </w:rPr>
              <w:t>SARS-CoV</w:t>
            </w:r>
            <w:r w:rsidRPr="001E325E">
              <w:rPr>
                <w:rFonts w:ascii="Times New Roman" w:hAnsi="Times New Roman" w:cs="Times New Roman"/>
                <w:color w:val="000000"/>
                <w:sz w:val="24"/>
                <w:szCs w:val="24"/>
              </w:rPr>
              <w:t>-2) (coronavirus disease [</w:t>
            </w:r>
            <w:r w:rsidR="00ED0E2B">
              <w:rPr>
                <w:rFonts w:ascii="Times New Roman" w:hAnsi="Times New Roman" w:cs="Times New Roman"/>
                <w:color w:val="000000"/>
                <w:sz w:val="24"/>
                <w:szCs w:val="24"/>
              </w:rPr>
              <w:t>COVID</w:t>
            </w:r>
            <w:r w:rsidRPr="001E325E">
              <w:rPr>
                <w:rFonts w:ascii="Times New Roman" w:hAnsi="Times New Roman" w:cs="Times New Roman"/>
                <w:color w:val="000000"/>
                <w:sz w:val="24"/>
                <w:szCs w:val="24"/>
              </w:rPr>
              <w:t xml:space="preserve">-19]) and influenza virus types </w:t>
            </w:r>
            <w:r w:rsidR="00AA0F2D">
              <w:rPr>
                <w:rFonts w:ascii="Times New Roman" w:hAnsi="Times New Roman" w:cs="Times New Roman"/>
                <w:color w:val="000000"/>
                <w:sz w:val="24"/>
                <w:szCs w:val="24"/>
              </w:rPr>
              <w:t>A</w:t>
            </w:r>
            <w:r w:rsidRPr="001E325E">
              <w:rPr>
                <w:rFonts w:ascii="Times New Roman" w:hAnsi="Times New Roman" w:cs="Times New Roman"/>
                <w:color w:val="000000"/>
                <w:sz w:val="24"/>
                <w:szCs w:val="24"/>
              </w:rPr>
              <w:t xml:space="preserve"> and </w:t>
            </w:r>
            <w:r w:rsidR="00AA0F2D">
              <w:rPr>
                <w:rFonts w:ascii="Times New Roman" w:hAnsi="Times New Roman" w:cs="Times New Roman"/>
                <w:color w:val="000000"/>
                <w:sz w:val="24"/>
                <w:szCs w:val="24"/>
              </w:rPr>
              <w:t>B</w:t>
            </w:r>
            <w:r w:rsidRPr="001E325E">
              <w:rPr>
                <w:rFonts w:ascii="Times New Roman" w:hAnsi="Times New Roman" w:cs="Times New Roman"/>
                <w:color w:val="000000"/>
                <w:sz w:val="24"/>
                <w:szCs w:val="24"/>
              </w:rPr>
              <w:t>, multiplex amplified probe technique</w:t>
            </w:r>
          </w:p>
        </w:tc>
      </w:tr>
      <w:tr w:rsidR="00D209BE" w:rsidRPr="0080177E" w:rsidTr="001B613B">
        <w:tblPrEx>
          <w:tblLook w:val="04A0" w:firstRow="1" w:lastRow="0" w:firstColumn="1" w:lastColumn="0" w:noHBand="0" w:noVBand="1"/>
        </w:tblPrEx>
        <w:trPr>
          <w:trHeight w:val="77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87637</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I.C.</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Infectious agent detection by nucleic acid (</w:t>
            </w:r>
            <w:r w:rsidR="00ED0E2B">
              <w:rPr>
                <w:rFonts w:ascii="Times New Roman" w:hAnsi="Times New Roman" w:cs="Times New Roman"/>
                <w:color w:val="000000"/>
                <w:sz w:val="24"/>
                <w:szCs w:val="24"/>
              </w:rPr>
              <w:t>DNA</w:t>
            </w:r>
            <w:r w:rsidRPr="001E325E">
              <w:rPr>
                <w:rFonts w:ascii="Times New Roman" w:hAnsi="Times New Roman" w:cs="Times New Roman"/>
                <w:color w:val="000000"/>
                <w:sz w:val="24"/>
                <w:szCs w:val="24"/>
              </w:rPr>
              <w:t xml:space="preserve"> or </w:t>
            </w:r>
            <w:r w:rsidR="00ED0E2B">
              <w:rPr>
                <w:rFonts w:ascii="Times New Roman" w:hAnsi="Times New Roman" w:cs="Times New Roman"/>
                <w:color w:val="000000"/>
                <w:sz w:val="24"/>
                <w:szCs w:val="24"/>
              </w:rPr>
              <w:t>RNA</w:t>
            </w:r>
            <w:r w:rsidRPr="001E325E">
              <w:rPr>
                <w:rFonts w:ascii="Times New Roman" w:hAnsi="Times New Roman" w:cs="Times New Roman"/>
                <w:color w:val="000000"/>
                <w:sz w:val="24"/>
                <w:szCs w:val="24"/>
              </w:rPr>
              <w:t>); severe acute respiratory syndrome coronavirus 2 (</w:t>
            </w:r>
            <w:r w:rsidR="00ED0E2B">
              <w:rPr>
                <w:rFonts w:ascii="Times New Roman" w:hAnsi="Times New Roman" w:cs="Times New Roman"/>
                <w:color w:val="000000"/>
                <w:sz w:val="24"/>
                <w:szCs w:val="24"/>
              </w:rPr>
              <w:t>SARS-CoV</w:t>
            </w:r>
            <w:r w:rsidRPr="001E325E">
              <w:rPr>
                <w:rFonts w:ascii="Times New Roman" w:hAnsi="Times New Roman" w:cs="Times New Roman"/>
                <w:color w:val="000000"/>
                <w:sz w:val="24"/>
                <w:szCs w:val="24"/>
              </w:rPr>
              <w:t>-2) (coronavirus disease [</w:t>
            </w:r>
            <w:r w:rsidR="00ED0E2B">
              <w:rPr>
                <w:rFonts w:ascii="Times New Roman" w:hAnsi="Times New Roman" w:cs="Times New Roman"/>
                <w:color w:val="000000"/>
                <w:sz w:val="24"/>
                <w:szCs w:val="24"/>
              </w:rPr>
              <w:t>COVID</w:t>
            </w:r>
            <w:r w:rsidRPr="001E325E">
              <w:rPr>
                <w:rFonts w:ascii="Times New Roman" w:hAnsi="Times New Roman" w:cs="Times New Roman"/>
                <w:color w:val="000000"/>
                <w:sz w:val="24"/>
                <w:szCs w:val="24"/>
              </w:rPr>
              <w:t xml:space="preserve">-19]), influenza virus types </w:t>
            </w:r>
            <w:r w:rsidR="00AA0F2D">
              <w:rPr>
                <w:rFonts w:ascii="Times New Roman" w:hAnsi="Times New Roman" w:cs="Times New Roman"/>
                <w:color w:val="000000"/>
                <w:sz w:val="24"/>
                <w:szCs w:val="24"/>
              </w:rPr>
              <w:t>A</w:t>
            </w:r>
            <w:r w:rsidRPr="001E325E">
              <w:rPr>
                <w:rFonts w:ascii="Times New Roman" w:hAnsi="Times New Roman" w:cs="Times New Roman"/>
                <w:color w:val="000000"/>
                <w:sz w:val="24"/>
                <w:szCs w:val="24"/>
              </w:rPr>
              <w:t xml:space="preserve"> and </w:t>
            </w:r>
            <w:r w:rsidR="00AA0F2D">
              <w:rPr>
                <w:rFonts w:ascii="Times New Roman" w:hAnsi="Times New Roman" w:cs="Times New Roman"/>
                <w:color w:val="000000"/>
                <w:sz w:val="24"/>
                <w:szCs w:val="24"/>
              </w:rPr>
              <w:t>B</w:t>
            </w:r>
            <w:r w:rsidRPr="001E325E">
              <w:rPr>
                <w:rFonts w:ascii="Times New Roman" w:hAnsi="Times New Roman" w:cs="Times New Roman"/>
                <w:color w:val="000000"/>
                <w:sz w:val="24"/>
                <w:szCs w:val="24"/>
              </w:rPr>
              <w:t>, and respiratory syncytial virus, multiplex amplified probe technique</w:t>
            </w:r>
          </w:p>
        </w:tc>
      </w:tr>
      <w:tr w:rsidR="00D209BE" w:rsidRPr="0080177E" w:rsidTr="001B613B">
        <w:tblPrEx>
          <w:tblLook w:val="04A0" w:firstRow="1" w:lastRow="0" w:firstColumn="1" w:lastColumn="0" w:noHBand="0" w:noVBand="1"/>
        </w:tblPrEx>
        <w:trPr>
          <w:trHeight w:val="770"/>
        </w:trPr>
        <w:tc>
          <w:tcPr>
            <w:tcW w:w="486" w:type="pct"/>
            <w:tcMar>
              <w:top w:w="14" w:type="dxa"/>
              <w:left w:w="115" w:type="dxa"/>
              <w:bottom w:w="14" w:type="dxa"/>
              <w:right w:w="115" w:type="dxa"/>
            </w:tcMar>
            <w:hideMark/>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87811</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sz w:val="24"/>
                <w:szCs w:val="24"/>
              </w:rPr>
              <w:t>I.C.</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Infectious agent antigen detection by immunoassay with direct optical (</w:t>
            </w:r>
            <w:r w:rsidR="00EC3F39" w:rsidRPr="00924F7C">
              <w:rPr>
                <w:rFonts w:ascii="Times New Roman" w:hAnsi="Times New Roman" w:cs="Times New Roman"/>
                <w:i/>
                <w:color w:val="000000"/>
                <w:sz w:val="24"/>
                <w:szCs w:val="24"/>
              </w:rPr>
              <w:t>i.e</w:t>
            </w:r>
            <w:r w:rsidR="00EC3F39">
              <w:rPr>
                <w:rFonts w:ascii="Times New Roman" w:hAnsi="Times New Roman" w:cs="Times New Roman"/>
                <w:color w:val="000000"/>
                <w:sz w:val="24"/>
                <w:szCs w:val="24"/>
              </w:rPr>
              <w:t>.</w:t>
            </w:r>
            <w:r w:rsidRPr="001E325E">
              <w:rPr>
                <w:rFonts w:ascii="Times New Roman" w:hAnsi="Times New Roman" w:cs="Times New Roman"/>
                <w:color w:val="000000"/>
                <w:sz w:val="24"/>
                <w:szCs w:val="24"/>
              </w:rPr>
              <w:t>, visual) observation; severe acute respiratory syndrome coronavirus 2 (</w:t>
            </w:r>
            <w:r w:rsidR="00ED0E2B">
              <w:rPr>
                <w:rFonts w:ascii="Times New Roman" w:hAnsi="Times New Roman" w:cs="Times New Roman"/>
                <w:color w:val="000000"/>
                <w:sz w:val="24"/>
                <w:szCs w:val="24"/>
              </w:rPr>
              <w:t>SARS-CoV</w:t>
            </w:r>
            <w:r w:rsidRPr="001E325E">
              <w:rPr>
                <w:rFonts w:ascii="Times New Roman" w:hAnsi="Times New Roman" w:cs="Times New Roman"/>
                <w:color w:val="000000"/>
                <w:sz w:val="24"/>
                <w:szCs w:val="24"/>
              </w:rPr>
              <w:t>-2) (coronavirus disease [</w:t>
            </w:r>
            <w:r w:rsidR="00ED0E2B">
              <w:rPr>
                <w:rFonts w:ascii="Times New Roman" w:hAnsi="Times New Roman" w:cs="Times New Roman"/>
                <w:color w:val="000000"/>
                <w:sz w:val="24"/>
                <w:szCs w:val="24"/>
              </w:rPr>
              <w:t>COVID</w:t>
            </w:r>
            <w:r w:rsidRPr="001E325E">
              <w:rPr>
                <w:rFonts w:ascii="Times New Roman" w:hAnsi="Times New Roman" w:cs="Times New Roman"/>
                <w:color w:val="000000"/>
                <w:sz w:val="24"/>
                <w:szCs w:val="24"/>
              </w:rPr>
              <w:t>-19])</w:t>
            </w:r>
          </w:p>
        </w:tc>
      </w:tr>
      <w:tr w:rsidR="00D209BE" w:rsidRPr="0080177E" w:rsidTr="001B613B">
        <w:tblPrEx>
          <w:tblLook w:val="04A0" w:firstRow="1" w:lastRow="0" w:firstColumn="1" w:lastColumn="0" w:noHBand="0" w:noVBand="1"/>
        </w:tblPrEx>
        <w:trPr>
          <w:trHeight w:val="359"/>
        </w:trPr>
        <w:tc>
          <w:tcPr>
            <w:tcW w:w="486"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81545</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Deletion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$2,659.89</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Oncology (thyroid), gene expression analysis of 142 genes, utilizing fine needle aspirate, algorithm reported as a categorical result (</w:t>
            </w:r>
            <w:r w:rsidRPr="00924F7C">
              <w:rPr>
                <w:rFonts w:ascii="Times New Roman" w:hAnsi="Times New Roman" w:cs="Times New Roman"/>
                <w:i/>
                <w:color w:val="000000"/>
                <w:sz w:val="24"/>
                <w:szCs w:val="24"/>
              </w:rPr>
              <w:t>e.g</w:t>
            </w:r>
            <w:r w:rsidRPr="001E325E">
              <w:rPr>
                <w:rFonts w:ascii="Times New Roman" w:hAnsi="Times New Roman" w:cs="Times New Roman"/>
                <w:color w:val="000000"/>
                <w:sz w:val="24"/>
                <w:szCs w:val="24"/>
              </w:rPr>
              <w:t>., benign or suspicious)</w:t>
            </w:r>
          </w:p>
        </w:tc>
      </w:tr>
      <w:tr w:rsidR="00D209BE" w:rsidRPr="0080177E" w:rsidTr="001B613B">
        <w:tblPrEx>
          <w:tblLook w:val="04A0" w:firstRow="1" w:lastRow="0" w:firstColumn="1" w:lastColumn="0" w:noHBand="0" w:noVBand="1"/>
        </w:tblPrEx>
        <w:trPr>
          <w:trHeight w:val="350"/>
        </w:trPr>
        <w:tc>
          <w:tcPr>
            <w:tcW w:w="486"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87450</w:t>
            </w:r>
          </w:p>
        </w:tc>
        <w:tc>
          <w:tcPr>
            <w:tcW w:w="1013" w:type="pct"/>
            <w:tcMar>
              <w:top w:w="14" w:type="dxa"/>
              <w:left w:w="115" w:type="dxa"/>
              <w:bottom w:w="14" w:type="dxa"/>
              <w:right w:w="115" w:type="dxa"/>
            </w:tcMar>
          </w:tcPr>
          <w:p w:rsidR="00D209BE" w:rsidRPr="001E325E" w:rsidRDefault="00D209B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Deletion</w:t>
            </w:r>
          </w:p>
        </w:tc>
        <w:tc>
          <w:tcPr>
            <w:tcW w:w="691" w:type="pct"/>
            <w:tcMar>
              <w:top w:w="14" w:type="dxa"/>
              <w:left w:w="115" w:type="dxa"/>
              <w:bottom w:w="14" w:type="dxa"/>
              <w:right w:w="115" w:type="dxa"/>
            </w:tcMar>
          </w:tcPr>
          <w:p w:rsidR="00D209BE" w:rsidRPr="001E325E" w:rsidRDefault="00D209BE" w:rsidP="00AA0F2D">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$8.75</w:t>
            </w:r>
          </w:p>
        </w:tc>
        <w:tc>
          <w:tcPr>
            <w:tcW w:w="2811" w:type="pct"/>
            <w:tcBorders>
              <w:top w:val="single" w:sz="4" w:space="0" w:color="auto"/>
              <w:left w:val="nil"/>
              <w:bottom w:val="single" w:sz="4" w:space="0" w:color="auto"/>
              <w:right w:val="single" w:sz="4" w:space="0" w:color="auto"/>
            </w:tcBorders>
            <w:shd w:val="clear" w:color="auto" w:fill="auto"/>
            <w:tcMar>
              <w:top w:w="14" w:type="dxa"/>
              <w:left w:w="115" w:type="dxa"/>
              <w:bottom w:w="14" w:type="dxa"/>
              <w:right w:w="115" w:type="dxa"/>
            </w:tcMar>
            <w:vAlign w:val="bottom"/>
          </w:tcPr>
          <w:p w:rsidR="00D209BE" w:rsidRPr="001E325E" w:rsidRDefault="00D209B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Infectious agent antigen detection by immunoassay technique, (</w:t>
            </w:r>
            <w:r w:rsidRPr="00924F7C">
              <w:rPr>
                <w:rFonts w:ascii="Times New Roman" w:hAnsi="Times New Roman" w:cs="Times New Roman"/>
                <w:i/>
                <w:color w:val="000000"/>
                <w:sz w:val="24"/>
                <w:szCs w:val="24"/>
              </w:rPr>
              <w:t>e.g</w:t>
            </w:r>
            <w:r w:rsidRPr="001E325E">
              <w:rPr>
                <w:rFonts w:ascii="Times New Roman" w:hAnsi="Times New Roman" w:cs="Times New Roman"/>
                <w:color w:val="000000"/>
                <w:sz w:val="24"/>
                <w:szCs w:val="24"/>
              </w:rPr>
              <w:t xml:space="preserve">., enzyme immunoassay [EIA], </w:t>
            </w:r>
            <w:proofErr w:type="spellStart"/>
            <w:r w:rsidRPr="001E325E">
              <w:rPr>
                <w:rFonts w:ascii="Times New Roman" w:hAnsi="Times New Roman" w:cs="Times New Roman"/>
                <w:color w:val="000000"/>
                <w:sz w:val="24"/>
                <w:szCs w:val="24"/>
              </w:rPr>
              <w:t>enzymelinked</w:t>
            </w:r>
            <w:proofErr w:type="spellEnd"/>
            <w:r w:rsidRPr="001E325E">
              <w:rPr>
                <w:rFonts w:ascii="Times New Roman" w:hAnsi="Times New Roman" w:cs="Times New Roman"/>
                <w:color w:val="000000"/>
                <w:sz w:val="24"/>
                <w:szCs w:val="24"/>
              </w:rPr>
              <w:t xml:space="preserve"> immunosorbent assay [ELISA], </w:t>
            </w:r>
            <w:proofErr w:type="spellStart"/>
            <w:r w:rsidRPr="001E325E">
              <w:rPr>
                <w:rFonts w:ascii="Times New Roman" w:hAnsi="Times New Roman" w:cs="Times New Roman"/>
                <w:color w:val="000000"/>
                <w:sz w:val="24"/>
                <w:szCs w:val="24"/>
              </w:rPr>
              <w:t>immunochemiluminometric</w:t>
            </w:r>
            <w:proofErr w:type="spellEnd"/>
            <w:r w:rsidRPr="001E325E">
              <w:rPr>
                <w:rFonts w:ascii="Times New Roman" w:hAnsi="Times New Roman" w:cs="Times New Roman"/>
                <w:color w:val="000000"/>
                <w:sz w:val="24"/>
                <w:szCs w:val="24"/>
              </w:rPr>
              <w:t xml:space="preserve"> assay [IMCA]), qualitative or </w:t>
            </w:r>
            <w:proofErr w:type="spellStart"/>
            <w:r w:rsidRPr="001E325E">
              <w:rPr>
                <w:rFonts w:ascii="Times New Roman" w:hAnsi="Times New Roman" w:cs="Times New Roman"/>
                <w:color w:val="000000"/>
                <w:sz w:val="24"/>
                <w:szCs w:val="24"/>
              </w:rPr>
              <w:t>semiquantitative</w:t>
            </w:r>
            <w:proofErr w:type="spellEnd"/>
            <w:r w:rsidRPr="001E325E">
              <w:rPr>
                <w:rFonts w:ascii="Times New Roman" w:hAnsi="Times New Roman" w:cs="Times New Roman"/>
                <w:color w:val="000000"/>
                <w:sz w:val="24"/>
                <w:szCs w:val="24"/>
              </w:rPr>
              <w:t>; single step method, not otherwise specified, each organism</w:t>
            </w:r>
          </w:p>
        </w:tc>
      </w:tr>
    </w:tbl>
    <w:p w:rsidR="00D209BE" w:rsidRDefault="00D209BE" w:rsidP="00962923">
      <w:pPr>
        <w:tabs>
          <w:tab w:val="left" w:pos="1440"/>
          <w:tab w:val="center" w:pos="4925"/>
        </w:tabs>
        <w:rPr>
          <w:rFonts w:ascii="Times New Roman" w:hAnsi="Times New Roman" w:cs="Times New Roman"/>
          <w:sz w:val="24"/>
          <w:szCs w:val="24"/>
        </w:rPr>
      </w:pPr>
    </w:p>
    <w:p w:rsidR="00D209BE" w:rsidRPr="00D209BE" w:rsidRDefault="00D209BE" w:rsidP="005051A8">
      <w:pPr>
        <w:pStyle w:val="Heading2"/>
      </w:pPr>
      <w:r w:rsidRPr="00D209BE">
        <w:t>Part II: 2020 CPT Coding Updates</w:t>
      </w:r>
    </w:p>
    <w:p w:rsidR="00D209BE" w:rsidRPr="00D209BE" w:rsidRDefault="00D209BE" w:rsidP="00D209BE">
      <w:pPr>
        <w:rPr>
          <w:rFonts w:ascii="Times New Roman" w:hAnsi="Times New Roman" w:cs="Times New Roman"/>
          <w:sz w:val="24"/>
          <w:szCs w:val="24"/>
        </w:rPr>
      </w:pPr>
    </w:p>
    <w:p w:rsidR="00D209BE" w:rsidRPr="00D209BE" w:rsidRDefault="00D209BE" w:rsidP="00D209BE">
      <w:pPr>
        <w:rPr>
          <w:rFonts w:ascii="Times New Roman" w:hAnsi="Times New Roman" w:cs="Times New Roman"/>
          <w:sz w:val="24"/>
          <w:szCs w:val="24"/>
        </w:rPr>
      </w:pPr>
      <w:r w:rsidRPr="00D209BE">
        <w:rPr>
          <w:rFonts w:ascii="Times New Roman" w:hAnsi="Times New Roman" w:cs="Times New Roman"/>
          <w:sz w:val="24"/>
          <w:szCs w:val="24"/>
        </w:rPr>
        <w:t xml:space="preserve">Pursuant to 101 CMR 320.01(4), the Executive Office of Health and Human Services </w:t>
      </w:r>
      <w:proofErr w:type="gramStart"/>
      <w:r w:rsidRPr="00D209BE">
        <w:rPr>
          <w:rFonts w:ascii="Times New Roman" w:hAnsi="Times New Roman" w:cs="Times New Roman"/>
          <w:sz w:val="24"/>
          <w:szCs w:val="24"/>
        </w:rPr>
        <w:t>is</w:t>
      </w:r>
      <w:proofErr w:type="gramEnd"/>
      <w:r w:rsidRPr="00D209BE">
        <w:rPr>
          <w:rFonts w:ascii="Times New Roman" w:hAnsi="Times New Roman" w:cs="Times New Roman"/>
          <w:sz w:val="24"/>
          <w:szCs w:val="24"/>
        </w:rPr>
        <w:t xml:space="preserve"> adding a new procedure code, effective for dates of service on and after November 10, 2020. As set forth in 101 CMR 320.01(4</w:t>
      </w:r>
      <w:proofErr w:type="gramStart"/>
      <w:r w:rsidRPr="00D209BE">
        <w:rPr>
          <w:rFonts w:ascii="Times New Roman" w:hAnsi="Times New Roman" w:cs="Times New Roman"/>
          <w:sz w:val="24"/>
          <w:szCs w:val="24"/>
        </w:rPr>
        <w:t>)(</w:t>
      </w:r>
      <w:proofErr w:type="gramEnd"/>
      <w:r w:rsidRPr="00D209BE">
        <w:rPr>
          <w:rFonts w:ascii="Times New Roman" w:hAnsi="Times New Roman" w:cs="Times New Roman"/>
          <w:sz w:val="24"/>
          <w:szCs w:val="24"/>
        </w:rPr>
        <w:t xml:space="preserve">c), the rates for newly added codes are calculated according to the rate methodology used in setting clinical laboratory rates. Added codes without Medicare fees are reimbursed at individual consideration (I.C.). Rates listed in this administrative bulletin are applicable until revised rates are issued by the EOHHS. </w:t>
      </w:r>
    </w:p>
    <w:p w:rsidR="00D209BE" w:rsidRDefault="00D209BE" w:rsidP="00D209BE">
      <w:pPr>
        <w:tabs>
          <w:tab w:val="left" w:pos="1440"/>
          <w:tab w:val="center" w:pos="4925"/>
        </w:tabs>
        <w:rPr>
          <w:rFonts w:ascii="Times New Roman" w:hAnsi="Times New Roman" w:cs="Times New Roman"/>
          <w:b/>
          <w:sz w:val="24"/>
          <w:szCs w:val="22"/>
          <w:u w:val="single"/>
        </w:rPr>
      </w:pPr>
    </w:p>
    <w:tbl>
      <w:tblPr>
        <w:tblStyle w:val="TableGrid"/>
        <w:tblW w:w="4948" w:type="pct"/>
        <w:tblInd w:w="108" w:type="dxa"/>
        <w:tblLook w:val="04A0" w:firstRow="1" w:lastRow="0" w:firstColumn="1" w:lastColumn="0" w:noHBand="0" w:noVBand="1"/>
      </w:tblPr>
      <w:tblGrid>
        <w:gridCol w:w="991"/>
        <w:gridCol w:w="2056"/>
        <w:gridCol w:w="1414"/>
        <w:gridCol w:w="5728"/>
      </w:tblGrid>
      <w:tr w:rsidR="001E325E" w:rsidRPr="0080177E" w:rsidTr="001E325E">
        <w:trPr>
          <w:trHeight w:val="62"/>
        </w:trPr>
        <w:tc>
          <w:tcPr>
            <w:tcW w:w="486" w:type="pct"/>
            <w:vAlign w:val="bottom"/>
          </w:tcPr>
          <w:p w:rsidR="001E325E" w:rsidRPr="001E325E" w:rsidRDefault="001E325E" w:rsidP="00843E66">
            <w:pPr>
              <w:jc w:val="center"/>
              <w:rPr>
                <w:rFonts w:ascii="Times New Roman" w:hAnsi="Times New Roman" w:cs="Times New Roman"/>
                <w:b/>
                <w:color w:val="000000"/>
                <w:sz w:val="24"/>
                <w:szCs w:val="24"/>
              </w:rPr>
            </w:pPr>
            <w:r w:rsidRPr="001E325E">
              <w:rPr>
                <w:rFonts w:ascii="Times New Roman" w:hAnsi="Times New Roman" w:cs="Times New Roman"/>
                <w:b/>
                <w:color w:val="000000"/>
                <w:sz w:val="24"/>
                <w:szCs w:val="24"/>
              </w:rPr>
              <w:t>Code</w:t>
            </w:r>
          </w:p>
        </w:tc>
        <w:tc>
          <w:tcPr>
            <w:tcW w:w="1009" w:type="pct"/>
            <w:vAlign w:val="bottom"/>
          </w:tcPr>
          <w:p w:rsidR="001E325E" w:rsidRPr="001E325E" w:rsidRDefault="001E325E" w:rsidP="00843E66">
            <w:pPr>
              <w:jc w:val="center"/>
              <w:rPr>
                <w:rFonts w:ascii="Times New Roman" w:hAnsi="Times New Roman" w:cs="Times New Roman"/>
                <w:b/>
                <w:color w:val="000000"/>
                <w:sz w:val="24"/>
                <w:szCs w:val="24"/>
              </w:rPr>
            </w:pPr>
            <w:r w:rsidRPr="001E325E">
              <w:rPr>
                <w:rFonts w:ascii="Times New Roman" w:hAnsi="Times New Roman" w:cs="Times New Roman"/>
                <w:b/>
                <w:color w:val="000000"/>
                <w:sz w:val="24"/>
                <w:szCs w:val="24"/>
              </w:rPr>
              <w:t>Change</w:t>
            </w:r>
          </w:p>
        </w:tc>
        <w:tc>
          <w:tcPr>
            <w:tcW w:w="694" w:type="pct"/>
            <w:vAlign w:val="bottom"/>
          </w:tcPr>
          <w:p w:rsidR="001E325E" w:rsidRPr="001E325E" w:rsidRDefault="001E325E" w:rsidP="00843E66">
            <w:pPr>
              <w:jc w:val="center"/>
              <w:rPr>
                <w:rFonts w:ascii="Times New Roman" w:hAnsi="Times New Roman" w:cs="Times New Roman"/>
                <w:b/>
                <w:sz w:val="24"/>
                <w:szCs w:val="24"/>
              </w:rPr>
            </w:pPr>
            <w:r w:rsidRPr="001E325E">
              <w:rPr>
                <w:rFonts w:ascii="Times New Roman" w:hAnsi="Times New Roman" w:cs="Times New Roman"/>
                <w:b/>
                <w:sz w:val="24"/>
                <w:szCs w:val="24"/>
              </w:rPr>
              <w:t>Rate</w:t>
            </w:r>
          </w:p>
        </w:tc>
        <w:tc>
          <w:tcPr>
            <w:tcW w:w="2811" w:type="pct"/>
            <w:tcBorders>
              <w:top w:val="single" w:sz="4" w:space="0" w:color="auto"/>
              <w:left w:val="nil"/>
              <w:bottom w:val="single" w:sz="4" w:space="0" w:color="auto"/>
              <w:right w:val="single" w:sz="4" w:space="0" w:color="auto"/>
            </w:tcBorders>
            <w:shd w:val="clear" w:color="auto" w:fill="auto"/>
            <w:vAlign w:val="bottom"/>
          </w:tcPr>
          <w:p w:rsidR="001E325E" w:rsidRPr="001E325E" w:rsidRDefault="001E325E" w:rsidP="00843E66">
            <w:pPr>
              <w:jc w:val="center"/>
              <w:rPr>
                <w:rFonts w:ascii="Times New Roman" w:hAnsi="Times New Roman" w:cs="Times New Roman"/>
                <w:b/>
                <w:color w:val="000000"/>
                <w:sz w:val="24"/>
                <w:szCs w:val="24"/>
              </w:rPr>
            </w:pPr>
            <w:r w:rsidRPr="001E325E">
              <w:rPr>
                <w:rFonts w:ascii="Times New Roman" w:hAnsi="Times New Roman" w:cs="Times New Roman"/>
                <w:b/>
                <w:color w:val="000000"/>
                <w:sz w:val="24"/>
                <w:szCs w:val="24"/>
              </w:rPr>
              <w:t>Code Description</w:t>
            </w:r>
          </w:p>
        </w:tc>
      </w:tr>
      <w:tr w:rsidR="001E325E" w:rsidRPr="0080177E" w:rsidTr="001E325E">
        <w:trPr>
          <w:trHeight w:val="1270"/>
        </w:trPr>
        <w:tc>
          <w:tcPr>
            <w:tcW w:w="486" w:type="pct"/>
            <w:hideMark/>
          </w:tcPr>
          <w:p w:rsidR="001E325E" w:rsidRPr="001E325E" w:rsidRDefault="001E325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87428</w:t>
            </w:r>
          </w:p>
        </w:tc>
        <w:tc>
          <w:tcPr>
            <w:tcW w:w="1009" w:type="pct"/>
          </w:tcPr>
          <w:p w:rsidR="001E325E" w:rsidRPr="001E325E" w:rsidRDefault="001E325E" w:rsidP="001B613B">
            <w:pPr>
              <w:jc w:val="center"/>
              <w:rPr>
                <w:rFonts w:ascii="Times New Roman" w:hAnsi="Times New Roman" w:cs="Times New Roman"/>
                <w:color w:val="000000"/>
                <w:sz w:val="24"/>
                <w:szCs w:val="24"/>
              </w:rPr>
            </w:pPr>
            <w:r w:rsidRPr="001E325E">
              <w:rPr>
                <w:rFonts w:ascii="Times New Roman" w:hAnsi="Times New Roman" w:cs="Times New Roman"/>
                <w:color w:val="000000"/>
                <w:sz w:val="24"/>
                <w:szCs w:val="24"/>
              </w:rPr>
              <w:t>Addition</w:t>
            </w:r>
          </w:p>
        </w:tc>
        <w:tc>
          <w:tcPr>
            <w:tcW w:w="694" w:type="pct"/>
          </w:tcPr>
          <w:p w:rsidR="001E325E" w:rsidRPr="001E325E" w:rsidRDefault="001E325E" w:rsidP="003059F7">
            <w:pPr>
              <w:jc w:val="center"/>
              <w:rPr>
                <w:rFonts w:ascii="Times New Roman" w:hAnsi="Times New Roman" w:cs="Times New Roman"/>
                <w:color w:val="000000"/>
                <w:sz w:val="24"/>
                <w:szCs w:val="24"/>
              </w:rPr>
            </w:pPr>
            <w:r w:rsidRPr="001E325E">
              <w:rPr>
                <w:rFonts w:ascii="Times New Roman" w:hAnsi="Times New Roman" w:cs="Times New Roman"/>
                <w:sz w:val="24"/>
                <w:szCs w:val="24"/>
              </w:rPr>
              <w:t>I.C.</w:t>
            </w:r>
          </w:p>
        </w:tc>
        <w:tc>
          <w:tcPr>
            <w:tcW w:w="2811" w:type="pct"/>
            <w:tcBorders>
              <w:top w:val="single" w:sz="4" w:space="0" w:color="auto"/>
              <w:left w:val="nil"/>
              <w:bottom w:val="single" w:sz="4" w:space="0" w:color="auto"/>
              <w:right w:val="single" w:sz="4" w:space="0" w:color="auto"/>
            </w:tcBorders>
            <w:shd w:val="clear" w:color="auto" w:fill="auto"/>
            <w:vAlign w:val="bottom"/>
          </w:tcPr>
          <w:p w:rsidR="001E325E" w:rsidRPr="001E325E" w:rsidRDefault="001E325E" w:rsidP="00843E66">
            <w:pPr>
              <w:rPr>
                <w:rFonts w:ascii="Times New Roman" w:hAnsi="Times New Roman" w:cs="Times New Roman"/>
                <w:color w:val="000000"/>
                <w:sz w:val="24"/>
                <w:szCs w:val="24"/>
              </w:rPr>
            </w:pPr>
            <w:r w:rsidRPr="001E325E">
              <w:rPr>
                <w:rFonts w:ascii="Times New Roman" w:hAnsi="Times New Roman" w:cs="Times New Roman"/>
                <w:color w:val="000000"/>
                <w:sz w:val="24"/>
                <w:szCs w:val="24"/>
              </w:rPr>
              <w:t>Infectious agent antigen detection by immunoassay technique, (</w:t>
            </w:r>
            <w:r w:rsidR="00EC3F39" w:rsidRPr="00924F7C">
              <w:rPr>
                <w:rFonts w:ascii="Times New Roman" w:hAnsi="Times New Roman" w:cs="Times New Roman"/>
                <w:i/>
                <w:color w:val="000000"/>
                <w:sz w:val="24"/>
                <w:szCs w:val="24"/>
              </w:rPr>
              <w:t>e.g</w:t>
            </w:r>
            <w:r w:rsidR="00EC3F39">
              <w:rPr>
                <w:rFonts w:ascii="Times New Roman" w:hAnsi="Times New Roman" w:cs="Times New Roman"/>
                <w:color w:val="000000"/>
                <w:sz w:val="24"/>
                <w:szCs w:val="24"/>
              </w:rPr>
              <w:t>.</w:t>
            </w:r>
            <w:r w:rsidRPr="001E325E">
              <w:rPr>
                <w:rFonts w:ascii="Times New Roman" w:hAnsi="Times New Roman" w:cs="Times New Roman"/>
                <w:color w:val="000000"/>
                <w:sz w:val="24"/>
                <w:szCs w:val="24"/>
              </w:rPr>
              <w:t>, enzyme immunoassay [</w:t>
            </w:r>
            <w:r w:rsidR="00ED0E2B">
              <w:rPr>
                <w:rFonts w:ascii="Times New Roman" w:hAnsi="Times New Roman" w:cs="Times New Roman"/>
                <w:color w:val="000000"/>
                <w:sz w:val="24"/>
                <w:szCs w:val="24"/>
              </w:rPr>
              <w:t>EIA</w:t>
            </w:r>
            <w:r w:rsidRPr="001E325E">
              <w:rPr>
                <w:rFonts w:ascii="Times New Roman" w:hAnsi="Times New Roman" w:cs="Times New Roman"/>
                <w:color w:val="000000"/>
                <w:sz w:val="24"/>
                <w:szCs w:val="24"/>
              </w:rPr>
              <w:t>], enzyme-linked immunosorbent assay [</w:t>
            </w:r>
            <w:r w:rsidR="00ED0E2B">
              <w:rPr>
                <w:rFonts w:ascii="Times New Roman" w:hAnsi="Times New Roman" w:cs="Times New Roman"/>
                <w:color w:val="000000"/>
                <w:sz w:val="24"/>
                <w:szCs w:val="24"/>
              </w:rPr>
              <w:t>ELISA</w:t>
            </w:r>
            <w:r w:rsidRPr="001E325E">
              <w:rPr>
                <w:rFonts w:ascii="Times New Roman" w:hAnsi="Times New Roman" w:cs="Times New Roman"/>
                <w:color w:val="000000"/>
                <w:sz w:val="24"/>
                <w:szCs w:val="24"/>
              </w:rPr>
              <w:t>], fluorescence immunoassay [</w:t>
            </w:r>
            <w:r w:rsidR="00ED0E2B">
              <w:rPr>
                <w:rFonts w:ascii="Times New Roman" w:hAnsi="Times New Roman" w:cs="Times New Roman"/>
                <w:color w:val="000000"/>
                <w:sz w:val="24"/>
                <w:szCs w:val="24"/>
              </w:rPr>
              <w:t>FIA</w:t>
            </w:r>
            <w:r w:rsidRPr="001E325E">
              <w:rPr>
                <w:rFonts w:ascii="Times New Roman" w:hAnsi="Times New Roman" w:cs="Times New Roman"/>
                <w:color w:val="000000"/>
                <w:sz w:val="24"/>
                <w:szCs w:val="24"/>
              </w:rPr>
              <w:t xml:space="preserve">], </w:t>
            </w:r>
            <w:proofErr w:type="spellStart"/>
            <w:r w:rsidRPr="001E325E">
              <w:rPr>
                <w:rFonts w:ascii="Times New Roman" w:hAnsi="Times New Roman" w:cs="Times New Roman"/>
                <w:color w:val="000000"/>
                <w:sz w:val="24"/>
                <w:szCs w:val="24"/>
              </w:rPr>
              <w:t>immunochemiluminometric</w:t>
            </w:r>
            <w:proofErr w:type="spellEnd"/>
            <w:r w:rsidRPr="001E325E">
              <w:rPr>
                <w:rFonts w:ascii="Times New Roman" w:hAnsi="Times New Roman" w:cs="Times New Roman"/>
                <w:color w:val="000000"/>
                <w:sz w:val="24"/>
                <w:szCs w:val="24"/>
              </w:rPr>
              <w:t xml:space="preserve"> assay [</w:t>
            </w:r>
            <w:r w:rsidR="00ED0E2B">
              <w:rPr>
                <w:rFonts w:ascii="Times New Roman" w:hAnsi="Times New Roman" w:cs="Times New Roman"/>
                <w:color w:val="000000"/>
                <w:sz w:val="24"/>
                <w:szCs w:val="24"/>
              </w:rPr>
              <w:t>IMCA</w:t>
            </w:r>
            <w:r w:rsidRPr="001E325E">
              <w:rPr>
                <w:rFonts w:ascii="Times New Roman" w:hAnsi="Times New Roman" w:cs="Times New Roman"/>
                <w:color w:val="000000"/>
                <w:sz w:val="24"/>
                <w:szCs w:val="24"/>
              </w:rPr>
              <w:t xml:space="preserve">]) qualitative or </w:t>
            </w:r>
            <w:proofErr w:type="spellStart"/>
            <w:r w:rsidRPr="001E325E">
              <w:rPr>
                <w:rFonts w:ascii="Times New Roman" w:hAnsi="Times New Roman" w:cs="Times New Roman"/>
                <w:color w:val="000000"/>
                <w:sz w:val="24"/>
                <w:szCs w:val="24"/>
              </w:rPr>
              <w:t>semiquantitative</w:t>
            </w:r>
            <w:proofErr w:type="spellEnd"/>
            <w:r w:rsidRPr="001E325E">
              <w:rPr>
                <w:rFonts w:ascii="Times New Roman" w:hAnsi="Times New Roman" w:cs="Times New Roman"/>
                <w:color w:val="000000"/>
                <w:sz w:val="24"/>
                <w:szCs w:val="24"/>
              </w:rPr>
              <w:t>; severe acute respiratory syndrome coronavirus (</w:t>
            </w:r>
            <w:r w:rsidR="00EC3F39" w:rsidRPr="00924F7C">
              <w:rPr>
                <w:rFonts w:ascii="Times New Roman" w:hAnsi="Times New Roman" w:cs="Times New Roman"/>
                <w:i/>
                <w:color w:val="000000"/>
                <w:sz w:val="24"/>
                <w:szCs w:val="24"/>
              </w:rPr>
              <w:t>e.g</w:t>
            </w:r>
            <w:r w:rsidR="00EC3F39">
              <w:rPr>
                <w:rFonts w:ascii="Times New Roman" w:hAnsi="Times New Roman" w:cs="Times New Roman"/>
                <w:color w:val="000000"/>
                <w:sz w:val="24"/>
                <w:szCs w:val="24"/>
              </w:rPr>
              <w:t>.</w:t>
            </w:r>
            <w:r w:rsidRPr="001E325E">
              <w:rPr>
                <w:rFonts w:ascii="Times New Roman" w:hAnsi="Times New Roman" w:cs="Times New Roman"/>
                <w:color w:val="000000"/>
                <w:sz w:val="24"/>
                <w:szCs w:val="24"/>
              </w:rPr>
              <w:t xml:space="preserve">, </w:t>
            </w:r>
            <w:r w:rsidR="00ED0E2B">
              <w:rPr>
                <w:rFonts w:ascii="Times New Roman" w:hAnsi="Times New Roman" w:cs="Times New Roman"/>
                <w:color w:val="000000"/>
                <w:sz w:val="24"/>
                <w:szCs w:val="24"/>
              </w:rPr>
              <w:t>SARS-</w:t>
            </w:r>
            <w:proofErr w:type="spellStart"/>
            <w:r w:rsidR="00ED0E2B">
              <w:rPr>
                <w:rFonts w:ascii="Times New Roman" w:hAnsi="Times New Roman" w:cs="Times New Roman"/>
                <w:color w:val="000000"/>
                <w:sz w:val="24"/>
                <w:szCs w:val="24"/>
              </w:rPr>
              <w:t>CoV</w:t>
            </w:r>
            <w:proofErr w:type="spellEnd"/>
            <w:r w:rsidRPr="001E325E">
              <w:rPr>
                <w:rFonts w:ascii="Times New Roman" w:hAnsi="Times New Roman" w:cs="Times New Roman"/>
                <w:color w:val="000000"/>
                <w:sz w:val="24"/>
                <w:szCs w:val="24"/>
              </w:rPr>
              <w:t xml:space="preserve">, </w:t>
            </w:r>
            <w:r w:rsidR="00ED0E2B">
              <w:rPr>
                <w:rFonts w:ascii="Times New Roman" w:hAnsi="Times New Roman" w:cs="Times New Roman"/>
                <w:color w:val="000000"/>
                <w:sz w:val="24"/>
                <w:szCs w:val="24"/>
              </w:rPr>
              <w:t>SARS-CoV</w:t>
            </w:r>
            <w:r w:rsidRPr="001E325E">
              <w:rPr>
                <w:rFonts w:ascii="Times New Roman" w:hAnsi="Times New Roman" w:cs="Times New Roman"/>
                <w:color w:val="000000"/>
                <w:sz w:val="24"/>
                <w:szCs w:val="24"/>
              </w:rPr>
              <w:t>-2 [</w:t>
            </w:r>
            <w:r w:rsidR="00ED0E2B">
              <w:rPr>
                <w:rFonts w:ascii="Times New Roman" w:hAnsi="Times New Roman" w:cs="Times New Roman"/>
                <w:color w:val="000000"/>
                <w:sz w:val="24"/>
                <w:szCs w:val="24"/>
              </w:rPr>
              <w:t>COVID</w:t>
            </w:r>
            <w:r w:rsidRPr="001E325E">
              <w:rPr>
                <w:rFonts w:ascii="Times New Roman" w:hAnsi="Times New Roman" w:cs="Times New Roman"/>
                <w:color w:val="000000"/>
                <w:sz w:val="24"/>
                <w:szCs w:val="24"/>
              </w:rPr>
              <w:t xml:space="preserve">-19]) and influenza virus types </w:t>
            </w:r>
            <w:r w:rsidR="00AA0F2D">
              <w:rPr>
                <w:rFonts w:ascii="Times New Roman" w:hAnsi="Times New Roman" w:cs="Times New Roman"/>
                <w:color w:val="000000"/>
                <w:sz w:val="24"/>
                <w:szCs w:val="24"/>
              </w:rPr>
              <w:t>A</w:t>
            </w:r>
            <w:r w:rsidRPr="001E325E">
              <w:rPr>
                <w:rFonts w:ascii="Times New Roman" w:hAnsi="Times New Roman" w:cs="Times New Roman"/>
                <w:color w:val="000000"/>
                <w:sz w:val="24"/>
                <w:szCs w:val="24"/>
              </w:rPr>
              <w:t xml:space="preserve"> and </w:t>
            </w:r>
            <w:r w:rsidR="00AA0F2D">
              <w:rPr>
                <w:rFonts w:ascii="Times New Roman" w:hAnsi="Times New Roman" w:cs="Times New Roman"/>
                <w:color w:val="000000"/>
                <w:sz w:val="24"/>
                <w:szCs w:val="24"/>
              </w:rPr>
              <w:t>B</w:t>
            </w:r>
          </w:p>
        </w:tc>
      </w:tr>
    </w:tbl>
    <w:p w:rsidR="00D209BE" w:rsidRDefault="00D209BE" w:rsidP="00962923">
      <w:pPr>
        <w:tabs>
          <w:tab w:val="left" w:pos="1440"/>
          <w:tab w:val="center" w:pos="4925"/>
        </w:tabs>
        <w:rPr>
          <w:rFonts w:ascii="Times New Roman" w:hAnsi="Times New Roman" w:cs="Times New Roman"/>
          <w:sz w:val="24"/>
          <w:szCs w:val="24"/>
        </w:rPr>
      </w:pPr>
    </w:p>
    <w:sectPr w:rsidR="00D209BE" w:rsidSect="003A352C">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4419F">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14:anchorId="3605A9AC" wp14:editId="124AF04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75203"/>
    <w:rsid w:val="000D1437"/>
    <w:rsid w:val="000E02D6"/>
    <w:rsid w:val="000F2FB3"/>
    <w:rsid w:val="001066DC"/>
    <w:rsid w:val="0011159B"/>
    <w:rsid w:val="001145CC"/>
    <w:rsid w:val="0014797B"/>
    <w:rsid w:val="00151378"/>
    <w:rsid w:val="00170C17"/>
    <w:rsid w:val="00186186"/>
    <w:rsid w:val="001A4FFD"/>
    <w:rsid w:val="001B1E05"/>
    <w:rsid w:val="001B3F94"/>
    <w:rsid w:val="001B613B"/>
    <w:rsid w:val="001C3CAB"/>
    <w:rsid w:val="001D1A13"/>
    <w:rsid w:val="001E325E"/>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59F7"/>
    <w:rsid w:val="00306619"/>
    <w:rsid w:val="00311FEC"/>
    <w:rsid w:val="00321E6E"/>
    <w:rsid w:val="00330313"/>
    <w:rsid w:val="00337EFA"/>
    <w:rsid w:val="00384A58"/>
    <w:rsid w:val="00386BCD"/>
    <w:rsid w:val="00395400"/>
    <w:rsid w:val="003A352C"/>
    <w:rsid w:val="003C2E3A"/>
    <w:rsid w:val="003C770E"/>
    <w:rsid w:val="003D6EEC"/>
    <w:rsid w:val="004016AD"/>
    <w:rsid w:val="0044419F"/>
    <w:rsid w:val="00460463"/>
    <w:rsid w:val="00466B35"/>
    <w:rsid w:val="0047119B"/>
    <w:rsid w:val="004B2B19"/>
    <w:rsid w:val="004B6AAF"/>
    <w:rsid w:val="005049C6"/>
    <w:rsid w:val="005051A8"/>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B72B0"/>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4F7C"/>
    <w:rsid w:val="009271D7"/>
    <w:rsid w:val="0093212C"/>
    <w:rsid w:val="0093489F"/>
    <w:rsid w:val="00947481"/>
    <w:rsid w:val="00951C89"/>
    <w:rsid w:val="00955834"/>
    <w:rsid w:val="00960FD3"/>
    <w:rsid w:val="00961654"/>
    <w:rsid w:val="00962923"/>
    <w:rsid w:val="00980B8C"/>
    <w:rsid w:val="00983941"/>
    <w:rsid w:val="0099568A"/>
    <w:rsid w:val="0099721B"/>
    <w:rsid w:val="00997297"/>
    <w:rsid w:val="009A0800"/>
    <w:rsid w:val="009B5726"/>
    <w:rsid w:val="009C54E9"/>
    <w:rsid w:val="009E5F63"/>
    <w:rsid w:val="009E7BED"/>
    <w:rsid w:val="009F243C"/>
    <w:rsid w:val="009F77FD"/>
    <w:rsid w:val="009F7DCC"/>
    <w:rsid w:val="00A152D4"/>
    <w:rsid w:val="00A20582"/>
    <w:rsid w:val="00A32FEA"/>
    <w:rsid w:val="00A42891"/>
    <w:rsid w:val="00A52D97"/>
    <w:rsid w:val="00A77971"/>
    <w:rsid w:val="00A934F9"/>
    <w:rsid w:val="00AA0F2D"/>
    <w:rsid w:val="00AA115F"/>
    <w:rsid w:val="00AB0061"/>
    <w:rsid w:val="00AB687F"/>
    <w:rsid w:val="00AB721E"/>
    <w:rsid w:val="00AD6895"/>
    <w:rsid w:val="00AE0DA5"/>
    <w:rsid w:val="00AE1172"/>
    <w:rsid w:val="00AE3401"/>
    <w:rsid w:val="00AE64ED"/>
    <w:rsid w:val="00AF0179"/>
    <w:rsid w:val="00B11E56"/>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09BE"/>
    <w:rsid w:val="00D214F0"/>
    <w:rsid w:val="00D2459B"/>
    <w:rsid w:val="00D662FA"/>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EC3F39"/>
    <w:rsid w:val="00ED0E2B"/>
    <w:rsid w:val="00F0626C"/>
    <w:rsid w:val="00F243E6"/>
    <w:rsid w:val="00F27557"/>
    <w:rsid w:val="00F32956"/>
    <w:rsid w:val="00F34242"/>
    <w:rsid w:val="00F577D6"/>
    <w:rsid w:val="00F65CA3"/>
    <w:rsid w:val="00F8017E"/>
    <w:rsid w:val="00F87454"/>
    <w:rsid w:val="00FB1E33"/>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5051A8"/>
    <w:pPr>
      <w:autoSpaceDE w:val="0"/>
      <w:autoSpaceDN w:val="0"/>
      <w:adjustRightInd w:val="0"/>
      <w:ind w:right="-720"/>
      <w:outlineLvl w:val="1"/>
    </w:pPr>
    <w:rPr>
      <w:rFonts w:ascii="Times New Roman" w:hAnsi="Times New Roman" w:cs="Times New Roman"/>
      <w:b/>
      <w:sz w:val="24"/>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ListParagraph">
    <w:name w:val="List Paragraph"/>
    <w:basedOn w:val="Normal"/>
    <w:uiPriority w:val="34"/>
    <w:qFormat/>
    <w:rsid w:val="006B72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5051A8"/>
    <w:pPr>
      <w:autoSpaceDE w:val="0"/>
      <w:autoSpaceDN w:val="0"/>
      <w:adjustRightInd w:val="0"/>
      <w:ind w:right="-720"/>
      <w:outlineLvl w:val="1"/>
    </w:pPr>
    <w:rPr>
      <w:rFonts w:ascii="Times New Roman" w:hAnsi="Times New Roman" w:cs="Times New Roman"/>
      <w:b/>
      <w:sz w:val="24"/>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ListParagraph">
    <w:name w:val="List Paragraph"/>
    <w:basedOn w:val="Normal"/>
    <w:uiPriority w:val="34"/>
    <w:qFormat/>
    <w:rsid w:val="006B7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39DE-0B61-46C0-8826-1D664621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5256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2021-03-04T16:01:00Z</cp:lastPrinted>
  <dcterms:created xsi:type="dcterms:W3CDTF">2021-04-01T13:54:00Z</dcterms:created>
  <dcterms:modified xsi:type="dcterms:W3CDTF">2021-04-01T13:54:00Z</dcterms:modified>
</cp:coreProperties>
</file>