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DB40" w14:textId="77777777" w:rsidR="007802E3" w:rsidRPr="00C4145B" w:rsidRDefault="00C4145B" w:rsidP="00C4145B">
      <w:pPr>
        <w:ind w:left="-1080"/>
      </w:pPr>
      <w:r>
        <w:rPr>
          <w:noProof/>
        </w:rPr>
        <w:drawing>
          <wp:inline distT="0" distB="0" distL="0" distR="0" wp14:anchorId="70213040" wp14:editId="4444F3F9">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44B20B67" w14:textId="025A8C82" w:rsidR="007D5819" w:rsidRPr="00F977AE" w:rsidRDefault="007D5819" w:rsidP="00C45A45">
      <w:pPr>
        <w:pStyle w:val="Heading1"/>
      </w:pPr>
      <w:r w:rsidRPr="00F977AE">
        <w:t xml:space="preserve">Administrative Bulletin </w:t>
      </w:r>
      <w:r w:rsidR="00A87B1D" w:rsidRPr="00F977AE">
        <w:t>22</w:t>
      </w:r>
      <w:r w:rsidR="00955834" w:rsidRPr="00F977AE">
        <w:t>-</w:t>
      </w:r>
      <w:r w:rsidR="004C5270" w:rsidRPr="00F977AE">
        <w:t>10</w:t>
      </w:r>
    </w:p>
    <w:p w14:paraId="7D6C507F" w14:textId="77777777" w:rsidR="007D5819" w:rsidRPr="00F977AE" w:rsidRDefault="007D5819" w:rsidP="007D5819">
      <w:pPr>
        <w:tabs>
          <w:tab w:val="center" w:pos="4950"/>
        </w:tabs>
        <w:jc w:val="center"/>
        <w:rPr>
          <w:rFonts w:ascii="Times New Roman" w:eastAsia="Calibri" w:hAnsi="Times New Roman" w:cs="Times New Roman"/>
          <w:b/>
          <w:szCs w:val="22"/>
        </w:rPr>
      </w:pPr>
    </w:p>
    <w:p w14:paraId="2EB8775A" w14:textId="77777777" w:rsidR="00A87B1D" w:rsidRPr="00F977AE" w:rsidRDefault="00A87B1D" w:rsidP="00A87B1D">
      <w:pPr>
        <w:jc w:val="center"/>
        <w:rPr>
          <w:rFonts w:ascii="Times New Roman" w:eastAsia="Calibri" w:hAnsi="Times New Roman" w:cs="Times New Roman"/>
          <w:b/>
          <w:szCs w:val="22"/>
        </w:rPr>
      </w:pPr>
      <w:r w:rsidRPr="00F977AE">
        <w:rPr>
          <w:rFonts w:ascii="Times New Roman" w:eastAsia="Calibri" w:hAnsi="Times New Roman" w:cs="Times New Roman"/>
          <w:b/>
          <w:szCs w:val="22"/>
        </w:rPr>
        <w:t>101 CMR 320.00:  Clinical Laboratory Services</w:t>
      </w:r>
    </w:p>
    <w:p w14:paraId="75C77150" w14:textId="77777777" w:rsidR="00A87B1D" w:rsidRPr="00F977AE" w:rsidRDefault="00A87B1D" w:rsidP="00A87B1D">
      <w:pPr>
        <w:jc w:val="center"/>
        <w:rPr>
          <w:b/>
          <w:color w:val="000000" w:themeColor="text1"/>
          <w:szCs w:val="22"/>
        </w:rPr>
      </w:pPr>
    </w:p>
    <w:p w14:paraId="7F52FE0C" w14:textId="77777777" w:rsidR="00A87B1D" w:rsidRPr="00F977AE" w:rsidRDefault="00A87B1D" w:rsidP="00A87B1D">
      <w:pPr>
        <w:spacing w:after="240"/>
        <w:jc w:val="center"/>
        <w:rPr>
          <w:rFonts w:ascii="Times New Roman" w:eastAsia="Calibri" w:hAnsi="Times New Roman" w:cs="Times New Roman"/>
          <w:color w:val="000000" w:themeColor="text1"/>
          <w:szCs w:val="22"/>
        </w:rPr>
      </w:pPr>
      <w:r w:rsidRPr="00F977AE">
        <w:rPr>
          <w:rFonts w:ascii="Times New Roman" w:eastAsia="Calibri" w:hAnsi="Times New Roman" w:cs="Times New Roman"/>
          <w:color w:val="000000" w:themeColor="text1"/>
          <w:szCs w:val="22"/>
        </w:rPr>
        <w:t>Effective January 1, 2022</w:t>
      </w:r>
    </w:p>
    <w:p w14:paraId="2DE91975" w14:textId="77777777" w:rsidR="00A87B1D" w:rsidRPr="00F977AE" w:rsidRDefault="00A87B1D" w:rsidP="00A87B1D">
      <w:pPr>
        <w:autoSpaceDE w:val="0"/>
        <w:autoSpaceDN w:val="0"/>
        <w:adjustRightInd w:val="0"/>
        <w:ind w:right="-720"/>
        <w:jc w:val="center"/>
        <w:rPr>
          <w:rFonts w:ascii="Times New Roman" w:hAnsi="Times New Roman" w:cs="Times New Roman"/>
          <w:b/>
          <w:szCs w:val="22"/>
        </w:rPr>
      </w:pPr>
      <w:r w:rsidRPr="00F977AE">
        <w:rPr>
          <w:rFonts w:ascii="Times New Roman" w:hAnsi="Times New Roman"/>
          <w:b/>
          <w:szCs w:val="22"/>
        </w:rPr>
        <w:t>2022 CPT Procedure Code Update</w:t>
      </w:r>
    </w:p>
    <w:p w14:paraId="7A7811E3" w14:textId="1278B181" w:rsidR="007D5819" w:rsidRPr="00A87B1D" w:rsidRDefault="00A87B1D" w:rsidP="00A87B1D">
      <w:pPr>
        <w:pStyle w:val="Heading2"/>
      </w:pPr>
      <w:r w:rsidRPr="00A87B1D">
        <w:t>Background</w:t>
      </w:r>
    </w:p>
    <w:p w14:paraId="30F8A3AD" w14:textId="77777777" w:rsidR="00A87B1D" w:rsidRPr="00A87B1D" w:rsidRDefault="00A87B1D" w:rsidP="00A87B1D">
      <w:pPr>
        <w:rPr>
          <w:rFonts w:ascii="Times New Roman" w:hAnsi="Times New Roman" w:cs="Times New Roman"/>
          <w:szCs w:val="22"/>
        </w:rPr>
      </w:pPr>
      <w:r w:rsidRPr="00A87B1D">
        <w:rPr>
          <w:rFonts w:ascii="Times New Roman" w:hAnsi="Times New Roman" w:cs="Times New Roman"/>
          <w:szCs w:val="22"/>
        </w:rPr>
        <w:t xml:space="preserve">Pursuant to 101 CMR 320.01(4), the Executive Office of Health and Human Services (EOHHS) is adding new procedure codes and deleting outdated codes, effective for dates of service on and after January 1, 2022. As set forth in 101 CMR 320.01(4)(c) and 101 CMR 320.03(3), the rates for newly added codes </w:t>
      </w:r>
      <w:bookmarkStart w:id="0" w:name="_Hlk33538529"/>
      <w:r w:rsidRPr="00A87B1D">
        <w:rPr>
          <w:rFonts w:ascii="Times New Roman" w:hAnsi="Times New Roman" w:cs="Times New Roman"/>
          <w:szCs w:val="22"/>
        </w:rPr>
        <w:t>are calculated according to the rate methodology used in setting clinical laboratory rates</w:t>
      </w:r>
      <w:bookmarkEnd w:id="0"/>
      <w:r w:rsidRPr="00A87B1D">
        <w:rPr>
          <w:rFonts w:ascii="Times New Roman" w:hAnsi="Times New Roman" w:cs="Times New Roman"/>
          <w:szCs w:val="22"/>
        </w:rPr>
        <w:t xml:space="preserve">. Rates listed in this administrative bulletin are applicable until revised rates are issued by EOHHS. Deleted codes are not available for use for dates of service </w:t>
      </w:r>
      <w:r w:rsidRPr="00A87B1D">
        <w:rPr>
          <w:rFonts w:ascii="Times New Roman" w:hAnsi="Times New Roman" w:cs="Times New Roman"/>
          <w:color w:val="000000" w:themeColor="text1"/>
          <w:szCs w:val="22"/>
        </w:rPr>
        <w:t xml:space="preserve">after </w:t>
      </w:r>
      <w:r w:rsidRPr="00A87B1D">
        <w:rPr>
          <w:rFonts w:ascii="Times New Roman" w:hAnsi="Times New Roman" w:cs="Times New Roman"/>
          <w:szCs w:val="22"/>
        </w:rPr>
        <w:t>December 31, 2021.</w:t>
      </w:r>
    </w:p>
    <w:p w14:paraId="4DABEAA8" w14:textId="77777777" w:rsidR="00A87B1D" w:rsidRDefault="00A87B1D" w:rsidP="00A87B1D">
      <w:pPr>
        <w:tabs>
          <w:tab w:val="left" w:pos="1440"/>
          <w:tab w:val="center" w:pos="4925"/>
        </w:tabs>
        <w:rPr>
          <w:rFonts w:ascii="Times New Roman" w:hAnsi="Times New Roman" w:cs="Times New Roman"/>
          <w:sz w:val="24"/>
          <w:szCs w:val="24"/>
        </w:rPr>
      </w:pPr>
    </w:p>
    <w:p w14:paraId="189C9BD6" w14:textId="28E83614" w:rsidR="00A87B1D" w:rsidRDefault="00A87B1D" w:rsidP="00A87B1D">
      <w:pPr>
        <w:pStyle w:val="Heading2"/>
        <w:rPr>
          <w:sz w:val="24"/>
          <w:szCs w:val="24"/>
        </w:rPr>
      </w:pPr>
      <w:r w:rsidRPr="00804AF8">
        <w:t>Added Codes</w:t>
      </w:r>
    </w:p>
    <w:tbl>
      <w:tblPr>
        <w:tblStyle w:val="TableGrid"/>
        <w:tblW w:w="5139" w:type="pct"/>
        <w:tblInd w:w="-5" w:type="dxa"/>
        <w:tblLayout w:type="fixed"/>
        <w:tblCellMar>
          <w:left w:w="115" w:type="dxa"/>
          <w:right w:w="115" w:type="dxa"/>
        </w:tblCellMar>
        <w:tblLook w:val="01E0" w:firstRow="1" w:lastRow="1" w:firstColumn="1" w:lastColumn="1" w:noHBand="0" w:noVBand="0"/>
        <w:tblCaption w:val="Table of  Procedure Code Updates"/>
        <w:tblDescription w:val="The changes, effective January 1, 2019."/>
      </w:tblPr>
      <w:tblGrid>
        <w:gridCol w:w="950"/>
        <w:gridCol w:w="3459"/>
        <w:gridCol w:w="5941"/>
      </w:tblGrid>
      <w:tr w:rsidR="00A87B1D" w:rsidRPr="001B268D" w14:paraId="6D972733" w14:textId="77777777" w:rsidTr="00FD2E58">
        <w:trPr>
          <w:cantSplit/>
          <w:trHeight w:val="170"/>
          <w:tblHeader/>
        </w:trPr>
        <w:tc>
          <w:tcPr>
            <w:tcW w:w="459" w:type="pct"/>
            <w:tcMar>
              <w:top w:w="43" w:type="dxa"/>
              <w:left w:w="115" w:type="dxa"/>
              <w:bottom w:w="43" w:type="dxa"/>
              <w:right w:w="115" w:type="dxa"/>
            </w:tcMar>
          </w:tcPr>
          <w:p w14:paraId="4B131C89" w14:textId="77777777" w:rsidR="00A87B1D" w:rsidRPr="00A87B1D" w:rsidRDefault="00A87B1D" w:rsidP="00163E15">
            <w:pPr>
              <w:contextualSpacing/>
              <w:jc w:val="center"/>
              <w:rPr>
                <w:rFonts w:ascii="Times New Roman" w:hAnsi="Times New Roman" w:cs="Times New Roman"/>
                <w:b/>
                <w:szCs w:val="22"/>
              </w:rPr>
            </w:pPr>
            <w:r w:rsidRPr="00A87B1D">
              <w:rPr>
                <w:rFonts w:ascii="Times New Roman" w:hAnsi="Times New Roman" w:cs="Times New Roman"/>
                <w:b/>
                <w:szCs w:val="22"/>
              </w:rPr>
              <w:t>Code</w:t>
            </w:r>
          </w:p>
        </w:tc>
        <w:tc>
          <w:tcPr>
            <w:tcW w:w="1671" w:type="pct"/>
            <w:tcMar>
              <w:top w:w="43" w:type="dxa"/>
              <w:left w:w="115" w:type="dxa"/>
              <w:bottom w:w="43" w:type="dxa"/>
              <w:right w:w="115" w:type="dxa"/>
            </w:tcMar>
          </w:tcPr>
          <w:p w14:paraId="373A8BA9" w14:textId="77777777" w:rsidR="00A87B1D" w:rsidRPr="00A87B1D" w:rsidRDefault="00A87B1D" w:rsidP="00163E15">
            <w:pPr>
              <w:contextualSpacing/>
              <w:jc w:val="center"/>
              <w:rPr>
                <w:rFonts w:ascii="Times New Roman" w:hAnsi="Times New Roman" w:cs="Times New Roman"/>
                <w:b/>
                <w:szCs w:val="22"/>
              </w:rPr>
            </w:pPr>
            <w:r w:rsidRPr="00A87B1D">
              <w:rPr>
                <w:rFonts w:ascii="Times New Roman" w:hAnsi="Times New Roman" w:cs="Times New Roman"/>
                <w:b/>
                <w:szCs w:val="22"/>
              </w:rPr>
              <w:t>Rate</w:t>
            </w:r>
          </w:p>
        </w:tc>
        <w:tc>
          <w:tcPr>
            <w:tcW w:w="2870" w:type="pct"/>
            <w:tcBorders>
              <w:bottom w:val="single" w:sz="4" w:space="0" w:color="auto"/>
            </w:tcBorders>
            <w:tcMar>
              <w:top w:w="43" w:type="dxa"/>
              <w:left w:w="115" w:type="dxa"/>
              <w:bottom w:w="43" w:type="dxa"/>
              <w:right w:w="115" w:type="dxa"/>
            </w:tcMar>
          </w:tcPr>
          <w:p w14:paraId="5C0CAEB4" w14:textId="77777777" w:rsidR="00A87B1D" w:rsidRPr="00A87B1D" w:rsidRDefault="00A87B1D" w:rsidP="00163E15">
            <w:pPr>
              <w:contextualSpacing/>
              <w:jc w:val="center"/>
              <w:rPr>
                <w:rFonts w:ascii="Times New Roman" w:hAnsi="Times New Roman" w:cs="Times New Roman"/>
                <w:b/>
                <w:szCs w:val="22"/>
              </w:rPr>
            </w:pPr>
            <w:r w:rsidRPr="00A87B1D">
              <w:rPr>
                <w:rFonts w:ascii="Times New Roman" w:hAnsi="Times New Roman" w:cs="Times New Roman"/>
                <w:b/>
                <w:szCs w:val="22"/>
              </w:rPr>
              <w:t>Code Description</w:t>
            </w:r>
          </w:p>
        </w:tc>
      </w:tr>
      <w:tr w:rsidR="00A87B1D" w:rsidRPr="00414E3E" w14:paraId="6216EC3E"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5AC7BA60"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80220</w:t>
            </w:r>
          </w:p>
        </w:tc>
        <w:tc>
          <w:tcPr>
            <w:tcW w:w="1671" w:type="pct"/>
            <w:noWrap/>
            <w:hideMark/>
          </w:tcPr>
          <w:p w14:paraId="3B45CF9D"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$13.77</w:t>
            </w:r>
          </w:p>
        </w:tc>
        <w:tc>
          <w:tcPr>
            <w:tcW w:w="2870" w:type="pct"/>
            <w:noWrap/>
            <w:hideMark/>
          </w:tcPr>
          <w:p w14:paraId="003A929B"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Hydroxychloroquine</w:t>
            </w:r>
          </w:p>
        </w:tc>
      </w:tr>
      <w:tr w:rsidR="00A87B1D" w:rsidRPr="00414E3E" w14:paraId="607454FA" w14:textId="77777777" w:rsidTr="00FD2E58">
        <w:trPr>
          <w:cantSplit/>
          <w:trHeight w:val="1187"/>
        </w:trPr>
        <w:tc>
          <w:tcPr>
            <w:tcW w:w="459" w:type="pct"/>
            <w:noWrap/>
          </w:tcPr>
          <w:p w14:paraId="2471FF9C"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80503</w:t>
            </w:r>
          </w:p>
        </w:tc>
        <w:tc>
          <w:tcPr>
            <w:tcW w:w="1671" w:type="pct"/>
            <w:noWrap/>
          </w:tcPr>
          <w:p w14:paraId="4467D9EA" w14:textId="65E0CF27" w:rsidR="00A87B1D" w:rsidRPr="00527DC5" w:rsidRDefault="00A87B1D" w:rsidP="00163E15">
            <w:pPr>
              <w:rPr>
                <w:rFonts w:ascii="Times New Roman" w:hAnsi="Times New Roman" w:cs="Times New Roman"/>
                <w:color w:val="000000"/>
                <w:szCs w:val="22"/>
              </w:rPr>
            </w:pPr>
            <w:r w:rsidRPr="00527DC5">
              <w:rPr>
                <w:rFonts w:ascii="Times New Roman" w:hAnsi="Times New Roman" w:cs="Times New Roman"/>
                <w:color w:val="000000"/>
                <w:szCs w:val="22"/>
              </w:rPr>
              <w:t>See administrative bulletin 22-</w:t>
            </w:r>
            <w:r w:rsidR="00527DC5" w:rsidRPr="00527DC5">
              <w:rPr>
                <w:rFonts w:ascii="Times New Roman" w:hAnsi="Times New Roman" w:cs="Times New Roman"/>
                <w:color w:val="000000"/>
                <w:szCs w:val="22"/>
              </w:rPr>
              <w:t>09</w:t>
            </w:r>
            <w:r w:rsidRPr="00527DC5">
              <w:rPr>
                <w:rFonts w:ascii="Times New Roman" w:hAnsi="Times New Roman" w:cs="Times New Roman"/>
                <w:color w:val="000000"/>
                <w:szCs w:val="22"/>
              </w:rPr>
              <w:t xml:space="preserve"> related to 101 CMR 316.00:  Rates for Surgery and Anesthesia Services</w:t>
            </w:r>
          </w:p>
        </w:tc>
        <w:tc>
          <w:tcPr>
            <w:tcW w:w="2870" w:type="pct"/>
          </w:tcPr>
          <w:p w14:paraId="5F1FC278" w14:textId="77777777" w:rsidR="00A87B1D" w:rsidRPr="00A87B1D" w:rsidRDefault="00A87B1D" w:rsidP="00163E15">
            <w:pPr>
              <w:rPr>
                <w:rFonts w:ascii="Times New Roman" w:hAnsi="Times New Roman" w:cs="Times New Roman"/>
                <w:szCs w:val="22"/>
              </w:rPr>
            </w:pPr>
            <w:r w:rsidRPr="00A87B1D">
              <w:rPr>
                <w:rFonts w:ascii="Times New Roman" w:hAnsi="Times New Roman" w:cs="Times New Roman"/>
                <w:szCs w:val="22"/>
              </w:rPr>
              <w:t>Pathology clinical consultation; for a clinical problem, with limited review of patient's history and medical records and straightforward medical decision making</w:t>
            </w:r>
          </w:p>
        </w:tc>
      </w:tr>
      <w:tr w:rsidR="00A87B1D" w:rsidRPr="00414E3E" w14:paraId="231D12A0" w14:textId="77777777" w:rsidTr="00FD2E58">
        <w:tblPrEx>
          <w:tblCellMar>
            <w:left w:w="108" w:type="dxa"/>
            <w:right w:w="108" w:type="dxa"/>
          </w:tblCellMar>
          <w:tblLook w:val="04A0" w:firstRow="1" w:lastRow="0" w:firstColumn="1" w:lastColumn="0" w:noHBand="0" w:noVBand="1"/>
        </w:tblPrEx>
        <w:trPr>
          <w:cantSplit/>
          <w:trHeight w:val="930"/>
        </w:trPr>
        <w:tc>
          <w:tcPr>
            <w:tcW w:w="459" w:type="pct"/>
            <w:noWrap/>
          </w:tcPr>
          <w:p w14:paraId="69ECDD6C"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80504</w:t>
            </w:r>
          </w:p>
        </w:tc>
        <w:tc>
          <w:tcPr>
            <w:tcW w:w="1671" w:type="pct"/>
            <w:noWrap/>
          </w:tcPr>
          <w:p w14:paraId="3EF779F0" w14:textId="4511BB05" w:rsidR="00A87B1D" w:rsidRPr="00527DC5" w:rsidRDefault="00A87B1D" w:rsidP="00163E15">
            <w:pPr>
              <w:rPr>
                <w:rFonts w:ascii="Times New Roman" w:hAnsi="Times New Roman" w:cs="Times New Roman"/>
                <w:color w:val="000000"/>
                <w:szCs w:val="22"/>
              </w:rPr>
            </w:pPr>
            <w:r w:rsidRPr="00527DC5">
              <w:rPr>
                <w:rFonts w:ascii="Times New Roman" w:hAnsi="Times New Roman" w:cs="Times New Roman"/>
                <w:color w:val="000000"/>
                <w:szCs w:val="22"/>
              </w:rPr>
              <w:t>See administrative bulletin 22-</w:t>
            </w:r>
            <w:r w:rsidR="00527DC5" w:rsidRPr="00527DC5">
              <w:rPr>
                <w:rFonts w:ascii="Times New Roman" w:hAnsi="Times New Roman" w:cs="Times New Roman"/>
                <w:color w:val="000000"/>
                <w:szCs w:val="22"/>
              </w:rPr>
              <w:t>09</w:t>
            </w:r>
            <w:r w:rsidRPr="00527DC5">
              <w:rPr>
                <w:rFonts w:ascii="Times New Roman" w:hAnsi="Times New Roman" w:cs="Times New Roman"/>
                <w:color w:val="000000"/>
                <w:szCs w:val="22"/>
              </w:rPr>
              <w:t xml:space="preserve"> related to 101 CMR 316.00:  Rates for Surgery and Anesthesia Services</w:t>
            </w:r>
          </w:p>
        </w:tc>
        <w:tc>
          <w:tcPr>
            <w:tcW w:w="2870" w:type="pct"/>
          </w:tcPr>
          <w:p w14:paraId="370DAFC6" w14:textId="77777777" w:rsidR="00A87B1D" w:rsidRPr="00A87B1D" w:rsidRDefault="00A87B1D" w:rsidP="00163E15">
            <w:pPr>
              <w:rPr>
                <w:rFonts w:ascii="Times New Roman" w:hAnsi="Times New Roman" w:cs="Times New Roman"/>
                <w:szCs w:val="22"/>
              </w:rPr>
            </w:pPr>
            <w:r w:rsidRPr="00A87B1D">
              <w:rPr>
                <w:rFonts w:ascii="Times New Roman" w:hAnsi="Times New Roman" w:cs="Times New Roman"/>
                <w:szCs w:val="22"/>
              </w:rPr>
              <w:t>Pathology clinical consultation; for a moderately complex clinical problem, with review of patient's history and medical records and moderate level of medical decision making</w:t>
            </w:r>
          </w:p>
        </w:tc>
      </w:tr>
      <w:tr w:rsidR="00A87B1D" w:rsidRPr="00414E3E" w14:paraId="53A7CE45" w14:textId="77777777" w:rsidTr="00FD2E58">
        <w:tblPrEx>
          <w:tblCellMar>
            <w:left w:w="108" w:type="dxa"/>
            <w:right w:w="108" w:type="dxa"/>
          </w:tblCellMar>
          <w:tblLook w:val="04A0" w:firstRow="1" w:lastRow="0" w:firstColumn="1" w:lastColumn="0" w:noHBand="0" w:noVBand="1"/>
        </w:tblPrEx>
        <w:trPr>
          <w:cantSplit/>
          <w:trHeight w:val="930"/>
        </w:trPr>
        <w:tc>
          <w:tcPr>
            <w:tcW w:w="459" w:type="pct"/>
            <w:noWrap/>
          </w:tcPr>
          <w:p w14:paraId="2D6059D8"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80505</w:t>
            </w:r>
          </w:p>
        </w:tc>
        <w:tc>
          <w:tcPr>
            <w:tcW w:w="1671" w:type="pct"/>
            <w:noWrap/>
          </w:tcPr>
          <w:p w14:paraId="64638583" w14:textId="511FF637" w:rsidR="00A87B1D" w:rsidRPr="00527DC5" w:rsidRDefault="00A87B1D" w:rsidP="00163E15">
            <w:pPr>
              <w:rPr>
                <w:rFonts w:ascii="Times New Roman" w:hAnsi="Times New Roman" w:cs="Times New Roman"/>
                <w:color w:val="000000"/>
                <w:szCs w:val="22"/>
              </w:rPr>
            </w:pPr>
            <w:r w:rsidRPr="00527DC5">
              <w:rPr>
                <w:rFonts w:ascii="Times New Roman" w:hAnsi="Times New Roman" w:cs="Times New Roman"/>
                <w:color w:val="000000"/>
                <w:szCs w:val="22"/>
              </w:rPr>
              <w:t>See administrative bulletin 22-</w:t>
            </w:r>
            <w:r w:rsidR="00527DC5" w:rsidRPr="00527DC5">
              <w:rPr>
                <w:rFonts w:ascii="Times New Roman" w:hAnsi="Times New Roman" w:cs="Times New Roman"/>
                <w:color w:val="000000"/>
                <w:szCs w:val="22"/>
              </w:rPr>
              <w:t>09</w:t>
            </w:r>
            <w:r w:rsidRPr="00527DC5">
              <w:rPr>
                <w:rFonts w:ascii="Times New Roman" w:hAnsi="Times New Roman" w:cs="Times New Roman"/>
                <w:color w:val="000000"/>
                <w:szCs w:val="22"/>
              </w:rPr>
              <w:t xml:space="preserve"> related to 101 CMR 316.00:  Rates for Surgery and Anesthesia Services</w:t>
            </w:r>
          </w:p>
        </w:tc>
        <w:tc>
          <w:tcPr>
            <w:tcW w:w="2870" w:type="pct"/>
          </w:tcPr>
          <w:p w14:paraId="5905EED2" w14:textId="77777777" w:rsidR="00A87B1D" w:rsidRPr="00A87B1D" w:rsidRDefault="00A87B1D" w:rsidP="00163E15">
            <w:pPr>
              <w:rPr>
                <w:rFonts w:ascii="Times New Roman" w:hAnsi="Times New Roman" w:cs="Times New Roman"/>
                <w:szCs w:val="22"/>
              </w:rPr>
            </w:pPr>
            <w:r w:rsidRPr="00A87B1D">
              <w:rPr>
                <w:rFonts w:ascii="Times New Roman" w:hAnsi="Times New Roman" w:cs="Times New Roman"/>
                <w:szCs w:val="22"/>
              </w:rPr>
              <w:t>Pathology clinical consultation; for a highly complex clinical problem, with comprehensive review of patient's history and medical records and high level of medical decision making</w:t>
            </w:r>
          </w:p>
        </w:tc>
      </w:tr>
      <w:tr w:rsidR="00A87B1D" w:rsidRPr="00414E3E" w14:paraId="39F8F4E6" w14:textId="77777777" w:rsidTr="00FD2E58">
        <w:tblPrEx>
          <w:tblCellMar>
            <w:left w:w="108" w:type="dxa"/>
            <w:right w:w="108" w:type="dxa"/>
          </w:tblCellMar>
          <w:tblLook w:val="04A0" w:firstRow="1" w:lastRow="0" w:firstColumn="1" w:lastColumn="0" w:noHBand="0" w:noVBand="1"/>
        </w:tblPrEx>
        <w:trPr>
          <w:cantSplit/>
          <w:trHeight w:val="930"/>
        </w:trPr>
        <w:tc>
          <w:tcPr>
            <w:tcW w:w="459" w:type="pct"/>
            <w:noWrap/>
          </w:tcPr>
          <w:p w14:paraId="67A1210E"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80506</w:t>
            </w:r>
          </w:p>
        </w:tc>
        <w:tc>
          <w:tcPr>
            <w:tcW w:w="1671" w:type="pct"/>
            <w:noWrap/>
          </w:tcPr>
          <w:p w14:paraId="2B7DF6D2" w14:textId="0AB51DB9" w:rsidR="00A87B1D" w:rsidRPr="00527DC5" w:rsidRDefault="00A87B1D" w:rsidP="00163E15">
            <w:pPr>
              <w:rPr>
                <w:rFonts w:ascii="Times New Roman" w:hAnsi="Times New Roman" w:cs="Times New Roman"/>
                <w:color w:val="000000"/>
                <w:szCs w:val="22"/>
              </w:rPr>
            </w:pPr>
            <w:r w:rsidRPr="00527DC5">
              <w:rPr>
                <w:rFonts w:ascii="Times New Roman" w:hAnsi="Times New Roman" w:cs="Times New Roman"/>
                <w:color w:val="000000"/>
                <w:szCs w:val="22"/>
              </w:rPr>
              <w:t>See administrative bulletin 22-</w:t>
            </w:r>
            <w:r w:rsidR="00527DC5" w:rsidRPr="00527DC5">
              <w:rPr>
                <w:rFonts w:ascii="Times New Roman" w:hAnsi="Times New Roman" w:cs="Times New Roman"/>
                <w:color w:val="000000"/>
                <w:szCs w:val="22"/>
              </w:rPr>
              <w:t>09</w:t>
            </w:r>
            <w:r w:rsidRPr="00527DC5">
              <w:rPr>
                <w:rFonts w:ascii="Times New Roman" w:hAnsi="Times New Roman" w:cs="Times New Roman"/>
                <w:color w:val="000000"/>
                <w:szCs w:val="22"/>
              </w:rPr>
              <w:t xml:space="preserve"> related to 101 CMR 316.00:  Rates for Surgery and Anesthesia Services</w:t>
            </w:r>
          </w:p>
        </w:tc>
        <w:tc>
          <w:tcPr>
            <w:tcW w:w="2870" w:type="pct"/>
          </w:tcPr>
          <w:p w14:paraId="1A729CE0" w14:textId="77777777" w:rsidR="00A87B1D" w:rsidRPr="00A87B1D" w:rsidRDefault="00A87B1D" w:rsidP="00163E15">
            <w:pPr>
              <w:rPr>
                <w:rFonts w:ascii="Times New Roman" w:hAnsi="Times New Roman" w:cs="Times New Roman"/>
                <w:szCs w:val="22"/>
              </w:rPr>
            </w:pPr>
            <w:r w:rsidRPr="00A87B1D">
              <w:rPr>
                <w:rFonts w:ascii="Times New Roman" w:hAnsi="Times New Roman" w:cs="Times New Roman"/>
                <w:szCs w:val="22"/>
              </w:rPr>
              <w:t>Pathology clinical consultation; prolonged service, each additional 30 minutes (List separately in addition to code for primary procedure)</w:t>
            </w:r>
          </w:p>
        </w:tc>
      </w:tr>
      <w:tr w:rsidR="00A87B1D" w:rsidRPr="00414E3E" w14:paraId="7BA61499" w14:textId="77777777" w:rsidTr="00FD2E58">
        <w:tblPrEx>
          <w:tblCellMar>
            <w:left w:w="108" w:type="dxa"/>
            <w:right w:w="108" w:type="dxa"/>
          </w:tblCellMar>
          <w:tblLook w:val="04A0" w:firstRow="1" w:lastRow="0" w:firstColumn="1" w:lastColumn="0" w:noHBand="0" w:noVBand="1"/>
        </w:tblPrEx>
        <w:trPr>
          <w:cantSplit/>
          <w:trHeight w:val="930"/>
        </w:trPr>
        <w:tc>
          <w:tcPr>
            <w:tcW w:w="459" w:type="pct"/>
            <w:noWrap/>
            <w:hideMark/>
          </w:tcPr>
          <w:p w14:paraId="1ED7E5E3"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lastRenderedPageBreak/>
              <w:t>81349</w:t>
            </w:r>
          </w:p>
        </w:tc>
        <w:tc>
          <w:tcPr>
            <w:tcW w:w="1671" w:type="pct"/>
            <w:noWrap/>
            <w:hideMark/>
          </w:tcPr>
          <w:p w14:paraId="5B9AF022"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$0</w:t>
            </w:r>
          </w:p>
        </w:tc>
        <w:tc>
          <w:tcPr>
            <w:tcW w:w="2870" w:type="pct"/>
            <w:hideMark/>
          </w:tcPr>
          <w:p w14:paraId="61FB2ACE" w14:textId="77777777" w:rsidR="00A87B1D" w:rsidRPr="00A87B1D" w:rsidRDefault="00A87B1D" w:rsidP="00163E15">
            <w:pPr>
              <w:rPr>
                <w:rFonts w:ascii="Times New Roman" w:hAnsi="Times New Roman" w:cs="Times New Roman"/>
                <w:color w:val="000000"/>
                <w:szCs w:val="22"/>
              </w:rPr>
            </w:pPr>
            <w:proofErr w:type="spellStart"/>
            <w:r w:rsidRPr="00A87B1D">
              <w:rPr>
                <w:rFonts w:ascii="Times New Roman" w:hAnsi="Times New Roman" w:cs="Times New Roman"/>
                <w:color w:val="000000"/>
                <w:szCs w:val="22"/>
              </w:rPr>
              <w:t>Cytogenomic</w:t>
            </w:r>
            <w:proofErr w:type="spellEnd"/>
            <w:r w:rsidRPr="00A87B1D">
              <w:rPr>
                <w:rFonts w:ascii="Times New Roman" w:hAnsi="Times New Roman" w:cs="Times New Roman"/>
                <w:color w:val="000000"/>
                <w:szCs w:val="22"/>
              </w:rPr>
              <w:t xml:space="preserve"> (genome-wide) analysis for constitutional chromosomal abnormalities; interrogation of genomic regions for copy number and loss-of-heterozygosity variants, low-pass sequencing analysis</w:t>
            </w:r>
          </w:p>
        </w:tc>
      </w:tr>
      <w:tr w:rsidR="00A87B1D" w:rsidRPr="00414E3E" w14:paraId="3434A69C" w14:textId="77777777" w:rsidTr="00FD2E58">
        <w:tblPrEx>
          <w:tblCellMar>
            <w:left w:w="108" w:type="dxa"/>
            <w:right w:w="108" w:type="dxa"/>
          </w:tblCellMar>
          <w:tblLook w:val="04A0" w:firstRow="1" w:lastRow="0" w:firstColumn="1" w:lastColumn="0" w:noHBand="0" w:noVBand="1"/>
        </w:tblPrEx>
        <w:trPr>
          <w:cantSplit/>
          <w:trHeight w:val="930"/>
        </w:trPr>
        <w:tc>
          <w:tcPr>
            <w:tcW w:w="459" w:type="pct"/>
            <w:noWrap/>
            <w:hideMark/>
          </w:tcPr>
          <w:p w14:paraId="2D7123C6"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81523</w:t>
            </w:r>
          </w:p>
        </w:tc>
        <w:tc>
          <w:tcPr>
            <w:tcW w:w="1671" w:type="pct"/>
            <w:noWrap/>
            <w:hideMark/>
          </w:tcPr>
          <w:p w14:paraId="687635E0"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$2,861.60</w:t>
            </w:r>
          </w:p>
        </w:tc>
        <w:tc>
          <w:tcPr>
            <w:tcW w:w="2870" w:type="pct"/>
            <w:hideMark/>
          </w:tcPr>
          <w:p w14:paraId="19FDAF24"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Oncology (breast), mRNA, next-generation sequencing gene expression profiling of 70 content genes and 31 housekeeping genes, utilizing formalin-fixed paraffin-embedded tissue, algorithm reported as index related to risk to distant metastasis</w:t>
            </w:r>
          </w:p>
        </w:tc>
      </w:tr>
      <w:tr w:rsidR="00A87B1D" w:rsidRPr="00414E3E" w14:paraId="43A2F946" w14:textId="77777777" w:rsidTr="00FD2E58">
        <w:tblPrEx>
          <w:tblCellMar>
            <w:left w:w="108" w:type="dxa"/>
            <w:right w:w="108" w:type="dxa"/>
          </w:tblCellMar>
          <w:tblLook w:val="04A0" w:firstRow="1" w:lastRow="0" w:firstColumn="1" w:lastColumn="0" w:noHBand="0" w:noVBand="1"/>
        </w:tblPrEx>
        <w:trPr>
          <w:cantSplit/>
          <w:trHeight w:val="930"/>
        </w:trPr>
        <w:tc>
          <w:tcPr>
            <w:tcW w:w="459" w:type="pct"/>
            <w:noWrap/>
            <w:hideMark/>
          </w:tcPr>
          <w:p w14:paraId="62E880CB"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81560</w:t>
            </w:r>
          </w:p>
        </w:tc>
        <w:tc>
          <w:tcPr>
            <w:tcW w:w="1671" w:type="pct"/>
            <w:noWrap/>
            <w:hideMark/>
          </w:tcPr>
          <w:p w14:paraId="0CA1C896"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$0</w:t>
            </w:r>
          </w:p>
        </w:tc>
        <w:tc>
          <w:tcPr>
            <w:tcW w:w="2870" w:type="pct"/>
            <w:hideMark/>
          </w:tcPr>
          <w:p w14:paraId="3598D7FE"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 xml:space="preserve">Transplantation medicine (allograft rejection, pediatric liver and small bowel), measurement of donor and </w:t>
            </w:r>
            <w:proofErr w:type="gramStart"/>
            <w:r w:rsidRPr="00A87B1D">
              <w:rPr>
                <w:rFonts w:ascii="Times New Roman" w:hAnsi="Times New Roman" w:cs="Times New Roman"/>
                <w:color w:val="000000"/>
                <w:szCs w:val="22"/>
              </w:rPr>
              <w:t>third-party</w:t>
            </w:r>
            <w:proofErr w:type="gramEnd"/>
            <w:r w:rsidRPr="00A87B1D">
              <w:rPr>
                <w:rFonts w:ascii="Times New Roman" w:hAnsi="Times New Roman" w:cs="Times New Roman"/>
                <w:color w:val="000000"/>
                <w:szCs w:val="22"/>
              </w:rPr>
              <w:t>-induced CD154+T-cytotoxic memory cells, utilizing whole peripheral blood, algorithm reported as a rejection risk score</w:t>
            </w:r>
          </w:p>
        </w:tc>
      </w:tr>
      <w:tr w:rsidR="00A87B1D" w:rsidRPr="00414E3E" w14:paraId="42553A13"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5E41CFA4"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82653</w:t>
            </w:r>
          </w:p>
        </w:tc>
        <w:tc>
          <w:tcPr>
            <w:tcW w:w="1671" w:type="pct"/>
            <w:noWrap/>
            <w:hideMark/>
          </w:tcPr>
          <w:p w14:paraId="1DC79EEC"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$16.97</w:t>
            </w:r>
          </w:p>
        </w:tc>
        <w:tc>
          <w:tcPr>
            <w:tcW w:w="2870" w:type="pct"/>
            <w:hideMark/>
          </w:tcPr>
          <w:p w14:paraId="0E287D22"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Elastase, pancreatic (EL-1), fecal; quantitative</w:t>
            </w:r>
          </w:p>
        </w:tc>
      </w:tr>
      <w:tr w:rsidR="00A87B1D" w:rsidRPr="00414E3E" w14:paraId="44A09F9B"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5AA1B1A2"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83521</w:t>
            </w:r>
          </w:p>
        </w:tc>
        <w:tc>
          <w:tcPr>
            <w:tcW w:w="1671" w:type="pct"/>
            <w:noWrap/>
            <w:hideMark/>
          </w:tcPr>
          <w:p w14:paraId="08287FAD"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$12.76</w:t>
            </w:r>
          </w:p>
        </w:tc>
        <w:tc>
          <w:tcPr>
            <w:tcW w:w="2870" w:type="pct"/>
            <w:hideMark/>
          </w:tcPr>
          <w:p w14:paraId="14B6D1F0"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Immunoglobulin light chains (</w:t>
            </w:r>
            <w:proofErr w:type="spellStart"/>
            <w:r w:rsidRPr="00A87B1D">
              <w:rPr>
                <w:rFonts w:ascii="Times New Roman" w:hAnsi="Times New Roman" w:cs="Times New Roman"/>
                <w:color w:val="000000"/>
                <w:szCs w:val="22"/>
              </w:rPr>
              <w:t>ie</w:t>
            </w:r>
            <w:proofErr w:type="spellEnd"/>
            <w:r w:rsidRPr="00A87B1D">
              <w:rPr>
                <w:rFonts w:ascii="Times New Roman" w:hAnsi="Times New Roman" w:cs="Times New Roman"/>
                <w:color w:val="000000"/>
                <w:szCs w:val="22"/>
              </w:rPr>
              <w:t>, kappa, lambda), free, each</w:t>
            </w:r>
          </w:p>
        </w:tc>
      </w:tr>
      <w:tr w:rsidR="00A87B1D" w:rsidRPr="00414E3E" w14:paraId="3D4EB3C0"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6117D8B8"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83529</w:t>
            </w:r>
          </w:p>
        </w:tc>
        <w:tc>
          <w:tcPr>
            <w:tcW w:w="1671" w:type="pct"/>
            <w:noWrap/>
            <w:hideMark/>
          </w:tcPr>
          <w:p w14:paraId="6AE1FBC2"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$12.76</w:t>
            </w:r>
          </w:p>
        </w:tc>
        <w:tc>
          <w:tcPr>
            <w:tcW w:w="2870" w:type="pct"/>
            <w:hideMark/>
          </w:tcPr>
          <w:p w14:paraId="7A843769"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Interleukin-6 (IL-6)</w:t>
            </w:r>
          </w:p>
        </w:tc>
      </w:tr>
      <w:tr w:rsidR="00A87B1D" w:rsidRPr="00414E3E" w14:paraId="0E20BBED"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0F52A94A"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86015</w:t>
            </w:r>
          </w:p>
        </w:tc>
        <w:tc>
          <w:tcPr>
            <w:tcW w:w="1671" w:type="pct"/>
            <w:noWrap/>
            <w:hideMark/>
          </w:tcPr>
          <w:p w14:paraId="71353BDE"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$8.52</w:t>
            </w:r>
          </w:p>
        </w:tc>
        <w:tc>
          <w:tcPr>
            <w:tcW w:w="2870" w:type="pct"/>
            <w:hideMark/>
          </w:tcPr>
          <w:p w14:paraId="2246B880"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Actin (smooth muscle) antibody (ASMA), each</w:t>
            </w:r>
          </w:p>
        </w:tc>
      </w:tr>
      <w:tr w:rsidR="00A87B1D" w:rsidRPr="00414E3E" w14:paraId="2C75998B"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18D63A22"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86036</w:t>
            </w:r>
          </w:p>
        </w:tc>
        <w:tc>
          <w:tcPr>
            <w:tcW w:w="1671" w:type="pct"/>
            <w:noWrap/>
            <w:hideMark/>
          </w:tcPr>
          <w:p w14:paraId="6D80E551"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$8.90</w:t>
            </w:r>
          </w:p>
        </w:tc>
        <w:tc>
          <w:tcPr>
            <w:tcW w:w="2870" w:type="pct"/>
            <w:hideMark/>
          </w:tcPr>
          <w:p w14:paraId="04EA52C2"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Antineutrophil cytoplasmic antibody (ANCA); screen, each antibody</w:t>
            </w:r>
          </w:p>
        </w:tc>
      </w:tr>
      <w:tr w:rsidR="00A87B1D" w:rsidRPr="00414E3E" w14:paraId="6225B021"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369044C2"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86037</w:t>
            </w:r>
          </w:p>
        </w:tc>
        <w:tc>
          <w:tcPr>
            <w:tcW w:w="1671" w:type="pct"/>
            <w:noWrap/>
            <w:hideMark/>
          </w:tcPr>
          <w:p w14:paraId="57AAA975"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$8.90</w:t>
            </w:r>
          </w:p>
        </w:tc>
        <w:tc>
          <w:tcPr>
            <w:tcW w:w="2870" w:type="pct"/>
            <w:hideMark/>
          </w:tcPr>
          <w:p w14:paraId="4933C552"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Antineutrophil cytoplasmic antibody (ANCA); titer, each antibody</w:t>
            </w:r>
          </w:p>
        </w:tc>
      </w:tr>
      <w:tr w:rsidR="00A87B1D" w:rsidRPr="00414E3E" w14:paraId="5BB71300" w14:textId="77777777" w:rsidTr="00FD2E58">
        <w:tblPrEx>
          <w:tblCellMar>
            <w:left w:w="108" w:type="dxa"/>
            <w:right w:w="108" w:type="dxa"/>
          </w:tblCellMar>
          <w:tblLook w:val="04A0" w:firstRow="1" w:lastRow="0" w:firstColumn="1" w:lastColumn="0" w:noHBand="0" w:noVBand="1"/>
        </w:tblPrEx>
        <w:trPr>
          <w:cantSplit/>
          <w:trHeight w:val="620"/>
        </w:trPr>
        <w:tc>
          <w:tcPr>
            <w:tcW w:w="459" w:type="pct"/>
            <w:noWrap/>
            <w:hideMark/>
          </w:tcPr>
          <w:p w14:paraId="5AE2DDEB"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86051</w:t>
            </w:r>
          </w:p>
        </w:tc>
        <w:tc>
          <w:tcPr>
            <w:tcW w:w="1671" w:type="pct"/>
            <w:noWrap/>
            <w:hideMark/>
          </w:tcPr>
          <w:p w14:paraId="4C686AD8"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$8.52</w:t>
            </w:r>
          </w:p>
        </w:tc>
        <w:tc>
          <w:tcPr>
            <w:tcW w:w="2870" w:type="pct"/>
            <w:hideMark/>
          </w:tcPr>
          <w:p w14:paraId="5CD7BE94"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 xml:space="preserve">Aquaporin-4 (neuromyelitis </w:t>
            </w:r>
            <w:proofErr w:type="spellStart"/>
            <w:r w:rsidRPr="00A87B1D">
              <w:rPr>
                <w:rFonts w:ascii="Times New Roman" w:hAnsi="Times New Roman" w:cs="Times New Roman"/>
                <w:color w:val="000000"/>
                <w:szCs w:val="22"/>
              </w:rPr>
              <w:t>optica</w:t>
            </w:r>
            <w:proofErr w:type="spellEnd"/>
            <w:r w:rsidRPr="00A87B1D">
              <w:rPr>
                <w:rFonts w:ascii="Times New Roman" w:hAnsi="Times New Roman" w:cs="Times New Roman"/>
                <w:color w:val="000000"/>
                <w:szCs w:val="22"/>
              </w:rPr>
              <w:t xml:space="preserve"> [NMO]) antibody; enzyme-linked immunosorbent immunoassay (ELISA)</w:t>
            </w:r>
          </w:p>
        </w:tc>
      </w:tr>
      <w:tr w:rsidR="00A87B1D" w:rsidRPr="00414E3E" w14:paraId="0D5C59D0" w14:textId="77777777" w:rsidTr="00FD2E58">
        <w:tblPrEx>
          <w:tblCellMar>
            <w:left w:w="108" w:type="dxa"/>
            <w:right w:w="108" w:type="dxa"/>
          </w:tblCellMar>
          <w:tblLook w:val="04A0" w:firstRow="1" w:lastRow="0" w:firstColumn="1" w:lastColumn="0" w:noHBand="0" w:noVBand="1"/>
        </w:tblPrEx>
        <w:trPr>
          <w:cantSplit/>
          <w:trHeight w:val="620"/>
        </w:trPr>
        <w:tc>
          <w:tcPr>
            <w:tcW w:w="459" w:type="pct"/>
            <w:noWrap/>
            <w:hideMark/>
          </w:tcPr>
          <w:p w14:paraId="1960BBAC"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86052</w:t>
            </w:r>
          </w:p>
        </w:tc>
        <w:tc>
          <w:tcPr>
            <w:tcW w:w="1671" w:type="pct"/>
            <w:noWrap/>
            <w:hideMark/>
          </w:tcPr>
          <w:p w14:paraId="2F0C72B4"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$8.90</w:t>
            </w:r>
          </w:p>
        </w:tc>
        <w:tc>
          <w:tcPr>
            <w:tcW w:w="2870" w:type="pct"/>
            <w:hideMark/>
          </w:tcPr>
          <w:p w14:paraId="0B99263B"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 xml:space="preserve">Aquaporin-4 (neuromyelitis </w:t>
            </w:r>
            <w:proofErr w:type="spellStart"/>
            <w:r w:rsidRPr="00A87B1D">
              <w:rPr>
                <w:rFonts w:ascii="Times New Roman" w:hAnsi="Times New Roman" w:cs="Times New Roman"/>
                <w:color w:val="000000"/>
                <w:szCs w:val="22"/>
              </w:rPr>
              <w:t>optica</w:t>
            </w:r>
            <w:proofErr w:type="spellEnd"/>
            <w:r w:rsidRPr="00A87B1D">
              <w:rPr>
                <w:rFonts w:ascii="Times New Roman" w:hAnsi="Times New Roman" w:cs="Times New Roman"/>
                <w:color w:val="000000"/>
                <w:szCs w:val="22"/>
              </w:rPr>
              <w:t xml:space="preserve"> [NMO]) antibody; cell-based immunofluorescence assay (CBA), each</w:t>
            </w:r>
          </w:p>
        </w:tc>
      </w:tr>
      <w:tr w:rsidR="00A87B1D" w:rsidRPr="00414E3E" w14:paraId="69A8BC59" w14:textId="77777777" w:rsidTr="00FD2E58">
        <w:tblPrEx>
          <w:tblCellMar>
            <w:left w:w="108" w:type="dxa"/>
            <w:right w:w="108" w:type="dxa"/>
          </w:tblCellMar>
          <w:tblLook w:val="04A0" w:firstRow="1" w:lastRow="0" w:firstColumn="1" w:lastColumn="0" w:noHBand="0" w:noVBand="1"/>
        </w:tblPrEx>
        <w:trPr>
          <w:cantSplit/>
          <w:trHeight w:val="620"/>
        </w:trPr>
        <w:tc>
          <w:tcPr>
            <w:tcW w:w="459" w:type="pct"/>
            <w:noWrap/>
            <w:hideMark/>
          </w:tcPr>
          <w:p w14:paraId="2AEE32C4"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86053</w:t>
            </w:r>
          </w:p>
        </w:tc>
        <w:tc>
          <w:tcPr>
            <w:tcW w:w="1671" w:type="pct"/>
            <w:noWrap/>
            <w:hideMark/>
          </w:tcPr>
          <w:p w14:paraId="0F1E5782"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$8.90</w:t>
            </w:r>
          </w:p>
        </w:tc>
        <w:tc>
          <w:tcPr>
            <w:tcW w:w="2870" w:type="pct"/>
            <w:hideMark/>
          </w:tcPr>
          <w:p w14:paraId="1A0FC296"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 xml:space="preserve">Aquaporin-4 (neuromyelitis </w:t>
            </w:r>
            <w:proofErr w:type="spellStart"/>
            <w:r w:rsidRPr="00A87B1D">
              <w:rPr>
                <w:rFonts w:ascii="Times New Roman" w:hAnsi="Times New Roman" w:cs="Times New Roman"/>
                <w:color w:val="000000"/>
                <w:szCs w:val="22"/>
              </w:rPr>
              <w:t>optica</w:t>
            </w:r>
            <w:proofErr w:type="spellEnd"/>
            <w:r w:rsidRPr="00A87B1D">
              <w:rPr>
                <w:rFonts w:ascii="Times New Roman" w:hAnsi="Times New Roman" w:cs="Times New Roman"/>
                <w:color w:val="000000"/>
                <w:szCs w:val="22"/>
              </w:rPr>
              <w:t xml:space="preserve"> [NMO]) antibody; flow cytometry (</w:t>
            </w:r>
            <w:proofErr w:type="spellStart"/>
            <w:r w:rsidRPr="00A87B1D">
              <w:rPr>
                <w:rFonts w:ascii="Times New Roman" w:hAnsi="Times New Roman" w:cs="Times New Roman"/>
                <w:color w:val="000000"/>
                <w:szCs w:val="22"/>
              </w:rPr>
              <w:t>ie</w:t>
            </w:r>
            <w:proofErr w:type="spellEnd"/>
            <w:r w:rsidRPr="00A87B1D">
              <w:rPr>
                <w:rFonts w:ascii="Times New Roman" w:hAnsi="Times New Roman" w:cs="Times New Roman"/>
                <w:color w:val="000000"/>
                <w:szCs w:val="22"/>
              </w:rPr>
              <w:t>, fluorescence-activated cell sorting [FACS]), each</w:t>
            </w:r>
          </w:p>
        </w:tc>
      </w:tr>
      <w:tr w:rsidR="00A87B1D" w:rsidRPr="00414E3E" w14:paraId="047F0C8A"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094E8398"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86231</w:t>
            </w:r>
          </w:p>
        </w:tc>
        <w:tc>
          <w:tcPr>
            <w:tcW w:w="1671" w:type="pct"/>
            <w:noWrap/>
            <w:hideMark/>
          </w:tcPr>
          <w:p w14:paraId="241B08DB"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$8.93</w:t>
            </w:r>
          </w:p>
        </w:tc>
        <w:tc>
          <w:tcPr>
            <w:tcW w:w="2870" w:type="pct"/>
            <w:hideMark/>
          </w:tcPr>
          <w:p w14:paraId="3C2F7A99" w14:textId="77777777" w:rsidR="00A87B1D" w:rsidRPr="00A87B1D" w:rsidRDefault="00A87B1D" w:rsidP="00163E15">
            <w:pPr>
              <w:rPr>
                <w:rFonts w:ascii="Times New Roman" w:hAnsi="Times New Roman" w:cs="Times New Roman"/>
                <w:color w:val="000000"/>
                <w:szCs w:val="22"/>
              </w:rPr>
            </w:pPr>
            <w:proofErr w:type="spellStart"/>
            <w:r w:rsidRPr="00A87B1D">
              <w:rPr>
                <w:rFonts w:ascii="Times New Roman" w:hAnsi="Times New Roman" w:cs="Times New Roman"/>
                <w:color w:val="000000"/>
                <w:szCs w:val="22"/>
              </w:rPr>
              <w:t>Endomysial</w:t>
            </w:r>
            <w:proofErr w:type="spellEnd"/>
            <w:r w:rsidRPr="00A87B1D">
              <w:rPr>
                <w:rFonts w:ascii="Times New Roman" w:hAnsi="Times New Roman" w:cs="Times New Roman"/>
                <w:color w:val="000000"/>
                <w:szCs w:val="22"/>
              </w:rPr>
              <w:t xml:space="preserve"> antibody (EMA), each immunoglobulin (Ig) class</w:t>
            </w:r>
          </w:p>
        </w:tc>
      </w:tr>
      <w:tr w:rsidR="00A87B1D" w:rsidRPr="00414E3E" w14:paraId="7EC1D066"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1910AC27"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86258</w:t>
            </w:r>
          </w:p>
        </w:tc>
        <w:tc>
          <w:tcPr>
            <w:tcW w:w="1671" w:type="pct"/>
            <w:noWrap/>
            <w:hideMark/>
          </w:tcPr>
          <w:p w14:paraId="2FA9197A"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$8.52</w:t>
            </w:r>
          </w:p>
        </w:tc>
        <w:tc>
          <w:tcPr>
            <w:tcW w:w="2870" w:type="pct"/>
            <w:hideMark/>
          </w:tcPr>
          <w:p w14:paraId="054337D6"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Gliadin (deamidated) (DGP) antibody, each immunoglobulin (Ig) class</w:t>
            </w:r>
          </w:p>
        </w:tc>
      </w:tr>
      <w:tr w:rsidR="00A87B1D" w:rsidRPr="00414E3E" w14:paraId="681E2FD8" w14:textId="77777777" w:rsidTr="00FD2E58">
        <w:tblPrEx>
          <w:tblCellMar>
            <w:left w:w="108" w:type="dxa"/>
            <w:right w:w="108" w:type="dxa"/>
          </w:tblCellMar>
          <w:tblLook w:val="04A0" w:firstRow="1" w:lastRow="0" w:firstColumn="1" w:lastColumn="0" w:noHBand="0" w:noVBand="1"/>
        </w:tblPrEx>
        <w:trPr>
          <w:cantSplit/>
          <w:trHeight w:val="620"/>
        </w:trPr>
        <w:tc>
          <w:tcPr>
            <w:tcW w:w="459" w:type="pct"/>
            <w:noWrap/>
            <w:hideMark/>
          </w:tcPr>
          <w:p w14:paraId="6C64DA14"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86362</w:t>
            </w:r>
          </w:p>
        </w:tc>
        <w:tc>
          <w:tcPr>
            <w:tcW w:w="1671" w:type="pct"/>
            <w:noWrap/>
            <w:hideMark/>
          </w:tcPr>
          <w:p w14:paraId="740F295F"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$8.90</w:t>
            </w:r>
          </w:p>
        </w:tc>
        <w:tc>
          <w:tcPr>
            <w:tcW w:w="2870" w:type="pct"/>
            <w:hideMark/>
          </w:tcPr>
          <w:p w14:paraId="04B32850"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Myelin oligodendrocyte glycoprotein (MOG-IgG1) antibody; cell-based immunofluorescence assay (CBA), each</w:t>
            </w:r>
          </w:p>
        </w:tc>
      </w:tr>
      <w:tr w:rsidR="00A87B1D" w:rsidRPr="00414E3E" w14:paraId="0F1E6690" w14:textId="77777777" w:rsidTr="00FD2E58">
        <w:tblPrEx>
          <w:tblCellMar>
            <w:left w:w="108" w:type="dxa"/>
            <w:right w:w="108" w:type="dxa"/>
          </w:tblCellMar>
          <w:tblLook w:val="04A0" w:firstRow="1" w:lastRow="0" w:firstColumn="1" w:lastColumn="0" w:noHBand="0" w:noVBand="1"/>
        </w:tblPrEx>
        <w:trPr>
          <w:cantSplit/>
          <w:trHeight w:val="620"/>
        </w:trPr>
        <w:tc>
          <w:tcPr>
            <w:tcW w:w="459" w:type="pct"/>
            <w:noWrap/>
            <w:hideMark/>
          </w:tcPr>
          <w:p w14:paraId="691E66CE"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86363</w:t>
            </w:r>
          </w:p>
        </w:tc>
        <w:tc>
          <w:tcPr>
            <w:tcW w:w="1671" w:type="pct"/>
            <w:noWrap/>
            <w:hideMark/>
          </w:tcPr>
          <w:p w14:paraId="4E5AD7E8"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$8.90</w:t>
            </w:r>
          </w:p>
        </w:tc>
        <w:tc>
          <w:tcPr>
            <w:tcW w:w="2870" w:type="pct"/>
            <w:hideMark/>
          </w:tcPr>
          <w:p w14:paraId="0E19CEC7"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Myelin oligodendrocyte glycoprotein (MOG-IgG1) antibody; flow cytometry (</w:t>
            </w:r>
            <w:proofErr w:type="spellStart"/>
            <w:r w:rsidRPr="00A87B1D">
              <w:rPr>
                <w:rFonts w:ascii="Times New Roman" w:hAnsi="Times New Roman" w:cs="Times New Roman"/>
                <w:color w:val="000000"/>
                <w:szCs w:val="22"/>
              </w:rPr>
              <w:t>ie</w:t>
            </w:r>
            <w:proofErr w:type="spellEnd"/>
            <w:r w:rsidRPr="00A87B1D">
              <w:rPr>
                <w:rFonts w:ascii="Times New Roman" w:hAnsi="Times New Roman" w:cs="Times New Roman"/>
                <w:color w:val="000000"/>
                <w:szCs w:val="22"/>
              </w:rPr>
              <w:t>, fluorescence-activated cell sorting [FACS]), each</w:t>
            </w:r>
          </w:p>
        </w:tc>
      </w:tr>
      <w:tr w:rsidR="00A87B1D" w:rsidRPr="00414E3E" w14:paraId="3CA2A2AA"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1C51539E"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86364</w:t>
            </w:r>
          </w:p>
        </w:tc>
        <w:tc>
          <w:tcPr>
            <w:tcW w:w="1671" w:type="pct"/>
            <w:noWrap/>
            <w:hideMark/>
          </w:tcPr>
          <w:p w14:paraId="77019BCD"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$8.52</w:t>
            </w:r>
          </w:p>
        </w:tc>
        <w:tc>
          <w:tcPr>
            <w:tcW w:w="2870" w:type="pct"/>
            <w:hideMark/>
          </w:tcPr>
          <w:p w14:paraId="13C30BA6"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Tissue transglutaminase, each immunoglobulin (Ig) class</w:t>
            </w:r>
          </w:p>
        </w:tc>
      </w:tr>
      <w:tr w:rsidR="00A87B1D" w:rsidRPr="00414E3E" w14:paraId="044EF636"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464738E9"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86381</w:t>
            </w:r>
          </w:p>
        </w:tc>
        <w:tc>
          <w:tcPr>
            <w:tcW w:w="1671" w:type="pct"/>
            <w:noWrap/>
            <w:hideMark/>
          </w:tcPr>
          <w:p w14:paraId="355F24BA"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$18.80</w:t>
            </w:r>
          </w:p>
        </w:tc>
        <w:tc>
          <w:tcPr>
            <w:tcW w:w="2870" w:type="pct"/>
            <w:hideMark/>
          </w:tcPr>
          <w:p w14:paraId="1E10C47F"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Mitochondrial antibody (</w:t>
            </w:r>
            <w:proofErr w:type="spellStart"/>
            <w:r w:rsidRPr="00A87B1D">
              <w:rPr>
                <w:rFonts w:ascii="Times New Roman" w:hAnsi="Times New Roman" w:cs="Times New Roman"/>
                <w:color w:val="000000"/>
                <w:szCs w:val="22"/>
              </w:rPr>
              <w:t>eg</w:t>
            </w:r>
            <w:proofErr w:type="spellEnd"/>
            <w:r w:rsidRPr="00A87B1D">
              <w:rPr>
                <w:rFonts w:ascii="Times New Roman" w:hAnsi="Times New Roman" w:cs="Times New Roman"/>
                <w:color w:val="000000"/>
                <w:szCs w:val="22"/>
              </w:rPr>
              <w:t>, M2), each</w:t>
            </w:r>
          </w:p>
        </w:tc>
      </w:tr>
      <w:tr w:rsidR="00A87B1D" w:rsidRPr="00414E3E" w14:paraId="28982159" w14:textId="77777777" w:rsidTr="00FD2E58">
        <w:tblPrEx>
          <w:tblCellMar>
            <w:left w:w="108" w:type="dxa"/>
            <w:right w:w="108" w:type="dxa"/>
          </w:tblCellMar>
          <w:tblLook w:val="04A0" w:firstRow="1" w:lastRow="0" w:firstColumn="1" w:lastColumn="0" w:noHBand="0" w:noVBand="1"/>
        </w:tblPrEx>
        <w:trPr>
          <w:cantSplit/>
          <w:trHeight w:val="310"/>
        </w:trPr>
        <w:tc>
          <w:tcPr>
            <w:tcW w:w="459" w:type="pct"/>
            <w:noWrap/>
            <w:hideMark/>
          </w:tcPr>
          <w:p w14:paraId="64482053"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86596</w:t>
            </w:r>
          </w:p>
        </w:tc>
        <w:tc>
          <w:tcPr>
            <w:tcW w:w="1671" w:type="pct"/>
            <w:noWrap/>
            <w:hideMark/>
          </w:tcPr>
          <w:p w14:paraId="3E0CFE86"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$13.59</w:t>
            </w:r>
          </w:p>
        </w:tc>
        <w:tc>
          <w:tcPr>
            <w:tcW w:w="2870" w:type="pct"/>
            <w:hideMark/>
          </w:tcPr>
          <w:p w14:paraId="138D2383"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Voltage-gated calcium channel antibody, each</w:t>
            </w:r>
          </w:p>
        </w:tc>
      </w:tr>
      <w:tr w:rsidR="00A87B1D" w:rsidRPr="00414E3E" w14:paraId="6E62CC3D" w14:textId="77777777" w:rsidTr="00FD2E58">
        <w:tblPrEx>
          <w:tblCellMar>
            <w:left w:w="108" w:type="dxa"/>
            <w:right w:w="108" w:type="dxa"/>
          </w:tblCellMar>
          <w:tblLook w:val="04A0" w:firstRow="1" w:lastRow="0" w:firstColumn="1" w:lastColumn="0" w:noHBand="0" w:noVBand="1"/>
        </w:tblPrEx>
        <w:trPr>
          <w:cantSplit/>
          <w:trHeight w:val="1240"/>
        </w:trPr>
        <w:tc>
          <w:tcPr>
            <w:tcW w:w="459" w:type="pct"/>
            <w:noWrap/>
            <w:hideMark/>
          </w:tcPr>
          <w:p w14:paraId="6F44151E"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87154</w:t>
            </w:r>
          </w:p>
        </w:tc>
        <w:tc>
          <w:tcPr>
            <w:tcW w:w="1671" w:type="pct"/>
            <w:noWrap/>
            <w:hideMark/>
          </w:tcPr>
          <w:p w14:paraId="21EB0C2C"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$161.12</w:t>
            </w:r>
          </w:p>
        </w:tc>
        <w:tc>
          <w:tcPr>
            <w:tcW w:w="2870" w:type="pct"/>
            <w:hideMark/>
          </w:tcPr>
          <w:p w14:paraId="513EB998"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Culture, typing; identification of blood pathogen and resistance typing, when performed, by nucleic acid (DNA or RNA) probe, multiplexed amplified probe technique including multiplex reverse transcription, when performed, per culture or isolate, 6 or more targets</w:t>
            </w:r>
          </w:p>
        </w:tc>
      </w:tr>
    </w:tbl>
    <w:p w14:paraId="5F424010" w14:textId="77777777" w:rsidR="00A87B1D" w:rsidRDefault="00A87B1D" w:rsidP="00A87B1D">
      <w:pPr>
        <w:tabs>
          <w:tab w:val="left" w:pos="1440"/>
          <w:tab w:val="center" w:pos="4925"/>
        </w:tabs>
        <w:rPr>
          <w:rFonts w:ascii="Times New Roman" w:hAnsi="Times New Roman" w:cs="Times New Roman"/>
          <w:b/>
          <w:sz w:val="24"/>
          <w:szCs w:val="22"/>
        </w:rPr>
      </w:pPr>
    </w:p>
    <w:p w14:paraId="0A1FD7FE" w14:textId="77777777" w:rsidR="00FD2E58" w:rsidRDefault="00FD2E58" w:rsidP="00A87B1D">
      <w:pPr>
        <w:pStyle w:val="Heading2"/>
      </w:pPr>
      <w:r>
        <w:br w:type="page"/>
      </w:r>
    </w:p>
    <w:p w14:paraId="0BA0820E" w14:textId="2BA8E9D8" w:rsidR="00A87B1D" w:rsidRDefault="00A87B1D" w:rsidP="00A87B1D">
      <w:pPr>
        <w:pStyle w:val="Heading2"/>
      </w:pPr>
      <w:r>
        <w:lastRenderedPageBreak/>
        <w:t>Deleted Codes</w:t>
      </w:r>
    </w:p>
    <w:tbl>
      <w:tblPr>
        <w:tblStyle w:val="TableGrid"/>
        <w:tblW w:w="5139" w:type="pct"/>
        <w:tblInd w:w="-5" w:type="dxa"/>
        <w:tblCellMar>
          <w:left w:w="115" w:type="dxa"/>
          <w:right w:w="115" w:type="dxa"/>
        </w:tblCellMar>
        <w:tblLook w:val="04A0" w:firstRow="1" w:lastRow="0" w:firstColumn="1" w:lastColumn="0" w:noHBand="0" w:noVBand="1"/>
      </w:tblPr>
      <w:tblGrid>
        <w:gridCol w:w="1801"/>
        <w:gridCol w:w="8549"/>
      </w:tblGrid>
      <w:tr w:rsidR="00A87B1D" w:rsidRPr="00442A46" w14:paraId="7633A2D8" w14:textId="77777777" w:rsidTr="00FD2E58">
        <w:trPr>
          <w:trHeight w:val="359"/>
        </w:trPr>
        <w:tc>
          <w:tcPr>
            <w:tcW w:w="870" w:type="pct"/>
            <w:tcMar>
              <w:top w:w="14" w:type="dxa"/>
              <w:left w:w="115" w:type="dxa"/>
              <w:bottom w:w="14" w:type="dxa"/>
              <w:right w:w="115" w:type="dxa"/>
            </w:tcMar>
            <w:vAlign w:val="center"/>
          </w:tcPr>
          <w:p w14:paraId="3E7D4E7F"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b/>
                <w:szCs w:val="22"/>
              </w:rPr>
              <w:t>Deleted Code</w:t>
            </w:r>
          </w:p>
        </w:tc>
        <w:tc>
          <w:tcPr>
            <w:tcW w:w="4130" w:type="pct"/>
            <w:tcBorders>
              <w:right w:val="single" w:sz="4" w:space="0" w:color="auto"/>
            </w:tcBorders>
            <w:tcMar>
              <w:top w:w="14" w:type="dxa"/>
              <w:left w:w="115" w:type="dxa"/>
              <w:bottom w:w="14" w:type="dxa"/>
              <w:right w:w="115" w:type="dxa"/>
            </w:tcMar>
            <w:vAlign w:val="center"/>
          </w:tcPr>
          <w:p w14:paraId="68393859" w14:textId="77777777" w:rsidR="00A87B1D" w:rsidRPr="00A87B1D" w:rsidRDefault="00A87B1D" w:rsidP="00163E15">
            <w:pPr>
              <w:jc w:val="center"/>
              <w:rPr>
                <w:rFonts w:ascii="Times New Roman" w:hAnsi="Times New Roman" w:cs="Times New Roman"/>
                <w:b/>
                <w:bCs/>
                <w:color w:val="000000"/>
                <w:szCs w:val="22"/>
              </w:rPr>
            </w:pPr>
            <w:r w:rsidRPr="00A87B1D">
              <w:rPr>
                <w:rFonts w:ascii="Times New Roman" w:hAnsi="Times New Roman" w:cs="Times New Roman"/>
                <w:b/>
                <w:bCs/>
                <w:color w:val="000000"/>
                <w:szCs w:val="22"/>
              </w:rPr>
              <w:t>Code Description</w:t>
            </w:r>
          </w:p>
        </w:tc>
      </w:tr>
      <w:tr w:rsidR="00A87B1D" w:rsidRPr="001E325E" w14:paraId="49FA8C63" w14:textId="77777777" w:rsidTr="00527DC5">
        <w:trPr>
          <w:trHeight w:val="350"/>
        </w:trPr>
        <w:tc>
          <w:tcPr>
            <w:tcW w:w="870" w:type="pct"/>
            <w:tcBorders>
              <w:bottom w:val="single" w:sz="4" w:space="0" w:color="auto"/>
            </w:tcBorders>
            <w:tcMar>
              <w:top w:w="14" w:type="dxa"/>
              <w:left w:w="115" w:type="dxa"/>
              <w:bottom w:w="14" w:type="dxa"/>
              <w:right w:w="115" w:type="dxa"/>
            </w:tcMar>
          </w:tcPr>
          <w:p w14:paraId="35FB239E"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80500</w:t>
            </w:r>
          </w:p>
        </w:tc>
        <w:tc>
          <w:tcPr>
            <w:tcW w:w="4130" w:type="pct"/>
            <w:tcBorders>
              <w:bottom w:val="single" w:sz="4" w:space="0" w:color="auto"/>
              <w:right w:val="single" w:sz="4" w:space="0" w:color="auto"/>
            </w:tcBorders>
            <w:tcMar>
              <w:top w:w="14" w:type="dxa"/>
              <w:left w:w="115" w:type="dxa"/>
              <w:bottom w:w="14" w:type="dxa"/>
              <w:right w:w="115" w:type="dxa"/>
            </w:tcMar>
          </w:tcPr>
          <w:p w14:paraId="7E9234A5"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Clinical pathology consultation; limited, without review of patient's history and medical records</w:t>
            </w:r>
          </w:p>
        </w:tc>
      </w:tr>
      <w:tr w:rsidR="00A87B1D" w:rsidRPr="001E325E" w14:paraId="7704CE0C" w14:textId="77777777" w:rsidTr="00FD2E58">
        <w:tblPrEx>
          <w:tblCellMar>
            <w:left w:w="108" w:type="dxa"/>
            <w:right w:w="108" w:type="dxa"/>
          </w:tblCellMar>
        </w:tblPrEx>
        <w:trPr>
          <w:trHeight w:val="350"/>
        </w:trPr>
        <w:tc>
          <w:tcPr>
            <w:tcW w:w="870" w:type="pct"/>
          </w:tcPr>
          <w:p w14:paraId="2BE881EA"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80502</w:t>
            </w:r>
          </w:p>
        </w:tc>
        <w:tc>
          <w:tcPr>
            <w:tcW w:w="4130" w:type="pct"/>
          </w:tcPr>
          <w:p w14:paraId="11CCC095" w14:textId="77777777" w:rsidR="00A87B1D" w:rsidRPr="00A87B1D" w:rsidRDefault="00A87B1D" w:rsidP="00163E15">
            <w:pPr>
              <w:rPr>
                <w:rFonts w:ascii="Times New Roman" w:hAnsi="Times New Roman" w:cs="Times New Roman"/>
                <w:color w:val="000000"/>
                <w:szCs w:val="22"/>
              </w:rPr>
            </w:pPr>
            <w:r w:rsidRPr="00A87B1D">
              <w:rPr>
                <w:rFonts w:ascii="Times New Roman" w:hAnsi="Times New Roman" w:cs="Times New Roman"/>
                <w:color w:val="000000"/>
                <w:szCs w:val="22"/>
              </w:rPr>
              <w:t>Clinical pathology consultation; comprehensive, for a complex diagnostic problem, with review of patient's history and medical records</w:t>
            </w:r>
          </w:p>
        </w:tc>
      </w:tr>
    </w:tbl>
    <w:p w14:paraId="0E618BDD" w14:textId="77777777" w:rsidR="00A87B1D" w:rsidRDefault="00A87B1D" w:rsidP="00A87B1D">
      <w:pPr>
        <w:tabs>
          <w:tab w:val="left" w:pos="1440"/>
          <w:tab w:val="center" w:pos="4925"/>
        </w:tabs>
        <w:rPr>
          <w:rFonts w:ascii="Times New Roman" w:hAnsi="Times New Roman" w:cs="Times New Roman"/>
          <w:b/>
          <w:sz w:val="24"/>
          <w:szCs w:val="22"/>
        </w:rPr>
      </w:pPr>
    </w:p>
    <w:p w14:paraId="4F3F472B" w14:textId="77777777" w:rsidR="00A87B1D" w:rsidRDefault="00A87B1D" w:rsidP="00A87B1D">
      <w:pPr>
        <w:pStyle w:val="Heading2"/>
      </w:pPr>
      <w:r w:rsidRPr="00895FFD">
        <w:t>Crosswalk</w:t>
      </w:r>
      <w:r>
        <w:t>s</w:t>
      </w:r>
    </w:p>
    <w:tbl>
      <w:tblPr>
        <w:tblStyle w:val="TableGrid"/>
        <w:tblW w:w="5184" w:type="pct"/>
        <w:tblInd w:w="-5" w:type="dxa"/>
        <w:tblCellMar>
          <w:left w:w="115" w:type="dxa"/>
          <w:right w:w="115" w:type="dxa"/>
        </w:tblCellMar>
        <w:tblLook w:val="04A0" w:firstRow="1" w:lastRow="0" w:firstColumn="1" w:lastColumn="0" w:noHBand="0" w:noVBand="1"/>
      </w:tblPr>
      <w:tblGrid>
        <w:gridCol w:w="1802"/>
        <w:gridCol w:w="8639"/>
      </w:tblGrid>
      <w:tr w:rsidR="00A87B1D" w:rsidRPr="001E325E" w14:paraId="3DF803AB" w14:textId="77777777" w:rsidTr="00FD2E58">
        <w:trPr>
          <w:trHeight w:val="359"/>
        </w:trPr>
        <w:tc>
          <w:tcPr>
            <w:tcW w:w="863" w:type="pct"/>
            <w:tcMar>
              <w:top w:w="14" w:type="dxa"/>
              <w:left w:w="115" w:type="dxa"/>
              <w:bottom w:w="14" w:type="dxa"/>
              <w:right w:w="115" w:type="dxa"/>
            </w:tcMar>
            <w:vAlign w:val="center"/>
          </w:tcPr>
          <w:p w14:paraId="3A72FAFA" w14:textId="77777777" w:rsidR="00A87B1D" w:rsidRPr="00A87B1D" w:rsidRDefault="00A87B1D" w:rsidP="00163E15">
            <w:pPr>
              <w:jc w:val="center"/>
              <w:rPr>
                <w:rFonts w:ascii="Times New Roman" w:hAnsi="Times New Roman" w:cs="Times New Roman"/>
                <w:color w:val="000000"/>
                <w:szCs w:val="22"/>
              </w:rPr>
            </w:pPr>
            <w:bookmarkStart w:id="1" w:name="_Hlk97807307"/>
            <w:r w:rsidRPr="00A87B1D">
              <w:rPr>
                <w:rFonts w:ascii="Times New Roman" w:hAnsi="Times New Roman" w:cs="Times New Roman"/>
                <w:b/>
                <w:szCs w:val="22"/>
              </w:rPr>
              <w:t>Deleted Code</w:t>
            </w:r>
          </w:p>
        </w:tc>
        <w:tc>
          <w:tcPr>
            <w:tcW w:w="4137" w:type="pct"/>
            <w:tcBorders>
              <w:right w:val="single" w:sz="4" w:space="0" w:color="auto"/>
            </w:tcBorders>
            <w:tcMar>
              <w:top w:w="14" w:type="dxa"/>
              <w:left w:w="115" w:type="dxa"/>
              <w:bottom w:w="14" w:type="dxa"/>
              <w:right w:w="115" w:type="dxa"/>
            </w:tcMar>
            <w:vAlign w:val="center"/>
          </w:tcPr>
          <w:p w14:paraId="68130D74" w14:textId="77777777" w:rsidR="00A87B1D" w:rsidRPr="00A87B1D" w:rsidRDefault="00A87B1D" w:rsidP="00163E15">
            <w:pPr>
              <w:jc w:val="center"/>
              <w:rPr>
                <w:rFonts w:ascii="Times New Roman" w:hAnsi="Times New Roman" w:cs="Times New Roman"/>
                <w:b/>
                <w:bCs/>
                <w:color w:val="000000"/>
                <w:szCs w:val="22"/>
              </w:rPr>
            </w:pPr>
            <w:r w:rsidRPr="00A87B1D">
              <w:rPr>
                <w:rFonts w:ascii="Times New Roman" w:hAnsi="Times New Roman" w:cs="Times New Roman"/>
                <w:b/>
                <w:bCs/>
                <w:color w:val="000000"/>
                <w:szCs w:val="22"/>
              </w:rPr>
              <w:t>Replacement Codes</w:t>
            </w:r>
          </w:p>
        </w:tc>
      </w:tr>
      <w:tr w:rsidR="00A87B1D" w:rsidRPr="001E325E" w14:paraId="78B78451" w14:textId="77777777" w:rsidTr="00FD2E58">
        <w:trPr>
          <w:trHeight w:val="350"/>
        </w:trPr>
        <w:tc>
          <w:tcPr>
            <w:tcW w:w="863" w:type="pct"/>
            <w:tcMar>
              <w:top w:w="14" w:type="dxa"/>
              <w:left w:w="115" w:type="dxa"/>
              <w:bottom w:w="14" w:type="dxa"/>
              <w:right w:w="115" w:type="dxa"/>
            </w:tcMar>
          </w:tcPr>
          <w:p w14:paraId="6EB17981"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80500</w:t>
            </w:r>
          </w:p>
        </w:tc>
        <w:tc>
          <w:tcPr>
            <w:tcW w:w="4137" w:type="pct"/>
            <w:tcBorders>
              <w:right w:val="single" w:sz="4" w:space="0" w:color="auto"/>
            </w:tcBorders>
            <w:tcMar>
              <w:top w:w="14" w:type="dxa"/>
              <w:left w:w="115" w:type="dxa"/>
              <w:bottom w:w="14" w:type="dxa"/>
              <w:right w:w="115" w:type="dxa"/>
            </w:tcMar>
          </w:tcPr>
          <w:p w14:paraId="298F4785"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80503, 80504, 80505, 80506</w:t>
            </w:r>
          </w:p>
        </w:tc>
      </w:tr>
      <w:tr w:rsidR="00A87B1D" w:rsidRPr="001E325E" w14:paraId="39AC533C" w14:textId="77777777" w:rsidTr="00FD2E58">
        <w:tblPrEx>
          <w:tblCellMar>
            <w:left w:w="108" w:type="dxa"/>
            <w:right w:w="108" w:type="dxa"/>
          </w:tblCellMar>
        </w:tblPrEx>
        <w:trPr>
          <w:trHeight w:val="350"/>
        </w:trPr>
        <w:tc>
          <w:tcPr>
            <w:tcW w:w="863" w:type="pct"/>
          </w:tcPr>
          <w:p w14:paraId="335C10D0"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80502</w:t>
            </w:r>
          </w:p>
        </w:tc>
        <w:tc>
          <w:tcPr>
            <w:tcW w:w="4137" w:type="pct"/>
          </w:tcPr>
          <w:p w14:paraId="6DFDB8ED" w14:textId="77777777" w:rsidR="00A87B1D" w:rsidRPr="00A87B1D" w:rsidRDefault="00A87B1D" w:rsidP="00163E15">
            <w:pPr>
              <w:jc w:val="center"/>
              <w:rPr>
                <w:rFonts w:ascii="Times New Roman" w:hAnsi="Times New Roman" w:cs="Times New Roman"/>
                <w:color w:val="000000"/>
                <w:szCs w:val="22"/>
              </w:rPr>
            </w:pPr>
            <w:r w:rsidRPr="00A87B1D">
              <w:rPr>
                <w:rFonts w:ascii="Times New Roman" w:hAnsi="Times New Roman" w:cs="Times New Roman"/>
                <w:color w:val="000000"/>
                <w:szCs w:val="22"/>
              </w:rPr>
              <w:t>80503, 80504, 80505, 80506</w:t>
            </w:r>
          </w:p>
        </w:tc>
      </w:tr>
      <w:bookmarkEnd w:id="1"/>
    </w:tbl>
    <w:p w14:paraId="2301F772" w14:textId="77777777" w:rsidR="00A87B1D" w:rsidRPr="004C3C45" w:rsidRDefault="00A87B1D" w:rsidP="00A87B1D">
      <w:pPr>
        <w:tabs>
          <w:tab w:val="left" w:pos="1440"/>
          <w:tab w:val="center" w:pos="4925"/>
        </w:tabs>
        <w:rPr>
          <w:rFonts w:ascii="Times New Roman" w:hAnsi="Times New Roman" w:cs="Times New Roman"/>
          <w:sz w:val="2"/>
          <w:szCs w:val="2"/>
        </w:rPr>
      </w:pPr>
    </w:p>
    <w:p w14:paraId="6B53278D"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EF17" w14:textId="77777777" w:rsidR="00D214F0" w:rsidRDefault="00D214F0">
      <w:r>
        <w:separator/>
      </w:r>
    </w:p>
  </w:endnote>
  <w:endnote w:type="continuationSeparator" w:id="0">
    <w:p w14:paraId="4E1295F0" w14:textId="77777777"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79B6"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AF2BF6"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E69"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31F80E91"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E67C" w14:textId="77777777" w:rsidR="001B3F94" w:rsidRDefault="00B90025">
    <w:pPr>
      <w:pStyle w:val="Footer"/>
    </w:pPr>
    <w:r>
      <w:rPr>
        <w:noProof/>
      </w:rPr>
      <w:drawing>
        <wp:inline distT="0" distB="0" distL="0" distR="0" wp14:anchorId="27F6F578" wp14:editId="4833CD11">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6084" w14:textId="77777777" w:rsidR="00D214F0" w:rsidRDefault="00D214F0">
      <w:r>
        <w:separator/>
      </w:r>
    </w:p>
  </w:footnote>
  <w:footnote w:type="continuationSeparator" w:id="0">
    <w:p w14:paraId="42B9F60A" w14:textId="77777777" w:rsidR="00D214F0" w:rsidRDefault="00D2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26278128">
    <w:abstractNumId w:val="4"/>
  </w:num>
  <w:num w:numId="2" w16cid:durableId="1294140643">
    <w:abstractNumId w:val="0"/>
  </w:num>
  <w:num w:numId="3" w16cid:durableId="943028477">
    <w:abstractNumId w:val="1"/>
  </w:num>
  <w:num w:numId="4" w16cid:durableId="1763187937">
    <w:abstractNumId w:val="2"/>
  </w:num>
  <w:num w:numId="5" w16cid:durableId="1920365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4C5270"/>
    <w:rsid w:val="005049C6"/>
    <w:rsid w:val="00527DC5"/>
    <w:rsid w:val="00535125"/>
    <w:rsid w:val="0054227E"/>
    <w:rsid w:val="0054689D"/>
    <w:rsid w:val="00556A92"/>
    <w:rsid w:val="00561E84"/>
    <w:rsid w:val="00564F8A"/>
    <w:rsid w:val="00565008"/>
    <w:rsid w:val="005A0778"/>
    <w:rsid w:val="005F2412"/>
    <w:rsid w:val="005F5D21"/>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87B1D"/>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977AE"/>
    <w:rsid w:val="00FC12A0"/>
    <w:rsid w:val="00FC1F58"/>
    <w:rsid w:val="00FC25AE"/>
    <w:rsid w:val="00FC2A36"/>
    <w:rsid w:val="00FD2E58"/>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4728B2"/>
  <w15:docId w15:val="{70337258-B1A6-46DC-BAF0-02C3B8C7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A87B1D"/>
    <w:pPr>
      <w:shd w:val="clear" w:color="auto" w:fill="FFFFFF"/>
      <w:spacing w:before="120" w:after="120" w:line="312" w:lineRule="atLeast"/>
      <w:outlineLvl w:val="1"/>
    </w:pPr>
    <w:rPr>
      <w:rFonts w:ascii="Times New Roman" w:hAnsi="Times New Roman" w:cs="Times New Roman"/>
      <w:b/>
      <w:bCs/>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Crystal, Malcolm (EHS)</cp:lastModifiedBy>
  <cp:revision>4</cp:revision>
  <cp:lastPrinted>2016-03-10T17:00:00Z</cp:lastPrinted>
  <dcterms:created xsi:type="dcterms:W3CDTF">2022-04-28T19:25:00Z</dcterms:created>
  <dcterms:modified xsi:type="dcterms:W3CDTF">2022-04-28T19:44:00Z</dcterms:modified>
</cp:coreProperties>
</file>