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1F9B" w14:textId="7183D433" w:rsidR="00EE4CAE" w:rsidRDefault="00EE4CAE">
      <w:bookmarkStart w:id="0" w:name="_Hlk128569485"/>
    </w:p>
    <w:p w14:paraId="14400683" w14:textId="50CD6908" w:rsidR="00534406" w:rsidRPr="00A967F6" w:rsidRDefault="00534406" w:rsidP="00A967F6">
      <w:pPr>
        <w:pStyle w:val="Default"/>
        <w:jc w:val="center"/>
        <w:rPr>
          <w:b/>
          <w:bCs/>
        </w:rPr>
      </w:pPr>
      <w:r w:rsidRPr="00A967F6">
        <w:rPr>
          <w:b/>
          <w:bCs/>
        </w:rPr>
        <w:t xml:space="preserve">Administrative Bulletin </w:t>
      </w:r>
      <w:r w:rsidR="00A967F6" w:rsidRPr="00A967F6">
        <w:rPr>
          <w:b/>
          <w:bCs/>
        </w:rPr>
        <w:t>23-05</w:t>
      </w:r>
    </w:p>
    <w:p w14:paraId="77467ABF" w14:textId="77777777" w:rsidR="00534406" w:rsidRPr="00A967F6" w:rsidRDefault="00534406" w:rsidP="00534406">
      <w:pPr>
        <w:rPr>
          <w:rFonts w:ascii="Times New Roman" w:eastAsia="Calibri" w:hAnsi="Times New Roman" w:cs="Times New Roman"/>
          <w:b/>
          <w:bCs/>
        </w:rPr>
      </w:pPr>
    </w:p>
    <w:p w14:paraId="65DFE333" w14:textId="77777777" w:rsidR="00534406" w:rsidRPr="00C2738F" w:rsidRDefault="00534406" w:rsidP="00534406">
      <w:pPr>
        <w:jc w:val="center"/>
        <w:rPr>
          <w:rFonts w:ascii="Times New Roman" w:hAnsi="Times New Roman" w:cs="Times New Roman"/>
          <w:b/>
        </w:rPr>
      </w:pPr>
      <w:r w:rsidRPr="002A0A59">
        <w:rPr>
          <w:rFonts w:ascii="Times New Roman" w:hAnsi="Times New Roman" w:cs="Times New Roman"/>
          <w:b/>
        </w:rPr>
        <w:t xml:space="preserve">101 </w:t>
      </w:r>
      <w:r w:rsidRPr="00C2738F">
        <w:rPr>
          <w:rFonts w:ascii="Times New Roman" w:hAnsi="Times New Roman" w:cs="Times New Roman"/>
          <w:b/>
        </w:rPr>
        <w:t xml:space="preserve">CMR 324.00: Nonpublic Ambulance Service Reimbursement </w:t>
      </w:r>
      <w:r w:rsidRPr="00C2738F">
        <w:rPr>
          <w:rFonts w:ascii="Times New Roman" w:hAnsi="Times New Roman" w:cs="Times New Roman"/>
          <w:b/>
        </w:rPr>
        <w:br/>
        <w:t>Trust Fund Assessment and Funding</w:t>
      </w:r>
    </w:p>
    <w:p w14:paraId="591C186E" w14:textId="77777777" w:rsidR="00534406" w:rsidRPr="00C2738F" w:rsidRDefault="00534406" w:rsidP="00534406">
      <w:pPr>
        <w:rPr>
          <w:rFonts w:ascii="Times New Roman" w:hAnsi="Times New Roman" w:cs="Times New Roman"/>
          <w:b/>
        </w:rPr>
      </w:pPr>
    </w:p>
    <w:p w14:paraId="527B7A21" w14:textId="1FCE29C2" w:rsidR="00C30A58" w:rsidRPr="00500DFD" w:rsidRDefault="00534406" w:rsidP="00643B78">
      <w:pPr>
        <w:pStyle w:val="Heading1"/>
        <w:rPr>
          <w:rFonts w:eastAsia="Calibri"/>
        </w:rPr>
      </w:pPr>
      <w:r w:rsidRPr="00500DFD">
        <w:rPr>
          <w:rFonts w:eastAsia="Calibri"/>
        </w:rPr>
        <w:t xml:space="preserve">Effective </w:t>
      </w:r>
      <w:r w:rsidR="00EB4615" w:rsidRPr="00500DFD">
        <w:rPr>
          <w:rFonts w:eastAsia="Calibri"/>
        </w:rPr>
        <w:t xml:space="preserve">March </w:t>
      </w:r>
      <w:r w:rsidR="00961D8E" w:rsidRPr="00500DFD">
        <w:rPr>
          <w:rFonts w:eastAsia="Calibri"/>
        </w:rPr>
        <w:t>13</w:t>
      </w:r>
      <w:r w:rsidR="004D729A" w:rsidRPr="00500DFD">
        <w:rPr>
          <w:rFonts w:eastAsia="Calibri"/>
        </w:rPr>
        <w:t>, 2023</w:t>
      </w:r>
      <w:r w:rsidR="00C30A58" w:rsidRPr="00500DFD">
        <w:rPr>
          <w:rFonts w:eastAsia="Calibri"/>
        </w:rPr>
        <w:t xml:space="preserve"> </w:t>
      </w:r>
    </w:p>
    <w:p w14:paraId="07A1B5FE" w14:textId="77777777" w:rsidR="00C30A58" w:rsidRPr="00C30A58" w:rsidRDefault="00C30A58" w:rsidP="00C30A58"/>
    <w:p w14:paraId="70CA2E82" w14:textId="326E7496" w:rsidR="00534406" w:rsidRPr="000420B3" w:rsidRDefault="00534406" w:rsidP="00643B78">
      <w:pPr>
        <w:pStyle w:val="Heading1"/>
      </w:pPr>
      <w:r w:rsidRPr="000420B3">
        <w:t xml:space="preserve">Nonpublic Ambulance Assessed Charges </w:t>
      </w:r>
    </w:p>
    <w:p w14:paraId="17671555" w14:textId="77777777" w:rsidR="00534406" w:rsidRPr="00C2738F" w:rsidRDefault="00534406" w:rsidP="00534406">
      <w:pPr>
        <w:shd w:val="clear" w:color="auto" w:fill="FFFFFF"/>
        <w:spacing w:line="276" w:lineRule="auto"/>
        <w:jc w:val="center"/>
        <w:rPr>
          <w:rFonts w:ascii="Times New Roman" w:hAnsi="Times New Roman" w:cs="Times New Roman"/>
          <w:b/>
        </w:rPr>
      </w:pPr>
    </w:p>
    <w:p w14:paraId="68AA2B21" w14:textId="5C530010" w:rsidR="00534406" w:rsidRDefault="00534406" w:rsidP="00403E91">
      <w:pPr>
        <w:pStyle w:val="Heading2"/>
      </w:pPr>
      <w:r w:rsidRPr="000420B3">
        <w:t>Introduction</w:t>
      </w:r>
    </w:p>
    <w:p w14:paraId="77364172" w14:textId="77777777" w:rsidR="000403AE" w:rsidRPr="000403AE" w:rsidRDefault="000403AE" w:rsidP="009B16E6"/>
    <w:p w14:paraId="6345753E" w14:textId="76AB8404" w:rsidR="00534406" w:rsidRPr="00403E91" w:rsidRDefault="00534406" w:rsidP="00403E91">
      <w:pPr>
        <w:pStyle w:val="Heading2"/>
        <w:rPr>
          <w:b w:val="0"/>
          <w:bCs w:val="0"/>
        </w:rPr>
      </w:pPr>
      <w:r w:rsidRPr="00403E91">
        <w:rPr>
          <w:b w:val="0"/>
          <w:bCs w:val="0"/>
        </w:rPr>
        <w:t>As provided in 101 CMR 324.01(2), the Executive Office of Health and Human Services</w:t>
      </w:r>
      <w:r w:rsidR="00EB4615" w:rsidRPr="00403E91">
        <w:rPr>
          <w:b w:val="0"/>
          <w:bCs w:val="0"/>
        </w:rPr>
        <w:t xml:space="preserve"> (EOHHS)</w:t>
      </w:r>
      <w:r w:rsidRPr="00403E91">
        <w:rPr>
          <w:b w:val="0"/>
          <w:bCs w:val="0"/>
        </w:rPr>
        <w:t xml:space="preserve"> is issuing this administrative bulletin to clarify</w:t>
      </w:r>
      <w:r w:rsidR="00363A1D" w:rsidRPr="00403E91">
        <w:rPr>
          <w:b w:val="0"/>
          <w:bCs w:val="0"/>
        </w:rPr>
        <w:t xml:space="preserve"> provider</w:t>
      </w:r>
      <w:r w:rsidRPr="00403E91">
        <w:rPr>
          <w:b w:val="0"/>
          <w:bCs w:val="0"/>
        </w:rPr>
        <w:t xml:space="preserve"> questions </w:t>
      </w:r>
      <w:r w:rsidR="00363A1D" w:rsidRPr="00403E91">
        <w:rPr>
          <w:b w:val="0"/>
          <w:bCs w:val="0"/>
        </w:rPr>
        <w:t xml:space="preserve">about </w:t>
      </w:r>
      <w:r w:rsidRPr="00403E91">
        <w:rPr>
          <w:b w:val="0"/>
          <w:bCs w:val="0"/>
        </w:rPr>
        <w:t xml:space="preserve">the nonpublic ambulance assessment, including </w:t>
      </w:r>
      <w:r w:rsidR="001311B1">
        <w:rPr>
          <w:b w:val="0"/>
          <w:bCs w:val="0"/>
        </w:rPr>
        <w:t>questions about the types of revenue that must be reported.</w:t>
      </w:r>
      <w:r w:rsidRPr="00403E91">
        <w:rPr>
          <w:b w:val="0"/>
          <w:bCs w:val="0"/>
        </w:rPr>
        <w:t xml:space="preserve">   </w:t>
      </w:r>
    </w:p>
    <w:p w14:paraId="619F7FCB" w14:textId="77777777" w:rsidR="000420B3" w:rsidRDefault="000420B3" w:rsidP="00534406">
      <w:pPr>
        <w:rPr>
          <w:rFonts w:ascii="Times New Roman" w:hAnsi="Times New Roman" w:cs="Times New Roman"/>
          <w:b/>
          <w:bCs/>
        </w:rPr>
      </w:pPr>
    </w:p>
    <w:p w14:paraId="7B34893A" w14:textId="5C1218F0" w:rsidR="00FB4D69" w:rsidRDefault="00534406" w:rsidP="003F37FF">
      <w:pPr>
        <w:pStyle w:val="Heading2"/>
      </w:pPr>
      <w:r w:rsidRPr="00C2738F">
        <w:t>Massachusetts Revenue</w:t>
      </w:r>
    </w:p>
    <w:p w14:paraId="3D53A174" w14:textId="77777777" w:rsidR="00057C5A" w:rsidRPr="00057C5A" w:rsidRDefault="00057C5A" w:rsidP="00057C5A"/>
    <w:p w14:paraId="49297DED" w14:textId="404FB106" w:rsidR="00534406" w:rsidRPr="00C2738F" w:rsidRDefault="00EB4615" w:rsidP="00534406">
      <w:pPr>
        <w:rPr>
          <w:rFonts w:ascii="Times New Roman" w:hAnsi="Times New Roman" w:cs="Times New Roman"/>
        </w:rPr>
      </w:pPr>
      <w:r>
        <w:rPr>
          <w:rFonts w:ascii="Times New Roman" w:hAnsi="Times New Roman" w:cs="Times New Roman"/>
        </w:rPr>
        <w:t xml:space="preserve">The ambulance assessment is </w:t>
      </w:r>
      <w:r w:rsidR="001311B1">
        <w:rPr>
          <w:rFonts w:ascii="Times New Roman" w:hAnsi="Times New Roman" w:cs="Times New Roman"/>
        </w:rPr>
        <w:t xml:space="preserve">assessed </w:t>
      </w:r>
      <w:r>
        <w:rPr>
          <w:rFonts w:ascii="Times New Roman" w:hAnsi="Times New Roman" w:cs="Times New Roman"/>
        </w:rPr>
        <w:t xml:space="preserve">on Nonpublic Emergency Ambulance Assessed Charges. </w:t>
      </w:r>
      <w:bookmarkStart w:id="1" w:name="_Hlk128565039"/>
      <w:r w:rsidR="00534406" w:rsidRPr="00C2738F">
        <w:rPr>
          <w:rFonts w:ascii="Times New Roman" w:hAnsi="Times New Roman" w:cs="Times New Roman"/>
        </w:rPr>
        <w:t xml:space="preserve">101 CMR 324.02 defines </w:t>
      </w:r>
      <w:r>
        <w:rPr>
          <w:rFonts w:ascii="Times New Roman" w:hAnsi="Times New Roman" w:cs="Times New Roman"/>
        </w:rPr>
        <w:t>“</w:t>
      </w:r>
      <w:r w:rsidRPr="00C2738F">
        <w:rPr>
          <w:rFonts w:ascii="Times New Roman" w:hAnsi="Times New Roman" w:cs="Times New Roman"/>
        </w:rPr>
        <w:t>Nonpublic Emergency Ambulance Assessed Charges</w:t>
      </w:r>
      <w:r>
        <w:rPr>
          <w:rFonts w:ascii="Times New Roman" w:hAnsi="Times New Roman" w:cs="Times New Roman"/>
        </w:rPr>
        <w:t>”</w:t>
      </w:r>
      <w:r w:rsidRPr="00C2738F">
        <w:rPr>
          <w:rFonts w:ascii="Times New Roman" w:hAnsi="Times New Roman" w:cs="Times New Roman"/>
        </w:rPr>
        <w:t xml:space="preserve"> </w:t>
      </w:r>
      <w:r w:rsidR="00534406" w:rsidRPr="00C2738F">
        <w:rPr>
          <w:rFonts w:ascii="Times New Roman" w:hAnsi="Times New Roman" w:cs="Times New Roman"/>
        </w:rPr>
        <w:t xml:space="preserve">to be </w:t>
      </w:r>
      <w:r w:rsidR="00534406" w:rsidRPr="00396FB9">
        <w:rPr>
          <w:rFonts w:ascii="Times New Roman" w:hAnsi="Times New Roman" w:cs="Times New Roman"/>
        </w:rPr>
        <w:t xml:space="preserve">Massachusetts </w:t>
      </w:r>
      <w:r w:rsidR="00534406" w:rsidRPr="00C2738F">
        <w:rPr>
          <w:rFonts w:ascii="Times New Roman" w:hAnsi="Times New Roman" w:cs="Times New Roman"/>
        </w:rPr>
        <w:t>gross patient service revenue earned from all patients attributable to emergency ground ambulance service, less bad debt, charity care, or payer discounts</w:t>
      </w:r>
      <w:r w:rsidR="003E4C82">
        <w:rPr>
          <w:rFonts w:ascii="Times New Roman" w:hAnsi="Times New Roman" w:cs="Times New Roman"/>
        </w:rPr>
        <w:t>.</w:t>
      </w:r>
      <w:r w:rsidR="00534406" w:rsidRPr="00C2738F">
        <w:rPr>
          <w:rFonts w:ascii="Times New Roman" w:hAnsi="Times New Roman" w:cs="Times New Roman"/>
        </w:rPr>
        <w:t xml:space="preserve"> </w:t>
      </w:r>
      <w:bookmarkEnd w:id="1"/>
      <w:r w:rsidR="00534406" w:rsidRPr="00C2738F">
        <w:rPr>
          <w:rFonts w:ascii="Times New Roman" w:hAnsi="Times New Roman" w:cs="Times New Roman"/>
        </w:rPr>
        <w:t>Massachusetts gross patient service revenue</w:t>
      </w:r>
      <w:r w:rsidR="00141A7A">
        <w:rPr>
          <w:rFonts w:ascii="Times New Roman" w:hAnsi="Times New Roman" w:cs="Times New Roman"/>
        </w:rPr>
        <w:t xml:space="preserve"> </w:t>
      </w:r>
      <w:r w:rsidR="00534406" w:rsidRPr="00C2738F">
        <w:rPr>
          <w:rFonts w:ascii="Times New Roman" w:hAnsi="Times New Roman" w:cs="Times New Roman"/>
        </w:rPr>
        <w:t>include</w:t>
      </w:r>
      <w:r w:rsidR="00141A7A">
        <w:rPr>
          <w:rFonts w:ascii="Times New Roman" w:hAnsi="Times New Roman" w:cs="Times New Roman"/>
        </w:rPr>
        <w:t>s</w:t>
      </w:r>
      <w:r w:rsidR="00534406" w:rsidRPr="00C2738F">
        <w:rPr>
          <w:rFonts w:ascii="Times New Roman" w:hAnsi="Times New Roman" w:cs="Times New Roman"/>
        </w:rPr>
        <w:t xml:space="preserve"> any patient revenue for emergency </w:t>
      </w:r>
      <w:r w:rsidR="005F52C8">
        <w:rPr>
          <w:rFonts w:ascii="Times New Roman" w:hAnsi="Times New Roman" w:cs="Times New Roman"/>
        </w:rPr>
        <w:t xml:space="preserve">ground </w:t>
      </w:r>
      <w:r w:rsidR="00534406" w:rsidRPr="00C2738F">
        <w:rPr>
          <w:rFonts w:ascii="Times New Roman" w:hAnsi="Times New Roman" w:cs="Times New Roman"/>
        </w:rPr>
        <w:t xml:space="preserve">ambulance transportation with both a pick-up and drop-off location in Massachusetts. </w:t>
      </w:r>
      <w:r w:rsidR="008F0D45">
        <w:rPr>
          <w:rFonts w:ascii="Times New Roman" w:hAnsi="Times New Roman" w:cs="Times New Roman"/>
        </w:rPr>
        <w:t>Conversely, a</w:t>
      </w:r>
      <w:r w:rsidR="00534406" w:rsidRPr="00C2738F">
        <w:rPr>
          <w:rFonts w:ascii="Times New Roman" w:hAnsi="Times New Roman" w:cs="Times New Roman"/>
        </w:rPr>
        <w:t xml:space="preserve">ny revenue for ground emergency ambulance transportation with both pick-up and drop-off locations outside of Massachusetts is excluded from the assessment.  </w:t>
      </w:r>
    </w:p>
    <w:p w14:paraId="262D933B" w14:textId="77777777" w:rsidR="000420B3" w:rsidRDefault="000420B3" w:rsidP="00534406">
      <w:pPr>
        <w:rPr>
          <w:rFonts w:ascii="Times New Roman" w:hAnsi="Times New Roman" w:cs="Times New Roman"/>
        </w:rPr>
      </w:pPr>
    </w:p>
    <w:p w14:paraId="7EB1DF43" w14:textId="7066A117" w:rsidR="00534406" w:rsidRPr="00C2738F" w:rsidRDefault="00534406" w:rsidP="00534406">
      <w:pPr>
        <w:rPr>
          <w:rFonts w:ascii="Times New Roman" w:hAnsi="Times New Roman" w:cs="Times New Roman"/>
        </w:rPr>
      </w:pPr>
      <w:r w:rsidRPr="00C2738F">
        <w:rPr>
          <w:rFonts w:ascii="Times New Roman" w:hAnsi="Times New Roman" w:cs="Times New Roman"/>
        </w:rPr>
        <w:t xml:space="preserve">For interstate transportation (transportation between Massachusetts and another state), the provider </w:t>
      </w:r>
      <w:r w:rsidR="005F52C8">
        <w:rPr>
          <w:rFonts w:ascii="Times New Roman" w:hAnsi="Times New Roman" w:cs="Times New Roman"/>
        </w:rPr>
        <w:t>should reasonably allocate revenue between the two states. If the provider has an existing methodology that apportions revenue between the states (</w:t>
      </w:r>
      <w:r w:rsidR="00096454">
        <w:rPr>
          <w:rFonts w:ascii="Times New Roman" w:hAnsi="Times New Roman" w:cs="Times New Roman"/>
        </w:rPr>
        <w:t>for</w:t>
      </w:r>
      <w:r w:rsidR="000403AE">
        <w:rPr>
          <w:rFonts w:ascii="Times New Roman" w:hAnsi="Times New Roman" w:cs="Times New Roman"/>
        </w:rPr>
        <w:t xml:space="preserve"> </w:t>
      </w:r>
      <w:r w:rsidR="00096454">
        <w:rPr>
          <w:rFonts w:ascii="Times New Roman" w:hAnsi="Times New Roman" w:cs="Times New Roman"/>
        </w:rPr>
        <w:t>example,</w:t>
      </w:r>
      <w:r w:rsidR="005F52C8">
        <w:rPr>
          <w:rFonts w:ascii="Times New Roman" w:hAnsi="Times New Roman" w:cs="Times New Roman"/>
        </w:rPr>
        <w:t xml:space="preserve"> for taxes allocated between the states), </w:t>
      </w:r>
      <w:r w:rsidR="000420B3">
        <w:rPr>
          <w:rFonts w:ascii="Times New Roman" w:hAnsi="Times New Roman" w:cs="Times New Roman"/>
        </w:rPr>
        <w:t xml:space="preserve">they </w:t>
      </w:r>
      <w:r w:rsidR="005F52C8">
        <w:rPr>
          <w:rFonts w:ascii="Times New Roman" w:hAnsi="Times New Roman" w:cs="Times New Roman"/>
        </w:rPr>
        <w:t xml:space="preserve">can use that methodology so long as approximately half of revenue for interstate transportation between Massachusetts and another state is allocated to Massachusetts. </w:t>
      </w:r>
      <w:r w:rsidRPr="00C2738F">
        <w:rPr>
          <w:rFonts w:ascii="Times New Roman" w:hAnsi="Times New Roman" w:cs="Times New Roman"/>
        </w:rPr>
        <w:t>If this is not applicable</w:t>
      </w:r>
      <w:r w:rsidR="008123A1">
        <w:rPr>
          <w:rFonts w:ascii="Times New Roman" w:hAnsi="Times New Roman" w:cs="Times New Roman"/>
        </w:rPr>
        <w:t xml:space="preserve"> (</w:t>
      </w:r>
      <w:r w:rsidR="00884D23">
        <w:rPr>
          <w:rFonts w:ascii="Times New Roman" w:hAnsi="Times New Roman" w:cs="Times New Roman"/>
        </w:rPr>
        <w:t>for example</w:t>
      </w:r>
      <w:r w:rsidR="00621360">
        <w:rPr>
          <w:rFonts w:ascii="Times New Roman" w:hAnsi="Times New Roman" w:cs="Times New Roman"/>
        </w:rPr>
        <w:t>,</w:t>
      </w:r>
      <w:r w:rsidR="008123A1">
        <w:rPr>
          <w:rFonts w:ascii="Times New Roman" w:hAnsi="Times New Roman" w:cs="Times New Roman"/>
        </w:rPr>
        <w:t xml:space="preserve"> </w:t>
      </w:r>
      <w:r w:rsidR="00621360">
        <w:rPr>
          <w:rFonts w:ascii="Times New Roman" w:hAnsi="Times New Roman" w:cs="Times New Roman"/>
        </w:rPr>
        <w:t>n</w:t>
      </w:r>
      <w:r w:rsidR="008123A1">
        <w:rPr>
          <w:rFonts w:ascii="Times New Roman" w:hAnsi="Times New Roman" w:cs="Times New Roman"/>
        </w:rPr>
        <w:t>ot for profit/</w:t>
      </w:r>
      <w:r w:rsidR="003263B6">
        <w:rPr>
          <w:rFonts w:ascii="Times New Roman" w:hAnsi="Times New Roman" w:cs="Times New Roman"/>
        </w:rPr>
        <w:t>nontaxable</w:t>
      </w:r>
      <w:r w:rsidR="008123A1">
        <w:rPr>
          <w:rFonts w:ascii="Times New Roman" w:hAnsi="Times New Roman" w:cs="Times New Roman"/>
        </w:rPr>
        <w:t>)</w:t>
      </w:r>
      <w:r w:rsidRPr="00C2738F">
        <w:rPr>
          <w:rFonts w:ascii="Times New Roman" w:hAnsi="Times New Roman" w:cs="Times New Roman"/>
        </w:rPr>
        <w:t xml:space="preserve">, providers should report based on the pick-up location, such that revenue for applicable pick-ups in Massachusetts would be included in the assessment, and revenue </w:t>
      </w:r>
      <w:r w:rsidR="00F66BC1">
        <w:rPr>
          <w:rFonts w:ascii="Times New Roman" w:hAnsi="Times New Roman" w:cs="Times New Roman"/>
        </w:rPr>
        <w:t xml:space="preserve">for </w:t>
      </w:r>
      <w:r w:rsidRPr="00C2738F">
        <w:rPr>
          <w:rFonts w:ascii="Times New Roman" w:hAnsi="Times New Roman" w:cs="Times New Roman"/>
        </w:rPr>
        <w:t xml:space="preserve">pick-ups outside of Massachusetts would be excluded. </w:t>
      </w:r>
    </w:p>
    <w:p w14:paraId="08CF0C6C" w14:textId="77777777" w:rsidR="00534406" w:rsidRPr="00C2738F" w:rsidRDefault="00534406" w:rsidP="00534406">
      <w:pPr>
        <w:rPr>
          <w:rFonts w:ascii="Times New Roman" w:hAnsi="Times New Roman" w:cs="Times New Roman"/>
        </w:rPr>
      </w:pPr>
    </w:p>
    <w:p w14:paraId="0A1C411D" w14:textId="7779B83C" w:rsidR="00534406" w:rsidRDefault="00534406" w:rsidP="00446C08">
      <w:pPr>
        <w:pStyle w:val="Heading2"/>
        <w:keepNext/>
      </w:pPr>
      <w:r w:rsidRPr="00C2738F">
        <w:lastRenderedPageBreak/>
        <w:t>Reporting of Bad Debt, Charity Care, or Payer Discounts</w:t>
      </w:r>
    </w:p>
    <w:p w14:paraId="139DBF86" w14:textId="77777777" w:rsidR="000403AE" w:rsidRPr="00C2738F" w:rsidRDefault="000403AE" w:rsidP="00446C08">
      <w:pPr>
        <w:pStyle w:val="Heading2"/>
        <w:keepNext/>
      </w:pPr>
    </w:p>
    <w:p w14:paraId="78FA99A6" w14:textId="41B5FC2E" w:rsidR="00534406" w:rsidRPr="00C2738F" w:rsidRDefault="00534406" w:rsidP="00446C08">
      <w:pPr>
        <w:keepNext/>
        <w:rPr>
          <w:rFonts w:ascii="Times New Roman" w:hAnsi="Times New Roman" w:cs="Times New Roman"/>
        </w:rPr>
      </w:pPr>
      <w:r w:rsidRPr="00C2738F">
        <w:rPr>
          <w:rFonts w:ascii="Times New Roman" w:hAnsi="Times New Roman" w:cs="Times New Roman"/>
        </w:rPr>
        <w:t xml:space="preserve">As stated </w:t>
      </w:r>
      <w:r w:rsidR="000403AE">
        <w:rPr>
          <w:rFonts w:ascii="Times New Roman" w:hAnsi="Times New Roman" w:cs="Times New Roman"/>
        </w:rPr>
        <w:t xml:space="preserve">on </w:t>
      </w:r>
      <w:r w:rsidR="000403AE" w:rsidRPr="00E95116">
        <w:rPr>
          <w:rFonts w:ascii="Times New Roman" w:hAnsi="Times New Roman" w:cs="Times New Roman"/>
        </w:rPr>
        <w:t>the previous page</w:t>
      </w:r>
      <w:r w:rsidRPr="00C2738F">
        <w:rPr>
          <w:rFonts w:ascii="Times New Roman" w:hAnsi="Times New Roman" w:cs="Times New Roman"/>
        </w:rPr>
        <w:t xml:space="preserve">, 101 CMR 324.02 defines </w:t>
      </w:r>
      <w:r>
        <w:rPr>
          <w:rFonts w:ascii="Times New Roman" w:hAnsi="Times New Roman" w:cs="Times New Roman"/>
        </w:rPr>
        <w:t>“</w:t>
      </w:r>
      <w:r w:rsidRPr="00C2738F">
        <w:rPr>
          <w:rFonts w:ascii="Times New Roman" w:hAnsi="Times New Roman" w:cs="Times New Roman"/>
        </w:rPr>
        <w:t>Nonpublic Emergency Ambulance Assessed Charges</w:t>
      </w:r>
      <w:r>
        <w:rPr>
          <w:rFonts w:ascii="Times New Roman" w:hAnsi="Times New Roman" w:cs="Times New Roman"/>
        </w:rPr>
        <w:t>”</w:t>
      </w:r>
      <w:r w:rsidRPr="00C2738F">
        <w:rPr>
          <w:rFonts w:ascii="Times New Roman" w:hAnsi="Times New Roman" w:cs="Times New Roman"/>
        </w:rPr>
        <w:t xml:space="preserve"> to include Massachusetts gross patient service revenue earned from all patients </w:t>
      </w:r>
      <w:r w:rsidR="003263B6">
        <w:rPr>
          <w:rFonts w:ascii="Times New Roman" w:hAnsi="Times New Roman" w:cs="Times New Roman"/>
        </w:rPr>
        <w:t xml:space="preserve">for </w:t>
      </w:r>
      <w:r w:rsidRPr="00C2738F">
        <w:rPr>
          <w:rFonts w:ascii="Times New Roman" w:hAnsi="Times New Roman" w:cs="Times New Roman"/>
        </w:rPr>
        <w:t xml:space="preserve">emergency ground ambulance service, less bad debt, charity care, or payer discounts. </w:t>
      </w:r>
    </w:p>
    <w:p w14:paraId="40E56446" w14:textId="77777777" w:rsidR="00534406" w:rsidRPr="00C2738F" w:rsidRDefault="00534406" w:rsidP="00534406">
      <w:pPr>
        <w:rPr>
          <w:rFonts w:ascii="Times New Roman" w:hAnsi="Times New Roman" w:cs="Times New Roman"/>
        </w:rPr>
      </w:pPr>
    </w:p>
    <w:p w14:paraId="6183570F" w14:textId="3CC33291" w:rsidR="005F52C8" w:rsidRPr="00C2738F" w:rsidRDefault="00534406" w:rsidP="005F52C8">
      <w:pPr>
        <w:rPr>
          <w:rFonts w:ascii="Times New Roman" w:hAnsi="Times New Roman" w:cs="Times New Roman"/>
        </w:rPr>
      </w:pPr>
      <w:r w:rsidRPr="00C2738F">
        <w:rPr>
          <w:rFonts w:ascii="Times New Roman" w:hAnsi="Times New Roman" w:cs="Times New Roman"/>
        </w:rPr>
        <w:t>In reporting revenue, providers should report bad debt, charity care, or payer discounts</w:t>
      </w:r>
      <w:r w:rsidR="00FB4D69">
        <w:rPr>
          <w:rFonts w:ascii="Times New Roman" w:hAnsi="Times New Roman" w:cs="Times New Roman"/>
        </w:rPr>
        <w:t xml:space="preserve"> </w:t>
      </w:r>
      <w:r w:rsidR="00FB4D69" w:rsidRPr="00C2738F">
        <w:rPr>
          <w:rFonts w:ascii="Times New Roman" w:hAnsi="Times New Roman" w:cs="Times New Roman"/>
        </w:rPr>
        <w:t xml:space="preserve">separately </w:t>
      </w:r>
      <w:r w:rsidRPr="00C2738F">
        <w:rPr>
          <w:rFonts w:ascii="Times New Roman" w:hAnsi="Times New Roman" w:cs="Times New Roman"/>
        </w:rPr>
        <w:t>only if they reported that corresponding amount in their gross patient service revenue</w:t>
      </w:r>
      <w:r>
        <w:rPr>
          <w:rFonts w:ascii="Times New Roman" w:hAnsi="Times New Roman" w:cs="Times New Roman"/>
        </w:rPr>
        <w:t xml:space="preserve"> </w:t>
      </w:r>
      <w:r w:rsidR="0003122C">
        <w:rPr>
          <w:rFonts w:ascii="Times New Roman" w:hAnsi="Times New Roman" w:cs="Times New Roman"/>
        </w:rPr>
        <w:t>for</w:t>
      </w:r>
      <w:r>
        <w:rPr>
          <w:rFonts w:ascii="Times New Roman" w:hAnsi="Times New Roman" w:cs="Times New Roman"/>
        </w:rPr>
        <w:t xml:space="preserve"> emergency ground ambulance service</w:t>
      </w:r>
      <w:r w:rsidRPr="00C2738F">
        <w:rPr>
          <w:rFonts w:ascii="Times New Roman" w:hAnsi="Times New Roman" w:cs="Times New Roman"/>
        </w:rPr>
        <w:t xml:space="preserve">. </w:t>
      </w:r>
      <w:r w:rsidR="005F52C8">
        <w:rPr>
          <w:rFonts w:ascii="Times New Roman" w:hAnsi="Times New Roman" w:cs="Times New Roman"/>
        </w:rPr>
        <w:t xml:space="preserve">Bad debt, charity care, or payer discounts should not be reported </w:t>
      </w:r>
      <w:r w:rsidR="0003122C">
        <w:rPr>
          <w:rFonts w:ascii="Times New Roman" w:hAnsi="Times New Roman" w:cs="Times New Roman"/>
        </w:rPr>
        <w:t>if</w:t>
      </w:r>
      <w:r w:rsidR="005F52C8">
        <w:rPr>
          <w:rFonts w:ascii="Times New Roman" w:hAnsi="Times New Roman" w:cs="Times New Roman"/>
        </w:rPr>
        <w:t xml:space="preserve"> it relates to out-of-state or non-emergency transportation, or </w:t>
      </w:r>
      <w:r w:rsidR="0003122C">
        <w:rPr>
          <w:rFonts w:ascii="Times New Roman" w:hAnsi="Times New Roman" w:cs="Times New Roman"/>
        </w:rPr>
        <w:t>if</w:t>
      </w:r>
      <w:r w:rsidR="005F52C8">
        <w:rPr>
          <w:rFonts w:ascii="Times New Roman" w:hAnsi="Times New Roman" w:cs="Times New Roman"/>
        </w:rPr>
        <w:t xml:space="preserve"> it was </w:t>
      </w:r>
      <w:r w:rsidR="00843E71">
        <w:rPr>
          <w:rFonts w:ascii="Times New Roman" w:hAnsi="Times New Roman" w:cs="Times New Roman"/>
        </w:rPr>
        <w:t xml:space="preserve">otherwise </w:t>
      </w:r>
      <w:r w:rsidR="005F52C8">
        <w:rPr>
          <w:rFonts w:ascii="Times New Roman" w:hAnsi="Times New Roman" w:cs="Times New Roman"/>
        </w:rPr>
        <w:t>already netted out of the revenue.</w:t>
      </w:r>
    </w:p>
    <w:p w14:paraId="50E66DD9" w14:textId="77777777" w:rsidR="005F52C8" w:rsidRDefault="005F52C8" w:rsidP="00534406">
      <w:pPr>
        <w:rPr>
          <w:rFonts w:ascii="Times New Roman" w:hAnsi="Times New Roman" w:cs="Times New Roman"/>
        </w:rPr>
      </w:pPr>
    </w:p>
    <w:p w14:paraId="04584E75" w14:textId="10E0C5EB" w:rsidR="0003122C" w:rsidRDefault="00534406" w:rsidP="00534406">
      <w:pPr>
        <w:rPr>
          <w:rFonts w:ascii="Times New Roman" w:hAnsi="Times New Roman" w:cs="Times New Roman"/>
        </w:rPr>
      </w:pPr>
      <w:r w:rsidRPr="00C2738F">
        <w:rPr>
          <w:rFonts w:ascii="Times New Roman" w:hAnsi="Times New Roman" w:cs="Times New Roman"/>
        </w:rPr>
        <w:t xml:space="preserve">For example, </w:t>
      </w:r>
    </w:p>
    <w:tbl>
      <w:tblPr>
        <w:tblStyle w:val="TableGrid"/>
        <w:tblW w:w="0" w:type="auto"/>
        <w:tblLook w:val="04A0" w:firstRow="1" w:lastRow="0" w:firstColumn="1" w:lastColumn="0" w:noHBand="0" w:noVBand="1"/>
      </w:tblPr>
      <w:tblGrid>
        <w:gridCol w:w="4675"/>
        <w:gridCol w:w="4675"/>
      </w:tblGrid>
      <w:tr w:rsidR="0003122C" w14:paraId="12ECE8AE" w14:textId="77777777" w:rsidTr="0003122C">
        <w:tc>
          <w:tcPr>
            <w:tcW w:w="4675" w:type="dxa"/>
          </w:tcPr>
          <w:p w14:paraId="7D12BDE6" w14:textId="7723ECDC" w:rsidR="0003122C" w:rsidRPr="003F37FF" w:rsidRDefault="0003122C" w:rsidP="003F37FF">
            <w:pPr>
              <w:spacing w:before="80" w:after="80"/>
              <w:rPr>
                <w:rFonts w:ascii="Times New Roman" w:hAnsi="Times New Roman" w:cs="Times New Roman"/>
                <w:b/>
                <w:bCs/>
              </w:rPr>
            </w:pPr>
            <w:r w:rsidRPr="003F37FF">
              <w:rPr>
                <w:rFonts w:ascii="Times New Roman" w:hAnsi="Times New Roman" w:cs="Times New Roman"/>
                <w:b/>
                <w:bCs/>
              </w:rPr>
              <w:t>If a provider</w:t>
            </w:r>
          </w:p>
        </w:tc>
        <w:tc>
          <w:tcPr>
            <w:tcW w:w="4675" w:type="dxa"/>
          </w:tcPr>
          <w:p w14:paraId="530C1E22" w14:textId="3CC24B8F" w:rsidR="0003122C" w:rsidRPr="00057C5A" w:rsidRDefault="00057C5A" w:rsidP="003F37FF">
            <w:pPr>
              <w:spacing w:before="80" w:after="80"/>
              <w:rPr>
                <w:rFonts w:ascii="Times New Roman" w:hAnsi="Times New Roman" w:cs="Times New Roman"/>
                <w:b/>
                <w:bCs/>
              </w:rPr>
            </w:pPr>
            <w:r>
              <w:rPr>
                <w:rFonts w:ascii="Times New Roman" w:hAnsi="Times New Roman" w:cs="Times New Roman"/>
                <w:b/>
                <w:bCs/>
              </w:rPr>
              <w:t>t</w:t>
            </w:r>
            <w:r w:rsidR="0003122C" w:rsidRPr="00057C5A">
              <w:rPr>
                <w:rFonts w:ascii="Times New Roman" w:hAnsi="Times New Roman" w:cs="Times New Roman"/>
                <w:b/>
                <w:bCs/>
              </w:rPr>
              <w:t>hen</w:t>
            </w:r>
            <w:r w:rsidRPr="00057C5A">
              <w:rPr>
                <w:rFonts w:ascii="Times New Roman" w:hAnsi="Times New Roman" w:cs="Times New Roman"/>
                <w:b/>
                <w:bCs/>
              </w:rPr>
              <w:t xml:space="preserve"> </w:t>
            </w:r>
          </w:p>
        </w:tc>
      </w:tr>
      <w:tr w:rsidR="0003122C" w14:paraId="0FABA92B" w14:textId="77777777" w:rsidTr="0003122C">
        <w:tc>
          <w:tcPr>
            <w:tcW w:w="4675" w:type="dxa"/>
          </w:tcPr>
          <w:p w14:paraId="6D3D6A59" w14:textId="7DD43964" w:rsidR="0003122C" w:rsidRDefault="0003122C" w:rsidP="00057C5A">
            <w:pPr>
              <w:pStyle w:val="ListParagraph"/>
              <w:numPr>
                <w:ilvl w:val="0"/>
                <w:numId w:val="1"/>
              </w:numPr>
              <w:spacing w:before="120"/>
              <w:ind w:left="519" w:hanging="274"/>
              <w:rPr>
                <w:rFonts w:ascii="Times New Roman" w:hAnsi="Times New Roman" w:cs="Times New Roman"/>
              </w:rPr>
            </w:pPr>
            <w:r w:rsidRPr="0003122C">
              <w:rPr>
                <w:rFonts w:ascii="Times New Roman" w:hAnsi="Times New Roman" w:cs="Times New Roman"/>
              </w:rPr>
              <w:t>charged $</w:t>
            </w:r>
            <w:r w:rsidRPr="003F37FF">
              <w:rPr>
                <w:rFonts w:ascii="Times New Roman" w:hAnsi="Times New Roman" w:cs="Times New Roman"/>
              </w:rPr>
              <w:t xml:space="preserve">100,000 </w:t>
            </w:r>
            <w:r w:rsidR="00CF7DBD" w:rsidRPr="003F37FF">
              <w:rPr>
                <w:rFonts w:ascii="Times New Roman" w:hAnsi="Times New Roman" w:cs="Times New Roman"/>
              </w:rPr>
              <w:t>for</w:t>
            </w:r>
            <w:r w:rsidRPr="003F37FF">
              <w:rPr>
                <w:rFonts w:ascii="Times New Roman" w:hAnsi="Times New Roman" w:cs="Times New Roman"/>
              </w:rPr>
              <w:t xml:space="preserve"> Massachusetts</w:t>
            </w:r>
            <w:r w:rsidRPr="0003122C">
              <w:rPr>
                <w:rFonts w:ascii="Times New Roman" w:hAnsi="Times New Roman" w:cs="Times New Roman"/>
              </w:rPr>
              <w:t xml:space="preserve"> emergency ground ambulance service, </w:t>
            </w:r>
          </w:p>
          <w:p w14:paraId="43DE19E8" w14:textId="77777777" w:rsidR="0003122C" w:rsidRDefault="0003122C" w:rsidP="0003122C">
            <w:pPr>
              <w:pStyle w:val="ListParagraph"/>
              <w:numPr>
                <w:ilvl w:val="0"/>
                <w:numId w:val="1"/>
              </w:numPr>
              <w:ind w:left="512" w:hanging="270"/>
              <w:rPr>
                <w:rFonts w:ascii="Times New Roman" w:hAnsi="Times New Roman" w:cs="Times New Roman"/>
              </w:rPr>
            </w:pPr>
            <w:r w:rsidRPr="0003122C">
              <w:rPr>
                <w:rFonts w:ascii="Times New Roman" w:hAnsi="Times New Roman" w:cs="Times New Roman"/>
              </w:rPr>
              <w:t xml:space="preserve">was paid $60,000 for this, and </w:t>
            </w:r>
          </w:p>
          <w:p w14:paraId="25A70506" w14:textId="7DD3DD4F" w:rsidR="0003122C" w:rsidRPr="0003122C" w:rsidRDefault="0003122C" w:rsidP="003F37FF">
            <w:pPr>
              <w:pStyle w:val="ListParagraph"/>
              <w:numPr>
                <w:ilvl w:val="0"/>
                <w:numId w:val="1"/>
              </w:numPr>
              <w:spacing w:after="80"/>
              <w:ind w:left="519" w:hanging="274"/>
              <w:rPr>
                <w:rFonts w:ascii="Times New Roman" w:hAnsi="Times New Roman" w:cs="Times New Roman"/>
              </w:rPr>
            </w:pPr>
            <w:r w:rsidRPr="0003122C">
              <w:rPr>
                <w:rFonts w:ascii="Times New Roman" w:hAnsi="Times New Roman" w:cs="Times New Roman"/>
              </w:rPr>
              <w:t>wrote off $40,000 for bad debt or payer discounts relating to Massachusetts emergency ground ambulance service</w:t>
            </w:r>
          </w:p>
        </w:tc>
        <w:tc>
          <w:tcPr>
            <w:tcW w:w="4675" w:type="dxa"/>
          </w:tcPr>
          <w:p w14:paraId="1378784C" w14:textId="4D86A797" w:rsidR="0003122C" w:rsidRDefault="008C3BEC" w:rsidP="008C3BEC">
            <w:pPr>
              <w:spacing w:before="120"/>
              <w:rPr>
                <w:rFonts w:ascii="Times New Roman" w:hAnsi="Times New Roman" w:cs="Times New Roman"/>
              </w:rPr>
            </w:pPr>
            <w:r w:rsidRPr="008C3BEC">
              <w:rPr>
                <w:rFonts w:ascii="Times New Roman" w:hAnsi="Times New Roman" w:cs="Times New Roman"/>
              </w:rPr>
              <w:t>the provider could report revenue in either of two ways:</w:t>
            </w:r>
            <w:r>
              <w:rPr>
                <w:rFonts w:ascii="Times New Roman" w:hAnsi="Times New Roman" w:cs="Times New Roman"/>
              </w:rPr>
              <w:br/>
            </w:r>
            <w:r w:rsidR="002405B5" w:rsidRPr="00C2738F">
              <w:rPr>
                <w:rFonts w:ascii="Times New Roman" w:hAnsi="Times New Roman" w:cs="Times New Roman"/>
              </w:rPr>
              <w:t xml:space="preserve">1) Report $60,000 in patient service revenue; or </w:t>
            </w:r>
            <w:r w:rsidR="00057C5A">
              <w:rPr>
                <w:rFonts w:ascii="Times New Roman" w:hAnsi="Times New Roman" w:cs="Times New Roman"/>
              </w:rPr>
              <w:br/>
            </w:r>
            <w:r w:rsidR="002405B5" w:rsidRPr="00C2738F">
              <w:rPr>
                <w:rFonts w:ascii="Times New Roman" w:hAnsi="Times New Roman" w:cs="Times New Roman"/>
              </w:rPr>
              <w:t>2) Report $100,000 in patient service revenue and $40,000 in bad debt</w:t>
            </w:r>
            <w:r w:rsidR="002405B5">
              <w:rPr>
                <w:rFonts w:ascii="Times New Roman" w:hAnsi="Times New Roman" w:cs="Times New Roman"/>
              </w:rPr>
              <w:t xml:space="preserve"> or payer discounts</w:t>
            </w:r>
            <w:r w:rsidR="002405B5" w:rsidRPr="00C2738F">
              <w:rPr>
                <w:rFonts w:ascii="Times New Roman" w:hAnsi="Times New Roman" w:cs="Times New Roman"/>
              </w:rPr>
              <w:t>.</w:t>
            </w:r>
          </w:p>
        </w:tc>
      </w:tr>
    </w:tbl>
    <w:p w14:paraId="1E638FB1" w14:textId="77777777" w:rsidR="0003122C" w:rsidRDefault="0003122C" w:rsidP="00534406">
      <w:pPr>
        <w:rPr>
          <w:rFonts w:ascii="Times New Roman" w:hAnsi="Times New Roman" w:cs="Times New Roman"/>
        </w:rPr>
      </w:pPr>
    </w:p>
    <w:p w14:paraId="3B44ABB8" w14:textId="6CC56DC5" w:rsidR="00534406" w:rsidRDefault="00534406" w:rsidP="00534406">
      <w:pPr>
        <w:rPr>
          <w:rFonts w:ascii="Times New Roman" w:hAnsi="Times New Roman" w:cs="Times New Roman"/>
        </w:rPr>
      </w:pPr>
      <w:r w:rsidRPr="00C2738F">
        <w:rPr>
          <w:rFonts w:ascii="Times New Roman" w:hAnsi="Times New Roman" w:cs="Times New Roman"/>
        </w:rPr>
        <w:t xml:space="preserve">Providers may not report the revenue already netting out bad debt, charity care, or payer discounts and then separately report bad debt, charity care, or payer discounts. In other words, the provider in this example may not report $60,000 in patient revenue and then separately report $40,000 in bad debt, because this would be </w:t>
      </w:r>
      <w:r w:rsidR="00843E71">
        <w:rPr>
          <w:rFonts w:ascii="Times New Roman" w:hAnsi="Times New Roman" w:cs="Times New Roman"/>
        </w:rPr>
        <w:t xml:space="preserve">effectively </w:t>
      </w:r>
      <w:proofErr w:type="gramStart"/>
      <w:r w:rsidR="003E4C82" w:rsidRPr="00C2738F">
        <w:rPr>
          <w:rFonts w:ascii="Times New Roman" w:hAnsi="Times New Roman" w:cs="Times New Roman"/>
        </w:rPr>
        <w:t>doubl</w:t>
      </w:r>
      <w:r w:rsidR="003F37FF">
        <w:rPr>
          <w:rFonts w:ascii="Times New Roman" w:hAnsi="Times New Roman" w:cs="Times New Roman"/>
        </w:rPr>
        <w:t>e-</w:t>
      </w:r>
      <w:r w:rsidR="00843E71">
        <w:rPr>
          <w:rFonts w:ascii="Times New Roman" w:hAnsi="Times New Roman" w:cs="Times New Roman"/>
        </w:rPr>
        <w:t>counting</w:t>
      </w:r>
      <w:proofErr w:type="gramEnd"/>
      <w:r w:rsidRPr="00C2738F">
        <w:rPr>
          <w:rFonts w:ascii="Times New Roman" w:hAnsi="Times New Roman" w:cs="Times New Roman"/>
        </w:rPr>
        <w:t xml:space="preserve"> the bad debt.  </w:t>
      </w:r>
    </w:p>
    <w:p w14:paraId="45B93286" w14:textId="1DA6D00C" w:rsidR="005F52C8" w:rsidRDefault="005F52C8" w:rsidP="00534406">
      <w:pPr>
        <w:rPr>
          <w:rFonts w:ascii="Times New Roman" w:hAnsi="Times New Roman" w:cs="Times New Roman"/>
        </w:rPr>
      </w:pPr>
    </w:p>
    <w:p w14:paraId="48527265" w14:textId="3DBECFC1" w:rsidR="00534406" w:rsidRDefault="00534406" w:rsidP="009B16E6">
      <w:pPr>
        <w:pStyle w:val="Heading2"/>
      </w:pPr>
      <w:r w:rsidRPr="00C2738F">
        <w:t>Scope of Ambulance Assessment</w:t>
      </w:r>
    </w:p>
    <w:p w14:paraId="5C34ECE3" w14:textId="77777777" w:rsidR="000532E5" w:rsidRPr="00C2738F" w:rsidRDefault="000532E5" w:rsidP="00534406">
      <w:pPr>
        <w:rPr>
          <w:rFonts w:ascii="Times New Roman" w:hAnsi="Times New Roman" w:cs="Times New Roman"/>
          <w:b/>
          <w:bCs/>
        </w:rPr>
      </w:pPr>
    </w:p>
    <w:p w14:paraId="1DFB5D2B" w14:textId="420181E4" w:rsidR="00534406" w:rsidRDefault="00534406" w:rsidP="00534406">
      <w:pPr>
        <w:rPr>
          <w:rFonts w:ascii="Times New Roman" w:hAnsi="Times New Roman" w:cs="Times New Roman"/>
        </w:rPr>
      </w:pPr>
      <w:r w:rsidRPr="00C2738F">
        <w:rPr>
          <w:rFonts w:ascii="Times New Roman" w:hAnsi="Times New Roman" w:cs="Times New Roman"/>
        </w:rPr>
        <w:t>101 CMR 324.0</w:t>
      </w:r>
      <w:r w:rsidR="00704315">
        <w:rPr>
          <w:rFonts w:ascii="Times New Roman" w:hAnsi="Times New Roman" w:cs="Times New Roman"/>
        </w:rPr>
        <w:t>4(2)</w:t>
      </w:r>
      <w:r w:rsidRPr="00C2738F">
        <w:rPr>
          <w:rFonts w:ascii="Times New Roman" w:hAnsi="Times New Roman" w:cs="Times New Roman"/>
        </w:rPr>
        <w:t xml:space="preserve"> states that the assessment is applicable to nonpublic ambulance providers.  </w:t>
      </w:r>
      <w:r>
        <w:rPr>
          <w:rFonts w:ascii="Times New Roman" w:hAnsi="Times New Roman" w:cs="Times New Roman"/>
        </w:rPr>
        <w:t>“</w:t>
      </w:r>
      <w:r w:rsidRPr="00C2738F">
        <w:rPr>
          <w:rFonts w:ascii="Times New Roman" w:hAnsi="Times New Roman" w:cs="Times New Roman"/>
        </w:rPr>
        <w:t>Nonpublic Ambulance Provider</w:t>
      </w:r>
      <w:r>
        <w:rPr>
          <w:rFonts w:ascii="Times New Roman" w:hAnsi="Times New Roman" w:cs="Times New Roman"/>
        </w:rPr>
        <w:t>”</w:t>
      </w:r>
      <w:r w:rsidRPr="00C2738F">
        <w:rPr>
          <w:rFonts w:ascii="Times New Roman" w:hAnsi="Times New Roman" w:cs="Times New Roman"/>
        </w:rPr>
        <w:t xml:space="preserve"> is defined </w:t>
      </w:r>
      <w:r w:rsidR="00704315">
        <w:rPr>
          <w:rFonts w:ascii="Times New Roman" w:hAnsi="Times New Roman" w:cs="Times New Roman"/>
        </w:rPr>
        <w:t xml:space="preserve">in 101 CMR 324.01 </w:t>
      </w:r>
      <w:r w:rsidRPr="00C2738F">
        <w:rPr>
          <w:rFonts w:ascii="Times New Roman" w:hAnsi="Times New Roman" w:cs="Times New Roman"/>
        </w:rPr>
        <w:t xml:space="preserve">to include any “Ambulance provider licensed pursuant to M.G.L. c. 111C, § 6 that is not a city or town, county, district, or other governmental body.” By </w:t>
      </w:r>
      <w:r w:rsidR="00843E71">
        <w:rPr>
          <w:rFonts w:ascii="Times New Roman" w:hAnsi="Times New Roman" w:cs="Times New Roman"/>
        </w:rPr>
        <w:t>its own terms</w:t>
      </w:r>
      <w:r w:rsidRPr="00C2738F">
        <w:rPr>
          <w:rFonts w:ascii="Times New Roman" w:hAnsi="Times New Roman" w:cs="Times New Roman"/>
        </w:rPr>
        <w:t>, this</w:t>
      </w:r>
      <w:r w:rsidR="00843E71">
        <w:rPr>
          <w:rFonts w:ascii="Times New Roman" w:hAnsi="Times New Roman" w:cs="Times New Roman"/>
        </w:rPr>
        <w:t xml:space="preserve"> definition</w:t>
      </w:r>
      <w:r w:rsidRPr="00C2738F">
        <w:rPr>
          <w:rFonts w:ascii="Times New Roman" w:hAnsi="Times New Roman" w:cs="Times New Roman"/>
        </w:rPr>
        <w:t xml:space="preserve"> includes nonprofit ambulance providers unless they are a governmental body. </w:t>
      </w:r>
      <w:r>
        <w:rPr>
          <w:rFonts w:ascii="Times New Roman" w:hAnsi="Times New Roman" w:cs="Times New Roman"/>
        </w:rPr>
        <w:t>Note</w:t>
      </w:r>
      <w:r w:rsidR="00935D2A">
        <w:rPr>
          <w:rFonts w:ascii="Times New Roman" w:hAnsi="Times New Roman" w:cs="Times New Roman"/>
        </w:rPr>
        <w:t>:</w:t>
      </w:r>
      <w:r>
        <w:rPr>
          <w:rFonts w:ascii="Times New Roman" w:hAnsi="Times New Roman" w:cs="Times New Roman"/>
        </w:rPr>
        <w:t xml:space="preserve"> this </w:t>
      </w:r>
      <w:r w:rsidR="00843E71">
        <w:rPr>
          <w:rFonts w:ascii="Times New Roman" w:hAnsi="Times New Roman" w:cs="Times New Roman"/>
        </w:rPr>
        <w:t xml:space="preserve">definition </w:t>
      </w:r>
      <w:r>
        <w:rPr>
          <w:rFonts w:ascii="Times New Roman" w:hAnsi="Times New Roman" w:cs="Times New Roman"/>
        </w:rPr>
        <w:t xml:space="preserve">is not a </w:t>
      </w:r>
      <w:r w:rsidR="00843E71">
        <w:rPr>
          <w:rFonts w:ascii="Times New Roman" w:hAnsi="Times New Roman" w:cs="Times New Roman"/>
        </w:rPr>
        <w:t xml:space="preserve">policy </w:t>
      </w:r>
      <w:r>
        <w:rPr>
          <w:rFonts w:ascii="Times New Roman" w:hAnsi="Times New Roman" w:cs="Times New Roman"/>
        </w:rPr>
        <w:t xml:space="preserve">clarification, but </w:t>
      </w:r>
      <w:r w:rsidR="00843E71">
        <w:rPr>
          <w:rFonts w:ascii="Times New Roman" w:hAnsi="Times New Roman" w:cs="Times New Roman"/>
        </w:rPr>
        <w:t xml:space="preserve">rather </w:t>
      </w:r>
      <w:r>
        <w:rPr>
          <w:rFonts w:ascii="Times New Roman" w:hAnsi="Times New Roman" w:cs="Times New Roman"/>
        </w:rPr>
        <w:t xml:space="preserve">a restatement of the relevant regulatory provision.  </w:t>
      </w:r>
    </w:p>
    <w:p w14:paraId="050364F6" w14:textId="6E44E810" w:rsidR="00621360" w:rsidRDefault="00621360" w:rsidP="00534406">
      <w:pPr>
        <w:rPr>
          <w:rFonts w:ascii="Times New Roman" w:hAnsi="Times New Roman" w:cs="Times New Roman"/>
        </w:rPr>
      </w:pPr>
    </w:p>
    <w:p w14:paraId="64879E94" w14:textId="6180C499" w:rsidR="00621360" w:rsidRDefault="00621360" w:rsidP="009B16E6">
      <w:pPr>
        <w:pStyle w:val="Heading2"/>
      </w:pPr>
      <w:r w:rsidRPr="00EB4615">
        <w:t>Recordkeeping Requirements</w:t>
      </w:r>
    </w:p>
    <w:p w14:paraId="24030071" w14:textId="77777777" w:rsidR="000532E5" w:rsidRPr="00EB4615" w:rsidRDefault="000532E5" w:rsidP="00534406">
      <w:pPr>
        <w:rPr>
          <w:rFonts w:ascii="Times New Roman" w:hAnsi="Times New Roman" w:cs="Times New Roman"/>
          <w:b/>
          <w:bCs/>
        </w:rPr>
      </w:pPr>
    </w:p>
    <w:p w14:paraId="1BC76710" w14:textId="411189CE" w:rsidR="00621360" w:rsidRDefault="00621360" w:rsidP="00534406">
      <w:pPr>
        <w:rPr>
          <w:rFonts w:ascii="Times New Roman" w:hAnsi="Times New Roman" w:cs="Times New Roman"/>
        </w:rPr>
      </w:pPr>
      <w:r>
        <w:rPr>
          <w:rFonts w:ascii="Times New Roman" w:hAnsi="Times New Roman" w:cs="Times New Roman"/>
        </w:rPr>
        <w:t>Any revenue reported to EOHHS may be subject to future audit</w:t>
      </w:r>
      <w:r w:rsidR="00594D54">
        <w:rPr>
          <w:rFonts w:ascii="Times New Roman" w:hAnsi="Times New Roman" w:cs="Times New Roman"/>
        </w:rPr>
        <w:t>.</w:t>
      </w:r>
      <w:r w:rsidR="000532E5">
        <w:rPr>
          <w:rFonts w:ascii="Times New Roman" w:hAnsi="Times New Roman" w:cs="Times New Roman"/>
        </w:rPr>
        <w:t xml:space="preserve"> </w:t>
      </w:r>
      <w:r w:rsidR="00594D54">
        <w:rPr>
          <w:rFonts w:ascii="Times New Roman" w:hAnsi="Times New Roman" w:cs="Times New Roman"/>
        </w:rPr>
        <w:t>P</w:t>
      </w:r>
      <w:r>
        <w:rPr>
          <w:rFonts w:ascii="Times New Roman" w:hAnsi="Times New Roman" w:cs="Times New Roman"/>
        </w:rPr>
        <w:t>roviders are required to keep records in support of any r</w:t>
      </w:r>
      <w:r w:rsidR="00EB4615">
        <w:rPr>
          <w:rFonts w:ascii="Times New Roman" w:hAnsi="Times New Roman" w:cs="Times New Roman"/>
        </w:rPr>
        <w:t xml:space="preserve">evenue information submitted relating to the </w:t>
      </w:r>
      <w:r>
        <w:rPr>
          <w:rFonts w:ascii="Times New Roman" w:hAnsi="Times New Roman" w:cs="Times New Roman"/>
        </w:rPr>
        <w:t>assessment.</w:t>
      </w:r>
    </w:p>
    <w:p w14:paraId="58E0720F" w14:textId="35849B91" w:rsidR="00643B78" w:rsidRDefault="00643B78" w:rsidP="00534406">
      <w:pPr>
        <w:rPr>
          <w:rFonts w:ascii="Times New Roman" w:hAnsi="Times New Roman" w:cs="Times New Roman"/>
        </w:rPr>
      </w:pPr>
    </w:p>
    <w:p w14:paraId="3B50D5A7" w14:textId="3BD0A603" w:rsidR="00643B78" w:rsidRDefault="00643B78" w:rsidP="00534406">
      <w:pPr>
        <w:rPr>
          <w:rFonts w:ascii="Times New Roman" w:hAnsi="Times New Roman" w:cs="Times New Roman"/>
          <w:b/>
          <w:bCs/>
        </w:rPr>
      </w:pPr>
      <w:r w:rsidRPr="00FB7846">
        <w:rPr>
          <w:rFonts w:ascii="Times New Roman" w:hAnsi="Times New Roman" w:cs="Times New Roman"/>
          <w:b/>
          <w:bCs/>
        </w:rPr>
        <w:t>Recent CMS Guidance</w:t>
      </w:r>
      <w:r w:rsidR="00843E71">
        <w:rPr>
          <w:rFonts w:ascii="Times New Roman" w:hAnsi="Times New Roman" w:cs="Times New Roman"/>
          <w:b/>
          <w:bCs/>
        </w:rPr>
        <w:t xml:space="preserve"> Regarding Health Care-Related Taxes and Hold Harmless Arrangements</w:t>
      </w:r>
    </w:p>
    <w:p w14:paraId="62E87F67" w14:textId="77777777" w:rsidR="00843E71" w:rsidRPr="00FB7846" w:rsidRDefault="00843E71" w:rsidP="00534406">
      <w:pPr>
        <w:rPr>
          <w:rFonts w:ascii="Times New Roman" w:hAnsi="Times New Roman" w:cs="Times New Roman"/>
          <w:b/>
          <w:bCs/>
        </w:rPr>
      </w:pPr>
    </w:p>
    <w:p w14:paraId="4A00C152" w14:textId="59955982" w:rsidR="00534406" w:rsidRDefault="00643B78" w:rsidP="00FB7846">
      <w:pPr>
        <w:pStyle w:val="Heading2"/>
        <w:keepNext/>
        <w:rPr>
          <w:b w:val="0"/>
          <w:bCs w:val="0"/>
          <w:color w:val="000000"/>
        </w:rPr>
      </w:pPr>
      <w:r w:rsidRPr="00FB7846">
        <w:rPr>
          <w:b w:val="0"/>
          <w:bCs w:val="0"/>
          <w:color w:val="000000"/>
        </w:rPr>
        <w:t xml:space="preserve">Please be aware that the Centers for Medicare and Medicaid Services (CMS) issued an </w:t>
      </w:r>
      <w:hyperlink r:id="rId11" w:history="1">
        <w:r w:rsidRPr="00FB7846">
          <w:rPr>
            <w:rStyle w:val="Hyperlink"/>
            <w:b w:val="0"/>
            <w:bCs w:val="0"/>
          </w:rPr>
          <w:t>Informational Bulletin</w:t>
        </w:r>
      </w:hyperlink>
      <w:r w:rsidRPr="00FB7846">
        <w:rPr>
          <w:b w:val="0"/>
          <w:bCs w:val="0"/>
          <w:color w:val="000000"/>
        </w:rPr>
        <w:t xml:space="preserve"> on February 17, 2023</w:t>
      </w:r>
      <w:r w:rsidR="004D729A">
        <w:rPr>
          <w:b w:val="0"/>
          <w:bCs w:val="0"/>
          <w:color w:val="000000"/>
        </w:rPr>
        <w:t>,</w:t>
      </w:r>
      <w:r w:rsidRPr="00FB7846">
        <w:rPr>
          <w:b w:val="0"/>
          <w:bCs w:val="0"/>
          <w:color w:val="000000"/>
        </w:rPr>
        <w:t xml:space="preserve"> reiterating certain federal requirements that pertain to health care-related taxes</w:t>
      </w:r>
      <w:r w:rsidR="00843E71" w:rsidRPr="00FB7846">
        <w:rPr>
          <w:b w:val="0"/>
          <w:bCs w:val="0"/>
          <w:color w:val="000000"/>
        </w:rPr>
        <w:t xml:space="preserve"> such as the nonpublic ambulance assessment</w:t>
      </w:r>
      <w:r w:rsidRPr="00FB7846">
        <w:rPr>
          <w:b w:val="0"/>
          <w:bCs w:val="0"/>
          <w:color w:val="000000"/>
        </w:rPr>
        <w:t xml:space="preserve">, including that providers may not be </w:t>
      </w:r>
      <w:r w:rsidR="00B9195B" w:rsidRPr="00FB7846">
        <w:rPr>
          <w:b w:val="0"/>
          <w:bCs w:val="0"/>
          <w:color w:val="000000"/>
        </w:rPr>
        <w:t xml:space="preserve">held </w:t>
      </w:r>
      <w:r w:rsidRPr="00FB7846">
        <w:rPr>
          <w:b w:val="0"/>
          <w:bCs w:val="0"/>
          <w:color w:val="000000"/>
        </w:rPr>
        <w:t>harmless</w:t>
      </w:r>
      <w:r w:rsidR="00843E71" w:rsidRPr="00FB7846">
        <w:rPr>
          <w:b w:val="0"/>
          <w:bCs w:val="0"/>
          <w:color w:val="000000"/>
        </w:rPr>
        <w:t xml:space="preserve">. This Informational Bulletin includes specific examples of prohibited hold harmless arrangements. EOHHS encourages providers to review this </w:t>
      </w:r>
      <w:hyperlink r:id="rId12" w:history="1">
        <w:r w:rsidR="00B71D3B" w:rsidRPr="00FB7846">
          <w:rPr>
            <w:rStyle w:val="Hyperlink"/>
            <w:b w:val="0"/>
            <w:bCs w:val="0"/>
          </w:rPr>
          <w:t>Informational Bulletin</w:t>
        </w:r>
      </w:hyperlink>
      <w:r w:rsidR="00B71D3B">
        <w:rPr>
          <w:b w:val="0"/>
          <w:bCs w:val="0"/>
          <w:color w:val="000000"/>
        </w:rPr>
        <w:t>.</w:t>
      </w:r>
    </w:p>
    <w:p w14:paraId="5197AAAA" w14:textId="77777777" w:rsidR="00C277ED" w:rsidRPr="00C277ED" w:rsidRDefault="00C277ED" w:rsidP="00500DFD"/>
    <w:p w14:paraId="5DCC6758" w14:textId="65049884" w:rsidR="000532E5" w:rsidRPr="00500DFD" w:rsidRDefault="00C277ED">
      <w:pPr>
        <w:keepNext/>
        <w:rPr>
          <w:rFonts w:ascii="Times New Roman" w:hAnsi="Times New Roman" w:cs="Times New Roman"/>
          <w:b/>
          <w:bCs/>
        </w:rPr>
      </w:pPr>
      <w:r w:rsidRPr="00500DFD">
        <w:rPr>
          <w:rFonts w:ascii="Times New Roman" w:hAnsi="Times New Roman" w:cs="Times New Roman"/>
          <w:b/>
          <w:bCs/>
        </w:rPr>
        <w:lastRenderedPageBreak/>
        <w:t>Updates</w:t>
      </w:r>
    </w:p>
    <w:p w14:paraId="0859F05A" w14:textId="77777777" w:rsidR="00C277ED" w:rsidRPr="00C2738F" w:rsidRDefault="00C277ED" w:rsidP="00FB7846">
      <w:pPr>
        <w:keepNext/>
        <w:rPr>
          <w:rFonts w:ascii="Times New Roman" w:hAnsi="Times New Roman" w:cs="Times New Roman"/>
        </w:rPr>
      </w:pPr>
    </w:p>
    <w:p w14:paraId="1A0552EA" w14:textId="52D1046E" w:rsidR="00534406" w:rsidRPr="00C2738F" w:rsidRDefault="00534406" w:rsidP="00FB7846">
      <w:pPr>
        <w:keepNext/>
        <w:rPr>
          <w:rFonts w:ascii="Times New Roman" w:hAnsi="Times New Roman" w:cs="Times New Roman"/>
        </w:rPr>
      </w:pPr>
      <w:r w:rsidRPr="00C2738F">
        <w:rPr>
          <w:rFonts w:ascii="Times New Roman" w:hAnsi="Times New Roman" w:cs="Times New Roman"/>
        </w:rPr>
        <w:t xml:space="preserve">If providers need to update submissions based on this guidance, </w:t>
      </w:r>
      <w:r w:rsidR="0084656C">
        <w:rPr>
          <w:rFonts w:ascii="Times New Roman" w:hAnsi="Times New Roman" w:cs="Times New Roman"/>
        </w:rPr>
        <w:t>they should</w:t>
      </w:r>
      <w:r w:rsidRPr="00C2738F">
        <w:rPr>
          <w:rFonts w:ascii="Times New Roman" w:hAnsi="Times New Roman" w:cs="Times New Roman"/>
        </w:rPr>
        <w:t xml:space="preserve"> send </w:t>
      </w:r>
      <w:r w:rsidR="00594D54">
        <w:rPr>
          <w:rFonts w:ascii="Times New Roman" w:hAnsi="Times New Roman" w:cs="Times New Roman"/>
        </w:rPr>
        <w:t xml:space="preserve">the update </w:t>
      </w:r>
      <w:r w:rsidRPr="00C2738F">
        <w:rPr>
          <w:rFonts w:ascii="Times New Roman" w:hAnsi="Times New Roman" w:cs="Times New Roman"/>
        </w:rPr>
        <w:t xml:space="preserve">to EOHHS by 5:00 p.m. on </w:t>
      </w:r>
      <w:r w:rsidR="00C277ED">
        <w:rPr>
          <w:rFonts w:ascii="Times New Roman" w:hAnsi="Times New Roman" w:cs="Times New Roman"/>
        </w:rPr>
        <w:t>Wednesday, March 22</w:t>
      </w:r>
      <w:r w:rsidR="004D729A">
        <w:rPr>
          <w:rFonts w:ascii="Times New Roman" w:hAnsi="Times New Roman" w:cs="Times New Roman"/>
        </w:rPr>
        <w:t>, 2023</w:t>
      </w:r>
      <w:r w:rsidRPr="00C2738F">
        <w:rPr>
          <w:rFonts w:ascii="Times New Roman" w:hAnsi="Times New Roman" w:cs="Times New Roman"/>
        </w:rPr>
        <w:t xml:space="preserve">. </w:t>
      </w:r>
      <w:r w:rsidR="009B16E6">
        <w:rPr>
          <w:rFonts w:ascii="Times New Roman" w:hAnsi="Times New Roman" w:cs="Times New Roman"/>
        </w:rPr>
        <w:t>E</w:t>
      </w:r>
      <w:r w:rsidRPr="00C2738F">
        <w:rPr>
          <w:rFonts w:ascii="Times New Roman" w:hAnsi="Times New Roman" w:cs="Times New Roman"/>
        </w:rPr>
        <w:t xml:space="preserve">mail </w:t>
      </w:r>
      <w:r w:rsidR="009B16E6">
        <w:rPr>
          <w:rFonts w:ascii="Times New Roman" w:hAnsi="Times New Roman" w:cs="Times New Roman"/>
        </w:rPr>
        <w:t xml:space="preserve">documents </w:t>
      </w:r>
      <w:r w:rsidRPr="00C2738F">
        <w:rPr>
          <w:rFonts w:ascii="Times New Roman" w:hAnsi="Times New Roman" w:cs="Times New Roman"/>
        </w:rPr>
        <w:t xml:space="preserve">to Martura Amato at </w:t>
      </w:r>
      <w:hyperlink r:id="rId13" w:history="1">
        <w:r w:rsidRPr="00C2738F">
          <w:rPr>
            <w:rStyle w:val="Hyperlink"/>
            <w:rFonts w:ascii="Times New Roman" w:hAnsi="Times New Roman" w:cs="Times New Roman"/>
          </w:rPr>
          <w:t>Martura.Amato@mass.gov</w:t>
        </w:r>
      </w:hyperlink>
      <w:r w:rsidRPr="00C2738F">
        <w:rPr>
          <w:rFonts w:ascii="Times New Roman" w:hAnsi="Times New Roman" w:cs="Times New Roman"/>
        </w:rPr>
        <w:t>.</w:t>
      </w:r>
      <w:r w:rsidR="004356EB">
        <w:rPr>
          <w:rFonts w:ascii="Times New Roman" w:hAnsi="Times New Roman" w:cs="Times New Roman"/>
        </w:rPr>
        <w:t xml:space="preserve"> </w:t>
      </w:r>
      <w:r w:rsidR="009B16E6">
        <w:rPr>
          <w:rFonts w:ascii="Times New Roman" w:hAnsi="Times New Roman" w:cs="Times New Roman"/>
        </w:rPr>
        <w:t xml:space="preserve">Report </w:t>
      </w:r>
      <w:r w:rsidR="004356EB">
        <w:rPr>
          <w:rFonts w:ascii="Times New Roman" w:hAnsi="Times New Roman" w:cs="Times New Roman"/>
        </w:rPr>
        <w:t xml:space="preserve">Massachusetts emergency ground ambulance revenue on </w:t>
      </w:r>
      <w:r w:rsidR="00D969DB">
        <w:rPr>
          <w:rFonts w:ascii="Times New Roman" w:hAnsi="Times New Roman" w:cs="Times New Roman"/>
        </w:rPr>
        <w:br/>
      </w:r>
      <w:r w:rsidR="009D0C6D">
        <w:rPr>
          <w:rFonts w:ascii="Times New Roman" w:hAnsi="Times New Roman" w:cs="Times New Roman"/>
        </w:rPr>
        <w:t>Attachment A</w:t>
      </w:r>
      <w:r w:rsidR="004356EB">
        <w:rPr>
          <w:rFonts w:ascii="Times New Roman" w:hAnsi="Times New Roman" w:cs="Times New Roman"/>
        </w:rPr>
        <w:t>.</w:t>
      </w:r>
      <w:r w:rsidR="00D96C14">
        <w:rPr>
          <w:rFonts w:ascii="Times New Roman" w:hAnsi="Times New Roman" w:cs="Times New Roman"/>
        </w:rPr>
        <w:t xml:space="preserve"> If an updated submission is necessary, EOHHS will provide additional time to pay the related assessment</w:t>
      </w:r>
      <w:r w:rsidR="00EB4615">
        <w:rPr>
          <w:rFonts w:ascii="Times New Roman" w:hAnsi="Times New Roman" w:cs="Times New Roman"/>
        </w:rPr>
        <w:t xml:space="preserve">. </w:t>
      </w:r>
    </w:p>
    <w:p w14:paraId="594A929A" w14:textId="77777777" w:rsidR="00534406" w:rsidRPr="00C2738F" w:rsidRDefault="00534406" w:rsidP="00534406">
      <w:pPr>
        <w:rPr>
          <w:rFonts w:ascii="Times New Roman" w:hAnsi="Times New Roman" w:cs="Times New Roman"/>
        </w:rPr>
      </w:pPr>
    </w:p>
    <w:bookmarkEnd w:id="0"/>
    <w:p w14:paraId="6970AD73" w14:textId="77777777" w:rsidR="00607406" w:rsidRDefault="00607406"/>
    <w:sectPr w:rsidR="00607406" w:rsidSect="00EE4CAE">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60AB8" w14:textId="77777777" w:rsidR="009136E9" w:rsidRDefault="009136E9" w:rsidP="00153DCE">
      <w:r>
        <w:separator/>
      </w:r>
    </w:p>
  </w:endnote>
  <w:endnote w:type="continuationSeparator" w:id="0">
    <w:p w14:paraId="2334A9FC" w14:textId="77777777" w:rsidR="009136E9" w:rsidRDefault="009136E9" w:rsidP="00153DCE">
      <w:r>
        <w:continuationSeparator/>
      </w:r>
    </w:p>
  </w:endnote>
  <w:endnote w:type="continuationNotice" w:id="1">
    <w:p w14:paraId="1AEA8D26" w14:textId="77777777" w:rsidR="009136E9" w:rsidRDefault="00913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3A695" w14:textId="77777777" w:rsidR="009136E9" w:rsidRDefault="009136E9" w:rsidP="00153DCE">
      <w:r>
        <w:separator/>
      </w:r>
    </w:p>
  </w:footnote>
  <w:footnote w:type="continuationSeparator" w:id="0">
    <w:p w14:paraId="110FBA58" w14:textId="77777777" w:rsidR="009136E9" w:rsidRDefault="009136E9" w:rsidP="00153DCE">
      <w:r>
        <w:continuationSeparator/>
      </w:r>
    </w:p>
  </w:footnote>
  <w:footnote w:type="continuationNotice" w:id="1">
    <w:p w14:paraId="14DF3133" w14:textId="77777777" w:rsidR="009136E9" w:rsidRDefault="009136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77777777" w:rsidR="00EE4CAE" w:rsidRPr="006E5DED" w:rsidRDefault="00EE4CAE"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3A881FAB" wp14:editId="3A881FAC">
              <wp:simplePos x="0" y="0"/>
              <wp:positionH relativeFrom="column">
                <wp:align>center</wp:align>
              </wp:positionH>
              <wp:positionV relativeFrom="paragraph">
                <wp:posOffset>0</wp:posOffset>
              </wp:positionV>
              <wp:extent cx="3589361" cy="140398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153DCE">
                            <w:rPr>
                              <w:color w:val="1F497D" w:themeColor="text2"/>
                              <w:sz w:val="20"/>
                            </w:rPr>
                            <w:t xml:space="preserve">FICE OF </w:t>
                          </w:r>
                          <w:r>
                            <w:rPr>
                              <w:color w:val="1F497D" w:themeColor="text2"/>
                              <w:sz w:val="20"/>
                            </w:rPr>
                            <w:t>HEALTH AND HUMAN SERVICES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3A881FB1" w14:textId="095D713A" w:rsidR="00EE4CAE" w:rsidRPr="00153DCE" w:rsidRDefault="00B623EB" w:rsidP="00EE4CAE">
                          <w:pPr>
                            <w:pStyle w:val="Header"/>
                            <w:tabs>
                              <w:tab w:val="left" w:pos="795"/>
                            </w:tabs>
                            <w:jc w:val="center"/>
                            <w:rPr>
                              <w:color w:val="1F497D" w:themeColor="text2"/>
                            </w:rPr>
                          </w:pPr>
                          <w:r>
                            <w:rPr>
                              <w:color w:val="1F497D" w:themeColor="text2"/>
                            </w:rPr>
                            <w:t>ONE ASHBURTON PLACE</w:t>
                          </w:r>
                          <w:r w:rsidR="00EE4CAE" w:rsidRPr="00153DCE">
                            <w:rPr>
                              <w:color w:val="1F497D" w:themeColor="text2"/>
                            </w:rPr>
                            <w:t>,</w:t>
                          </w:r>
                          <w:r>
                            <w:rPr>
                              <w:color w:val="1F497D" w:themeColor="text2"/>
                            </w:rPr>
                            <w:t xml:space="preserve"> BOSTON,</w:t>
                          </w:r>
                          <w:r w:rsidR="00EE4CAE" w:rsidRPr="00153DCE">
                            <w:rPr>
                              <w:color w:val="1F497D" w:themeColor="text2"/>
                            </w:rPr>
                            <w:t xml:space="preserve"> MA 021</w:t>
                          </w:r>
                          <w:r>
                            <w:rPr>
                              <w:color w:val="1F497D" w:themeColor="text2"/>
                            </w:rPr>
                            <w:t>08</w:t>
                          </w:r>
                        </w:p>
                        <w:p w14:paraId="3A881FB2" w14:textId="37A6B39B" w:rsidR="00EE4CAE" w:rsidRPr="00153DCE" w:rsidRDefault="00B623EB" w:rsidP="00EE4CAE">
                          <w:pPr>
                            <w:pStyle w:val="Header"/>
                            <w:jc w:val="center"/>
                            <w:rPr>
                              <w:color w:val="1F497D" w:themeColor="text2"/>
                            </w:rPr>
                          </w:pPr>
                          <w:r w:rsidRPr="00B623EB">
                            <w:rPr>
                              <w:color w:val="1F497D" w:themeColor="text2"/>
                            </w:rPr>
                            <w:t>(617) 573-1600</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0;margin-top:0;width:282.65pt;height:110.55pt;z-index:25165824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qUCwIAAPMDAAAOAAAAZHJzL2Uyb0RvYy54bWysU9tuGyEQfa/Uf0C81+traq+8jtKkriql&#10;FynpB4xZ1osKDAXs3fTrM7COY7VvVXlAwMycmXNmWF/3RrOj9EGhrfhkNOZMWoG1svuK/3jcvlty&#10;FiLYGjRaWfEnGfj15u2bdedKOcUWdS09IxAbys5VvI3RlUURRCsNhBE6acnYoDcQ6er3Re2hI3Sj&#10;i+l4fFV06GvnUcgQ6PVuMPJNxm8aKeK3pgkyMl1xqi3m3ed9l/Zis4Zy78G1SpzKgH+owoCylPQM&#10;dQcR2MGrv6CMEh4DNnEk0BTYNErIzIHYTMZ/sHlowcnMhcQJ7ixT+H+w4uvxu2eqpt5xZsFQix5l&#10;H9kH7Nk0qdO5UJLTgyO32NNz8kxMg7tH8TMwi7ct2L288R67VkJN1U1SZHEROuCEBLLrvmBNaeAQ&#10;MQP1jTcJkMRghE5dejp3JpUi6HG2WK5mV1SiINtkPp6tloucA8qXcOdD/CTRsHSouKfWZ3g43oeY&#10;yoHyxSVls7hVWuf2a8u6iq8W00UOuLAYFWk6tTIVX47TGuYlsfxo6xwcQenhTAm0PdFOTAfOsd/1&#10;5Ji02GH9RAJ4HKaQfg0dWvS/OetoAisefh3AS870Z0siribzeRrZfJkv3k/p4i8tu0sLWEFQFY+c&#10;DcfbmMd8aNUNib1VWYbXSk610mRldU6/II3u5T17vf7VzTMAAAD//wMAUEsDBBQABgAIAAAAIQCh&#10;SxQu2wAAAAUBAAAPAAAAZHJzL2Rvd25yZXYueG1sTI/BTsMwEETvSPyDtUjcqJOgFhTiVBVqyxEo&#10;EedtvCQR8dqy3TT8PYYLXFYazWjmbbWezSgm8mGwrCBfZCCIW6sH7hQ0b7ubexAhImscLZOCLwqw&#10;ri8vKiy1PfMrTYfYiVTCoUQFfYyulDK0PRkMC+uIk/dhvcGYpO+k9nhO5WaURZatpMGB00KPjh57&#10;aj8PJ6PARbe/e/LPL5vtbsqa931TDN1WqeurefMAItIc/8Lwg5/QoU5MR3tiHcSoID0Sf2/ylqvl&#10;LYijgqLIc5B1Jf/T198AAAD//wMAUEsBAi0AFAAGAAgAAAAhALaDOJL+AAAA4QEAABMAAAAAAAAA&#10;AAAAAAAAAAAAAFtDb250ZW50X1R5cGVzXS54bWxQSwECLQAUAAYACAAAACEAOP0h/9YAAACUAQAA&#10;CwAAAAAAAAAAAAAAAAAvAQAAX3JlbHMvLnJlbHNQSwECLQAUAAYACAAAACEA38n6lAsCAADzAwAA&#10;DgAAAAAAAAAAAAAAAAAuAgAAZHJzL2Uyb0RvYy54bWxQSwECLQAUAAYACAAAACEAoUsULtsAAAAF&#10;AQAADwAAAAAAAAAAAAAAAABlBAAAZHJzL2Rvd25yZXYueG1sUEsFBgAAAAAEAAQA8wAAAG0FAAAA&#10;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153DCE">
                      <w:rPr>
                        <w:color w:val="1F497D" w:themeColor="text2"/>
                        <w:sz w:val="20"/>
                      </w:rPr>
                      <w:t xml:space="preserve">FICE OF </w:t>
                    </w:r>
                    <w:r>
                      <w:rPr>
                        <w:color w:val="1F497D" w:themeColor="text2"/>
                        <w:sz w:val="20"/>
                      </w:rPr>
                      <w:t>HEALTH AND HUMAN SERVICES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3A881FB1" w14:textId="095D713A" w:rsidR="00EE4CAE" w:rsidRPr="00153DCE" w:rsidRDefault="00B623EB" w:rsidP="00EE4CAE">
                    <w:pPr>
                      <w:pStyle w:val="Header"/>
                      <w:tabs>
                        <w:tab w:val="left" w:pos="795"/>
                      </w:tabs>
                      <w:jc w:val="center"/>
                      <w:rPr>
                        <w:color w:val="1F497D" w:themeColor="text2"/>
                      </w:rPr>
                    </w:pPr>
                    <w:r>
                      <w:rPr>
                        <w:color w:val="1F497D" w:themeColor="text2"/>
                      </w:rPr>
                      <w:t>ONE ASHBURTON PLACE</w:t>
                    </w:r>
                    <w:r w:rsidR="00EE4CAE" w:rsidRPr="00153DCE">
                      <w:rPr>
                        <w:color w:val="1F497D" w:themeColor="text2"/>
                      </w:rPr>
                      <w:t>,</w:t>
                    </w:r>
                    <w:r>
                      <w:rPr>
                        <w:color w:val="1F497D" w:themeColor="text2"/>
                      </w:rPr>
                      <w:t xml:space="preserve"> BOSTON,</w:t>
                    </w:r>
                    <w:r w:rsidR="00EE4CAE" w:rsidRPr="00153DCE">
                      <w:rPr>
                        <w:color w:val="1F497D" w:themeColor="text2"/>
                      </w:rPr>
                      <w:t xml:space="preserve"> MA 021</w:t>
                    </w:r>
                    <w:r>
                      <w:rPr>
                        <w:color w:val="1F497D" w:themeColor="text2"/>
                      </w:rPr>
                      <w:t>08</w:t>
                    </w:r>
                  </w:p>
                  <w:p w14:paraId="3A881FB2" w14:textId="37A6B39B" w:rsidR="00EE4CAE" w:rsidRPr="00153DCE" w:rsidRDefault="00B623EB" w:rsidP="00EE4CAE">
                    <w:pPr>
                      <w:pStyle w:val="Header"/>
                      <w:jc w:val="center"/>
                      <w:rPr>
                        <w:color w:val="1F497D" w:themeColor="text2"/>
                      </w:rPr>
                    </w:pPr>
                    <w:r w:rsidRPr="00B623EB">
                      <w:rPr>
                        <w:color w:val="1F497D" w:themeColor="text2"/>
                      </w:rPr>
                      <w:t>(617) 573-1600</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v:textbox>
            </v:shape>
          </w:pict>
        </mc:Fallback>
      </mc:AlternateContent>
    </w:r>
    <w:r>
      <w:rPr>
        <w:noProof/>
        <w:color w:val="1F497D" w:themeColor="text2"/>
      </w:rPr>
      <w:drawing>
        <wp:inline distT="0" distB="0" distL="0" distR="0" wp14:anchorId="3A881FAD" wp14:editId="3A881FAE">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77777777" w:rsidR="00EE4CAE" w:rsidRDefault="00EE4CAE" w:rsidP="00EE4CAE">
    <w:pPr>
      <w:pStyle w:val="Header"/>
    </w:pPr>
    <w:r>
      <w:ptab w:relativeTo="margin" w:alignment="right" w:leader="none"/>
    </w:r>
  </w:p>
  <w:p w14:paraId="5E52069C" w14:textId="77777777" w:rsidR="00325121" w:rsidRDefault="00325121" w:rsidP="00325121">
    <w:pPr>
      <w:pStyle w:val="Header"/>
    </w:pPr>
    <w:r>
      <w:ptab w:relativeTo="margin" w:alignment="right" w:leader="none"/>
    </w:r>
  </w:p>
  <w:p w14:paraId="0BD485A9" w14:textId="77777777" w:rsidR="00325121" w:rsidRDefault="00325121" w:rsidP="00325121">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t>KATHLEEN E. WALSH</w:t>
    </w:r>
  </w:p>
  <w:p w14:paraId="731868F3" w14:textId="77777777" w:rsidR="00325121" w:rsidRDefault="00325121" w:rsidP="00325121">
    <w:pPr>
      <w:pStyle w:val="Header"/>
      <w:rPr>
        <w:b/>
        <w:color w:val="1F497D" w:themeColor="text2"/>
      </w:rPr>
    </w:pPr>
    <w:r w:rsidRPr="00153DCE">
      <w:rPr>
        <w:color w:val="1F497D" w:themeColor="text2"/>
        <w:sz w:val="20"/>
        <w:szCs w:val="20"/>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t xml:space="preserve">     </w:t>
    </w:r>
    <w:r>
      <w:rPr>
        <w:color w:val="1F497D" w:themeColor="text2"/>
        <w:sz w:val="20"/>
        <w:szCs w:val="20"/>
      </w:rPr>
      <w:t>SECRETARY</w:t>
    </w:r>
  </w:p>
  <w:p w14:paraId="0A7F3A33" w14:textId="77777777" w:rsidR="00325121" w:rsidRDefault="00325121" w:rsidP="00325121">
    <w:pPr>
      <w:pStyle w:val="Header"/>
      <w:rPr>
        <w:b/>
        <w:color w:val="1F497D" w:themeColor="text2"/>
      </w:rPr>
    </w:pPr>
  </w:p>
  <w:p w14:paraId="4DE87D2F" w14:textId="77777777" w:rsidR="00325121" w:rsidRPr="00734039" w:rsidRDefault="00325121" w:rsidP="00325121">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tab/>
    </w:r>
    <w:r>
      <w:rPr>
        <w:b/>
        <w:color w:val="1F497D" w:themeColor="text2"/>
      </w:rPr>
      <w:t>MIKE LEVINE</w:t>
    </w:r>
    <w:r>
      <w:t xml:space="preserve">         </w:t>
    </w:r>
  </w:p>
  <w:p w14:paraId="6B1758ED" w14:textId="77777777" w:rsidR="00325121" w:rsidRDefault="00325121" w:rsidP="00325121">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r>
    <w:r>
      <w:rPr>
        <w:color w:val="1F497D" w:themeColor="text2"/>
        <w:sz w:val="20"/>
        <w:szCs w:val="20"/>
      </w:rPr>
      <w:tab/>
      <w:t>ASSISTANT SECRETARY</w:t>
    </w:r>
  </w:p>
  <w:p w14:paraId="3A881FA9" w14:textId="4D9905BD" w:rsidR="00EE4CAE" w:rsidRPr="00607406" w:rsidRDefault="00325121">
    <w:pPr>
      <w:pStyle w:val="Header"/>
      <w:rPr>
        <w:color w:val="1F497D" w:themeColor="text2"/>
      </w:rPr>
    </w:pPr>
    <w:r>
      <w:rPr>
        <w:color w:val="1F497D" w:themeColor="text2"/>
        <w:sz w:val="20"/>
        <w:szCs w:val="20"/>
      </w:rPr>
      <w:tab/>
    </w:r>
    <w:r>
      <w:rPr>
        <w:color w:val="1F497D" w:themeColor="text2"/>
        <w:sz w:val="20"/>
        <w:szCs w:val="20"/>
      </w:rPr>
      <w:tab/>
      <w:t>FOR MASSHEALTH</w:t>
    </w:r>
    <w:r w:rsidR="00607406">
      <w:rPr>
        <w:color w:val="1F497D" w:themeColor="text2"/>
        <w:sz w:val="20"/>
        <w:szCs w:val="20"/>
      </w:rPr>
      <w:tab/>
    </w:r>
    <w:r w:rsidR="00607406">
      <w:rPr>
        <w:color w:val="1F497D" w:themeColor="text2"/>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D7010"/>
    <w:multiLevelType w:val="hybridMultilevel"/>
    <w:tmpl w:val="D892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110B4"/>
    <w:rsid w:val="0003122C"/>
    <w:rsid w:val="000403AE"/>
    <w:rsid w:val="000420B3"/>
    <w:rsid w:val="000532E5"/>
    <w:rsid w:val="00057C5A"/>
    <w:rsid w:val="00062673"/>
    <w:rsid w:val="00096454"/>
    <w:rsid w:val="000A6338"/>
    <w:rsid w:val="000B2D50"/>
    <w:rsid w:val="000B3478"/>
    <w:rsid w:val="000B7790"/>
    <w:rsid w:val="000F66AC"/>
    <w:rsid w:val="0010569B"/>
    <w:rsid w:val="001311B1"/>
    <w:rsid w:val="00141A7A"/>
    <w:rsid w:val="00153DCE"/>
    <w:rsid w:val="00154CA9"/>
    <w:rsid w:val="00171575"/>
    <w:rsid w:val="00193348"/>
    <w:rsid w:val="001A7742"/>
    <w:rsid w:val="001B6946"/>
    <w:rsid w:val="001E5B45"/>
    <w:rsid w:val="00215A39"/>
    <w:rsid w:val="002405B5"/>
    <w:rsid w:val="00242C72"/>
    <w:rsid w:val="00255524"/>
    <w:rsid w:val="00262CAE"/>
    <w:rsid w:val="00314108"/>
    <w:rsid w:val="00325121"/>
    <w:rsid w:val="003252B8"/>
    <w:rsid w:val="003263B6"/>
    <w:rsid w:val="0033130A"/>
    <w:rsid w:val="00351564"/>
    <w:rsid w:val="00363A1D"/>
    <w:rsid w:val="00396FB9"/>
    <w:rsid w:val="003E4C82"/>
    <w:rsid w:val="003F37FF"/>
    <w:rsid w:val="004029CD"/>
    <w:rsid w:val="00403E91"/>
    <w:rsid w:val="0043022E"/>
    <w:rsid w:val="004356EB"/>
    <w:rsid w:val="00443CDB"/>
    <w:rsid w:val="00446C08"/>
    <w:rsid w:val="00454E1F"/>
    <w:rsid w:val="00465E5A"/>
    <w:rsid w:val="004D729A"/>
    <w:rsid w:val="00500DFD"/>
    <w:rsid w:val="005242A3"/>
    <w:rsid w:val="00534406"/>
    <w:rsid w:val="005365EC"/>
    <w:rsid w:val="005405BC"/>
    <w:rsid w:val="0057224E"/>
    <w:rsid w:val="00584F16"/>
    <w:rsid w:val="00586E16"/>
    <w:rsid w:val="00594D54"/>
    <w:rsid w:val="005969A4"/>
    <w:rsid w:val="00597C39"/>
    <w:rsid w:val="005F52C8"/>
    <w:rsid w:val="00607406"/>
    <w:rsid w:val="0061575A"/>
    <w:rsid w:val="00621360"/>
    <w:rsid w:val="0064272D"/>
    <w:rsid w:val="00643B78"/>
    <w:rsid w:val="00655D4A"/>
    <w:rsid w:val="006714A1"/>
    <w:rsid w:val="006807FE"/>
    <w:rsid w:val="006E5DED"/>
    <w:rsid w:val="00704315"/>
    <w:rsid w:val="00720C4F"/>
    <w:rsid w:val="00734039"/>
    <w:rsid w:val="00750907"/>
    <w:rsid w:val="007511B4"/>
    <w:rsid w:val="007830D4"/>
    <w:rsid w:val="007F79AA"/>
    <w:rsid w:val="008123A1"/>
    <w:rsid w:val="00843E71"/>
    <w:rsid w:val="0084656C"/>
    <w:rsid w:val="008514BC"/>
    <w:rsid w:val="00877277"/>
    <w:rsid w:val="00884D23"/>
    <w:rsid w:val="008B3983"/>
    <w:rsid w:val="008C3BEC"/>
    <w:rsid w:val="008F0D45"/>
    <w:rsid w:val="009136E9"/>
    <w:rsid w:val="00935D2A"/>
    <w:rsid w:val="00954DDB"/>
    <w:rsid w:val="00961325"/>
    <w:rsid w:val="00961D8E"/>
    <w:rsid w:val="00964EDE"/>
    <w:rsid w:val="009B16E6"/>
    <w:rsid w:val="009D0C6D"/>
    <w:rsid w:val="00A3105C"/>
    <w:rsid w:val="00A60934"/>
    <w:rsid w:val="00A84906"/>
    <w:rsid w:val="00A93CD5"/>
    <w:rsid w:val="00A967F6"/>
    <w:rsid w:val="00AA5B76"/>
    <w:rsid w:val="00AD52C3"/>
    <w:rsid w:val="00B623EB"/>
    <w:rsid w:val="00B71D3B"/>
    <w:rsid w:val="00B9195B"/>
    <w:rsid w:val="00BA6D03"/>
    <w:rsid w:val="00BC7FF0"/>
    <w:rsid w:val="00BD258F"/>
    <w:rsid w:val="00C277ED"/>
    <w:rsid w:val="00C30A58"/>
    <w:rsid w:val="00C85818"/>
    <w:rsid w:val="00C92AB3"/>
    <w:rsid w:val="00CE626E"/>
    <w:rsid w:val="00CF7DBD"/>
    <w:rsid w:val="00D030E9"/>
    <w:rsid w:val="00D160CC"/>
    <w:rsid w:val="00D559B3"/>
    <w:rsid w:val="00D63172"/>
    <w:rsid w:val="00D969DB"/>
    <w:rsid w:val="00D96C14"/>
    <w:rsid w:val="00DA53BF"/>
    <w:rsid w:val="00E0755B"/>
    <w:rsid w:val="00E27559"/>
    <w:rsid w:val="00E56BD5"/>
    <w:rsid w:val="00E74BC2"/>
    <w:rsid w:val="00E92AC9"/>
    <w:rsid w:val="00E95116"/>
    <w:rsid w:val="00EB4615"/>
    <w:rsid w:val="00EE4CAE"/>
    <w:rsid w:val="00EF027B"/>
    <w:rsid w:val="00F44C98"/>
    <w:rsid w:val="00F4718F"/>
    <w:rsid w:val="00F66BC1"/>
    <w:rsid w:val="00FB4D69"/>
    <w:rsid w:val="00FB7846"/>
    <w:rsid w:val="00FD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881F73"/>
  <w15:docId w15:val="{AFC139BA-10EA-44E3-A7AD-824F854F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Heading2"/>
    <w:next w:val="Normal"/>
    <w:link w:val="Heading1Char"/>
    <w:qFormat/>
    <w:rsid w:val="000420B3"/>
    <w:pPr>
      <w:jc w:val="center"/>
      <w:outlineLvl w:val="0"/>
    </w:pPr>
  </w:style>
  <w:style w:type="paragraph" w:styleId="Heading2">
    <w:name w:val="heading 2"/>
    <w:basedOn w:val="Normal"/>
    <w:next w:val="Normal"/>
    <w:link w:val="Heading2Char"/>
    <w:qFormat/>
    <w:rsid w:val="000420B3"/>
    <w:pPr>
      <w:outlineLvl w:val="1"/>
    </w:pPr>
    <w:rPr>
      <w:rFonts w:ascii="Times New Roman" w:hAnsi="Times New Roman" w:cs="Times New Roman"/>
      <w:b/>
      <w:bCs/>
    </w:rPr>
  </w:style>
  <w:style w:type="paragraph" w:styleId="Heading3">
    <w:name w:val="heading 3"/>
    <w:basedOn w:val="Normal"/>
    <w:next w:val="Normal"/>
    <w:link w:val="Heading3Char"/>
    <w:uiPriority w:val="9"/>
    <w:unhideWhenUsed/>
    <w:qFormat/>
    <w:rsid w:val="000420B3"/>
    <w:pPr>
      <w:outlineLvl w:val="2"/>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customStyle="1" w:styleId="Heading1Char">
    <w:name w:val="Heading 1 Char"/>
    <w:basedOn w:val="DefaultParagraphFont"/>
    <w:link w:val="Heading1"/>
    <w:rsid w:val="000420B3"/>
    <w:rPr>
      <w:rFonts w:ascii="Times New Roman" w:eastAsia="Times New Roman" w:hAnsi="Times New Roman" w:cs="Times New Roman"/>
      <w:b/>
    </w:rPr>
  </w:style>
  <w:style w:type="character" w:customStyle="1" w:styleId="Heading2Char">
    <w:name w:val="Heading 2 Char"/>
    <w:basedOn w:val="DefaultParagraphFont"/>
    <w:link w:val="Heading2"/>
    <w:rsid w:val="000420B3"/>
    <w:rPr>
      <w:rFonts w:ascii="Times New Roman" w:hAnsi="Times New Roman" w:cs="Times New Roman"/>
      <w:b/>
      <w:bCs/>
    </w:rPr>
  </w:style>
  <w:style w:type="character" w:styleId="Hyperlink">
    <w:name w:val="Hyperlink"/>
    <w:rsid w:val="00534406"/>
    <w:rPr>
      <w:color w:val="0000FF"/>
      <w:u w:val="single"/>
    </w:rPr>
  </w:style>
  <w:style w:type="paragraph" w:styleId="Revision">
    <w:name w:val="Revision"/>
    <w:hidden/>
    <w:uiPriority w:val="99"/>
    <w:semiHidden/>
    <w:rsid w:val="003E4C82"/>
  </w:style>
  <w:style w:type="paragraph" w:styleId="ListParagraph">
    <w:name w:val="List Paragraph"/>
    <w:basedOn w:val="Normal"/>
    <w:uiPriority w:val="34"/>
    <w:qFormat/>
    <w:rsid w:val="003E4C82"/>
    <w:pPr>
      <w:ind w:left="720"/>
      <w:contextualSpacing/>
    </w:pPr>
  </w:style>
  <w:style w:type="character" w:styleId="CommentReference">
    <w:name w:val="annotation reference"/>
    <w:basedOn w:val="DefaultParagraphFont"/>
    <w:uiPriority w:val="99"/>
    <w:semiHidden/>
    <w:unhideWhenUsed/>
    <w:rsid w:val="003E4C82"/>
    <w:rPr>
      <w:sz w:val="16"/>
      <w:szCs w:val="16"/>
    </w:rPr>
  </w:style>
  <w:style w:type="paragraph" w:styleId="CommentText">
    <w:name w:val="annotation text"/>
    <w:basedOn w:val="Normal"/>
    <w:link w:val="CommentTextChar"/>
    <w:uiPriority w:val="99"/>
    <w:unhideWhenUsed/>
    <w:rsid w:val="003E4C82"/>
    <w:rPr>
      <w:sz w:val="20"/>
      <w:szCs w:val="20"/>
    </w:rPr>
  </w:style>
  <w:style w:type="character" w:customStyle="1" w:styleId="CommentTextChar">
    <w:name w:val="Comment Text Char"/>
    <w:basedOn w:val="DefaultParagraphFont"/>
    <w:link w:val="CommentText"/>
    <w:uiPriority w:val="99"/>
    <w:rsid w:val="003E4C82"/>
    <w:rPr>
      <w:sz w:val="20"/>
      <w:szCs w:val="20"/>
    </w:rPr>
  </w:style>
  <w:style w:type="paragraph" w:styleId="CommentSubject">
    <w:name w:val="annotation subject"/>
    <w:basedOn w:val="CommentText"/>
    <w:next w:val="CommentText"/>
    <w:link w:val="CommentSubjectChar"/>
    <w:uiPriority w:val="99"/>
    <w:semiHidden/>
    <w:unhideWhenUsed/>
    <w:rsid w:val="003E4C82"/>
    <w:rPr>
      <w:b/>
      <w:bCs/>
    </w:rPr>
  </w:style>
  <w:style w:type="character" w:customStyle="1" w:styleId="CommentSubjectChar">
    <w:name w:val="Comment Subject Char"/>
    <w:basedOn w:val="CommentTextChar"/>
    <w:link w:val="CommentSubject"/>
    <w:uiPriority w:val="99"/>
    <w:semiHidden/>
    <w:rsid w:val="003E4C82"/>
    <w:rPr>
      <w:b/>
      <w:bCs/>
      <w:sz w:val="20"/>
      <w:szCs w:val="20"/>
    </w:rPr>
  </w:style>
  <w:style w:type="character" w:customStyle="1" w:styleId="Heading3Char">
    <w:name w:val="Heading 3 Char"/>
    <w:basedOn w:val="DefaultParagraphFont"/>
    <w:link w:val="Heading3"/>
    <w:uiPriority w:val="9"/>
    <w:rsid w:val="000420B3"/>
    <w:rPr>
      <w:rFonts w:ascii="Times New Roman" w:hAnsi="Times New Roman" w:cs="Times New Roman"/>
    </w:rPr>
  </w:style>
  <w:style w:type="table" w:styleId="TableGrid">
    <w:name w:val="Table Grid"/>
    <w:basedOn w:val="TableNormal"/>
    <w:uiPriority w:val="59"/>
    <w:rsid w:val="00031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3E71"/>
    <w:rPr>
      <w:color w:val="800080" w:themeColor="followedHyperlink"/>
      <w:u w:val="single"/>
    </w:rPr>
  </w:style>
  <w:style w:type="character" w:styleId="UnresolvedMention">
    <w:name w:val="Unresolved Mention"/>
    <w:basedOn w:val="DefaultParagraphFont"/>
    <w:uiPriority w:val="99"/>
    <w:semiHidden/>
    <w:unhideWhenUsed/>
    <w:rsid w:val="00FB7846"/>
    <w:rPr>
      <w:color w:val="605E5C"/>
      <w:shd w:val="clear" w:color="auto" w:fill="E1DFDD"/>
    </w:rPr>
  </w:style>
  <w:style w:type="paragraph" w:customStyle="1" w:styleId="Default">
    <w:name w:val="Default"/>
    <w:rsid w:val="00A967F6"/>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ura.Amato@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dicaid.gov/federal-policy-guidance/downloads/cib021723.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aid.gov/federal-policy-guidance/downloads/cib021723.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4659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Sousa, Pam (EHS)</cp:lastModifiedBy>
  <cp:revision>2</cp:revision>
  <cp:lastPrinted>2018-12-13T19:10:00Z</cp:lastPrinted>
  <dcterms:created xsi:type="dcterms:W3CDTF">2023-03-14T15:12:00Z</dcterms:created>
  <dcterms:modified xsi:type="dcterms:W3CDTF">2023-03-14T15:12:00Z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