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63F6" w14:textId="77777777" w:rsidR="003A2987" w:rsidRDefault="003A2987" w:rsidP="003A2987">
      <w:pPr>
        <w:tabs>
          <w:tab w:val="center" w:pos="5040"/>
          <w:tab w:val="left" w:pos="9000"/>
        </w:tabs>
        <w:suppressAutoHyphens/>
        <w:spacing w:before="240" w:after="24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96196A" w14:textId="6C87985A" w:rsidR="003A2987" w:rsidRPr="00D237CA" w:rsidRDefault="003A2987" w:rsidP="003A2987">
      <w:pPr>
        <w:tabs>
          <w:tab w:val="center" w:pos="5040"/>
          <w:tab w:val="left" w:pos="9000"/>
        </w:tabs>
        <w:suppressAutoHyphens/>
        <w:spacing w:before="240" w:after="240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7CA">
        <w:rPr>
          <w:rFonts w:ascii="Times New Roman" w:hAnsi="Times New Roman" w:cs="Times New Roman"/>
          <w:b/>
          <w:sz w:val="24"/>
          <w:szCs w:val="24"/>
        </w:rPr>
        <w:t>Administrative Bulletin</w:t>
      </w:r>
      <w:r w:rsidR="008C2031">
        <w:rPr>
          <w:rFonts w:ascii="Times New Roman" w:hAnsi="Times New Roman" w:cs="Times New Roman"/>
          <w:b/>
          <w:sz w:val="24"/>
          <w:szCs w:val="24"/>
        </w:rPr>
        <w:t xml:space="preserve"> 23-</w:t>
      </w:r>
      <w:r w:rsidR="005011E9">
        <w:rPr>
          <w:rFonts w:ascii="Times New Roman" w:hAnsi="Times New Roman" w:cs="Times New Roman"/>
          <w:b/>
          <w:sz w:val="24"/>
          <w:szCs w:val="24"/>
        </w:rPr>
        <w:t>10</w:t>
      </w:r>
    </w:p>
    <w:p w14:paraId="7F59B4B8" w14:textId="77777777" w:rsidR="003A2987" w:rsidRPr="00B149FC" w:rsidRDefault="003A2987" w:rsidP="003A2987">
      <w:pPr>
        <w:pStyle w:val="BodyText"/>
        <w:spacing w:before="59" w:after="240"/>
        <w:jc w:val="center"/>
        <w:rPr>
          <w:rFonts w:ascii="Times New Roman" w:hAnsi="Times New Roman"/>
          <w:spacing w:val="-2"/>
          <w:sz w:val="24"/>
          <w:szCs w:val="24"/>
        </w:rPr>
      </w:pPr>
      <w:r w:rsidRPr="00B149FC">
        <w:rPr>
          <w:rFonts w:ascii="Times New Roman" w:hAnsi="Times New Roman"/>
          <w:spacing w:val="-2"/>
          <w:sz w:val="24"/>
          <w:szCs w:val="24"/>
        </w:rPr>
        <w:t>101 CMR 516.00: Behavioral Health Access and Crisis Intervention</w:t>
      </w:r>
      <w:r w:rsidRPr="00B149FC">
        <w:rPr>
          <w:rFonts w:ascii="Times New Roman" w:hAnsi="Times New Roman"/>
          <w:spacing w:val="-2"/>
          <w:sz w:val="24"/>
          <w:szCs w:val="24"/>
        </w:rPr>
        <w:br/>
        <w:t>Trust Fund Surcharge</w:t>
      </w:r>
    </w:p>
    <w:p w14:paraId="2F770668" w14:textId="77777777" w:rsidR="003A2987" w:rsidRDefault="003A2987" w:rsidP="003A2987">
      <w:pPr>
        <w:pStyle w:val="BodyText"/>
        <w:spacing w:before="59" w:after="240"/>
        <w:jc w:val="center"/>
        <w:rPr>
          <w:rFonts w:ascii="Times New Roman" w:hAnsi="Times New Roman"/>
          <w:b w:val="0"/>
          <w:bCs w:val="0"/>
          <w:spacing w:val="-2"/>
          <w:sz w:val="22"/>
          <w:szCs w:val="22"/>
        </w:rPr>
      </w:pPr>
      <w:r w:rsidRPr="003412DF">
        <w:rPr>
          <w:rFonts w:ascii="Times New Roman" w:hAnsi="Times New Roman"/>
          <w:b w:val="0"/>
          <w:bCs w:val="0"/>
          <w:spacing w:val="-2"/>
          <w:sz w:val="22"/>
          <w:szCs w:val="22"/>
        </w:rPr>
        <w:t xml:space="preserve">Effective November </w:t>
      </w:r>
      <w:r>
        <w:rPr>
          <w:rFonts w:ascii="Times New Roman" w:hAnsi="Times New Roman"/>
          <w:b w:val="0"/>
          <w:bCs w:val="0"/>
          <w:spacing w:val="-2"/>
          <w:sz w:val="22"/>
          <w:szCs w:val="22"/>
        </w:rPr>
        <w:t>25</w:t>
      </w:r>
      <w:r w:rsidRPr="003412DF">
        <w:rPr>
          <w:rFonts w:ascii="Times New Roman" w:hAnsi="Times New Roman"/>
          <w:b w:val="0"/>
          <w:bCs w:val="0"/>
          <w:spacing w:val="-2"/>
          <w:sz w:val="22"/>
          <w:szCs w:val="22"/>
        </w:rPr>
        <w:t>, 2022</w:t>
      </w:r>
    </w:p>
    <w:p w14:paraId="043D9E86" w14:textId="77777777" w:rsidR="003A2987" w:rsidRPr="00AA3AAE" w:rsidRDefault="003A2987" w:rsidP="003A2987">
      <w:pPr>
        <w:pStyle w:val="BodyText"/>
        <w:spacing w:before="59" w:after="240"/>
        <w:jc w:val="center"/>
        <w:rPr>
          <w:rFonts w:ascii="Times New Roman" w:hAnsi="Times New Roman"/>
          <w:bCs w:val="0"/>
          <w:spacing w:val="-2"/>
          <w:sz w:val="22"/>
          <w:szCs w:val="22"/>
        </w:rPr>
      </w:pPr>
      <w:r>
        <w:rPr>
          <w:rFonts w:ascii="Times New Roman" w:hAnsi="Times New Roman"/>
          <w:bCs w:val="0"/>
          <w:sz w:val="24"/>
          <w:szCs w:val="24"/>
        </w:rPr>
        <w:t>Behavioral Health Access and Crisis Intervention</w:t>
      </w:r>
      <w:r>
        <w:rPr>
          <w:rFonts w:ascii="Times New Roman" w:hAnsi="Times New Roman"/>
          <w:bCs w:val="0"/>
          <w:sz w:val="24"/>
          <w:szCs w:val="24"/>
        </w:rPr>
        <w:br/>
        <w:t xml:space="preserve"> Trust Fund </w:t>
      </w:r>
      <w:r w:rsidRPr="00AA3AAE">
        <w:rPr>
          <w:rFonts w:ascii="Times New Roman" w:hAnsi="Times New Roman"/>
          <w:bCs w:val="0"/>
          <w:sz w:val="24"/>
          <w:szCs w:val="24"/>
        </w:rPr>
        <w:t xml:space="preserve">Surcharge Percentage </w:t>
      </w:r>
      <w:r>
        <w:rPr>
          <w:rFonts w:ascii="Times New Roman" w:hAnsi="Times New Roman"/>
          <w:bCs w:val="0"/>
          <w:sz w:val="24"/>
          <w:szCs w:val="24"/>
        </w:rPr>
        <w:t>for Fiscal Year 2023</w:t>
      </w:r>
    </w:p>
    <w:p w14:paraId="4AF72CE2" w14:textId="102ACCB1" w:rsidR="003A2987" w:rsidRPr="00E954BE" w:rsidRDefault="003A2987" w:rsidP="003A2987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16ACB">
        <w:rPr>
          <w:rFonts w:ascii="Times New Roman" w:hAnsi="Times New Roman" w:cs="Times New Roman"/>
          <w:color w:val="000000"/>
          <w:sz w:val="24"/>
          <w:szCs w:val="24"/>
        </w:rPr>
        <w:t xml:space="preserve">The Executive Office of Health and Human Services (EOHHS) is issuing this administrative bulletin to notify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16ACB">
        <w:rPr>
          <w:rFonts w:ascii="Times New Roman" w:hAnsi="Times New Roman" w:cs="Times New Roman"/>
          <w:color w:val="000000"/>
          <w:sz w:val="24"/>
          <w:szCs w:val="24"/>
        </w:rPr>
        <w:t xml:space="preserve">urcharge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16ACB">
        <w:rPr>
          <w:rFonts w:ascii="Times New Roman" w:hAnsi="Times New Roman" w:cs="Times New Roman"/>
          <w:color w:val="000000"/>
          <w:sz w:val="24"/>
          <w:szCs w:val="24"/>
        </w:rPr>
        <w:t xml:space="preserve">ayers that </w:t>
      </w:r>
      <w:bookmarkStart w:id="0" w:name="_Hlk128577424"/>
      <w:r w:rsidRPr="00A16ACB">
        <w:rPr>
          <w:rFonts w:ascii="Times New Roman" w:hAnsi="Times New Roman" w:cs="Times New Roman"/>
          <w:color w:val="000000"/>
          <w:sz w:val="24"/>
          <w:szCs w:val="24"/>
        </w:rPr>
        <w:t xml:space="preserve">EOHHS </w:t>
      </w:r>
      <w:r w:rsidRPr="00A16ACB">
        <w:rPr>
          <w:rFonts w:ascii="Times New Roman" w:hAnsi="Times New Roman" w:cs="Times New Roman"/>
          <w:sz w:val="24"/>
          <w:szCs w:val="24"/>
        </w:rPr>
        <w:t>has determined that the Fiscal Year 2023 Behavioral Health Access and Crisis Intervention surcharge percentage is 0.</w:t>
      </w:r>
      <w:r w:rsidR="00C5428C">
        <w:rPr>
          <w:rFonts w:ascii="Times New Roman" w:hAnsi="Times New Roman" w:cs="Times New Roman"/>
          <w:sz w:val="24"/>
          <w:szCs w:val="24"/>
        </w:rPr>
        <w:t>29</w:t>
      </w:r>
      <w:r w:rsidRPr="00A16ACB">
        <w:rPr>
          <w:rFonts w:ascii="Times New Roman" w:hAnsi="Times New Roman" w:cs="Times New Roman"/>
          <w:sz w:val="24"/>
          <w:szCs w:val="24"/>
        </w:rPr>
        <w:t xml:space="preserve">%. This surcharge is authorized by M.G.L. Chapter 118E, Section 69A and 101 CMR 516.00. </w:t>
      </w:r>
      <w:r w:rsidRPr="00A16ACB">
        <w:rPr>
          <w:rFonts w:ascii="Times New Roman" w:hAnsi="Times New Roman" w:cs="Times New Roman"/>
          <w:color w:val="000000"/>
          <w:sz w:val="24"/>
          <w:szCs w:val="24"/>
        </w:rPr>
        <w:t>Based on available surcharge payment data, EOHHS has determined that the surcharge percentage of 0.</w:t>
      </w:r>
      <w:r w:rsidR="00C5428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A16ACB">
        <w:rPr>
          <w:rFonts w:ascii="Times New Roman" w:hAnsi="Times New Roman" w:cs="Times New Roman"/>
          <w:color w:val="000000"/>
          <w:sz w:val="24"/>
          <w:szCs w:val="24"/>
        </w:rPr>
        <w:t xml:space="preserve">% will generate the total behavioral health surcharge amount as required by M.G.L. Chapter 118E, Section 69A and 101 CMR 516.00.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72549">
        <w:rPr>
          <w:rFonts w:ascii="Times New Roman" w:hAnsi="Times New Roman" w:cs="Times New Roman"/>
          <w:sz w:val="24"/>
          <w:szCs w:val="24"/>
        </w:rPr>
        <w:t xml:space="preserve">ayments made on behalf of </w:t>
      </w:r>
      <w:proofErr w:type="spellStart"/>
      <w:r w:rsidRPr="00D72549">
        <w:rPr>
          <w:rFonts w:ascii="Times New Roman" w:hAnsi="Times New Roman" w:cs="Times New Roman"/>
          <w:sz w:val="24"/>
          <w:szCs w:val="24"/>
        </w:rPr>
        <w:t>ConnectorCare</w:t>
      </w:r>
      <w:proofErr w:type="spellEnd"/>
      <w:r w:rsidRPr="00D72549">
        <w:rPr>
          <w:rFonts w:ascii="Times New Roman" w:hAnsi="Times New Roman" w:cs="Times New Roman"/>
          <w:sz w:val="24"/>
          <w:szCs w:val="24"/>
        </w:rPr>
        <w:t xml:space="preserve"> members are also subject to 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D72549">
        <w:rPr>
          <w:rFonts w:ascii="Times New Roman" w:hAnsi="Times New Roman" w:cs="Times New Roman"/>
          <w:sz w:val="24"/>
          <w:szCs w:val="24"/>
        </w:rPr>
        <w:t xml:space="preserve"> surcharge.</w:t>
      </w:r>
    </w:p>
    <w:p w14:paraId="0781A868" w14:textId="60E18246" w:rsidR="003A2987" w:rsidRDefault="003A2987" w:rsidP="005011E9">
      <w:pPr>
        <w:pStyle w:val="BodyText"/>
        <w:tabs>
          <w:tab w:val="left" w:pos="9000"/>
        </w:tabs>
        <w:spacing w:after="360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Each </w:t>
      </w:r>
      <w:r w:rsidR="001B2E92">
        <w:rPr>
          <w:rFonts w:ascii="Times New Roman" w:hAnsi="Times New Roman"/>
          <w:b w:val="0"/>
          <w:bCs w:val="0"/>
          <w:color w:val="000000"/>
          <w:sz w:val="24"/>
          <w:szCs w:val="24"/>
        </w:rPr>
        <w:t>p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ayer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, as defined in 101 CMR 516.00,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must calculate its surcharge liability by applying the 0.</w:t>
      </w:r>
      <w:r w:rsidR="00C5428C">
        <w:rPr>
          <w:rFonts w:ascii="Times New Roman" w:hAnsi="Times New Roman"/>
          <w:b w:val="0"/>
          <w:bCs w:val="0"/>
          <w:color w:val="000000"/>
          <w:sz w:val="24"/>
          <w:szCs w:val="24"/>
        </w:rPr>
        <w:t>29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% to its total payments made to hospitals and ambulatory surgical centers (ASCs) from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October 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1, 202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1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through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September 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3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0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, 202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Payers must submit their payments by </w:t>
      </w:r>
      <w:r w:rsidR="005011E9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="00C5428C">
        <w:rPr>
          <w:rFonts w:ascii="Times New Roman" w:hAnsi="Times New Roman"/>
          <w:b w:val="0"/>
          <w:bCs w:val="0"/>
          <w:color w:val="000000"/>
          <w:sz w:val="24"/>
          <w:szCs w:val="24"/>
        </w:rPr>
        <w:t>May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="00C5428C">
        <w:rPr>
          <w:rFonts w:ascii="Times New Roman" w:hAnsi="Times New Roman"/>
          <w:b w:val="0"/>
          <w:bCs w:val="0"/>
          <w:color w:val="000000"/>
          <w:sz w:val="24"/>
          <w:szCs w:val="24"/>
        </w:rPr>
        <w:t>1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A16ACB">
        <w:rPr>
          <w:rFonts w:ascii="Times New Roman" w:hAnsi="Times New Roman"/>
          <w:b w:val="0"/>
          <w:bCs w:val="0"/>
          <w:color w:val="000000"/>
          <w:sz w:val="24"/>
          <w:szCs w:val="24"/>
        </w:rPr>
        <w:t>, 2023. An example is listed below.</w:t>
      </w:r>
    </w:p>
    <w:tbl>
      <w:tblPr>
        <w:tblW w:w="7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4387"/>
      </w:tblGrid>
      <w:tr w:rsidR="003A2987" w:rsidRPr="00A22ADF" w14:paraId="7004C814" w14:textId="77777777" w:rsidTr="00E1187E">
        <w:trPr>
          <w:jc w:val="center"/>
        </w:trPr>
        <w:tc>
          <w:tcPr>
            <w:tcW w:w="3443" w:type="dxa"/>
            <w:shd w:val="pct10" w:color="auto" w:fill="auto"/>
          </w:tcPr>
          <w:p w14:paraId="14264A24" w14:textId="4F1FE1D6" w:rsidR="003A2987" w:rsidRPr="00A22ADF" w:rsidRDefault="000609AB" w:rsidP="00E1187E">
            <w:pPr>
              <w:ind w:left="4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Period</w:t>
            </w:r>
          </w:p>
        </w:tc>
        <w:tc>
          <w:tcPr>
            <w:tcW w:w="4387" w:type="dxa"/>
            <w:shd w:val="pct10" w:color="auto" w:fill="auto"/>
          </w:tcPr>
          <w:p w14:paraId="1BF70EF0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 w:rsidRPr="00A22ADF">
              <w:rPr>
                <w:rFonts w:ascii="Times New Roman" w:hAnsi="Times New Roman" w:cs="Times New Roman"/>
              </w:rPr>
              <w:t>Payments to Hospitals and ASCs</w:t>
            </w:r>
          </w:p>
        </w:tc>
      </w:tr>
      <w:tr w:rsidR="003A2987" w:rsidRPr="00A22ADF" w14:paraId="476DB2DE" w14:textId="77777777" w:rsidTr="00E1187E">
        <w:trPr>
          <w:jc w:val="center"/>
        </w:trPr>
        <w:tc>
          <w:tcPr>
            <w:tcW w:w="3443" w:type="dxa"/>
            <w:shd w:val="clear" w:color="auto" w:fill="auto"/>
          </w:tcPr>
          <w:p w14:paraId="027C9EA1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Pr="00A22AD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 through September 2022</w:t>
            </w:r>
          </w:p>
        </w:tc>
        <w:tc>
          <w:tcPr>
            <w:tcW w:w="4387" w:type="dxa"/>
            <w:shd w:val="clear" w:color="auto" w:fill="auto"/>
          </w:tcPr>
          <w:p w14:paraId="01DE479B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 w:rsidRPr="00A22ADF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3</w:t>
            </w:r>
            <w:r w:rsidRPr="00A22ADF">
              <w:rPr>
                <w:rFonts w:ascii="Times New Roman" w:hAnsi="Times New Roman" w:cs="Times New Roman"/>
              </w:rPr>
              <w:t>0,000,000</w:t>
            </w:r>
          </w:p>
        </w:tc>
      </w:tr>
      <w:tr w:rsidR="003A2987" w:rsidRPr="00A22ADF" w14:paraId="60592B58" w14:textId="77777777" w:rsidTr="00E1187E">
        <w:trPr>
          <w:jc w:val="center"/>
        </w:trPr>
        <w:tc>
          <w:tcPr>
            <w:tcW w:w="3443" w:type="dxa"/>
            <w:shd w:val="clear" w:color="auto" w:fill="auto"/>
          </w:tcPr>
          <w:p w14:paraId="5673C9E8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Surcharge Percentage</w:t>
            </w:r>
          </w:p>
        </w:tc>
        <w:tc>
          <w:tcPr>
            <w:tcW w:w="4387" w:type="dxa"/>
            <w:shd w:val="clear" w:color="auto" w:fill="auto"/>
          </w:tcPr>
          <w:p w14:paraId="3315A49F" w14:textId="71AFC1C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 w:rsidRPr="00A22ADF">
              <w:rPr>
                <w:rFonts w:ascii="Times New Roman" w:hAnsi="Times New Roman" w:cs="Times New Roman"/>
              </w:rPr>
              <w:t>x         .00</w:t>
            </w:r>
            <w:r w:rsidR="00C5428C">
              <w:rPr>
                <w:rFonts w:ascii="Times New Roman" w:hAnsi="Times New Roman" w:cs="Times New Roman"/>
              </w:rPr>
              <w:t>29</w:t>
            </w:r>
          </w:p>
        </w:tc>
      </w:tr>
      <w:tr w:rsidR="003A2987" w:rsidRPr="00A22ADF" w14:paraId="723DF6D4" w14:textId="77777777" w:rsidTr="00E1187E">
        <w:trPr>
          <w:jc w:val="center"/>
        </w:trPr>
        <w:tc>
          <w:tcPr>
            <w:tcW w:w="3443" w:type="dxa"/>
            <w:shd w:val="pct10" w:color="auto" w:fill="auto"/>
          </w:tcPr>
          <w:p w14:paraId="57E0C907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 w:rsidRPr="00A22ADF">
              <w:rPr>
                <w:rFonts w:ascii="Times New Roman" w:hAnsi="Times New Roman" w:cs="Times New Roman"/>
              </w:rPr>
              <w:t xml:space="preserve">Amount Due (Total Payments x </w:t>
            </w:r>
            <w:r>
              <w:rPr>
                <w:rFonts w:ascii="Times New Roman" w:hAnsi="Times New Roman" w:cs="Times New Roman"/>
              </w:rPr>
              <w:t>Surcharge Percentage</w:t>
            </w:r>
            <w:r w:rsidRPr="00A22A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87" w:type="dxa"/>
            <w:shd w:val="pct10" w:color="auto" w:fill="auto"/>
          </w:tcPr>
          <w:p w14:paraId="658CE742" w14:textId="7777777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</w:p>
          <w:p w14:paraId="6990C762" w14:textId="56FEBEC7" w:rsidR="003A2987" w:rsidRPr="00A22ADF" w:rsidRDefault="003A2987" w:rsidP="00E1187E">
            <w:pPr>
              <w:ind w:left="450"/>
              <w:rPr>
                <w:rFonts w:ascii="Times New Roman" w:hAnsi="Times New Roman" w:cs="Times New Roman"/>
              </w:rPr>
            </w:pPr>
            <w:r w:rsidRPr="00A22ADF">
              <w:rPr>
                <w:rFonts w:ascii="Times New Roman" w:hAnsi="Times New Roman" w:cs="Times New Roman"/>
              </w:rPr>
              <w:t xml:space="preserve">$       </w:t>
            </w:r>
            <w:r w:rsidR="00C5428C">
              <w:rPr>
                <w:rFonts w:ascii="Times New Roman" w:hAnsi="Times New Roman" w:cs="Times New Roman"/>
              </w:rPr>
              <w:t>87</w:t>
            </w:r>
            <w:r w:rsidRPr="00A22ADF">
              <w:rPr>
                <w:rFonts w:ascii="Times New Roman" w:hAnsi="Times New Roman" w:cs="Times New Roman"/>
              </w:rPr>
              <w:t>,000</w:t>
            </w:r>
          </w:p>
        </w:tc>
      </w:tr>
    </w:tbl>
    <w:p w14:paraId="3A881F9B" w14:textId="4214DCA7" w:rsidR="00EE4CAE" w:rsidRDefault="00EE4CAE"/>
    <w:p w14:paraId="3561C7A3" w14:textId="0334914F" w:rsidR="0041466F" w:rsidRDefault="0041466F" w:rsidP="0041466F"/>
    <w:p w14:paraId="12B7360E" w14:textId="19A16CF7" w:rsidR="0041466F" w:rsidRPr="0041466F" w:rsidRDefault="0041466F" w:rsidP="0041466F">
      <w:pPr>
        <w:tabs>
          <w:tab w:val="left" w:pos="5250"/>
        </w:tabs>
      </w:pPr>
      <w:r>
        <w:tab/>
      </w:r>
    </w:p>
    <w:sectPr w:rsidR="0041466F" w:rsidRPr="0041466F" w:rsidSect="00EE4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C906" w14:textId="77777777" w:rsidR="00F12C5F" w:rsidRDefault="00F12C5F" w:rsidP="00153DCE">
      <w:r>
        <w:separator/>
      </w:r>
    </w:p>
  </w:endnote>
  <w:endnote w:type="continuationSeparator" w:id="0">
    <w:p w14:paraId="771D7FD3" w14:textId="77777777" w:rsidR="00F12C5F" w:rsidRDefault="00F12C5F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DEEB" w14:textId="77777777" w:rsidR="004D48D7" w:rsidRDefault="004D4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665C" w14:textId="77777777" w:rsidR="004D48D7" w:rsidRDefault="004D4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FC69" w14:textId="77777777" w:rsidR="004D48D7" w:rsidRDefault="004D4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1C38" w14:textId="77777777" w:rsidR="00F12C5F" w:rsidRDefault="00F12C5F" w:rsidP="00153DCE">
      <w:r>
        <w:separator/>
      </w:r>
    </w:p>
  </w:footnote>
  <w:footnote w:type="continuationSeparator" w:id="0">
    <w:p w14:paraId="1D823454" w14:textId="77777777" w:rsidR="00F12C5F" w:rsidRDefault="00F12C5F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EB05" w14:textId="77777777" w:rsidR="004D48D7" w:rsidRDefault="004D4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BA65" w14:textId="77777777" w:rsidR="004D48D7" w:rsidRDefault="004D4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49F2DEC" w:rsidR="00EE4CAE" w:rsidRPr="006E5DED" w:rsidRDefault="004D48D7" w:rsidP="00EE4CAE">
    <w:pPr>
      <w:pStyle w:val="Header"/>
      <w:rPr>
        <w:noProof/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64AAB5A7" wp14:editId="6FDB8EBA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302"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96FC4BF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96.7pt;margin-top:7.5pt;width:2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E4CAE">
      <w:rPr>
        <w:noProof/>
        <w:color w:val="1F497D" w:themeColor="text2"/>
      </w:rPr>
      <w:drawing>
        <wp:inline distT="0" distB="0" distL="0" distR="0" wp14:anchorId="3A881FAD" wp14:editId="188AA1D9">
          <wp:extent cx="1164590" cy="137795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609AB"/>
    <w:rsid w:val="000722C4"/>
    <w:rsid w:val="000B3478"/>
    <w:rsid w:val="00134791"/>
    <w:rsid w:val="00153DCE"/>
    <w:rsid w:val="00154CA9"/>
    <w:rsid w:val="00193348"/>
    <w:rsid w:val="001A7742"/>
    <w:rsid w:val="001B2E92"/>
    <w:rsid w:val="001D628B"/>
    <w:rsid w:val="002448DD"/>
    <w:rsid w:val="00266B97"/>
    <w:rsid w:val="00271D28"/>
    <w:rsid w:val="00284238"/>
    <w:rsid w:val="003113E4"/>
    <w:rsid w:val="0033130A"/>
    <w:rsid w:val="00351564"/>
    <w:rsid w:val="003A2987"/>
    <w:rsid w:val="003A3882"/>
    <w:rsid w:val="003F6AAE"/>
    <w:rsid w:val="0041466F"/>
    <w:rsid w:val="00443CDB"/>
    <w:rsid w:val="00444E52"/>
    <w:rsid w:val="00465E5A"/>
    <w:rsid w:val="004D48D7"/>
    <w:rsid w:val="004E3996"/>
    <w:rsid w:val="005011E9"/>
    <w:rsid w:val="005246D9"/>
    <w:rsid w:val="0053555D"/>
    <w:rsid w:val="0056474D"/>
    <w:rsid w:val="0057224E"/>
    <w:rsid w:val="00585302"/>
    <w:rsid w:val="00597C39"/>
    <w:rsid w:val="005B5D35"/>
    <w:rsid w:val="005F20AC"/>
    <w:rsid w:val="005F66F1"/>
    <w:rsid w:val="00607406"/>
    <w:rsid w:val="0064272D"/>
    <w:rsid w:val="006718AB"/>
    <w:rsid w:val="006B1D87"/>
    <w:rsid w:val="006B6EE0"/>
    <w:rsid w:val="006E5DED"/>
    <w:rsid w:val="0070235D"/>
    <w:rsid w:val="00720C4F"/>
    <w:rsid w:val="00734039"/>
    <w:rsid w:val="00782360"/>
    <w:rsid w:val="007B48C3"/>
    <w:rsid w:val="007F04B8"/>
    <w:rsid w:val="00800711"/>
    <w:rsid w:val="008A50C9"/>
    <w:rsid w:val="008C2031"/>
    <w:rsid w:val="00964EDE"/>
    <w:rsid w:val="00A06F80"/>
    <w:rsid w:val="00A34C8D"/>
    <w:rsid w:val="00AB33D8"/>
    <w:rsid w:val="00B623EB"/>
    <w:rsid w:val="00BA6D03"/>
    <w:rsid w:val="00C400D6"/>
    <w:rsid w:val="00C5428C"/>
    <w:rsid w:val="00C87BF7"/>
    <w:rsid w:val="00D160CC"/>
    <w:rsid w:val="00D5182F"/>
    <w:rsid w:val="00D63172"/>
    <w:rsid w:val="00D761F6"/>
    <w:rsid w:val="00E10A6E"/>
    <w:rsid w:val="00E27559"/>
    <w:rsid w:val="00E320F9"/>
    <w:rsid w:val="00E56BD5"/>
    <w:rsid w:val="00E620A3"/>
    <w:rsid w:val="00E74BC2"/>
    <w:rsid w:val="00E92AC9"/>
    <w:rsid w:val="00EE4CAE"/>
    <w:rsid w:val="00F12C5F"/>
    <w:rsid w:val="00F44C98"/>
    <w:rsid w:val="00F65E5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qFormat/>
    <w:rsid w:val="00284238"/>
    <w:pPr>
      <w:tabs>
        <w:tab w:val="left" w:pos="3165"/>
      </w:tabs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4238"/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rsid w:val="003A2987"/>
    <w:pPr>
      <w:tabs>
        <w:tab w:val="left" w:pos="630"/>
        <w:tab w:val="left" w:pos="5760"/>
      </w:tabs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A2987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c469c-002f-4bd9-b467-62a375807c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BE88B10D10D42A990E8BD24E5AF12" ma:contentTypeVersion="12" ma:contentTypeDescription="Create a new document." ma:contentTypeScope="" ma:versionID="8e457164ac4f4668a873c367a5da6399">
  <xsd:schema xmlns:xsd="http://www.w3.org/2001/XMLSchema" xmlns:xs="http://www.w3.org/2001/XMLSchema" xmlns:p="http://schemas.microsoft.com/office/2006/metadata/properties" xmlns:ns3="e55c469c-002f-4bd9-b467-62a375807c9b" xmlns:ns4="74d9cbfb-62bc-40dd-a59e-32edf4587afb" targetNamespace="http://schemas.microsoft.com/office/2006/metadata/properties" ma:root="true" ma:fieldsID="e3da78d576d235eacdaad84ca62617c1" ns3:_="" ns4:_="">
    <xsd:import namespace="e55c469c-002f-4bd9-b467-62a375807c9b"/>
    <xsd:import namespace="74d9cbfb-62bc-40dd-a59e-32edf4587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c469c-002f-4bd9-b467-62a37580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cbfb-62bc-40dd-a59e-32edf4587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dcmitype/"/>
    <ds:schemaRef ds:uri="http://purl.org/dc/elements/1.1/"/>
    <ds:schemaRef ds:uri="e55c469c-002f-4bd9-b467-62a375807c9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4d9cbfb-62bc-40dd-a59e-32edf4587af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DFD95F-CF0A-4802-AD0E-D97D2512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c469c-002f-4bd9-b467-62a375807c9b"/>
    <ds:schemaRef ds:uri="74d9cbfb-62bc-40dd-a59e-32edf4587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DeLeo, Dan (EHS)</cp:lastModifiedBy>
  <cp:revision>4</cp:revision>
  <cp:lastPrinted>2023-03-01T20:48:00Z</cp:lastPrinted>
  <dcterms:created xsi:type="dcterms:W3CDTF">2023-04-10T19:15:00Z</dcterms:created>
  <dcterms:modified xsi:type="dcterms:W3CDTF">2023-04-10T21:01:00Z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0x0101006E4BE88B10D10D42A990E8BD24E5AF12</vt:lpwstr>
  </property>
  <property fmtid="{D5CDD505-2E9C-101B-9397-08002B2CF9AE}" pid="3" name="Order">
    <vt:r8>9600</vt:r8>
  </property>
</Properties>
</file>