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1F9B" w14:textId="7183D433" w:rsidR="00EE4CAE" w:rsidRPr="00C647B6" w:rsidRDefault="00EE4CAE">
      <w:pPr>
        <w:rPr>
          <w:sz w:val="24"/>
          <w:szCs w:val="24"/>
        </w:rPr>
      </w:pPr>
      <w:bookmarkStart w:id="0" w:name="_Hlk128569485"/>
    </w:p>
    <w:p w14:paraId="14400683" w14:textId="563E94A1" w:rsidR="00534406" w:rsidRPr="00C647B6" w:rsidRDefault="00534406" w:rsidP="00885155">
      <w:pPr>
        <w:pStyle w:val="Heading1"/>
      </w:pPr>
      <w:r w:rsidRPr="00C647B6">
        <w:t xml:space="preserve">Administrative Bulletin </w:t>
      </w:r>
      <w:r w:rsidR="00A967F6" w:rsidRPr="00C647B6">
        <w:t>23</w:t>
      </w:r>
      <w:r w:rsidR="00161C74">
        <w:t>-</w:t>
      </w:r>
      <w:r w:rsidR="009614C3">
        <w:t>14</w:t>
      </w:r>
    </w:p>
    <w:p w14:paraId="77467ABF" w14:textId="77777777" w:rsidR="00534406" w:rsidRPr="00C647B6" w:rsidRDefault="00534406" w:rsidP="00534406">
      <w:pPr>
        <w:rPr>
          <w:rFonts w:ascii="Times New Roman" w:eastAsia="Calibri" w:hAnsi="Times New Roman" w:cs="Times New Roman"/>
          <w:b/>
          <w:bCs/>
          <w:sz w:val="24"/>
          <w:szCs w:val="24"/>
        </w:rPr>
      </w:pPr>
    </w:p>
    <w:p w14:paraId="58E38535" w14:textId="60C63E9B" w:rsidR="00C647B6" w:rsidRDefault="00534406" w:rsidP="00885155">
      <w:pPr>
        <w:pStyle w:val="Heading1"/>
        <w:rPr>
          <w:rFonts w:ascii="Noto Sans" w:hAnsi="Noto Sans" w:cs="Noto Sans"/>
          <w:color w:val="141414"/>
        </w:rPr>
      </w:pPr>
      <w:bookmarkStart w:id="1" w:name="_Hlk135384142"/>
      <w:r w:rsidRPr="00C647B6">
        <w:t xml:space="preserve">101 CMR 324.00: Nonpublic Ambulance Service Reimbursement </w:t>
      </w:r>
      <w:r w:rsidRPr="00C647B6">
        <w:br/>
        <w:t>Trust Fund Assessment and Funding</w:t>
      </w:r>
      <w:r w:rsidR="00C647B6" w:rsidRPr="00C647B6">
        <w:t xml:space="preserve"> and 101 CMR 327:00 Rates of </w:t>
      </w:r>
      <w:r w:rsidR="000C0A52">
        <w:t>P</w:t>
      </w:r>
      <w:r w:rsidR="000C0A52" w:rsidRPr="00C647B6">
        <w:t xml:space="preserve">ayment </w:t>
      </w:r>
      <w:r w:rsidR="00C647B6" w:rsidRPr="00C647B6">
        <w:t xml:space="preserve">for </w:t>
      </w:r>
      <w:r w:rsidR="000C0A52">
        <w:t>A</w:t>
      </w:r>
      <w:r w:rsidR="000C0A52" w:rsidRPr="00C647B6">
        <w:t xml:space="preserve">mbulance </w:t>
      </w:r>
      <w:r w:rsidR="00C647B6" w:rsidRPr="00C647B6">
        <w:t xml:space="preserve">and </w:t>
      </w:r>
      <w:r w:rsidR="000C0A52">
        <w:t>W</w:t>
      </w:r>
      <w:r w:rsidR="000C0A52" w:rsidRPr="00C647B6">
        <w:t xml:space="preserve">heelchair </w:t>
      </w:r>
      <w:r w:rsidR="000C0A52">
        <w:t>V</w:t>
      </w:r>
      <w:r w:rsidR="000C0A52" w:rsidRPr="00C647B6">
        <w:t xml:space="preserve">an </w:t>
      </w:r>
      <w:r w:rsidR="000C0A52">
        <w:t>S</w:t>
      </w:r>
      <w:r w:rsidR="000C0A52" w:rsidRPr="00C647B6">
        <w:t>ervices</w:t>
      </w:r>
    </w:p>
    <w:bookmarkEnd w:id="1"/>
    <w:p w14:paraId="591C186E" w14:textId="77777777" w:rsidR="00534406" w:rsidRPr="00C647B6" w:rsidRDefault="00534406" w:rsidP="00534406">
      <w:pPr>
        <w:rPr>
          <w:rFonts w:ascii="Times New Roman" w:hAnsi="Times New Roman" w:cs="Times New Roman"/>
          <w:b/>
          <w:sz w:val="24"/>
          <w:szCs w:val="24"/>
        </w:rPr>
      </w:pPr>
    </w:p>
    <w:p w14:paraId="527B7A21" w14:textId="7754B063" w:rsidR="00C30A58" w:rsidRPr="009614C3" w:rsidRDefault="00534406" w:rsidP="00885155">
      <w:pPr>
        <w:pStyle w:val="Heading1"/>
        <w:rPr>
          <w:b w:val="0"/>
          <w:bCs w:val="0"/>
        </w:rPr>
      </w:pPr>
      <w:r w:rsidRPr="009614C3">
        <w:rPr>
          <w:b w:val="0"/>
          <w:bCs w:val="0"/>
        </w:rPr>
        <w:t xml:space="preserve">Effective </w:t>
      </w:r>
      <w:r w:rsidR="009614C3" w:rsidRPr="009614C3">
        <w:rPr>
          <w:b w:val="0"/>
          <w:bCs w:val="0"/>
        </w:rPr>
        <w:t>May 19, 2023</w:t>
      </w:r>
    </w:p>
    <w:p w14:paraId="07A1B5FE" w14:textId="77777777" w:rsidR="00C30A58" w:rsidRPr="00C647B6" w:rsidRDefault="00C30A58" w:rsidP="00C30A58">
      <w:pPr>
        <w:rPr>
          <w:sz w:val="24"/>
          <w:szCs w:val="24"/>
        </w:rPr>
      </w:pPr>
    </w:p>
    <w:p w14:paraId="009DA008" w14:textId="4266D6EF" w:rsidR="00C647B6" w:rsidRPr="00C647B6" w:rsidRDefault="00C647B6" w:rsidP="00885155">
      <w:pPr>
        <w:pStyle w:val="Heading1"/>
      </w:pPr>
      <w:r w:rsidRPr="00C647B6">
        <w:t>Administrative Pause to Nonpublic Ambulance Assessment</w:t>
      </w:r>
    </w:p>
    <w:p w14:paraId="7E506909" w14:textId="77777777" w:rsidR="00C647B6" w:rsidRPr="00C647B6" w:rsidRDefault="00C647B6" w:rsidP="00C647B6">
      <w:pPr>
        <w:rPr>
          <w:rFonts w:ascii="Times New Roman" w:hAnsi="Times New Roman" w:cs="Times New Roman"/>
          <w:sz w:val="24"/>
          <w:szCs w:val="24"/>
        </w:rPr>
      </w:pPr>
    </w:p>
    <w:p w14:paraId="06FD7E31" w14:textId="59A10B05" w:rsidR="00C647B6" w:rsidRPr="00C647B6" w:rsidRDefault="00C647B6" w:rsidP="00C647B6">
      <w:pPr>
        <w:pStyle w:val="Heading2"/>
        <w:rPr>
          <w:sz w:val="24"/>
          <w:szCs w:val="24"/>
        </w:rPr>
      </w:pPr>
      <w:r w:rsidRPr="00C647B6">
        <w:rPr>
          <w:sz w:val="24"/>
          <w:szCs w:val="24"/>
        </w:rPr>
        <w:t>Introduction</w:t>
      </w:r>
    </w:p>
    <w:p w14:paraId="1230A7B8" w14:textId="77777777" w:rsidR="00C647B6" w:rsidRPr="00C647B6" w:rsidRDefault="00C647B6" w:rsidP="00C647B6">
      <w:pPr>
        <w:rPr>
          <w:rFonts w:ascii="Times New Roman" w:hAnsi="Times New Roman" w:cs="Times New Roman"/>
          <w:sz w:val="24"/>
          <w:szCs w:val="24"/>
        </w:rPr>
      </w:pPr>
    </w:p>
    <w:p w14:paraId="45DEDE77" w14:textId="77777777" w:rsidR="00C647B6" w:rsidRPr="00885155" w:rsidRDefault="00C647B6" w:rsidP="00885155">
      <w:pPr>
        <w:rPr>
          <w:rFonts w:ascii="Times New Roman" w:hAnsi="Times New Roman" w:cs="Times New Roman"/>
          <w:b/>
          <w:bCs/>
          <w:color w:val="000000"/>
          <w:sz w:val="24"/>
          <w:szCs w:val="24"/>
        </w:rPr>
      </w:pPr>
      <w:r w:rsidRPr="00885155">
        <w:rPr>
          <w:rFonts w:ascii="Times New Roman" w:hAnsi="Times New Roman" w:cs="Times New Roman"/>
          <w:color w:val="000000"/>
          <w:sz w:val="24"/>
          <w:szCs w:val="24"/>
        </w:rPr>
        <w:t xml:space="preserve">As described in </w:t>
      </w:r>
      <w:hyperlink r:id="rId11" w:history="1">
        <w:r w:rsidRPr="00885155">
          <w:rPr>
            <w:rStyle w:val="Hyperlink"/>
            <w:rFonts w:ascii="Times New Roman" w:hAnsi="Times New Roman" w:cs="Times New Roman"/>
            <w:sz w:val="24"/>
            <w:szCs w:val="24"/>
          </w:rPr>
          <w:t>EOHHS Administrative Bulletin 23-05</w:t>
        </w:r>
      </w:hyperlink>
      <w:r w:rsidRPr="00885155">
        <w:rPr>
          <w:rFonts w:ascii="Times New Roman" w:hAnsi="Times New Roman" w:cs="Times New Roman"/>
          <w:color w:val="000000"/>
          <w:sz w:val="24"/>
          <w:szCs w:val="24"/>
        </w:rPr>
        <w:t xml:space="preserve">, the Centers for Medicare and Medicaid Services (CMS) issued an </w:t>
      </w:r>
      <w:hyperlink r:id="rId12" w:history="1">
        <w:r w:rsidRPr="00885155">
          <w:rPr>
            <w:rStyle w:val="Hyperlink"/>
            <w:rFonts w:ascii="Times New Roman" w:hAnsi="Times New Roman" w:cs="Times New Roman"/>
            <w:sz w:val="24"/>
            <w:szCs w:val="24"/>
          </w:rPr>
          <w:t>Informational Bulletin</w:t>
        </w:r>
      </w:hyperlink>
      <w:r w:rsidRPr="00885155">
        <w:rPr>
          <w:rFonts w:ascii="Times New Roman" w:hAnsi="Times New Roman" w:cs="Times New Roman"/>
          <w:color w:val="000000"/>
          <w:sz w:val="24"/>
          <w:szCs w:val="24"/>
        </w:rPr>
        <w:t xml:space="preserve"> on February 17, 2023, reiterating certain federal requirements that pertain to health care-related taxes such as the nonpublic ambulance assessment, including a prohibition on so-called “hold harmless” arrangements. This Informational Bulletin included specific examples of prohibited hold harmless arrangements, including hold harmless arrangements established entirely by non-state actors. </w:t>
      </w:r>
    </w:p>
    <w:p w14:paraId="415194CE" w14:textId="77777777" w:rsidR="00C647B6" w:rsidRPr="00C647B6" w:rsidRDefault="00C647B6" w:rsidP="00C647B6">
      <w:pPr>
        <w:rPr>
          <w:rFonts w:ascii="Times New Roman" w:hAnsi="Times New Roman" w:cs="Times New Roman"/>
          <w:sz w:val="24"/>
          <w:szCs w:val="24"/>
        </w:rPr>
      </w:pPr>
    </w:p>
    <w:p w14:paraId="12094BB5" w14:textId="31C54ECF" w:rsidR="00C647B6" w:rsidRPr="00C647B6" w:rsidRDefault="00C647B6" w:rsidP="00C647B6">
      <w:pPr>
        <w:rPr>
          <w:rFonts w:ascii="Times New Roman" w:hAnsi="Times New Roman" w:cs="Times New Roman"/>
          <w:sz w:val="24"/>
          <w:szCs w:val="24"/>
        </w:rPr>
      </w:pPr>
      <w:r w:rsidRPr="00C647B6">
        <w:rPr>
          <w:rFonts w:ascii="Times New Roman" w:hAnsi="Times New Roman" w:cs="Times New Roman"/>
          <w:sz w:val="24"/>
          <w:szCs w:val="24"/>
        </w:rPr>
        <w:t xml:space="preserve">The Executive Office of Health and Human Services (EOHHS) has received information indicating that some providers may have </w:t>
      </w:r>
      <w:proofErr w:type="gramStart"/>
      <w:r w:rsidRPr="00C647B6">
        <w:rPr>
          <w:rFonts w:ascii="Times New Roman" w:hAnsi="Times New Roman" w:cs="Times New Roman"/>
          <w:sz w:val="24"/>
          <w:szCs w:val="24"/>
        </w:rPr>
        <w:t>entered into</w:t>
      </w:r>
      <w:proofErr w:type="gramEnd"/>
      <w:r w:rsidRPr="00C647B6">
        <w:rPr>
          <w:rFonts w:ascii="Times New Roman" w:hAnsi="Times New Roman" w:cs="Times New Roman"/>
          <w:sz w:val="24"/>
          <w:szCs w:val="24"/>
        </w:rPr>
        <w:t xml:space="preserve"> hold</w:t>
      </w:r>
      <w:r w:rsidR="00161C74">
        <w:rPr>
          <w:rFonts w:ascii="Times New Roman" w:hAnsi="Times New Roman" w:cs="Times New Roman"/>
          <w:sz w:val="24"/>
          <w:szCs w:val="24"/>
        </w:rPr>
        <w:t xml:space="preserve"> </w:t>
      </w:r>
      <w:r w:rsidRPr="00C647B6">
        <w:rPr>
          <w:rFonts w:ascii="Times New Roman" w:hAnsi="Times New Roman" w:cs="Times New Roman"/>
          <w:sz w:val="24"/>
          <w:szCs w:val="24"/>
        </w:rPr>
        <w:t xml:space="preserve">harmless </w:t>
      </w:r>
      <w:r w:rsidR="00DC52CD">
        <w:rPr>
          <w:rFonts w:ascii="Times New Roman" w:hAnsi="Times New Roman" w:cs="Times New Roman"/>
          <w:sz w:val="24"/>
          <w:szCs w:val="24"/>
        </w:rPr>
        <w:t>arrangements</w:t>
      </w:r>
      <w:r w:rsidR="00DC52CD" w:rsidRPr="00C647B6">
        <w:rPr>
          <w:rFonts w:ascii="Times New Roman" w:hAnsi="Times New Roman" w:cs="Times New Roman"/>
          <w:sz w:val="24"/>
          <w:szCs w:val="24"/>
        </w:rPr>
        <w:t xml:space="preserve"> </w:t>
      </w:r>
      <w:r w:rsidRPr="00C647B6">
        <w:rPr>
          <w:rFonts w:ascii="Times New Roman" w:hAnsi="Times New Roman" w:cs="Times New Roman"/>
          <w:sz w:val="24"/>
          <w:szCs w:val="24"/>
        </w:rPr>
        <w:t>of the sort described in the Information</w:t>
      </w:r>
      <w:r w:rsidR="00DC52CD">
        <w:rPr>
          <w:rFonts w:ascii="Times New Roman" w:hAnsi="Times New Roman" w:cs="Times New Roman"/>
          <w:sz w:val="24"/>
          <w:szCs w:val="24"/>
        </w:rPr>
        <w:t>al</w:t>
      </w:r>
      <w:r w:rsidRPr="00C647B6">
        <w:rPr>
          <w:rFonts w:ascii="Times New Roman" w:hAnsi="Times New Roman" w:cs="Times New Roman"/>
          <w:sz w:val="24"/>
          <w:szCs w:val="24"/>
        </w:rPr>
        <w:t xml:space="preserve"> Bulletin relating to the nonpublic ambulance assessment. Accordingly, EOHHS is hereby implementing an administrative pause </w:t>
      </w:r>
      <w:r w:rsidR="00161C74">
        <w:rPr>
          <w:rFonts w:ascii="Times New Roman" w:hAnsi="Times New Roman" w:cs="Times New Roman"/>
          <w:sz w:val="24"/>
          <w:szCs w:val="24"/>
        </w:rPr>
        <w:t>to</w:t>
      </w:r>
      <w:r w:rsidRPr="00C647B6">
        <w:rPr>
          <w:rFonts w:ascii="Times New Roman" w:hAnsi="Times New Roman" w:cs="Times New Roman"/>
          <w:sz w:val="24"/>
          <w:szCs w:val="24"/>
        </w:rPr>
        <w:t xml:space="preserve"> </w:t>
      </w:r>
      <w:r w:rsidR="00DC52CD">
        <w:rPr>
          <w:rFonts w:ascii="Times New Roman" w:hAnsi="Times New Roman" w:cs="Times New Roman"/>
          <w:sz w:val="24"/>
          <w:szCs w:val="24"/>
        </w:rPr>
        <w:t xml:space="preserve">the </w:t>
      </w:r>
      <w:r w:rsidRPr="00C647B6">
        <w:rPr>
          <w:rFonts w:ascii="Times New Roman" w:hAnsi="Times New Roman" w:cs="Times New Roman"/>
          <w:sz w:val="24"/>
          <w:szCs w:val="24"/>
        </w:rPr>
        <w:t>nonpublic ambulance assessment and related supplemental payments while it reviews compliance with the Informational Bulletin. Until further notice, providers should not make any further assessment payments.</w:t>
      </w:r>
    </w:p>
    <w:p w14:paraId="386883B5" w14:textId="77777777" w:rsidR="00C647B6" w:rsidRPr="00C647B6" w:rsidRDefault="00C647B6" w:rsidP="00C647B6">
      <w:pPr>
        <w:rPr>
          <w:rFonts w:ascii="Times New Roman" w:hAnsi="Times New Roman" w:cs="Times New Roman"/>
          <w:sz w:val="24"/>
          <w:szCs w:val="24"/>
        </w:rPr>
      </w:pPr>
    </w:p>
    <w:p w14:paraId="09AA1561" w14:textId="18DBF0FB" w:rsidR="00C647B6" w:rsidRDefault="00C647B6" w:rsidP="00C647B6">
      <w:pPr>
        <w:rPr>
          <w:rFonts w:ascii="Times New Roman" w:hAnsi="Times New Roman" w:cs="Times New Roman"/>
          <w:sz w:val="24"/>
          <w:szCs w:val="24"/>
        </w:rPr>
      </w:pPr>
      <w:r w:rsidRPr="00C647B6">
        <w:rPr>
          <w:rFonts w:ascii="Times New Roman" w:hAnsi="Times New Roman" w:cs="Times New Roman"/>
          <w:sz w:val="24"/>
          <w:szCs w:val="24"/>
        </w:rPr>
        <w:t xml:space="preserve">As a reminder, providers were paid an interim supplemental payment in February 2022, in anticipation of full implementation of the assessment. Providers were subsequently required to make </w:t>
      </w:r>
      <w:r w:rsidR="009A1860">
        <w:rPr>
          <w:rFonts w:ascii="Times New Roman" w:hAnsi="Times New Roman" w:cs="Times New Roman"/>
          <w:sz w:val="24"/>
          <w:szCs w:val="24"/>
        </w:rPr>
        <w:t xml:space="preserve">the first </w:t>
      </w:r>
      <w:r w:rsidRPr="00C647B6">
        <w:rPr>
          <w:rFonts w:ascii="Times New Roman" w:hAnsi="Times New Roman" w:cs="Times New Roman"/>
          <w:sz w:val="24"/>
          <w:szCs w:val="24"/>
        </w:rPr>
        <w:t xml:space="preserve">quarterly assessment payment in March and April of 2023. EOHHS will maintain </w:t>
      </w:r>
      <w:r w:rsidRPr="00C647B6">
        <w:rPr>
          <w:rFonts w:ascii="Times New Roman" w:hAnsi="Times New Roman" w:cs="Times New Roman"/>
          <w:sz w:val="24"/>
          <w:szCs w:val="24"/>
        </w:rPr>
        <w:lastRenderedPageBreak/>
        <w:t xml:space="preserve">custody of assessment payments previously paid while it reviews compliance with the federal guidance.       </w:t>
      </w:r>
    </w:p>
    <w:p w14:paraId="48B8811C" w14:textId="77777777" w:rsidR="009A1860" w:rsidRPr="00C647B6" w:rsidRDefault="009A1860" w:rsidP="00C647B6">
      <w:pPr>
        <w:rPr>
          <w:rFonts w:ascii="Times New Roman" w:hAnsi="Times New Roman" w:cs="Times New Roman"/>
          <w:sz w:val="24"/>
          <w:szCs w:val="24"/>
        </w:rPr>
      </w:pPr>
    </w:p>
    <w:p w14:paraId="5D02EDAC" w14:textId="77777777" w:rsidR="00C647B6" w:rsidRPr="00C647B6" w:rsidRDefault="00C647B6" w:rsidP="00C647B6">
      <w:pPr>
        <w:pStyle w:val="Heading2"/>
        <w:keepNext/>
        <w:rPr>
          <w:sz w:val="24"/>
          <w:szCs w:val="24"/>
        </w:rPr>
      </w:pPr>
      <w:r w:rsidRPr="00C647B6">
        <w:rPr>
          <w:sz w:val="24"/>
          <w:szCs w:val="24"/>
        </w:rPr>
        <w:t>Recent CMS Guidance Regarding Health Care-Related Taxes and Hold Harmless Arrangements</w:t>
      </w:r>
    </w:p>
    <w:p w14:paraId="21E9798A" w14:textId="77777777" w:rsidR="00C647B6" w:rsidRPr="00C647B6" w:rsidRDefault="00C647B6" w:rsidP="00C647B6">
      <w:pPr>
        <w:keepNext/>
        <w:rPr>
          <w:rFonts w:ascii="Times New Roman" w:hAnsi="Times New Roman" w:cs="Times New Roman"/>
          <w:sz w:val="24"/>
          <w:szCs w:val="24"/>
        </w:rPr>
      </w:pPr>
    </w:p>
    <w:p w14:paraId="5464CB9B" w14:textId="07DD3F4D" w:rsidR="00C647B6" w:rsidRPr="00C647B6" w:rsidRDefault="00C647B6" w:rsidP="00C647B6">
      <w:pPr>
        <w:keepNext/>
        <w:rPr>
          <w:rFonts w:ascii="Times New Roman" w:hAnsi="Times New Roman" w:cs="Times New Roman"/>
          <w:sz w:val="24"/>
          <w:szCs w:val="24"/>
        </w:rPr>
      </w:pPr>
      <w:r w:rsidRPr="00C647B6">
        <w:rPr>
          <w:rFonts w:ascii="Times New Roman" w:hAnsi="Times New Roman" w:cs="Times New Roman"/>
          <w:sz w:val="24"/>
          <w:szCs w:val="24"/>
        </w:rPr>
        <w:t>CMS’s Information</w:t>
      </w:r>
      <w:r w:rsidR="009955F2">
        <w:rPr>
          <w:rFonts w:ascii="Times New Roman" w:hAnsi="Times New Roman" w:cs="Times New Roman"/>
          <w:sz w:val="24"/>
          <w:szCs w:val="24"/>
        </w:rPr>
        <w:t>al</w:t>
      </w:r>
      <w:r w:rsidRPr="00C647B6">
        <w:rPr>
          <w:rFonts w:ascii="Times New Roman" w:hAnsi="Times New Roman" w:cs="Times New Roman"/>
          <w:sz w:val="24"/>
          <w:szCs w:val="24"/>
        </w:rPr>
        <w:t xml:space="preserve"> Bulletin noted that it had reviewed provider-only agreements that appear to contain “impermissible hold harmless arrangements as defined in section 1903(w)(4)(C)(</w:t>
      </w:r>
      <w:proofErr w:type="spellStart"/>
      <w:r w:rsidRPr="00C647B6">
        <w:rPr>
          <w:rFonts w:ascii="Times New Roman" w:hAnsi="Times New Roman" w:cs="Times New Roman"/>
          <w:sz w:val="24"/>
          <w:szCs w:val="24"/>
        </w:rPr>
        <w:t>i</w:t>
      </w:r>
      <w:proofErr w:type="spellEnd"/>
      <w:r w:rsidRPr="00C647B6">
        <w:rPr>
          <w:rFonts w:ascii="Times New Roman" w:hAnsi="Times New Roman" w:cs="Times New Roman"/>
          <w:sz w:val="24"/>
          <w:szCs w:val="24"/>
        </w:rPr>
        <w:t xml:space="preserve">) of the [Social Security] Act and 42 C.F.R. § 433.68(f)(3) that require a reduction in medical assistance expenditures prior to the calculation of federal financial participation as required under section 1903(w)(1)(A) and (w)(1)(A)(iii) of the Act.” </w:t>
      </w:r>
    </w:p>
    <w:p w14:paraId="32BF3448" w14:textId="77777777" w:rsidR="00C647B6" w:rsidRPr="00C647B6" w:rsidRDefault="00C647B6" w:rsidP="00C647B6">
      <w:pPr>
        <w:rPr>
          <w:rFonts w:ascii="Times New Roman" w:hAnsi="Times New Roman" w:cs="Times New Roman"/>
          <w:sz w:val="24"/>
          <w:szCs w:val="24"/>
        </w:rPr>
      </w:pPr>
    </w:p>
    <w:p w14:paraId="39E3D745" w14:textId="2060174F" w:rsidR="00C647B6" w:rsidRPr="00C647B6" w:rsidRDefault="00C647B6" w:rsidP="00C647B6">
      <w:pPr>
        <w:rPr>
          <w:rFonts w:ascii="Times New Roman" w:hAnsi="Times New Roman" w:cs="Times New Roman"/>
          <w:sz w:val="24"/>
          <w:szCs w:val="24"/>
        </w:rPr>
      </w:pPr>
      <w:r w:rsidRPr="00C647B6">
        <w:rPr>
          <w:rFonts w:ascii="Times New Roman" w:hAnsi="Times New Roman" w:cs="Times New Roman"/>
          <w:sz w:val="24"/>
          <w:szCs w:val="24"/>
        </w:rPr>
        <w:t>CMS further noted that the “word ‘indirect’ in [42 C.F.R. § 433.68(f)(3)] makes clear that the state or other unit of government imposing the tax itself need not be involved in the actual redistribution of Medicaid payments for the purpose of making taxpayers whole for the arrangement to qualify as a hold harmless.” CMS then stated the following (emphasis added):</w:t>
      </w:r>
    </w:p>
    <w:p w14:paraId="216B06BF" w14:textId="77777777" w:rsidR="00C647B6" w:rsidRPr="00C647B6" w:rsidRDefault="00C647B6" w:rsidP="00C647B6">
      <w:pPr>
        <w:rPr>
          <w:rFonts w:ascii="Times New Roman" w:hAnsi="Times New Roman" w:cs="Times New Roman"/>
          <w:sz w:val="24"/>
          <w:szCs w:val="24"/>
        </w:rPr>
      </w:pPr>
    </w:p>
    <w:p w14:paraId="74C6435C" w14:textId="6C457BA1" w:rsidR="00C647B6" w:rsidRPr="00C647B6" w:rsidRDefault="00C647B6" w:rsidP="00C647B6">
      <w:pPr>
        <w:ind w:left="720" w:right="720"/>
        <w:rPr>
          <w:rFonts w:ascii="Times New Roman" w:hAnsi="Times New Roman" w:cs="Times New Roman"/>
          <w:sz w:val="24"/>
          <w:szCs w:val="24"/>
          <w:u w:val="single"/>
        </w:rPr>
      </w:pPr>
      <w:r w:rsidRPr="00C647B6">
        <w:rPr>
          <w:rFonts w:ascii="Times New Roman" w:hAnsi="Times New Roman" w:cs="Times New Roman"/>
          <w:sz w:val="24"/>
          <w:szCs w:val="24"/>
        </w:rPr>
        <w:t>Accordingly, an arrangement in which providers receive Medicaid payments from the state (or from a state-contracted managed care plan), then redistribute those payments such that taxed providers are held harmless for all or any portion of their cost of the tax, would constitute a prohibited hold harmless provision under section 1903(w)(4)(C)(</w:t>
      </w:r>
      <w:proofErr w:type="spellStart"/>
      <w:r w:rsidRPr="00C647B6">
        <w:rPr>
          <w:rFonts w:ascii="Times New Roman" w:hAnsi="Times New Roman" w:cs="Times New Roman"/>
          <w:sz w:val="24"/>
          <w:szCs w:val="24"/>
        </w:rPr>
        <w:t>i</w:t>
      </w:r>
      <w:proofErr w:type="spellEnd"/>
      <w:r w:rsidRPr="00C647B6">
        <w:rPr>
          <w:rFonts w:ascii="Times New Roman" w:hAnsi="Times New Roman" w:cs="Times New Roman"/>
          <w:sz w:val="24"/>
          <w:szCs w:val="24"/>
        </w:rPr>
        <w:t xml:space="preserve">) of the Act and 42 C.F.R. § 433.68(f)(3). </w:t>
      </w:r>
      <w:r w:rsidRPr="00C647B6">
        <w:rPr>
          <w:rFonts w:ascii="Times New Roman" w:hAnsi="Times New Roman" w:cs="Times New Roman"/>
          <w:sz w:val="24"/>
          <w:szCs w:val="24"/>
          <w:u w:val="single"/>
        </w:rPr>
        <w:t>Section 1903(w)(1)(A)(iii) of the Act and 42 C.F.R. § 433.70(b) require that CMS reduce a state’s medical assistance expenditures by the amount of health care-related tax collections that include hold harmless arrangements, prior to calculating federal financial participation.</w:t>
      </w:r>
    </w:p>
    <w:p w14:paraId="40A4C8A6" w14:textId="77777777" w:rsidR="00C647B6" w:rsidRPr="00C647B6" w:rsidRDefault="00C647B6" w:rsidP="00C647B6">
      <w:pPr>
        <w:ind w:left="720" w:right="720"/>
        <w:rPr>
          <w:rFonts w:ascii="Times New Roman" w:hAnsi="Times New Roman" w:cs="Times New Roman"/>
          <w:sz w:val="24"/>
          <w:szCs w:val="24"/>
        </w:rPr>
      </w:pPr>
    </w:p>
    <w:p w14:paraId="751323B1" w14:textId="0CB25735" w:rsidR="00C647B6" w:rsidRPr="00C647B6" w:rsidRDefault="00C647B6" w:rsidP="00C647B6">
      <w:pPr>
        <w:rPr>
          <w:rFonts w:ascii="Times New Roman" w:hAnsi="Times New Roman" w:cs="Times New Roman"/>
          <w:sz w:val="24"/>
          <w:szCs w:val="24"/>
        </w:rPr>
      </w:pPr>
      <w:r w:rsidRPr="00C647B6">
        <w:rPr>
          <w:rFonts w:ascii="Times New Roman" w:hAnsi="Times New Roman" w:cs="Times New Roman"/>
          <w:sz w:val="24"/>
          <w:szCs w:val="24"/>
        </w:rPr>
        <w:t>CMS further noted that as part of the agency’s normal oversight activities and review of state payment proposals, it would inquire about potential redistribution arrangements and may conduct detailed financial management. CMS will expect “states to make available all requested documentation regarding arrangements involving possible hold harmless arrangements and the redistribution of Medicaid payments. States should work with their providers to ensure necessary information is available.”</w:t>
      </w:r>
    </w:p>
    <w:p w14:paraId="30C849FF" w14:textId="77777777" w:rsidR="00C647B6" w:rsidRPr="00C647B6" w:rsidRDefault="00C647B6" w:rsidP="00C647B6">
      <w:pPr>
        <w:rPr>
          <w:rFonts w:ascii="Times New Roman" w:hAnsi="Times New Roman" w:cs="Times New Roman"/>
          <w:sz w:val="24"/>
          <w:szCs w:val="24"/>
        </w:rPr>
      </w:pPr>
    </w:p>
    <w:p w14:paraId="7A4D467E" w14:textId="796D35C9" w:rsidR="00C647B6" w:rsidRPr="00C647B6" w:rsidRDefault="00C647B6" w:rsidP="00C647B6">
      <w:pPr>
        <w:rPr>
          <w:rFonts w:ascii="Times New Roman" w:hAnsi="Times New Roman" w:cs="Times New Roman"/>
          <w:sz w:val="24"/>
          <w:szCs w:val="24"/>
        </w:rPr>
      </w:pPr>
      <w:r w:rsidRPr="00C647B6">
        <w:rPr>
          <w:rFonts w:ascii="Times New Roman" w:hAnsi="Times New Roman" w:cs="Times New Roman"/>
          <w:sz w:val="24"/>
          <w:szCs w:val="24"/>
        </w:rPr>
        <w:t>Finally, CMS required that states take action to root out hold</w:t>
      </w:r>
      <w:r w:rsidR="00DC52CD">
        <w:rPr>
          <w:rFonts w:ascii="Times New Roman" w:hAnsi="Times New Roman" w:cs="Times New Roman"/>
          <w:sz w:val="24"/>
          <w:szCs w:val="24"/>
        </w:rPr>
        <w:t xml:space="preserve"> </w:t>
      </w:r>
      <w:r w:rsidRPr="00C647B6">
        <w:rPr>
          <w:rFonts w:ascii="Times New Roman" w:hAnsi="Times New Roman" w:cs="Times New Roman"/>
          <w:sz w:val="24"/>
          <w:szCs w:val="24"/>
        </w:rPr>
        <w:t xml:space="preserve">harmless </w:t>
      </w:r>
      <w:r w:rsidR="0012621E">
        <w:rPr>
          <w:rFonts w:ascii="Times New Roman" w:hAnsi="Times New Roman" w:cs="Times New Roman"/>
          <w:sz w:val="24"/>
          <w:szCs w:val="24"/>
        </w:rPr>
        <w:t>arrangements</w:t>
      </w:r>
      <w:r w:rsidRPr="00C647B6">
        <w:rPr>
          <w:rFonts w:ascii="Times New Roman" w:hAnsi="Times New Roman" w:cs="Times New Roman"/>
          <w:sz w:val="24"/>
          <w:szCs w:val="24"/>
        </w:rPr>
        <w:t>, writing that “states should make clear to their providers that these arrangements are not permissible under federal requirements, learn the details of how health care-related taxes are collected, and take steps to curtail these practices if they exist.”</w:t>
      </w:r>
    </w:p>
    <w:p w14:paraId="314F50B8" w14:textId="77777777" w:rsidR="00C647B6" w:rsidRPr="00C647B6" w:rsidRDefault="00C647B6" w:rsidP="00C647B6">
      <w:pPr>
        <w:rPr>
          <w:rFonts w:ascii="Times New Roman" w:hAnsi="Times New Roman" w:cs="Times New Roman"/>
          <w:sz w:val="24"/>
          <w:szCs w:val="24"/>
        </w:rPr>
      </w:pPr>
    </w:p>
    <w:p w14:paraId="01964018" w14:textId="4AD87E08" w:rsidR="00C647B6" w:rsidRPr="00C647B6" w:rsidRDefault="00C647B6" w:rsidP="00C647B6">
      <w:pPr>
        <w:rPr>
          <w:rFonts w:ascii="Times New Roman" w:hAnsi="Times New Roman" w:cs="Times New Roman"/>
          <w:color w:val="000000"/>
          <w:sz w:val="24"/>
          <w:szCs w:val="24"/>
        </w:rPr>
      </w:pPr>
      <w:r w:rsidRPr="00C647B6">
        <w:rPr>
          <w:rFonts w:ascii="Times New Roman" w:hAnsi="Times New Roman" w:cs="Times New Roman"/>
          <w:color w:val="000000"/>
          <w:sz w:val="24"/>
          <w:szCs w:val="24"/>
        </w:rPr>
        <w:t xml:space="preserve">EOHHS encourages providers to review the </w:t>
      </w:r>
      <w:hyperlink r:id="rId13" w:history="1">
        <w:r w:rsidRPr="00C647B6">
          <w:rPr>
            <w:rStyle w:val="Hyperlink"/>
            <w:rFonts w:ascii="Times New Roman" w:hAnsi="Times New Roman" w:cs="Times New Roman"/>
            <w:sz w:val="24"/>
            <w:szCs w:val="24"/>
          </w:rPr>
          <w:t>Informational Bulletin</w:t>
        </w:r>
      </w:hyperlink>
      <w:r w:rsidRPr="00C647B6">
        <w:rPr>
          <w:rFonts w:ascii="Times New Roman" w:hAnsi="Times New Roman" w:cs="Times New Roman"/>
          <w:color w:val="000000"/>
          <w:sz w:val="24"/>
          <w:szCs w:val="24"/>
        </w:rPr>
        <w:t xml:space="preserve"> in full.</w:t>
      </w:r>
    </w:p>
    <w:p w14:paraId="6E67D4EA" w14:textId="77777777" w:rsidR="00C647B6" w:rsidRPr="00C647B6" w:rsidRDefault="00C647B6" w:rsidP="00C647B6">
      <w:pPr>
        <w:rPr>
          <w:rFonts w:ascii="Times New Roman" w:hAnsi="Times New Roman" w:cs="Times New Roman"/>
          <w:sz w:val="24"/>
          <w:szCs w:val="24"/>
        </w:rPr>
      </w:pPr>
    </w:p>
    <w:p w14:paraId="7C2596FB" w14:textId="77777777" w:rsidR="00C647B6" w:rsidRPr="00C647B6" w:rsidRDefault="00C647B6" w:rsidP="00C647B6">
      <w:pPr>
        <w:pStyle w:val="Heading2"/>
        <w:rPr>
          <w:sz w:val="24"/>
          <w:szCs w:val="24"/>
        </w:rPr>
      </w:pPr>
      <w:r w:rsidRPr="00C647B6">
        <w:rPr>
          <w:sz w:val="24"/>
          <w:szCs w:val="24"/>
        </w:rPr>
        <w:t>Pause to Nonpublic Ambulance Assessment While Compliance is Reviewed</w:t>
      </w:r>
    </w:p>
    <w:p w14:paraId="6883631B" w14:textId="77777777" w:rsidR="0012621E" w:rsidRDefault="0012621E" w:rsidP="00C647B6">
      <w:pPr>
        <w:rPr>
          <w:rFonts w:ascii="Times New Roman" w:hAnsi="Times New Roman" w:cs="Times New Roman"/>
          <w:sz w:val="24"/>
          <w:szCs w:val="24"/>
        </w:rPr>
      </w:pPr>
    </w:p>
    <w:p w14:paraId="491E1937" w14:textId="6DB55102" w:rsidR="00C647B6" w:rsidRPr="00C647B6" w:rsidRDefault="00C647B6" w:rsidP="00C647B6">
      <w:pPr>
        <w:rPr>
          <w:rFonts w:ascii="Times New Roman" w:hAnsi="Times New Roman" w:cs="Times New Roman"/>
          <w:sz w:val="24"/>
          <w:szCs w:val="24"/>
        </w:rPr>
      </w:pPr>
      <w:r w:rsidRPr="00C647B6">
        <w:rPr>
          <w:rFonts w:ascii="Times New Roman" w:hAnsi="Times New Roman" w:cs="Times New Roman"/>
          <w:sz w:val="24"/>
          <w:szCs w:val="24"/>
        </w:rPr>
        <w:t>Impermissible hold</w:t>
      </w:r>
      <w:r w:rsidR="0012621E">
        <w:rPr>
          <w:rFonts w:ascii="Times New Roman" w:hAnsi="Times New Roman" w:cs="Times New Roman"/>
          <w:sz w:val="24"/>
          <w:szCs w:val="24"/>
        </w:rPr>
        <w:t xml:space="preserve"> </w:t>
      </w:r>
      <w:r w:rsidRPr="00C647B6">
        <w:rPr>
          <w:rFonts w:ascii="Times New Roman" w:hAnsi="Times New Roman" w:cs="Times New Roman"/>
          <w:sz w:val="24"/>
          <w:szCs w:val="24"/>
        </w:rPr>
        <w:t xml:space="preserve">harmless arrangements may expose </w:t>
      </w:r>
      <w:r w:rsidR="009955F2">
        <w:rPr>
          <w:rFonts w:ascii="Times New Roman" w:hAnsi="Times New Roman" w:cs="Times New Roman"/>
          <w:sz w:val="24"/>
          <w:szCs w:val="24"/>
        </w:rPr>
        <w:t>Massachusetts</w:t>
      </w:r>
      <w:r w:rsidRPr="00C647B6">
        <w:rPr>
          <w:rFonts w:ascii="Times New Roman" w:hAnsi="Times New Roman" w:cs="Times New Roman"/>
          <w:sz w:val="24"/>
          <w:szCs w:val="24"/>
        </w:rPr>
        <w:t xml:space="preserve"> to drastic </w:t>
      </w:r>
      <w:r w:rsidR="00DC52CD">
        <w:rPr>
          <w:rFonts w:ascii="Times New Roman" w:hAnsi="Times New Roman" w:cs="Times New Roman"/>
          <w:sz w:val="24"/>
          <w:szCs w:val="24"/>
        </w:rPr>
        <w:t xml:space="preserve">federal </w:t>
      </w:r>
      <w:r w:rsidRPr="00C647B6">
        <w:rPr>
          <w:rFonts w:ascii="Times New Roman" w:hAnsi="Times New Roman" w:cs="Times New Roman"/>
          <w:sz w:val="24"/>
          <w:szCs w:val="24"/>
        </w:rPr>
        <w:t xml:space="preserve">penalties, including a reduction of state medical assistance expenditures by the entire amount of any health care-related tax collections that include prohibited hold harmless arrangements. </w:t>
      </w:r>
      <w:r w:rsidRPr="00C647B6">
        <w:rPr>
          <w:rFonts w:ascii="Times New Roman" w:hAnsi="Times New Roman" w:cs="Times New Roman"/>
          <w:sz w:val="24"/>
          <w:szCs w:val="24"/>
        </w:rPr>
        <w:lastRenderedPageBreak/>
        <w:t xml:space="preserve">Consistent with CMS guidance, providers may not </w:t>
      </w:r>
      <w:proofErr w:type="gramStart"/>
      <w:r w:rsidRPr="00C647B6">
        <w:rPr>
          <w:rFonts w:ascii="Times New Roman" w:hAnsi="Times New Roman" w:cs="Times New Roman"/>
          <w:sz w:val="24"/>
          <w:szCs w:val="24"/>
        </w:rPr>
        <w:t>enter into</w:t>
      </w:r>
      <w:proofErr w:type="gramEnd"/>
      <w:r w:rsidRPr="00C647B6">
        <w:rPr>
          <w:rFonts w:ascii="Times New Roman" w:hAnsi="Times New Roman" w:cs="Times New Roman"/>
          <w:sz w:val="24"/>
          <w:szCs w:val="24"/>
        </w:rPr>
        <w:t xml:space="preserve"> hold harmless arrangements relating to the Massachusetts nonpublic ambulance assessment. Furthermore, providers must make </w:t>
      </w:r>
      <w:r w:rsidR="0012621E">
        <w:rPr>
          <w:rFonts w:ascii="Times New Roman" w:hAnsi="Times New Roman" w:cs="Times New Roman"/>
          <w:sz w:val="24"/>
          <w:szCs w:val="24"/>
        </w:rPr>
        <w:t xml:space="preserve">necessary </w:t>
      </w:r>
      <w:r w:rsidRPr="00C647B6">
        <w:rPr>
          <w:rFonts w:ascii="Times New Roman" w:hAnsi="Times New Roman" w:cs="Times New Roman"/>
          <w:sz w:val="24"/>
          <w:szCs w:val="24"/>
        </w:rPr>
        <w:t xml:space="preserve">documentation available to determine whether they have </w:t>
      </w:r>
      <w:proofErr w:type="gramStart"/>
      <w:r w:rsidRPr="00C647B6">
        <w:rPr>
          <w:rFonts w:ascii="Times New Roman" w:hAnsi="Times New Roman" w:cs="Times New Roman"/>
          <w:sz w:val="24"/>
          <w:szCs w:val="24"/>
        </w:rPr>
        <w:t>entered into</w:t>
      </w:r>
      <w:proofErr w:type="gramEnd"/>
      <w:r w:rsidRPr="00C647B6">
        <w:rPr>
          <w:rFonts w:ascii="Times New Roman" w:hAnsi="Times New Roman" w:cs="Times New Roman"/>
          <w:sz w:val="24"/>
          <w:szCs w:val="24"/>
        </w:rPr>
        <w:t xml:space="preserve"> hold</w:t>
      </w:r>
      <w:r w:rsidR="0012621E">
        <w:rPr>
          <w:rFonts w:ascii="Times New Roman" w:hAnsi="Times New Roman" w:cs="Times New Roman"/>
          <w:sz w:val="24"/>
          <w:szCs w:val="24"/>
        </w:rPr>
        <w:t xml:space="preserve"> </w:t>
      </w:r>
      <w:r w:rsidRPr="00C647B6">
        <w:rPr>
          <w:rFonts w:ascii="Times New Roman" w:hAnsi="Times New Roman" w:cs="Times New Roman"/>
          <w:sz w:val="24"/>
          <w:szCs w:val="24"/>
        </w:rPr>
        <w:t xml:space="preserve">harmless arrangements </w:t>
      </w:r>
      <w:r w:rsidR="0012621E">
        <w:rPr>
          <w:rFonts w:ascii="Times New Roman" w:hAnsi="Times New Roman" w:cs="Times New Roman"/>
          <w:sz w:val="24"/>
          <w:szCs w:val="24"/>
        </w:rPr>
        <w:t xml:space="preserve">to </w:t>
      </w:r>
      <w:r w:rsidRPr="00C647B6">
        <w:rPr>
          <w:rFonts w:ascii="Times New Roman" w:hAnsi="Times New Roman" w:cs="Times New Roman"/>
          <w:sz w:val="24"/>
          <w:szCs w:val="24"/>
        </w:rPr>
        <w:t xml:space="preserve">the extent requested. </w:t>
      </w:r>
    </w:p>
    <w:p w14:paraId="502AF8EA" w14:textId="77777777" w:rsidR="0012621E" w:rsidRDefault="0012621E" w:rsidP="00C647B6">
      <w:pPr>
        <w:rPr>
          <w:rFonts w:ascii="Times New Roman" w:hAnsi="Times New Roman" w:cs="Times New Roman"/>
          <w:sz w:val="24"/>
          <w:szCs w:val="24"/>
        </w:rPr>
      </w:pPr>
    </w:p>
    <w:p w14:paraId="22BA25EE" w14:textId="61854167" w:rsidR="00C647B6" w:rsidRPr="00C647B6" w:rsidRDefault="00C647B6" w:rsidP="00C647B6">
      <w:pPr>
        <w:rPr>
          <w:rFonts w:ascii="Times New Roman" w:hAnsi="Times New Roman" w:cs="Times New Roman"/>
          <w:sz w:val="24"/>
          <w:szCs w:val="24"/>
        </w:rPr>
      </w:pPr>
      <w:r w:rsidRPr="00C647B6">
        <w:rPr>
          <w:rFonts w:ascii="Times New Roman" w:hAnsi="Times New Roman" w:cs="Times New Roman"/>
          <w:sz w:val="24"/>
          <w:szCs w:val="24"/>
        </w:rPr>
        <w:t xml:space="preserve">EOHHS will take steps to ensure compliance with CMS requirements during the pendency of this administrative pause, likely including the collection of additional documentation and assurances from providers. While EOHHS is taking these steps, it will not be collecting additional nonpublic ambulance assessments or making any related supplemental payments. For the first year of the assessment, covering fiscal year 2022, EOHHS has collected one quarterly assessment and made one supplemental payment.  </w:t>
      </w:r>
    </w:p>
    <w:p w14:paraId="56C10539" w14:textId="77777777" w:rsidR="00C647B6" w:rsidRPr="00C647B6" w:rsidRDefault="00C647B6" w:rsidP="00C647B6">
      <w:pPr>
        <w:rPr>
          <w:rFonts w:ascii="Times New Roman" w:hAnsi="Times New Roman" w:cs="Times New Roman"/>
          <w:sz w:val="24"/>
          <w:szCs w:val="24"/>
        </w:rPr>
      </w:pPr>
    </w:p>
    <w:p w14:paraId="5A4DD1DC" w14:textId="77777777" w:rsidR="00C647B6" w:rsidRPr="00C647B6" w:rsidRDefault="00C647B6" w:rsidP="00C647B6">
      <w:pPr>
        <w:rPr>
          <w:rFonts w:ascii="Times New Roman" w:hAnsi="Times New Roman" w:cs="Times New Roman"/>
          <w:sz w:val="24"/>
          <w:szCs w:val="24"/>
        </w:rPr>
      </w:pPr>
      <w:r w:rsidRPr="00C647B6">
        <w:rPr>
          <w:rFonts w:ascii="Times New Roman" w:hAnsi="Times New Roman" w:cs="Times New Roman"/>
          <w:sz w:val="24"/>
          <w:szCs w:val="24"/>
        </w:rPr>
        <w:t xml:space="preserve">EOHHS expects to issue additional guidance on this issue </w:t>
      </w:r>
      <w:proofErr w:type="gramStart"/>
      <w:r w:rsidRPr="00C647B6">
        <w:rPr>
          <w:rFonts w:ascii="Times New Roman" w:hAnsi="Times New Roman" w:cs="Times New Roman"/>
          <w:sz w:val="24"/>
          <w:szCs w:val="24"/>
        </w:rPr>
        <w:t>in the near future</w:t>
      </w:r>
      <w:proofErr w:type="gramEnd"/>
      <w:r w:rsidRPr="00C647B6">
        <w:rPr>
          <w:rFonts w:ascii="Times New Roman" w:hAnsi="Times New Roman" w:cs="Times New Roman"/>
          <w:sz w:val="24"/>
          <w:szCs w:val="24"/>
        </w:rPr>
        <w:t>.</w:t>
      </w:r>
    </w:p>
    <w:p w14:paraId="5AB25B2D" w14:textId="0760A564" w:rsidR="00C647B6" w:rsidRDefault="00C647B6" w:rsidP="00534406">
      <w:pPr>
        <w:shd w:val="clear" w:color="auto" w:fill="FFFFFF"/>
        <w:spacing w:line="276" w:lineRule="auto"/>
        <w:jc w:val="center"/>
        <w:rPr>
          <w:rFonts w:ascii="Times New Roman" w:hAnsi="Times New Roman" w:cs="Times New Roman"/>
          <w:b/>
        </w:rPr>
      </w:pPr>
    </w:p>
    <w:p w14:paraId="21B5B137" w14:textId="525C542F" w:rsidR="00C647B6" w:rsidRDefault="00C647B6" w:rsidP="00534406">
      <w:pPr>
        <w:shd w:val="clear" w:color="auto" w:fill="FFFFFF"/>
        <w:spacing w:line="276" w:lineRule="auto"/>
        <w:jc w:val="center"/>
        <w:rPr>
          <w:rFonts w:ascii="Times New Roman" w:hAnsi="Times New Roman" w:cs="Times New Roman"/>
          <w:b/>
        </w:rPr>
      </w:pPr>
    </w:p>
    <w:p w14:paraId="3B167AAC" w14:textId="77777777" w:rsidR="00C647B6" w:rsidRPr="00C2738F" w:rsidRDefault="00C647B6" w:rsidP="00534406">
      <w:pPr>
        <w:shd w:val="clear" w:color="auto" w:fill="FFFFFF"/>
        <w:spacing w:line="276" w:lineRule="auto"/>
        <w:jc w:val="center"/>
        <w:rPr>
          <w:rFonts w:ascii="Times New Roman" w:hAnsi="Times New Roman" w:cs="Times New Roman"/>
          <w:b/>
        </w:rPr>
      </w:pPr>
    </w:p>
    <w:bookmarkEnd w:id="0"/>
    <w:p w14:paraId="6970AD73" w14:textId="77777777" w:rsidR="00607406" w:rsidRPr="00FD6FB7" w:rsidRDefault="00607406">
      <w:pPr>
        <w:rPr>
          <w:rFonts w:ascii="Times New Roman" w:hAnsi="Times New Roman" w:cs="Times New Roman"/>
        </w:rPr>
      </w:pPr>
    </w:p>
    <w:sectPr w:rsidR="00607406" w:rsidRPr="00FD6FB7" w:rsidSect="00EE4C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6603F" w14:textId="77777777" w:rsidR="006C6AEB" w:rsidRDefault="006C6AEB" w:rsidP="00153DCE">
      <w:r>
        <w:separator/>
      </w:r>
    </w:p>
    <w:p w14:paraId="7007118C" w14:textId="77777777" w:rsidR="006C6AEB" w:rsidRDefault="006C6AEB"/>
  </w:endnote>
  <w:endnote w:type="continuationSeparator" w:id="0">
    <w:p w14:paraId="5C5B6FCC" w14:textId="77777777" w:rsidR="006C6AEB" w:rsidRDefault="006C6AEB" w:rsidP="00153DCE">
      <w:r>
        <w:continuationSeparator/>
      </w:r>
    </w:p>
    <w:p w14:paraId="3ADCDCD8" w14:textId="77777777" w:rsidR="006C6AEB" w:rsidRDefault="006C6AEB"/>
  </w:endnote>
  <w:endnote w:type="continuationNotice" w:id="1">
    <w:p w14:paraId="1C2BEB0B" w14:textId="77777777" w:rsidR="006C6AEB" w:rsidRDefault="006C6AEB"/>
    <w:p w14:paraId="5BE4CF40" w14:textId="77777777" w:rsidR="006C6AEB" w:rsidRDefault="006C6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8663" w14:textId="77777777" w:rsidR="0012621E" w:rsidRDefault="0012621E">
    <w:pPr>
      <w:pStyle w:val="Footer"/>
    </w:pPr>
  </w:p>
  <w:p w14:paraId="53B0E62C" w14:textId="77777777" w:rsidR="00D8239C" w:rsidRDefault="00D823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86079"/>
      <w:docPartObj>
        <w:docPartGallery w:val="Page Numbers (Bottom of Page)"/>
        <w:docPartUnique/>
      </w:docPartObj>
    </w:sdtPr>
    <w:sdtEndPr>
      <w:rPr>
        <w:noProof/>
      </w:rPr>
    </w:sdtEndPr>
    <w:sdtContent>
      <w:p w14:paraId="5DECBDDB" w14:textId="4CC0903E" w:rsidR="009A1860" w:rsidRDefault="009A18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D5AA22" w14:textId="77777777" w:rsidR="009A1860" w:rsidRDefault="009A1860">
    <w:pPr>
      <w:pStyle w:val="Footer"/>
    </w:pPr>
  </w:p>
  <w:p w14:paraId="745DC97C" w14:textId="77777777" w:rsidR="00D8239C" w:rsidRDefault="00D823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777357"/>
      <w:docPartObj>
        <w:docPartGallery w:val="Page Numbers (Bottom of Page)"/>
        <w:docPartUnique/>
      </w:docPartObj>
    </w:sdtPr>
    <w:sdtEndPr>
      <w:rPr>
        <w:noProof/>
      </w:rPr>
    </w:sdtEndPr>
    <w:sdtContent>
      <w:p w14:paraId="13D99C17" w14:textId="7B699DB0" w:rsidR="00C647B6" w:rsidRDefault="00C647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12AF3E" w14:textId="77777777" w:rsidR="00C647B6" w:rsidRDefault="00C647B6">
    <w:pPr>
      <w:pStyle w:val="Footer"/>
    </w:pPr>
  </w:p>
  <w:p w14:paraId="360395A6" w14:textId="77777777" w:rsidR="00D8239C" w:rsidRDefault="00D823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9E95D" w14:textId="77777777" w:rsidR="006C6AEB" w:rsidRDefault="006C6AEB" w:rsidP="00153DCE">
      <w:r>
        <w:separator/>
      </w:r>
    </w:p>
    <w:p w14:paraId="3D3A9C7B" w14:textId="77777777" w:rsidR="006C6AEB" w:rsidRDefault="006C6AEB"/>
  </w:footnote>
  <w:footnote w:type="continuationSeparator" w:id="0">
    <w:p w14:paraId="56198D74" w14:textId="77777777" w:rsidR="006C6AEB" w:rsidRDefault="006C6AEB" w:rsidP="00153DCE">
      <w:r>
        <w:continuationSeparator/>
      </w:r>
    </w:p>
    <w:p w14:paraId="2D548AB6" w14:textId="77777777" w:rsidR="006C6AEB" w:rsidRDefault="006C6AEB"/>
  </w:footnote>
  <w:footnote w:type="continuationNotice" w:id="1">
    <w:p w14:paraId="618AA93D" w14:textId="77777777" w:rsidR="006C6AEB" w:rsidRDefault="006C6AEB"/>
    <w:p w14:paraId="1F8B774F" w14:textId="77777777" w:rsidR="006C6AEB" w:rsidRDefault="006C6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DB59" w14:textId="77777777" w:rsidR="0012621E" w:rsidRDefault="0012621E">
    <w:pPr>
      <w:pStyle w:val="Header"/>
    </w:pPr>
  </w:p>
  <w:p w14:paraId="1006CB20" w14:textId="77777777" w:rsidR="00D8239C" w:rsidRDefault="00D823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2BF4" w14:textId="77777777" w:rsidR="0012621E" w:rsidRDefault="0012621E">
    <w:pPr>
      <w:pStyle w:val="Header"/>
    </w:pPr>
  </w:p>
  <w:p w14:paraId="6E998845" w14:textId="77777777" w:rsidR="00D8239C" w:rsidRDefault="00D823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66149002">
              <wp:simplePos x="0" y="0"/>
              <wp:positionH relativeFrom="column">
                <wp:align>center</wp:align>
              </wp:positionH>
              <wp:positionV relativeFrom="paragraph">
                <wp:posOffset>0</wp:posOffset>
              </wp:positionV>
              <wp:extent cx="3589361" cy="1403985"/>
              <wp:effectExtent l="0" t="0" r="0" b="635"/>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3A881FAF" w14:textId="0680045B" w:rsidR="00EE4CAE" w:rsidRPr="0066543B" w:rsidRDefault="00B623EB" w:rsidP="00EE4CAE">
                          <w:pPr>
                            <w:pStyle w:val="Header"/>
                            <w:jc w:val="center"/>
                            <w:rPr>
                              <w:color w:val="1F497D" w:themeColor="text2"/>
                            </w:rPr>
                          </w:pPr>
                          <w:r w:rsidRPr="0066543B">
                            <w:rPr>
                              <w:color w:val="1F497D" w:themeColor="text2"/>
                            </w:rPr>
                            <w:t xml:space="preserve">EXECUTIVE </w:t>
                          </w:r>
                          <w:r w:rsidR="00EE4CAE" w:rsidRPr="0066543B">
                            <w:rPr>
                              <w:color w:val="1F497D" w:themeColor="text2"/>
                            </w:rPr>
                            <w:t xml:space="preserve">OFFICE OF </w:t>
                          </w:r>
                          <w:r w:rsidRPr="0066543B">
                            <w:rPr>
                              <w:color w:val="1F497D" w:themeColor="text2"/>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37A6B39B" w:rsidR="00EE4CAE" w:rsidRPr="00153DCE" w:rsidRDefault="00B623EB" w:rsidP="00EE4CAE">
                          <w:pPr>
                            <w:pStyle w:val="Header"/>
                            <w:jc w:val="center"/>
                            <w:rPr>
                              <w:color w:val="1F497D" w:themeColor="text2"/>
                            </w:rPr>
                          </w:pPr>
                          <w:r w:rsidRPr="00B623EB">
                            <w:rPr>
                              <w:color w:val="1F497D" w:themeColor="text2"/>
                            </w:rPr>
                            <w:t>(617) 573-1600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alt="&quot;&quot;" style="position:absolute;margin-left:0;margin-top:0;width:282.65pt;height:110.55pt;z-index:25165824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" filled="f" stroked="f">
              <v:textbox style="mso-fit-shape-to-text:t">
                <w:txbxContent>
                  <w:p w14:paraId="3A881FAF" w14:textId="0680045B" w:rsidR="00EE4CAE" w:rsidRPr="0066543B" w:rsidRDefault="00B623EB" w:rsidP="00EE4CAE">
                    <w:pPr>
                      <w:pStyle w:val="Header"/>
                      <w:jc w:val="center"/>
                      <w:rPr>
                        <w:color w:val="1F497D" w:themeColor="text2"/>
                      </w:rPr>
                    </w:pPr>
                    <w:r w:rsidRPr="0066543B">
                      <w:rPr>
                        <w:color w:val="1F497D" w:themeColor="text2"/>
                      </w:rPr>
                      <w:t xml:space="preserve">EXECUTIVE </w:t>
                    </w:r>
                    <w:r w:rsidR="00EE4CAE" w:rsidRPr="0066543B">
                      <w:rPr>
                        <w:color w:val="1F497D" w:themeColor="text2"/>
                      </w:rPr>
                      <w:t xml:space="preserve">OFFICE OF </w:t>
                    </w:r>
                    <w:r w:rsidRPr="0066543B">
                      <w:rPr>
                        <w:color w:val="1F497D" w:themeColor="text2"/>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3A881FB1" w14:textId="095D713A" w:rsidR="00EE4CAE" w:rsidRPr="00153DCE" w:rsidRDefault="00B623EB" w:rsidP="00EE4CAE">
                    <w:pPr>
                      <w:pStyle w:val="Header"/>
                      <w:tabs>
                        <w:tab w:val="left" w:pos="795"/>
                      </w:tabs>
                      <w:jc w:val="center"/>
                      <w:rPr>
                        <w:color w:val="1F497D" w:themeColor="text2"/>
                      </w:rPr>
                    </w:pPr>
                    <w:r>
                      <w:rPr>
                        <w:color w:val="1F497D" w:themeColor="text2"/>
                      </w:rPr>
                      <w:t>ONE ASHBURTON PLACE</w:t>
                    </w:r>
                    <w:r w:rsidR="00EE4CAE" w:rsidRPr="00153DCE">
                      <w:rPr>
                        <w:color w:val="1F497D" w:themeColor="text2"/>
                      </w:rPr>
                      <w:t>,</w:t>
                    </w:r>
                    <w:r>
                      <w:rPr>
                        <w:color w:val="1F497D" w:themeColor="text2"/>
                      </w:rPr>
                      <w:t xml:space="preserve"> BOSTON,</w:t>
                    </w:r>
                    <w:r w:rsidR="00EE4CAE" w:rsidRPr="00153DCE">
                      <w:rPr>
                        <w:color w:val="1F497D" w:themeColor="text2"/>
                      </w:rPr>
                      <w:t xml:space="preserve"> MA 021</w:t>
                    </w:r>
                    <w:r>
                      <w:rPr>
                        <w:color w:val="1F497D" w:themeColor="text2"/>
                      </w:rPr>
                      <w:t>08</w:t>
                    </w:r>
                  </w:p>
                  <w:p w14:paraId="3A881FB2" w14:textId="37A6B39B" w:rsidR="00EE4CAE" w:rsidRPr="00153DCE" w:rsidRDefault="00B623EB" w:rsidP="00EE4CAE">
                    <w:pPr>
                      <w:pStyle w:val="Header"/>
                      <w:jc w:val="center"/>
                      <w:rPr>
                        <w:color w:val="1F497D" w:themeColor="text2"/>
                      </w:rPr>
                    </w:pPr>
                    <w:r w:rsidRPr="00B623EB">
                      <w:rPr>
                        <w:color w:val="1F497D" w:themeColor="text2"/>
                      </w:rPr>
                      <w:t>(617) 573-1600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55DF3BF9">
          <wp:extent cx="1164590" cy="1377950"/>
          <wp:effectExtent l="0" t="0" r="0" b="0"/>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5E52069C" w14:textId="77777777" w:rsidR="00325121" w:rsidRDefault="00325121" w:rsidP="00325121">
    <w:pPr>
      <w:pStyle w:val="Header"/>
    </w:pPr>
    <w:r>
      <w:ptab w:relativeTo="margin" w:alignment="right" w:leader="none"/>
    </w:r>
  </w:p>
  <w:p w14:paraId="0BD485A9" w14:textId="77777777" w:rsidR="00325121" w:rsidRDefault="00325121" w:rsidP="00325121">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t>KATHLEEN E. WALSH</w:t>
    </w:r>
  </w:p>
  <w:p w14:paraId="731868F3" w14:textId="10C8E1E7" w:rsidR="00325121" w:rsidRDefault="00325121" w:rsidP="00325121">
    <w:pPr>
      <w:pStyle w:val="Header"/>
      <w:rPr>
        <w:b/>
        <w:color w:val="1F497D" w:themeColor="text2"/>
      </w:rPr>
    </w:pPr>
    <w:r w:rsidRPr="00153DCE">
      <w:rPr>
        <w:color w:val="1F497D" w:themeColor="text2"/>
        <w:sz w:val="20"/>
        <w:szCs w:val="20"/>
      </w:rPr>
      <w:t>GOVERNOR</w:t>
    </w:r>
    <w:r w:rsidR="000609BE">
      <w:rPr>
        <w:b/>
        <w:color w:val="1F497D" w:themeColor="text2"/>
      </w:rPr>
      <w:t xml:space="preserve">                                                      </w:t>
    </w:r>
    <w:r>
      <w:rPr>
        <w:b/>
        <w:color w:val="1F497D" w:themeColor="text2"/>
      </w:rPr>
      <w:tab/>
    </w:r>
    <w:r w:rsidR="000609BE">
      <w:rPr>
        <w:b/>
        <w:color w:val="1F497D" w:themeColor="text2"/>
      </w:rPr>
      <w:t xml:space="preserve">  </w:t>
    </w:r>
    <w:r>
      <w:rPr>
        <w:b/>
        <w:color w:val="1F497D" w:themeColor="text2"/>
      </w:rPr>
      <w:t xml:space="preserve"> </w:t>
    </w:r>
    <w:r w:rsidR="00C647B6">
      <w:rPr>
        <w:b/>
        <w:color w:val="1F497D" w:themeColor="text2"/>
      </w:rPr>
      <w:tab/>
    </w:r>
    <w:r>
      <w:rPr>
        <w:color w:val="1F497D" w:themeColor="text2"/>
        <w:sz w:val="20"/>
        <w:szCs w:val="20"/>
      </w:rPr>
      <w:t>SECRETARY</w:t>
    </w:r>
  </w:p>
  <w:p w14:paraId="0A7F3A33" w14:textId="77777777" w:rsidR="00325121" w:rsidRDefault="00325121" w:rsidP="00325121">
    <w:pPr>
      <w:pStyle w:val="Header"/>
      <w:rPr>
        <w:b/>
        <w:color w:val="1F497D" w:themeColor="text2"/>
      </w:rPr>
    </w:pPr>
  </w:p>
  <w:p w14:paraId="4DE87D2F" w14:textId="667F24A9" w:rsidR="00325121" w:rsidRPr="00734039" w:rsidRDefault="00325121" w:rsidP="00325121">
    <w:pPr>
      <w:pStyle w:val="Header"/>
      <w:rPr>
        <w:b/>
        <w:color w:val="1F497D" w:themeColor="text2"/>
      </w:rPr>
    </w:pPr>
    <w:r>
      <w:rPr>
        <w:b/>
        <w:color w:val="1F497D" w:themeColor="text2"/>
      </w:rPr>
      <w:t>KIMBERLEY DRISCOLL</w:t>
    </w:r>
    <w:r w:rsidR="000609BE">
      <w:rPr>
        <w:b/>
        <w:color w:val="1F497D" w:themeColor="text2"/>
      </w:rPr>
      <w:t xml:space="preserve">                  </w:t>
    </w:r>
    <w:r w:rsidR="000609BE">
      <w:rPr>
        <w:color w:val="1F497D" w:themeColor="text2"/>
      </w:rPr>
      <w:t xml:space="preserve">  </w:t>
    </w:r>
    <w:r>
      <w:tab/>
    </w:r>
    <w:r>
      <w:tab/>
    </w:r>
    <w:r>
      <w:rPr>
        <w:b/>
        <w:color w:val="1F497D" w:themeColor="text2"/>
      </w:rPr>
      <w:t>MIKE LEVINE</w:t>
    </w:r>
    <w:r w:rsidR="000609BE">
      <w:t xml:space="preserve">    </w:t>
    </w:r>
    <w:r>
      <w:t xml:space="preserve"> </w:t>
    </w:r>
  </w:p>
  <w:p w14:paraId="6B1758ED" w14:textId="77777777" w:rsidR="00325121" w:rsidRDefault="00325121" w:rsidP="00325121">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ASSISTANT SECRETARY</w:t>
    </w:r>
  </w:p>
  <w:p w14:paraId="3A881FA9" w14:textId="4D9905BD" w:rsidR="00EE4CAE" w:rsidRPr="00607406" w:rsidRDefault="00325121">
    <w:pPr>
      <w:pStyle w:val="Header"/>
      <w:rPr>
        <w:color w:val="1F497D" w:themeColor="text2"/>
      </w:rPr>
    </w:pPr>
    <w:r>
      <w:rPr>
        <w:color w:val="1F497D" w:themeColor="text2"/>
        <w:sz w:val="20"/>
        <w:szCs w:val="20"/>
      </w:rPr>
      <w:tab/>
    </w:r>
    <w:r>
      <w:rPr>
        <w:color w:val="1F497D" w:themeColor="text2"/>
        <w:sz w:val="20"/>
        <w:szCs w:val="20"/>
      </w:rPr>
      <w:tab/>
      <w:t>FOR MASSHEALTH</w:t>
    </w:r>
    <w:r w:rsidR="00607406">
      <w:rPr>
        <w:color w:val="1F497D" w:themeColor="text2"/>
        <w:sz w:val="20"/>
        <w:szCs w:val="20"/>
      </w:rPr>
      <w:tab/>
    </w:r>
    <w:r w:rsidR="00607406">
      <w:rPr>
        <w:color w:val="1F497D" w:themeColor="text2"/>
        <w:sz w:val="20"/>
        <w:szCs w:val="20"/>
      </w:rPr>
      <w:tab/>
    </w:r>
  </w:p>
  <w:p w14:paraId="3D71A007" w14:textId="77777777" w:rsidR="00D8239C" w:rsidRDefault="00D823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D7010"/>
    <w:multiLevelType w:val="hybridMultilevel"/>
    <w:tmpl w:val="D892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65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110B4"/>
    <w:rsid w:val="0003122C"/>
    <w:rsid w:val="000403AE"/>
    <w:rsid w:val="000420B3"/>
    <w:rsid w:val="000532E5"/>
    <w:rsid w:val="00057C5A"/>
    <w:rsid w:val="000609BE"/>
    <w:rsid w:val="00062673"/>
    <w:rsid w:val="00083F79"/>
    <w:rsid w:val="00096454"/>
    <w:rsid w:val="000A6338"/>
    <w:rsid w:val="000B2D50"/>
    <w:rsid w:val="000B3478"/>
    <w:rsid w:val="000B7790"/>
    <w:rsid w:val="000C0A52"/>
    <w:rsid w:val="000F66AC"/>
    <w:rsid w:val="0010569B"/>
    <w:rsid w:val="0012621E"/>
    <w:rsid w:val="001311B1"/>
    <w:rsid w:val="00141A7A"/>
    <w:rsid w:val="00153DCE"/>
    <w:rsid w:val="00154CA9"/>
    <w:rsid w:val="00161C74"/>
    <w:rsid w:val="00171575"/>
    <w:rsid w:val="00193348"/>
    <w:rsid w:val="001A0D0D"/>
    <w:rsid w:val="001A7742"/>
    <w:rsid w:val="001B6946"/>
    <w:rsid w:val="001E5B45"/>
    <w:rsid w:val="00215A39"/>
    <w:rsid w:val="002405B5"/>
    <w:rsid w:val="00242C72"/>
    <w:rsid w:val="00255524"/>
    <w:rsid w:val="00262CAE"/>
    <w:rsid w:val="00314108"/>
    <w:rsid w:val="00325121"/>
    <w:rsid w:val="003252B8"/>
    <w:rsid w:val="003263B6"/>
    <w:rsid w:val="0033130A"/>
    <w:rsid w:val="00336D67"/>
    <w:rsid w:val="00351564"/>
    <w:rsid w:val="00363A1D"/>
    <w:rsid w:val="00391FAC"/>
    <w:rsid w:val="00396FB9"/>
    <w:rsid w:val="003E4C82"/>
    <w:rsid w:val="003F37FF"/>
    <w:rsid w:val="004029CD"/>
    <w:rsid w:val="00403E91"/>
    <w:rsid w:val="0043022E"/>
    <w:rsid w:val="004356EB"/>
    <w:rsid w:val="00443CDB"/>
    <w:rsid w:val="00446C08"/>
    <w:rsid w:val="00454E1F"/>
    <w:rsid w:val="00465E5A"/>
    <w:rsid w:val="004D729A"/>
    <w:rsid w:val="00500DFD"/>
    <w:rsid w:val="00512877"/>
    <w:rsid w:val="005242A3"/>
    <w:rsid w:val="00534406"/>
    <w:rsid w:val="005365EC"/>
    <w:rsid w:val="005405BC"/>
    <w:rsid w:val="0057224E"/>
    <w:rsid w:val="00584F16"/>
    <w:rsid w:val="00586E16"/>
    <w:rsid w:val="00594D54"/>
    <w:rsid w:val="005969A4"/>
    <w:rsid w:val="00597C39"/>
    <w:rsid w:val="005F52C8"/>
    <w:rsid w:val="00607406"/>
    <w:rsid w:val="0061575A"/>
    <w:rsid w:val="00621360"/>
    <w:rsid w:val="0064272D"/>
    <w:rsid w:val="00643B78"/>
    <w:rsid w:val="00655D4A"/>
    <w:rsid w:val="0066543B"/>
    <w:rsid w:val="006714A1"/>
    <w:rsid w:val="006807FE"/>
    <w:rsid w:val="006C6AEB"/>
    <w:rsid w:val="006E5DED"/>
    <w:rsid w:val="00704315"/>
    <w:rsid w:val="0071163E"/>
    <w:rsid w:val="00720C4F"/>
    <w:rsid w:val="00734039"/>
    <w:rsid w:val="00750907"/>
    <w:rsid w:val="007511B4"/>
    <w:rsid w:val="007830D4"/>
    <w:rsid w:val="007F79AA"/>
    <w:rsid w:val="008123A1"/>
    <w:rsid w:val="00843E71"/>
    <w:rsid w:val="008447BC"/>
    <w:rsid w:val="0084656C"/>
    <w:rsid w:val="008514BC"/>
    <w:rsid w:val="00877277"/>
    <w:rsid w:val="00884D23"/>
    <w:rsid w:val="00885155"/>
    <w:rsid w:val="008B3983"/>
    <w:rsid w:val="008C3BEC"/>
    <w:rsid w:val="008F0D45"/>
    <w:rsid w:val="009136E9"/>
    <w:rsid w:val="00933019"/>
    <w:rsid w:val="00935D2A"/>
    <w:rsid w:val="00954DDB"/>
    <w:rsid w:val="00961325"/>
    <w:rsid w:val="009614C3"/>
    <w:rsid w:val="00961D8E"/>
    <w:rsid w:val="00964EDE"/>
    <w:rsid w:val="009955F2"/>
    <w:rsid w:val="009A1860"/>
    <w:rsid w:val="009B16E6"/>
    <w:rsid w:val="009D0C6D"/>
    <w:rsid w:val="009E08F0"/>
    <w:rsid w:val="00A3105C"/>
    <w:rsid w:val="00A60934"/>
    <w:rsid w:val="00A81391"/>
    <w:rsid w:val="00A84906"/>
    <w:rsid w:val="00A93CD5"/>
    <w:rsid w:val="00A967F6"/>
    <w:rsid w:val="00AA5B76"/>
    <w:rsid w:val="00AB033B"/>
    <w:rsid w:val="00AD52C3"/>
    <w:rsid w:val="00B548C7"/>
    <w:rsid w:val="00B623EB"/>
    <w:rsid w:val="00B716E6"/>
    <w:rsid w:val="00B71D3B"/>
    <w:rsid w:val="00B9195B"/>
    <w:rsid w:val="00BA6D03"/>
    <w:rsid w:val="00BC7FF0"/>
    <w:rsid w:val="00BD258F"/>
    <w:rsid w:val="00C045F0"/>
    <w:rsid w:val="00C277ED"/>
    <w:rsid w:val="00C30A58"/>
    <w:rsid w:val="00C647B6"/>
    <w:rsid w:val="00C85818"/>
    <w:rsid w:val="00C92AB3"/>
    <w:rsid w:val="00CE1FF5"/>
    <w:rsid w:val="00CE626E"/>
    <w:rsid w:val="00CF7DBD"/>
    <w:rsid w:val="00D030E9"/>
    <w:rsid w:val="00D160CC"/>
    <w:rsid w:val="00D42FBA"/>
    <w:rsid w:val="00D559B3"/>
    <w:rsid w:val="00D63172"/>
    <w:rsid w:val="00D8239C"/>
    <w:rsid w:val="00D969DB"/>
    <w:rsid w:val="00D96C14"/>
    <w:rsid w:val="00DA53BF"/>
    <w:rsid w:val="00DC52CD"/>
    <w:rsid w:val="00E0755B"/>
    <w:rsid w:val="00E27559"/>
    <w:rsid w:val="00E56BD5"/>
    <w:rsid w:val="00E74BC2"/>
    <w:rsid w:val="00E92AC9"/>
    <w:rsid w:val="00E95116"/>
    <w:rsid w:val="00EB4615"/>
    <w:rsid w:val="00EC0F51"/>
    <w:rsid w:val="00EE4CAE"/>
    <w:rsid w:val="00EF027B"/>
    <w:rsid w:val="00F44C98"/>
    <w:rsid w:val="00F4718F"/>
    <w:rsid w:val="00F544E2"/>
    <w:rsid w:val="00F65760"/>
    <w:rsid w:val="00F66BC1"/>
    <w:rsid w:val="00FB4D69"/>
    <w:rsid w:val="00FB7846"/>
    <w:rsid w:val="00FD4DBB"/>
    <w:rsid w:val="00FD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881F73"/>
  <w15:docId w15:val="{AFC139BA-10EA-44E3-A7AD-824F854F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Heading2"/>
    <w:next w:val="Normal"/>
    <w:link w:val="Heading1Char"/>
    <w:qFormat/>
    <w:rsid w:val="00885155"/>
    <w:pPr>
      <w:jc w:val="center"/>
      <w:outlineLvl w:val="0"/>
    </w:pPr>
    <w:rPr>
      <w:sz w:val="24"/>
      <w:szCs w:val="24"/>
    </w:rPr>
  </w:style>
  <w:style w:type="paragraph" w:styleId="Heading2">
    <w:name w:val="heading 2"/>
    <w:basedOn w:val="Normal"/>
    <w:next w:val="Normal"/>
    <w:link w:val="Heading2Char"/>
    <w:qFormat/>
    <w:rsid w:val="000420B3"/>
    <w:pPr>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0420B3"/>
    <w:pPr>
      <w:outlineLvl w:val="2"/>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customStyle="1" w:styleId="Heading1Char">
    <w:name w:val="Heading 1 Char"/>
    <w:basedOn w:val="DefaultParagraphFont"/>
    <w:link w:val="Heading1"/>
    <w:rsid w:val="00885155"/>
    <w:rPr>
      <w:rFonts w:ascii="Times New Roman" w:hAnsi="Times New Roman" w:cs="Times New Roman"/>
      <w:b/>
      <w:bCs/>
      <w:sz w:val="24"/>
      <w:szCs w:val="24"/>
    </w:rPr>
  </w:style>
  <w:style w:type="character" w:customStyle="1" w:styleId="Heading2Char">
    <w:name w:val="Heading 2 Char"/>
    <w:basedOn w:val="DefaultParagraphFont"/>
    <w:link w:val="Heading2"/>
    <w:rsid w:val="000420B3"/>
    <w:rPr>
      <w:rFonts w:ascii="Times New Roman" w:hAnsi="Times New Roman" w:cs="Times New Roman"/>
      <w:b/>
      <w:bCs/>
    </w:rPr>
  </w:style>
  <w:style w:type="character" w:styleId="Hyperlink">
    <w:name w:val="Hyperlink"/>
    <w:rsid w:val="00534406"/>
    <w:rPr>
      <w:color w:val="0000FF"/>
      <w:u w:val="single"/>
    </w:rPr>
  </w:style>
  <w:style w:type="paragraph" w:styleId="Revision">
    <w:name w:val="Revision"/>
    <w:hidden/>
    <w:uiPriority w:val="99"/>
    <w:semiHidden/>
    <w:rsid w:val="003E4C82"/>
  </w:style>
  <w:style w:type="paragraph" w:styleId="ListParagraph">
    <w:name w:val="List Paragraph"/>
    <w:basedOn w:val="Normal"/>
    <w:uiPriority w:val="34"/>
    <w:qFormat/>
    <w:rsid w:val="003E4C82"/>
    <w:pPr>
      <w:ind w:left="720"/>
      <w:contextualSpacing/>
    </w:pPr>
  </w:style>
  <w:style w:type="character" w:styleId="CommentReference">
    <w:name w:val="annotation reference"/>
    <w:basedOn w:val="DefaultParagraphFont"/>
    <w:uiPriority w:val="99"/>
    <w:semiHidden/>
    <w:unhideWhenUsed/>
    <w:rsid w:val="003E4C82"/>
    <w:rPr>
      <w:sz w:val="16"/>
      <w:szCs w:val="16"/>
    </w:rPr>
  </w:style>
  <w:style w:type="paragraph" w:styleId="CommentText">
    <w:name w:val="annotation text"/>
    <w:basedOn w:val="Normal"/>
    <w:link w:val="CommentTextChar"/>
    <w:uiPriority w:val="99"/>
    <w:unhideWhenUsed/>
    <w:rsid w:val="003E4C82"/>
    <w:rPr>
      <w:sz w:val="20"/>
      <w:szCs w:val="20"/>
    </w:rPr>
  </w:style>
  <w:style w:type="character" w:customStyle="1" w:styleId="CommentTextChar">
    <w:name w:val="Comment Text Char"/>
    <w:basedOn w:val="DefaultParagraphFont"/>
    <w:link w:val="CommentText"/>
    <w:uiPriority w:val="99"/>
    <w:rsid w:val="003E4C82"/>
    <w:rPr>
      <w:sz w:val="20"/>
      <w:szCs w:val="20"/>
    </w:rPr>
  </w:style>
  <w:style w:type="paragraph" w:styleId="CommentSubject">
    <w:name w:val="annotation subject"/>
    <w:basedOn w:val="CommentText"/>
    <w:next w:val="CommentText"/>
    <w:link w:val="CommentSubjectChar"/>
    <w:uiPriority w:val="99"/>
    <w:semiHidden/>
    <w:unhideWhenUsed/>
    <w:rsid w:val="003E4C82"/>
    <w:rPr>
      <w:b/>
      <w:bCs/>
    </w:rPr>
  </w:style>
  <w:style w:type="character" w:customStyle="1" w:styleId="CommentSubjectChar">
    <w:name w:val="Comment Subject Char"/>
    <w:basedOn w:val="CommentTextChar"/>
    <w:link w:val="CommentSubject"/>
    <w:uiPriority w:val="99"/>
    <w:semiHidden/>
    <w:rsid w:val="003E4C82"/>
    <w:rPr>
      <w:b/>
      <w:bCs/>
      <w:sz w:val="20"/>
      <w:szCs w:val="20"/>
    </w:rPr>
  </w:style>
  <w:style w:type="character" w:customStyle="1" w:styleId="Heading3Char">
    <w:name w:val="Heading 3 Char"/>
    <w:basedOn w:val="DefaultParagraphFont"/>
    <w:link w:val="Heading3"/>
    <w:uiPriority w:val="9"/>
    <w:rsid w:val="000420B3"/>
    <w:rPr>
      <w:rFonts w:ascii="Times New Roman" w:hAnsi="Times New Roman" w:cs="Times New Roman"/>
    </w:rPr>
  </w:style>
  <w:style w:type="table" w:styleId="TableGrid">
    <w:name w:val="Table Grid"/>
    <w:basedOn w:val="TableNormal"/>
    <w:uiPriority w:val="59"/>
    <w:rsid w:val="00031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3E71"/>
    <w:rPr>
      <w:color w:val="800080" w:themeColor="followedHyperlink"/>
      <w:u w:val="single"/>
    </w:rPr>
  </w:style>
  <w:style w:type="character" w:styleId="UnresolvedMention">
    <w:name w:val="Unresolved Mention"/>
    <w:basedOn w:val="DefaultParagraphFont"/>
    <w:uiPriority w:val="99"/>
    <w:semiHidden/>
    <w:unhideWhenUsed/>
    <w:rsid w:val="00FB7846"/>
    <w:rPr>
      <w:color w:val="605E5C"/>
      <w:shd w:val="clear" w:color="auto" w:fill="E1DFDD"/>
    </w:rPr>
  </w:style>
  <w:style w:type="paragraph" w:customStyle="1" w:styleId="Default">
    <w:name w:val="Default"/>
    <w:rsid w:val="00A967F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3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icaid.gov/federal-policy-guidance/downloads/cib021723.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edicaid.gov/federal-policy-guidance/downloads/cib0217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administrative-bulletin-23-05-101-cmr-32400-nonpublic-ambulance-service-reimbursement-trust-fund-assessment-and-funding-nonpublic-ambulance-assessed-charges-effective-march-13-2023-0/downloa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DDF5ACEA-0E3A-42F0-8A33-5640CCF1BBD7}">
  <ds:schemaRefs>
    <ds:schemaRef ds:uri="92d6340a-28f9-40f2-b67e-9117d40e80df"/>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b99dd02c-9c1e-437e-afaf-826568b6bf7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Kovach, Karen E (EHS)</cp:lastModifiedBy>
  <cp:revision>4</cp:revision>
  <cp:lastPrinted>2023-05-19T14:59:00Z</cp:lastPrinted>
  <dcterms:created xsi:type="dcterms:W3CDTF">2023-05-19T13:58:00Z</dcterms:created>
  <dcterms:modified xsi:type="dcterms:W3CDTF">2023-05-19T15:00:00Z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