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01D54" w14:textId="2BF022E0" w:rsidR="00555894" w:rsidRPr="001813E0" w:rsidRDefault="00555894" w:rsidP="00D27D07">
      <w:pPr>
        <w:pStyle w:val="Heading1"/>
      </w:pPr>
      <w:r w:rsidRPr="001813E0">
        <w:t xml:space="preserve">Administrative Bulletin </w:t>
      </w:r>
      <w:r w:rsidR="00210F32" w:rsidRPr="001813E0">
        <w:t>23</w:t>
      </w:r>
      <w:r w:rsidRPr="001813E0">
        <w:t>-</w:t>
      </w:r>
      <w:r w:rsidR="006B5AEB">
        <w:t>1</w:t>
      </w:r>
      <w:r w:rsidR="00DD0AB8">
        <w:t>8</w:t>
      </w:r>
    </w:p>
    <w:p w14:paraId="2BF208A4" w14:textId="77777777" w:rsidR="00555894" w:rsidRPr="001813E0" w:rsidRDefault="00555894" w:rsidP="00D27D07">
      <w:pPr>
        <w:pStyle w:val="Heading1"/>
        <w:rPr>
          <w:rFonts w:eastAsia="Calibri"/>
        </w:rPr>
      </w:pPr>
      <w:r w:rsidRPr="001813E0">
        <w:rPr>
          <w:rFonts w:eastAsia="Calibri"/>
        </w:rPr>
        <w:t>101 CMR 322.00: Durable Medical Equipment, Oxygen and Respiratory Therapy Equipment</w:t>
      </w:r>
    </w:p>
    <w:p w14:paraId="7F424F6B" w14:textId="263C9936" w:rsidR="00555894" w:rsidRPr="00263ED6" w:rsidRDefault="00555894" w:rsidP="00555894">
      <w:pPr>
        <w:spacing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3ED6">
        <w:rPr>
          <w:rFonts w:ascii="Times New Roman" w:eastAsia="Times New Roman" w:hAnsi="Times New Roman" w:cs="Times New Roman"/>
          <w:sz w:val="24"/>
          <w:szCs w:val="24"/>
        </w:rPr>
        <w:t xml:space="preserve">Effective </w:t>
      </w:r>
      <w:r w:rsidR="00263ED6" w:rsidRPr="00263ED6">
        <w:rPr>
          <w:rFonts w:ascii="Times New Roman" w:eastAsia="Times New Roman" w:hAnsi="Times New Roman" w:cs="Times New Roman"/>
          <w:sz w:val="24"/>
          <w:szCs w:val="24"/>
        </w:rPr>
        <w:t>July 1, 2023</w:t>
      </w:r>
    </w:p>
    <w:p w14:paraId="08922E37" w14:textId="34733EEA" w:rsidR="00555894" w:rsidRPr="001813E0" w:rsidRDefault="0034752E" w:rsidP="00D27D07">
      <w:pPr>
        <w:pStyle w:val="Heading2"/>
      </w:pPr>
      <w:r w:rsidRPr="001813E0">
        <w:t xml:space="preserve">Payment for </w:t>
      </w:r>
      <w:r w:rsidR="00555894" w:rsidRPr="001813E0">
        <w:t xml:space="preserve">Shipping Fee and </w:t>
      </w:r>
      <w:r w:rsidR="00AD1B8A">
        <w:t>Mobility System</w:t>
      </w:r>
      <w:r w:rsidR="00AD1B8A" w:rsidRPr="001813E0">
        <w:t xml:space="preserve"> </w:t>
      </w:r>
      <w:r w:rsidR="00555894" w:rsidRPr="001813E0">
        <w:t>Repair Evaluation</w:t>
      </w:r>
    </w:p>
    <w:p w14:paraId="6B039E50" w14:textId="77777777" w:rsidR="00555894" w:rsidRPr="00263ED6" w:rsidRDefault="00555894" w:rsidP="0055589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DD54F5" w14:textId="50C29AA8" w:rsidR="00555894" w:rsidRPr="00263ED6" w:rsidRDefault="00555894" w:rsidP="00555894">
      <w:pPr>
        <w:rPr>
          <w:rFonts w:ascii="Times New Roman" w:eastAsia="Times New Roman" w:hAnsi="Times New Roman" w:cs="Times New Roman"/>
          <w:sz w:val="24"/>
          <w:szCs w:val="24"/>
        </w:rPr>
      </w:pPr>
      <w:r w:rsidRPr="00263ED6">
        <w:rPr>
          <w:rFonts w:ascii="Times New Roman" w:eastAsia="Times New Roman" w:hAnsi="Times New Roman" w:cs="Times New Roman"/>
          <w:sz w:val="24"/>
          <w:szCs w:val="24"/>
        </w:rPr>
        <w:t>Under the authority of 101 CMR 322.01(</w:t>
      </w:r>
      <w:r w:rsidR="0094182B" w:rsidRPr="00263ED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63ED6">
        <w:rPr>
          <w:rFonts w:ascii="Times New Roman" w:eastAsia="Times New Roman" w:hAnsi="Times New Roman" w:cs="Times New Roman"/>
          <w:sz w:val="24"/>
          <w:szCs w:val="24"/>
        </w:rPr>
        <w:t>)</w:t>
      </w:r>
      <w:r w:rsidR="00B600C7" w:rsidRPr="00263E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3ED6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B05BEB" w:rsidRPr="00263ED6">
        <w:rPr>
          <w:rFonts w:ascii="Times New Roman" w:eastAsia="Times New Roman" w:hAnsi="Times New Roman" w:cs="Times New Roman"/>
          <w:sz w:val="24"/>
          <w:szCs w:val="24"/>
        </w:rPr>
        <w:t xml:space="preserve">101 CMR </w:t>
      </w:r>
      <w:r w:rsidRPr="00263ED6">
        <w:rPr>
          <w:rFonts w:ascii="Times New Roman" w:eastAsia="Times New Roman" w:hAnsi="Times New Roman" w:cs="Times New Roman"/>
          <w:sz w:val="24"/>
          <w:szCs w:val="24"/>
        </w:rPr>
        <w:t>322.03(1</w:t>
      </w:r>
      <w:r w:rsidR="00B05BEB" w:rsidRPr="00263ED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63ED6">
        <w:rPr>
          <w:rFonts w:ascii="Times New Roman" w:eastAsia="Times New Roman" w:hAnsi="Times New Roman" w:cs="Times New Roman"/>
          <w:sz w:val="24"/>
          <w:szCs w:val="24"/>
        </w:rPr>
        <w:t xml:space="preserve">), the Executive Office of Health and Human Services (EOHHS) is issuing this administrative bulletin to </w:t>
      </w:r>
      <w:r w:rsidR="00B26E3D" w:rsidRPr="00263ED6">
        <w:rPr>
          <w:rFonts w:ascii="Times New Roman" w:eastAsia="Times New Roman" w:hAnsi="Times New Roman" w:cs="Times New Roman"/>
          <w:sz w:val="24"/>
          <w:szCs w:val="24"/>
        </w:rPr>
        <w:t xml:space="preserve">add </w:t>
      </w:r>
      <w:r w:rsidRPr="00263ED6">
        <w:rPr>
          <w:rFonts w:ascii="Times New Roman" w:eastAsia="Times New Roman" w:hAnsi="Times New Roman" w:cs="Times New Roman"/>
          <w:sz w:val="24"/>
          <w:szCs w:val="24"/>
        </w:rPr>
        <w:t>new procedure code</w:t>
      </w:r>
      <w:r w:rsidR="005C50D6" w:rsidRPr="00263ED6">
        <w:rPr>
          <w:rFonts w:ascii="Times New Roman" w:eastAsia="Times New Roman" w:hAnsi="Times New Roman" w:cs="Times New Roman"/>
          <w:sz w:val="24"/>
          <w:szCs w:val="24"/>
        </w:rPr>
        <w:t xml:space="preserve">s and </w:t>
      </w:r>
      <w:r w:rsidR="00D431A4" w:rsidRPr="00263ED6">
        <w:rPr>
          <w:rFonts w:ascii="Times New Roman" w:eastAsia="Times New Roman" w:hAnsi="Times New Roman" w:cs="Times New Roman"/>
          <w:sz w:val="24"/>
          <w:szCs w:val="24"/>
        </w:rPr>
        <w:t xml:space="preserve">corresponding </w:t>
      </w:r>
      <w:r w:rsidR="005C50D6" w:rsidRPr="00263ED6">
        <w:rPr>
          <w:rFonts w:ascii="Times New Roman" w:eastAsia="Times New Roman" w:hAnsi="Times New Roman" w:cs="Times New Roman"/>
          <w:sz w:val="24"/>
          <w:szCs w:val="24"/>
        </w:rPr>
        <w:t>rates.</w:t>
      </w:r>
      <w:r w:rsidRPr="00263ED6">
        <w:rPr>
          <w:rFonts w:ascii="Times New Roman" w:eastAsia="Times New Roman" w:hAnsi="Times New Roman" w:cs="Times New Roman"/>
          <w:sz w:val="24"/>
          <w:szCs w:val="24"/>
        </w:rPr>
        <w:t xml:space="preserve"> The following new codes and</w:t>
      </w:r>
      <w:r w:rsidR="003F3D42" w:rsidRPr="00263ED6">
        <w:rPr>
          <w:rFonts w:ascii="Times New Roman" w:eastAsia="Times New Roman" w:hAnsi="Times New Roman" w:cs="Times New Roman"/>
          <w:sz w:val="24"/>
          <w:szCs w:val="24"/>
        </w:rPr>
        <w:t xml:space="preserve"> rates </w:t>
      </w:r>
      <w:r w:rsidRPr="00263ED6">
        <w:rPr>
          <w:rFonts w:ascii="Times New Roman" w:eastAsia="Times New Roman" w:hAnsi="Times New Roman" w:cs="Times New Roman"/>
          <w:sz w:val="24"/>
          <w:szCs w:val="24"/>
        </w:rPr>
        <w:t xml:space="preserve">are effective for dates of service on or after </w:t>
      </w:r>
      <w:r w:rsidR="003F3D42" w:rsidRPr="00263ED6">
        <w:rPr>
          <w:rFonts w:ascii="Times New Roman" w:eastAsia="Times New Roman" w:hAnsi="Times New Roman" w:cs="Times New Roman"/>
          <w:sz w:val="24"/>
          <w:szCs w:val="24"/>
        </w:rPr>
        <w:t xml:space="preserve">July 1, </w:t>
      </w:r>
      <w:r w:rsidR="09EC8201" w:rsidRPr="00263ED6">
        <w:rPr>
          <w:rFonts w:ascii="Times New Roman" w:eastAsia="Times New Roman" w:hAnsi="Times New Roman" w:cs="Times New Roman"/>
          <w:sz w:val="24"/>
          <w:szCs w:val="24"/>
        </w:rPr>
        <w:t>2023</w:t>
      </w:r>
      <w:r w:rsidRPr="00263ED6">
        <w:rPr>
          <w:rFonts w:ascii="Times New Roman" w:eastAsia="Times New Roman" w:hAnsi="Times New Roman" w:cs="Times New Roman"/>
          <w:sz w:val="24"/>
          <w:szCs w:val="24"/>
        </w:rPr>
        <w:t>.</w:t>
      </w:r>
      <w:r w:rsidR="003F3D42" w:rsidRPr="00263ED6">
        <w:rPr>
          <w:rFonts w:ascii="Times New Roman" w:eastAsia="Times New Roman" w:hAnsi="Times New Roman" w:cs="Times New Roman"/>
          <w:sz w:val="24"/>
          <w:szCs w:val="24"/>
        </w:rPr>
        <w:t xml:space="preserve"> The rates listed in this administrative bulletin are applicable until revised rates are issued by EOHHS.</w:t>
      </w:r>
    </w:p>
    <w:p w14:paraId="3A10F214" w14:textId="171E6928" w:rsidR="00555894" w:rsidRPr="00263ED6" w:rsidRDefault="00555894" w:rsidP="0055589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AB7FD6A" w14:textId="7F843508" w:rsidR="00C223F6" w:rsidRPr="00263ED6" w:rsidRDefault="00CF17E0" w:rsidP="00555894">
      <w:pPr>
        <w:rPr>
          <w:rFonts w:ascii="Times New Roman" w:eastAsia="Times New Roman" w:hAnsi="Times New Roman" w:cs="Times New Roman"/>
          <w:sz w:val="24"/>
          <w:szCs w:val="24"/>
        </w:rPr>
      </w:pPr>
      <w:r w:rsidRPr="00263ED6">
        <w:rPr>
          <w:rFonts w:ascii="Times New Roman" w:eastAsia="Times New Roman" w:hAnsi="Times New Roman" w:cs="Times New Roman"/>
          <w:sz w:val="24"/>
          <w:szCs w:val="24"/>
        </w:rPr>
        <w:t>Addition of code:</w:t>
      </w:r>
    </w:p>
    <w:p w14:paraId="6F297533" w14:textId="77777777" w:rsidR="00555894" w:rsidRPr="00263ED6" w:rsidRDefault="00555894" w:rsidP="00555894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07" w:type="dxa"/>
        <w:tblLook w:val="04A0" w:firstRow="1" w:lastRow="0" w:firstColumn="1" w:lastColumn="0" w:noHBand="0" w:noVBand="1"/>
      </w:tblPr>
      <w:tblGrid>
        <w:gridCol w:w="1178"/>
        <w:gridCol w:w="1170"/>
        <w:gridCol w:w="6306"/>
      </w:tblGrid>
      <w:tr w:rsidR="00555894" w:rsidRPr="00263ED6" w14:paraId="170949AD" w14:textId="77777777" w:rsidTr="00263ED6">
        <w:trPr>
          <w:trHeight w:val="438"/>
          <w:tblHeader/>
        </w:trPr>
        <w:tc>
          <w:tcPr>
            <w:tcW w:w="1178" w:type="dxa"/>
            <w:vAlign w:val="center"/>
          </w:tcPr>
          <w:p w14:paraId="248205BD" w14:textId="77777777" w:rsidR="00555894" w:rsidRPr="00263ED6" w:rsidRDefault="00555894" w:rsidP="31C7D5C3">
            <w:pPr>
              <w:spacing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263ED6">
              <w:rPr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1170" w:type="dxa"/>
            <w:vAlign w:val="center"/>
          </w:tcPr>
          <w:p w14:paraId="2B22DFD4" w14:textId="77777777" w:rsidR="00555894" w:rsidRPr="00263ED6" w:rsidRDefault="00555894" w:rsidP="31C7D5C3">
            <w:pPr>
              <w:spacing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263ED6">
              <w:rPr>
                <w:b/>
                <w:bCs/>
                <w:sz w:val="24"/>
                <w:szCs w:val="24"/>
              </w:rPr>
              <w:t>Rate</w:t>
            </w:r>
          </w:p>
        </w:tc>
        <w:tc>
          <w:tcPr>
            <w:tcW w:w="6306" w:type="dxa"/>
            <w:vAlign w:val="center"/>
          </w:tcPr>
          <w:p w14:paraId="73F19C62" w14:textId="77777777" w:rsidR="00555894" w:rsidRPr="00263ED6" w:rsidRDefault="00555894" w:rsidP="31C7D5C3">
            <w:pPr>
              <w:spacing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263ED6">
              <w:rPr>
                <w:b/>
                <w:bCs/>
                <w:sz w:val="24"/>
                <w:szCs w:val="24"/>
              </w:rPr>
              <w:t>Description</w:t>
            </w:r>
          </w:p>
        </w:tc>
      </w:tr>
      <w:tr w:rsidR="00555894" w:rsidRPr="00263ED6" w14:paraId="22E8DCC9" w14:textId="77777777" w:rsidTr="00263ED6">
        <w:trPr>
          <w:trHeight w:val="638"/>
        </w:trPr>
        <w:tc>
          <w:tcPr>
            <w:tcW w:w="1178" w:type="dxa"/>
          </w:tcPr>
          <w:p w14:paraId="5A5C1EE1" w14:textId="77777777" w:rsidR="00555894" w:rsidRPr="00263ED6" w:rsidRDefault="00555894" w:rsidP="31C7D5C3">
            <w:pPr>
              <w:spacing w:after="100" w:afterAutospacing="1"/>
              <w:jc w:val="center"/>
              <w:rPr>
                <w:sz w:val="24"/>
                <w:szCs w:val="24"/>
              </w:rPr>
            </w:pPr>
            <w:r w:rsidRPr="00263ED6">
              <w:rPr>
                <w:sz w:val="24"/>
                <w:szCs w:val="24"/>
              </w:rPr>
              <w:t>A9901</w:t>
            </w:r>
          </w:p>
        </w:tc>
        <w:tc>
          <w:tcPr>
            <w:tcW w:w="1170" w:type="dxa"/>
          </w:tcPr>
          <w:p w14:paraId="1B197DF3" w14:textId="77777777" w:rsidR="00555894" w:rsidRPr="00263ED6" w:rsidRDefault="00555894" w:rsidP="31C7D5C3">
            <w:pPr>
              <w:spacing w:after="100" w:afterAutospacing="1"/>
              <w:jc w:val="center"/>
              <w:rPr>
                <w:sz w:val="24"/>
                <w:szCs w:val="24"/>
              </w:rPr>
            </w:pPr>
            <w:r w:rsidRPr="00263ED6">
              <w:rPr>
                <w:sz w:val="24"/>
                <w:szCs w:val="24"/>
              </w:rPr>
              <w:t>$3.00</w:t>
            </w:r>
          </w:p>
        </w:tc>
        <w:tc>
          <w:tcPr>
            <w:tcW w:w="6306" w:type="dxa"/>
          </w:tcPr>
          <w:p w14:paraId="3C018F72" w14:textId="35439B6C" w:rsidR="00555894" w:rsidRPr="00263ED6" w:rsidRDefault="00555894" w:rsidP="00D27D07">
            <w:pPr>
              <w:rPr>
                <w:color w:val="000000"/>
                <w:sz w:val="24"/>
                <w:szCs w:val="24"/>
              </w:rPr>
            </w:pPr>
            <w:r w:rsidRPr="00263ED6">
              <w:rPr>
                <w:color w:val="000000" w:themeColor="text1"/>
                <w:sz w:val="24"/>
                <w:szCs w:val="24"/>
              </w:rPr>
              <w:t>DME delivery, set up</w:t>
            </w:r>
            <w:r w:rsidR="0016668A">
              <w:rPr>
                <w:color w:val="000000" w:themeColor="text1"/>
                <w:sz w:val="24"/>
                <w:szCs w:val="24"/>
              </w:rPr>
              <w:t>,</w:t>
            </w:r>
            <w:r w:rsidRPr="00263ED6">
              <w:rPr>
                <w:color w:val="000000" w:themeColor="text1"/>
                <w:sz w:val="24"/>
                <w:szCs w:val="24"/>
              </w:rPr>
              <w:t xml:space="preserve"> and/or dispensing service component of another HCPCS code</w:t>
            </w:r>
            <w:r w:rsidR="00E76195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5A6AD2BA" w14:textId="77777777" w:rsidR="00555894" w:rsidRPr="00263ED6" w:rsidRDefault="00555894" w:rsidP="0055589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A341C7E" w14:textId="7B68636C" w:rsidR="00555894" w:rsidRPr="00263ED6" w:rsidRDefault="00C75BB9" w:rsidP="00555894">
      <w:pPr>
        <w:rPr>
          <w:rFonts w:ascii="Times New Roman" w:eastAsia="Times New Roman" w:hAnsi="Times New Roman" w:cs="Times New Roman"/>
          <w:sz w:val="24"/>
          <w:szCs w:val="24"/>
        </w:rPr>
      </w:pPr>
      <w:r w:rsidRPr="00263ED6">
        <w:rPr>
          <w:rFonts w:ascii="Times New Roman" w:eastAsia="Times New Roman" w:hAnsi="Times New Roman" w:cs="Times New Roman"/>
          <w:sz w:val="24"/>
          <w:szCs w:val="24"/>
        </w:rPr>
        <w:t>Addition of modifier and code combination:</w:t>
      </w:r>
    </w:p>
    <w:p w14:paraId="1AB783B9" w14:textId="77777777" w:rsidR="00F72118" w:rsidRPr="00263ED6" w:rsidRDefault="00F72118" w:rsidP="00F7211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300"/>
      </w:tblGrid>
      <w:tr w:rsidR="00F72118" w:rsidRPr="00263ED6" w14:paraId="6EE21C1B" w14:textId="77777777" w:rsidTr="005111B8">
        <w:tc>
          <w:tcPr>
            <w:tcW w:w="2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50AA8" w14:textId="77777777" w:rsidR="00F72118" w:rsidRPr="00263ED6" w:rsidRDefault="00F72118" w:rsidP="00094104">
            <w:pPr>
              <w:spacing w:after="160" w:line="252" w:lineRule="auto"/>
              <w:jc w:val="center"/>
              <w:rPr>
                <w:sz w:val="24"/>
                <w:szCs w:val="24"/>
              </w:rPr>
            </w:pPr>
            <w:r w:rsidRPr="00263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Modifier</w:t>
            </w:r>
          </w:p>
        </w:tc>
        <w:tc>
          <w:tcPr>
            <w:tcW w:w="63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67638" w14:textId="77777777" w:rsidR="00F72118" w:rsidRPr="00263ED6" w:rsidRDefault="00F72118" w:rsidP="00094104">
            <w:pPr>
              <w:spacing w:after="160" w:line="252" w:lineRule="auto"/>
              <w:jc w:val="center"/>
              <w:rPr>
                <w:sz w:val="24"/>
                <w:szCs w:val="24"/>
              </w:rPr>
            </w:pPr>
            <w:r w:rsidRPr="00263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Description</w:t>
            </w:r>
          </w:p>
        </w:tc>
      </w:tr>
      <w:tr w:rsidR="00F72118" w:rsidRPr="00263ED6" w14:paraId="12101044" w14:textId="77777777" w:rsidTr="005111B8">
        <w:trPr>
          <w:trHeight w:val="880"/>
        </w:trPr>
        <w:tc>
          <w:tcPr>
            <w:tcW w:w="2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D28DF" w14:textId="77777777" w:rsidR="00F72118" w:rsidRPr="00263ED6" w:rsidRDefault="00F72118" w:rsidP="00263ED6">
            <w:pPr>
              <w:spacing w:after="160" w:line="252" w:lineRule="auto"/>
              <w:jc w:val="center"/>
              <w:rPr>
                <w:sz w:val="24"/>
                <w:szCs w:val="24"/>
              </w:rPr>
            </w:pPr>
            <w:r w:rsidRPr="00263ED6">
              <w:rPr>
                <w:rFonts w:ascii="Times New Roman" w:hAnsi="Times New Roman" w:cs="Times New Roman"/>
                <w:sz w:val="24"/>
                <w:szCs w:val="24"/>
              </w:rPr>
              <w:t>U7</w:t>
            </w:r>
          </w:p>
        </w:tc>
        <w:tc>
          <w:tcPr>
            <w:tcW w:w="63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5F6F6" w14:textId="5FC0F096" w:rsidR="00F72118" w:rsidRPr="00263ED6" w:rsidRDefault="00F72118" w:rsidP="00D27D07">
            <w:pPr>
              <w:rPr>
                <w:sz w:val="24"/>
                <w:szCs w:val="24"/>
              </w:rPr>
            </w:pPr>
            <w:r w:rsidRPr="00263ED6">
              <w:rPr>
                <w:rFonts w:ascii="Times New Roman" w:hAnsi="Times New Roman" w:cs="Times New Roman"/>
                <w:sz w:val="24"/>
                <w:szCs w:val="24"/>
              </w:rPr>
              <w:t>Used in conjunction with K0739 for direct service components when an evaluation is performed for the repair of a mobility system RE-1 and RE-2</w:t>
            </w:r>
            <w:r w:rsidR="00E761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EBB0DDC" w14:textId="6756D115" w:rsidR="00C75BB9" w:rsidRPr="00263ED6" w:rsidRDefault="00F72118" w:rsidP="0055589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3ED6">
        <w:rPr>
          <w:rFonts w:ascii="Arial" w:hAnsi="Arial" w:cs="Arial"/>
          <w:sz w:val="24"/>
          <w:szCs w:val="24"/>
        </w:rPr>
        <w:t> 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1260"/>
        <w:gridCol w:w="1170"/>
        <w:gridCol w:w="6306"/>
      </w:tblGrid>
      <w:tr w:rsidR="00BE646B" w:rsidRPr="00263ED6" w14:paraId="0D5136DB" w14:textId="77777777" w:rsidTr="00263ED6">
        <w:trPr>
          <w:trHeight w:val="438"/>
          <w:tblHeader/>
        </w:trPr>
        <w:tc>
          <w:tcPr>
            <w:tcW w:w="1260" w:type="dxa"/>
            <w:vAlign w:val="center"/>
          </w:tcPr>
          <w:p w14:paraId="3B92575C" w14:textId="77777777" w:rsidR="00BE646B" w:rsidRPr="00263ED6" w:rsidRDefault="00BE646B" w:rsidP="00081A0A">
            <w:pPr>
              <w:spacing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263ED6">
              <w:rPr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1170" w:type="dxa"/>
            <w:vAlign w:val="center"/>
          </w:tcPr>
          <w:p w14:paraId="782E3CAF" w14:textId="77777777" w:rsidR="00BE646B" w:rsidRPr="00263ED6" w:rsidRDefault="00BE646B" w:rsidP="00081A0A">
            <w:pPr>
              <w:spacing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263ED6">
              <w:rPr>
                <w:b/>
                <w:bCs/>
                <w:sz w:val="24"/>
                <w:szCs w:val="24"/>
              </w:rPr>
              <w:t>Rate</w:t>
            </w:r>
          </w:p>
        </w:tc>
        <w:tc>
          <w:tcPr>
            <w:tcW w:w="6306" w:type="dxa"/>
            <w:vAlign w:val="center"/>
          </w:tcPr>
          <w:p w14:paraId="20DB04BB" w14:textId="77777777" w:rsidR="00BE646B" w:rsidRPr="00263ED6" w:rsidRDefault="00BE646B" w:rsidP="00081A0A">
            <w:pPr>
              <w:spacing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263ED6">
              <w:rPr>
                <w:b/>
                <w:bCs/>
                <w:sz w:val="24"/>
                <w:szCs w:val="24"/>
              </w:rPr>
              <w:t>Description</w:t>
            </w:r>
          </w:p>
        </w:tc>
      </w:tr>
      <w:tr w:rsidR="00BE646B" w:rsidRPr="00263ED6" w14:paraId="1CF67077" w14:textId="77777777" w:rsidTr="00263ED6">
        <w:trPr>
          <w:trHeight w:val="953"/>
        </w:trPr>
        <w:tc>
          <w:tcPr>
            <w:tcW w:w="1260" w:type="dxa"/>
          </w:tcPr>
          <w:p w14:paraId="65D85342" w14:textId="77777777" w:rsidR="00BE646B" w:rsidRPr="00263ED6" w:rsidRDefault="00BE646B" w:rsidP="00081A0A">
            <w:pPr>
              <w:spacing w:after="100" w:afterAutospacing="1"/>
              <w:jc w:val="center"/>
              <w:rPr>
                <w:sz w:val="24"/>
                <w:szCs w:val="24"/>
              </w:rPr>
            </w:pPr>
            <w:r w:rsidRPr="00263ED6">
              <w:rPr>
                <w:sz w:val="24"/>
                <w:szCs w:val="24"/>
              </w:rPr>
              <w:t>K0739 U7</w:t>
            </w:r>
          </w:p>
        </w:tc>
        <w:tc>
          <w:tcPr>
            <w:tcW w:w="1170" w:type="dxa"/>
          </w:tcPr>
          <w:p w14:paraId="36FEF4ED" w14:textId="77777777" w:rsidR="00BE646B" w:rsidRPr="00263ED6" w:rsidRDefault="00BE646B" w:rsidP="00081A0A">
            <w:pPr>
              <w:spacing w:after="100" w:afterAutospacing="1"/>
              <w:jc w:val="center"/>
              <w:rPr>
                <w:sz w:val="24"/>
                <w:szCs w:val="24"/>
              </w:rPr>
            </w:pPr>
            <w:r w:rsidRPr="00263ED6">
              <w:rPr>
                <w:sz w:val="24"/>
                <w:szCs w:val="24"/>
              </w:rPr>
              <w:t>$46.33</w:t>
            </w:r>
          </w:p>
        </w:tc>
        <w:tc>
          <w:tcPr>
            <w:tcW w:w="6306" w:type="dxa"/>
          </w:tcPr>
          <w:p w14:paraId="6E06FBCA" w14:textId="4E6A4EA7" w:rsidR="00BE646B" w:rsidRPr="00263ED6" w:rsidRDefault="00BE646B" w:rsidP="00081A0A">
            <w:pPr>
              <w:rPr>
                <w:sz w:val="24"/>
                <w:szCs w:val="24"/>
              </w:rPr>
            </w:pPr>
            <w:r w:rsidRPr="00263ED6">
              <w:rPr>
                <w:sz w:val="24"/>
                <w:szCs w:val="24"/>
              </w:rPr>
              <w:t xml:space="preserve">Direct Service Component (RE units) for evaluation of repair of a mobility system </w:t>
            </w:r>
            <w:r w:rsidR="0016668A">
              <w:rPr>
                <w:sz w:val="24"/>
                <w:szCs w:val="24"/>
              </w:rPr>
              <w:t xml:space="preserve">RE-1 and RE-2 </w:t>
            </w:r>
            <w:r w:rsidRPr="00263ED6">
              <w:rPr>
                <w:sz w:val="24"/>
                <w:szCs w:val="24"/>
              </w:rPr>
              <w:t>when evaluation is performed</w:t>
            </w:r>
            <w:r w:rsidR="00A32566">
              <w:rPr>
                <w:sz w:val="24"/>
                <w:szCs w:val="24"/>
              </w:rPr>
              <w:t xml:space="preserve">. </w:t>
            </w:r>
            <w:r w:rsidRPr="00263ED6">
              <w:rPr>
                <w:sz w:val="24"/>
                <w:szCs w:val="24"/>
              </w:rPr>
              <w:t xml:space="preserve"> (One RE unit equals </w:t>
            </w:r>
            <w:r w:rsidR="0016668A">
              <w:rPr>
                <w:sz w:val="24"/>
                <w:szCs w:val="24"/>
              </w:rPr>
              <w:t>one</w:t>
            </w:r>
            <w:r w:rsidR="0016668A" w:rsidRPr="00263ED6">
              <w:rPr>
                <w:sz w:val="24"/>
                <w:szCs w:val="24"/>
              </w:rPr>
              <w:t xml:space="preserve"> </w:t>
            </w:r>
            <w:r w:rsidRPr="00263ED6">
              <w:rPr>
                <w:sz w:val="24"/>
                <w:szCs w:val="24"/>
              </w:rPr>
              <w:t>hour</w:t>
            </w:r>
            <w:r w:rsidR="0016668A">
              <w:rPr>
                <w:sz w:val="24"/>
                <w:szCs w:val="24"/>
              </w:rPr>
              <w:t>.</w:t>
            </w:r>
            <w:r w:rsidRPr="00263ED6">
              <w:rPr>
                <w:sz w:val="24"/>
                <w:szCs w:val="24"/>
              </w:rPr>
              <w:t>)</w:t>
            </w:r>
          </w:p>
        </w:tc>
      </w:tr>
    </w:tbl>
    <w:p w14:paraId="12B7360E" w14:textId="001E66B4" w:rsidR="0041466F" w:rsidRPr="00263ED6" w:rsidRDefault="0041466F" w:rsidP="0016668A">
      <w:pPr>
        <w:rPr>
          <w:sz w:val="24"/>
          <w:szCs w:val="24"/>
        </w:rPr>
      </w:pPr>
    </w:p>
    <w:sectPr w:rsidR="0041466F" w:rsidRPr="00263ED6" w:rsidSect="0016668A">
      <w:footerReference w:type="default" r:id="rId11"/>
      <w:headerReference w:type="first" r:id="rId12"/>
      <w:pgSz w:w="12240" w:h="15840"/>
      <w:pgMar w:top="720" w:right="1296" w:bottom="720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FFC7F" w14:textId="77777777" w:rsidR="00985B40" w:rsidRDefault="00985B40" w:rsidP="00153DCE">
      <w:r>
        <w:separator/>
      </w:r>
    </w:p>
  </w:endnote>
  <w:endnote w:type="continuationSeparator" w:id="0">
    <w:p w14:paraId="7536B4E3" w14:textId="77777777" w:rsidR="00985B40" w:rsidRDefault="00985B40" w:rsidP="00153DCE">
      <w:r>
        <w:continuationSeparator/>
      </w:r>
    </w:p>
  </w:endnote>
  <w:endnote w:type="continuationNotice" w:id="1">
    <w:p w14:paraId="2D3FB325" w14:textId="77777777" w:rsidR="00985B40" w:rsidRDefault="00985B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9FF5B84" w14:paraId="65FD3289" w14:textId="77777777" w:rsidTr="49FF5B84">
      <w:trPr>
        <w:trHeight w:val="300"/>
      </w:trPr>
      <w:tc>
        <w:tcPr>
          <w:tcW w:w="3120" w:type="dxa"/>
        </w:tcPr>
        <w:p w14:paraId="50B73084" w14:textId="352AA801" w:rsidR="49FF5B84" w:rsidRDefault="49FF5B84" w:rsidP="49FF5B84">
          <w:pPr>
            <w:pStyle w:val="Header"/>
            <w:ind w:left="-115"/>
          </w:pPr>
        </w:p>
      </w:tc>
      <w:tc>
        <w:tcPr>
          <w:tcW w:w="3120" w:type="dxa"/>
        </w:tcPr>
        <w:p w14:paraId="31E3D539" w14:textId="54C544FB" w:rsidR="49FF5B84" w:rsidRDefault="49FF5B84" w:rsidP="49FF5B84">
          <w:pPr>
            <w:pStyle w:val="Header"/>
            <w:jc w:val="center"/>
          </w:pPr>
        </w:p>
      </w:tc>
      <w:tc>
        <w:tcPr>
          <w:tcW w:w="3120" w:type="dxa"/>
        </w:tcPr>
        <w:p w14:paraId="615CEF80" w14:textId="570B4A87" w:rsidR="49FF5B84" w:rsidRDefault="49FF5B84" w:rsidP="49FF5B84">
          <w:pPr>
            <w:pStyle w:val="Header"/>
            <w:ind w:right="-115"/>
            <w:jc w:val="right"/>
          </w:pPr>
        </w:p>
      </w:tc>
    </w:tr>
  </w:tbl>
  <w:p w14:paraId="6D6AE5A5" w14:textId="2C81EC52" w:rsidR="49FF5B84" w:rsidRDefault="49FF5B84" w:rsidP="49FF5B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2C911" w14:textId="77777777" w:rsidR="00985B40" w:rsidRDefault="00985B40" w:rsidP="00153DCE">
      <w:r>
        <w:separator/>
      </w:r>
    </w:p>
  </w:footnote>
  <w:footnote w:type="continuationSeparator" w:id="0">
    <w:p w14:paraId="7D551780" w14:textId="77777777" w:rsidR="00985B40" w:rsidRDefault="00985B40" w:rsidP="00153DCE">
      <w:r>
        <w:continuationSeparator/>
      </w:r>
    </w:p>
  </w:footnote>
  <w:footnote w:type="continuationNotice" w:id="1">
    <w:p w14:paraId="1FD28C00" w14:textId="77777777" w:rsidR="00985B40" w:rsidRDefault="00985B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81FA4" w14:textId="249F2DEC" w:rsidR="00EE4CAE" w:rsidRPr="006E5DED" w:rsidRDefault="004D48D7" w:rsidP="00EE4CAE">
    <w:pPr>
      <w:pStyle w:val="Header"/>
      <w:rPr>
        <w:noProof/>
        <w:color w:val="1F497D" w:themeColor="text2"/>
      </w:rPr>
    </w:pPr>
    <w:r>
      <w:rPr>
        <w:noProof/>
        <w:color w:val="1F497D" w:themeColor="text2"/>
      </w:rPr>
      <w:drawing>
        <wp:anchor distT="0" distB="0" distL="114300" distR="114300" simplePos="0" relativeHeight="251658241" behindDoc="0" locked="0" layoutInCell="1" allowOverlap="1" wp14:anchorId="64AAB5A7" wp14:editId="6F201B43">
          <wp:simplePos x="0" y="0"/>
          <wp:positionH relativeFrom="column">
            <wp:posOffset>4774565</wp:posOffset>
          </wp:positionH>
          <wp:positionV relativeFrom="paragraph">
            <wp:posOffset>123825</wp:posOffset>
          </wp:positionV>
          <wp:extent cx="1174115" cy="621665"/>
          <wp:effectExtent l="0" t="0" r="6985" b="6985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115" cy="621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5302"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A881FAB" wp14:editId="5E0760EE">
              <wp:simplePos x="0" y="0"/>
              <wp:positionH relativeFrom="column">
                <wp:posOffset>1228090</wp:posOffset>
              </wp:positionH>
              <wp:positionV relativeFrom="paragraph">
                <wp:posOffset>95250</wp:posOffset>
              </wp:positionV>
              <wp:extent cx="3589020" cy="1403985"/>
              <wp:effectExtent l="0" t="0" r="0" b="1270"/>
              <wp:wrapNone/>
              <wp:docPr id="1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902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881FAF" w14:textId="0680045B" w:rsidR="00EE4CAE" w:rsidRDefault="00B623EB" w:rsidP="00EE4CAE">
                          <w:pPr>
                            <w:pStyle w:val="Header"/>
                            <w:jc w:val="center"/>
                            <w:rPr>
                              <w:color w:val="1F497D" w:themeColor="text2"/>
                              <w:sz w:val="20"/>
                            </w:rPr>
                          </w:pPr>
                          <w:r>
                            <w:rPr>
                              <w:color w:val="1F497D" w:themeColor="text2"/>
                            </w:rPr>
                            <w:t xml:space="preserve">EXECUTIVE </w:t>
                          </w:r>
                          <w:r w:rsidR="00EE4CAE" w:rsidRPr="00153DCE">
                            <w:rPr>
                              <w:color w:val="1F497D" w:themeColor="text2"/>
                            </w:rPr>
                            <w:t>O</w:t>
                          </w:r>
                          <w:r w:rsidR="00EE4CAE" w:rsidRPr="00B623EB">
                            <w:rPr>
                              <w:color w:val="1F497D" w:themeColor="text2"/>
                            </w:rPr>
                            <w:t>F</w:t>
                          </w:r>
                          <w:r w:rsidR="00EE4CAE" w:rsidRPr="005B5D35">
                            <w:rPr>
                              <w:color w:val="1F497D" w:themeColor="text2"/>
                            </w:rPr>
                            <w:t xml:space="preserve">FICE OF </w:t>
                          </w:r>
                          <w:r w:rsidRPr="005B5D35">
                            <w:rPr>
                              <w:color w:val="1F497D" w:themeColor="text2"/>
                            </w:rPr>
                            <w:t>HEALTH AND HUMAN SERVICES</w:t>
                          </w:r>
                        </w:p>
                        <w:p w14:paraId="3A881FB0" w14:textId="551538E6" w:rsidR="00EE4CAE" w:rsidRDefault="00EE4CAE" w:rsidP="00EE4CAE">
                          <w:pPr>
                            <w:pStyle w:val="Header"/>
                            <w:jc w:val="center"/>
                            <w:rPr>
                              <w:b/>
                              <w:color w:val="1F497D" w:themeColor="text2"/>
                            </w:rPr>
                          </w:pPr>
                          <w:r w:rsidRPr="00153DCE">
                            <w:rPr>
                              <w:b/>
                              <w:color w:val="1F497D" w:themeColor="text2"/>
                            </w:rPr>
                            <w:t>COMMONWEALTH OF MASSACHUSETTS</w:t>
                          </w:r>
                        </w:p>
                        <w:p w14:paraId="2A34B4EF" w14:textId="49F3E620" w:rsidR="005F66F1" w:rsidRPr="005F66F1" w:rsidRDefault="005F66F1" w:rsidP="00EE4CAE">
                          <w:pPr>
                            <w:pStyle w:val="Header"/>
                            <w:jc w:val="center"/>
                            <w:rPr>
                              <w:bCs/>
                              <w:color w:val="1F497D" w:themeColor="text2"/>
                            </w:rPr>
                          </w:pPr>
                          <w:r w:rsidRPr="005F66F1">
                            <w:rPr>
                              <w:bCs/>
                              <w:color w:val="1F497D" w:themeColor="text2"/>
                            </w:rPr>
                            <w:t>OFFICE OF MEDICAID</w:t>
                          </w:r>
                        </w:p>
                        <w:p w14:paraId="7BDA099A" w14:textId="77777777" w:rsidR="00E10A6E" w:rsidRPr="00153DCE" w:rsidRDefault="00E10A6E" w:rsidP="00E10A6E">
                          <w:pPr>
                            <w:pStyle w:val="Header"/>
                            <w:tabs>
                              <w:tab w:val="left" w:pos="795"/>
                            </w:tabs>
                            <w:jc w:val="center"/>
                            <w:rPr>
                              <w:color w:val="1F497D" w:themeColor="text2"/>
                            </w:rPr>
                          </w:pPr>
                          <w:r>
                            <w:rPr>
                              <w:color w:val="1F497D" w:themeColor="text2"/>
                            </w:rPr>
                            <w:t>ONE ASHBURTON PLACE</w:t>
                          </w:r>
                          <w:r w:rsidRPr="00153DCE">
                            <w:rPr>
                              <w:color w:val="1F497D" w:themeColor="text2"/>
                            </w:rPr>
                            <w:t>,</w:t>
                          </w:r>
                          <w:r>
                            <w:rPr>
                              <w:color w:val="1F497D" w:themeColor="text2"/>
                            </w:rPr>
                            <w:t xml:space="preserve"> BOSTON,</w:t>
                          </w:r>
                          <w:r w:rsidRPr="00153DCE">
                            <w:rPr>
                              <w:color w:val="1F497D" w:themeColor="text2"/>
                            </w:rPr>
                            <w:t xml:space="preserve"> MA 021</w:t>
                          </w:r>
                          <w:r>
                            <w:rPr>
                              <w:color w:val="1F497D" w:themeColor="text2"/>
                            </w:rPr>
                            <w:t>08</w:t>
                          </w:r>
                        </w:p>
                        <w:p w14:paraId="3A881FB3" w14:textId="012AD99A" w:rsidR="00EE4CAE" w:rsidRPr="00153DCE" w:rsidRDefault="00EE4CAE" w:rsidP="003113E4">
                          <w:pPr>
                            <w:pStyle w:val="Header"/>
                            <w:rPr>
                              <w:color w:val="1F497D" w:themeColor="text2"/>
                            </w:rPr>
                          </w:pPr>
                        </w:p>
                        <w:p w14:paraId="3A881FB4" w14:textId="196D1C7F" w:rsidR="00EE4CAE" w:rsidRDefault="00EE4CAE" w:rsidP="006718AB">
                          <w:pPr>
                            <w:ind w:left="720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&quot;&quot;" style="position:absolute;margin-left:96.7pt;margin-top:7.5pt;width:282.6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" filled="f" stroked="f">
              <v:textbox style="mso-fit-shape-to-text:t">
                <w:txbxContent>
                  <w:p w14:paraId="3A881FAF" w14:textId="0680045B" w:rsidR="00EE4CAE" w:rsidRDefault="00B623EB" w:rsidP="00EE4CAE">
                    <w:pPr>
                      <w:pStyle w:val="Header"/>
                      <w:jc w:val="center"/>
                      <w:rPr>
                        <w:color w:val="1F497D" w:themeColor="text2"/>
                        <w:sz w:val="20"/>
                      </w:rPr>
                    </w:pPr>
                    <w:r>
                      <w:rPr>
                        <w:color w:val="1F497D" w:themeColor="text2"/>
                      </w:rPr>
                      <w:t xml:space="preserve">EXECUTIVE </w:t>
                    </w:r>
                    <w:r w:rsidR="00EE4CAE" w:rsidRPr="00153DCE">
                      <w:rPr>
                        <w:color w:val="1F497D" w:themeColor="text2"/>
                      </w:rPr>
                      <w:t>O</w:t>
                    </w:r>
                    <w:r w:rsidR="00EE4CAE" w:rsidRPr="00B623EB">
                      <w:rPr>
                        <w:color w:val="1F497D" w:themeColor="text2"/>
                      </w:rPr>
                      <w:t>F</w:t>
                    </w:r>
                    <w:r w:rsidR="00EE4CAE" w:rsidRPr="005B5D35">
                      <w:rPr>
                        <w:color w:val="1F497D" w:themeColor="text2"/>
                      </w:rPr>
                      <w:t xml:space="preserve">FICE OF </w:t>
                    </w:r>
                    <w:r w:rsidRPr="005B5D35">
                      <w:rPr>
                        <w:color w:val="1F497D" w:themeColor="text2"/>
                      </w:rPr>
                      <w:t>HEALTH AND HUMAN SERVICES</w:t>
                    </w:r>
                  </w:p>
                  <w:p w14:paraId="3A881FB0" w14:textId="551538E6" w:rsidR="00EE4CAE" w:rsidRDefault="00EE4CAE" w:rsidP="00EE4CAE">
                    <w:pPr>
                      <w:pStyle w:val="Header"/>
                      <w:jc w:val="center"/>
                      <w:rPr>
                        <w:b/>
                        <w:color w:val="1F497D" w:themeColor="text2"/>
                      </w:rPr>
                    </w:pPr>
                    <w:r w:rsidRPr="00153DCE">
                      <w:rPr>
                        <w:b/>
                        <w:color w:val="1F497D" w:themeColor="text2"/>
                      </w:rPr>
                      <w:t>COMMONWEALTH OF MASSACHUSETTS</w:t>
                    </w:r>
                  </w:p>
                  <w:p w14:paraId="2A34B4EF" w14:textId="49F3E620" w:rsidR="005F66F1" w:rsidRPr="005F66F1" w:rsidRDefault="005F66F1" w:rsidP="00EE4CAE">
                    <w:pPr>
                      <w:pStyle w:val="Header"/>
                      <w:jc w:val="center"/>
                      <w:rPr>
                        <w:bCs/>
                        <w:color w:val="1F497D" w:themeColor="text2"/>
                      </w:rPr>
                    </w:pPr>
                    <w:r w:rsidRPr="005F66F1">
                      <w:rPr>
                        <w:bCs/>
                        <w:color w:val="1F497D" w:themeColor="text2"/>
                      </w:rPr>
                      <w:t>OFFICE OF MEDICAID</w:t>
                    </w:r>
                  </w:p>
                  <w:p w14:paraId="7BDA099A" w14:textId="77777777" w:rsidR="00E10A6E" w:rsidRPr="00153DCE" w:rsidRDefault="00E10A6E" w:rsidP="00E10A6E">
                    <w:pPr>
                      <w:pStyle w:val="Header"/>
                      <w:tabs>
                        <w:tab w:val="left" w:pos="795"/>
                      </w:tabs>
                      <w:jc w:val="center"/>
                      <w:rPr>
                        <w:color w:val="1F497D" w:themeColor="text2"/>
                      </w:rPr>
                    </w:pPr>
                    <w:r>
                      <w:rPr>
                        <w:color w:val="1F497D" w:themeColor="text2"/>
                      </w:rPr>
                      <w:t>ONE ASHBURTON PLACE</w:t>
                    </w:r>
                    <w:r w:rsidRPr="00153DCE">
                      <w:rPr>
                        <w:color w:val="1F497D" w:themeColor="text2"/>
                      </w:rPr>
                      <w:t>,</w:t>
                    </w:r>
                    <w:r>
                      <w:rPr>
                        <w:color w:val="1F497D" w:themeColor="text2"/>
                      </w:rPr>
                      <w:t xml:space="preserve"> BOSTON,</w:t>
                    </w:r>
                    <w:r w:rsidRPr="00153DCE">
                      <w:rPr>
                        <w:color w:val="1F497D" w:themeColor="text2"/>
                      </w:rPr>
                      <w:t xml:space="preserve"> MA 021</w:t>
                    </w:r>
                    <w:r>
                      <w:rPr>
                        <w:color w:val="1F497D" w:themeColor="text2"/>
                      </w:rPr>
                      <w:t>08</w:t>
                    </w:r>
                  </w:p>
                  <w:p w14:paraId="3A881FB3" w14:textId="012AD99A" w:rsidR="00EE4CAE" w:rsidRPr="00153DCE" w:rsidRDefault="00EE4CAE" w:rsidP="003113E4">
                    <w:pPr>
                      <w:pStyle w:val="Header"/>
                      <w:rPr>
                        <w:color w:val="1F497D" w:themeColor="text2"/>
                      </w:rPr>
                    </w:pPr>
                  </w:p>
                  <w:p w14:paraId="3A881FB4" w14:textId="196D1C7F" w:rsidR="00EE4CAE" w:rsidRDefault="00EE4CAE" w:rsidP="006718AB">
                    <w:pPr>
                      <w:ind w:left="720"/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EE4CAE">
      <w:rPr>
        <w:noProof/>
        <w:color w:val="1F497D" w:themeColor="text2"/>
      </w:rPr>
      <w:drawing>
        <wp:inline distT="0" distB="0" distL="0" distR="0" wp14:anchorId="3A881FAD" wp14:editId="1698EE3C">
          <wp:extent cx="1164590" cy="1377950"/>
          <wp:effectExtent l="0" t="0" r="0" b="0"/>
          <wp:docPr id="3" name="Picture 3" descr="Massachusetts state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Massachusetts state seal"/>
                  <pic:cNvPicPr>
                    <a:picLocks noChangeAspect="1" noChangeArrowheads="1"/>
                  </pic:cNvPicPr>
                </pic:nvPicPr>
                <pic:blipFill>
                  <a:blip r:embed="rId2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0E7FB65E" w:rsidR="00EE4CAE" w:rsidRDefault="00EE4CAE" w:rsidP="00EE4CAE">
    <w:pPr>
      <w:pStyle w:val="Header"/>
    </w:pPr>
    <w:r>
      <w:ptab w:relativeTo="margin" w:alignment="right" w:leader="none"/>
    </w:r>
  </w:p>
  <w:p w14:paraId="2BC6C619" w14:textId="13088075" w:rsidR="00D160CC" w:rsidRDefault="00964EDE" w:rsidP="00EE4CAE">
    <w:pPr>
      <w:pStyle w:val="Header"/>
      <w:rPr>
        <w:b/>
        <w:color w:val="1F497D" w:themeColor="text2"/>
      </w:rPr>
    </w:pPr>
    <w:r>
      <w:rPr>
        <w:b/>
        <w:color w:val="1F497D" w:themeColor="text2"/>
      </w:rPr>
      <w:t xml:space="preserve">MAURA </w:t>
    </w:r>
    <w:r w:rsidR="00E56BD5">
      <w:rPr>
        <w:b/>
        <w:color w:val="1F497D" w:themeColor="text2"/>
      </w:rPr>
      <w:t xml:space="preserve">T. </w:t>
    </w:r>
    <w:r>
      <w:rPr>
        <w:b/>
        <w:color w:val="1F497D" w:themeColor="text2"/>
      </w:rPr>
      <w:t>HEALEY</w:t>
    </w:r>
    <w:r w:rsidR="00EE4CAE" w:rsidRPr="00153DCE">
      <w:rPr>
        <w:b/>
        <w:color w:val="1F497D" w:themeColor="text2"/>
      </w:rPr>
      <w:tab/>
    </w:r>
    <w:r w:rsidR="00D160CC">
      <w:rPr>
        <w:b/>
        <w:color w:val="1F497D" w:themeColor="text2"/>
      </w:rPr>
      <w:tab/>
    </w:r>
    <w:r w:rsidR="00E320F9">
      <w:rPr>
        <w:b/>
        <w:color w:val="1F497D" w:themeColor="text2"/>
      </w:rPr>
      <w:t>KATHLEEN E. WALSH</w:t>
    </w:r>
  </w:p>
  <w:p w14:paraId="49954343" w14:textId="5737383C" w:rsidR="00734039" w:rsidRDefault="00465E5A" w:rsidP="00EE4CAE">
    <w:pPr>
      <w:pStyle w:val="Header"/>
      <w:rPr>
        <w:b/>
        <w:color w:val="1F497D" w:themeColor="text2"/>
      </w:rPr>
    </w:pPr>
    <w:r w:rsidRPr="00153DCE">
      <w:rPr>
        <w:color w:val="1F497D" w:themeColor="text2"/>
        <w:sz w:val="20"/>
        <w:szCs w:val="20"/>
      </w:rPr>
      <w:t>GOVERNOR</w:t>
    </w:r>
    <w:r>
      <w:rPr>
        <w:b/>
        <w:color w:val="1F497D" w:themeColor="text2"/>
      </w:rPr>
      <w:t xml:space="preserve"> </w:t>
    </w:r>
    <w:r w:rsidR="00EE4CAE" w:rsidRPr="00153DCE">
      <w:rPr>
        <w:b/>
        <w:color w:val="1F497D" w:themeColor="text2"/>
      </w:rPr>
      <w:t xml:space="preserve">                                                             </w:t>
    </w:r>
    <w:r w:rsidR="00964EDE">
      <w:rPr>
        <w:b/>
        <w:color w:val="1F497D" w:themeColor="text2"/>
      </w:rPr>
      <w:t xml:space="preserve">                                              </w:t>
    </w:r>
    <w:r w:rsidR="00D160CC">
      <w:rPr>
        <w:b/>
        <w:color w:val="1F497D" w:themeColor="text2"/>
      </w:rPr>
      <w:tab/>
    </w:r>
    <w:r w:rsidR="00964EDE">
      <w:rPr>
        <w:b/>
        <w:color w:val="1F497D" w:themeColor="text2"/>
      </w:rPr>
      <w:t xml:space="preserve">     </w:t>
    </w:r>
    <w:r>
      <w:rPr>
        <w:color w:val="1F497D" w:themeColor="text2"/>
        <w:sz w:val="20"/>
        <w:szCs w:val="20"/>
      </w:rPr>
      <w:t>SECRETARY</w:t>
    </w:r>
  </w:p>
  <w:p w14:paraId="50A285D4" w14:textId="77777777" w:rsidR="00734039" w:rsidRDefault="00734039" w:rsidP="00EE4CAE">
    <w:pPr>
      <w:pStyle w:val="Header"/>
      <w:rPr>
        <w:b/>
        <w:color w:val="1F497D" w:themeColor="text2"/>
      </w:rPr>
    </w:pPr>
  </w:p>
  <w:p w14:paraId="63AE781D" w14:textId="213AD8DA" w:rsidR="00734039" w:rsidRPr="00734039" w:rsidRDefault="00964EDE" w:rsidP="00EE4CAE">
    <w:pPr>
      <w:pStyle w:val="Header"/>
      <w:rPr>
        <w:b/>
        <w:color w:val="1F497D" w:themeColor="text2"/>
      </w:rPr>
    </w:pPr>
    <w:r>
      <w:rPr>
        <w:b/>
        <w:color w:val="1F497D" w:themeColor="text2"/>
      </w:rPr>
      <w:t>KIMBERLEY DRISCOLL</w:t>
    </w:r>
    <w:r w:rsidR="00EE4CAE" w:rsidRPr="00153DCE">
      <w:rPr>
        <w:b/>
        <w:color w:val="1F497D" w:themeColor="text2"/>
      </w:rPr>
      <w:t xml:space="preserve">                                   </w:t>
    </w:r>
    <w:r w:rsidR="00EE4CAE" w:rsidRPr="00153DCE">
      <w:rPr>
        <w:color w:val="1F497D" w:themeColor="text2"/>
      </w:rPr>
      <w:t xml:space="preserve">     </w:t>
    </w:r>
    <w:r w:rsidR="00EE4CAE">
      <w:tab/>
    </w:r>
    <w:r w:rsidR="00EE4CAE">
      <w:tab/>
    </w:r>
    <w:r w:rsidR="005F66F1">
      <w:rPr>
        <w:b/>
        <w:color w:val="1F497D" w:themeColor="text2"/>
      </w:rPr>
      <w:t>MIKE LEVINE</w:t>
    </w:r>
    <w:r w:rsidR="0064272D">
      <w:t xml:space="preserve">   </w:t>
    </w:r>
    <w:r w:rsidR="00E27559">
      <w:t xml:space="preserve">     </w:t>
    </w:r>
    <w:r w:rsidR="0064272D">
      <w:t xml:space="preserve"> </w:t>
    </w:r>
  </w:p>
  <w:p w14:paraId="3A881FA9" w14:textId="1B78C312" w:rsidR="00EE4CAE" w:rsidRDefault="00EE4CAE">
    <w:pPr>
      <w:pStyle w:val="Header"/>
      <w:rPr>
        <w:color w:val="1F497D" w:themeColor="text2"/>
        <w:sz w:val="20"/>
        <w:szCs w:val="20"/>
      </w:rPr>
    </w:pPr>
    <w:r w:rsidRPr="00153DCE">
      <w:rPr>
        <w:color w:val="1F497D" w:themeColor="text2"/>
        <w:sz w:val="20"/>
        <w:szCs w:val="20"/>
      </w:rPr>
      <w:t>LIEUTENANT GOVERNOR</w:t>
    </w:r>
    <w:r w:rsidR="00E27559">
      <w:rPr>
        <w:color w:val="1F497D" w:themeColor="text2"/>
        <w:sz w:val="20"/>
        <w:szCs w:val="20"/>
      </w:rPr>
      <w:t xml:space="preserve"> </w:t>
    </w:r>
    <w:r w:rsidR="00607406">
      <w:rPr>
        <w:color w:val="1F497D" w:themeColor="text2"/>
        <w:sz w:val="20"/>
        <w:szCs w:val="20"/>
      </w:rPr>
      <w:tab/>
    </w:r>
    <w:r w:rsidR="00607406">
      <w:rPr>
        <w:color w:val="1F497D" w:themeColor="text2"/>
        <w:sz w:val="20"/>
        <w:szCs w:val="20"/>
      </w:rPr>
      <w:tab/>
    </w:r>
    <w:r w:rsidR="005F66F1">
      <w:rPr>
        <w:color w:val="1F497D" w:themeColor="text2"/>
        <w:sz w:val="20"/>
        <w:szCs w:val="20"/>
      </w:rPr>
      <w:t>ASSISTANT SECRETARY</w:t>
    </w:r>
  </w:p>
  <w:p w14:paraId="1E75DEA9" w14:textId="4D5871DE" w:rsidR="005F66F1" w:rsidRPr="00607406" w:rsidRDefault="005F66F1">
    <w:pPr>
      <w:pStyle w:val="Header"/>
      <w:rPr>
        <w:color w:val="1F497D" w:themeColor="text2"/>
      </w:rPr>
    </w:pPr>
    <w:r>
      <w:rPr>
        <w:color w:val="1F497D" w:themeColor="text2"/>
        <w:sz w:val="20"/>
        <w:szCs w:val="20"/>
      </w:rPr>
      <w:tab/>
    </w:r>
    <w:r>
      <w:rPr>
        <w:color w:val="1F497D" w:themeColor="text2"/>
        <w:sz w:val="20"/>
        <w:szCs w:val="20"/>
      </w:rPr>
      <w:tab/>
      <w:t>FOR MASSHEALTH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A4997"/>
    <w:multiLevelType w:val="hybridMultilevel"/>
    <w:tmpl w:val="BEE4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DA49C1"/>
    <w:multiLevelType w:val="hybridMultilevel"/>
    <w:tmpl w:val="69762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039795">
    <w:abstractNumId w:val="0"/>
  </w:num>
  <w:num w:numId="2" w16cid:durableId="272783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07C23"/>
    <w:rsid w:val="00024809"/>
    <w:rsid w:val="00037BAC"/>
    <w:rsid w:val="00056C52"/>
    <w:rsid w:val="000722C4"/>
    <w:rsid w:val="00095259"/>
    <w:rsid w:val="000A5542"/>
    <w:rsid w:val="000B3478"/>
    <w:rsid w:val="000B68EC"/>
    <w:rsid w:val="000D0B83"/>
    <w:rsid w:val="000D40BE"/>
    <w:rsid w:val="000D6B0A"/>
    <w:rsid w:val="000E08AA"/>
    <w:rsid w:val="00134791"/>
    <w:rsid w:val="001521F3"/>
    <w:rsid w:val="00153DCE"/>
    <w:rsid w:val="00154CA9"/>
    <w:rsid w:val="001577D8"/>
    <w:rsid w:val="0016586A"/>
    <w:rsid w:val="0016668A"/>
    <w:rsid w:val="001813E0"/>
    <w:rsid w:val="00193348"/>
    <w:rsid w:val="001A3B9D"/>
    <w:rsid w:val="001A7742"/>
    <w:rsid w:val="001C3340"/>
    <w:rsid w:val="001D322B"/>
    <w:rsid w:val="001D628B"/>
    <w:rsid w:val="00210F32"/>
    <w:rsid w:val="00227764"/>
    <w:rsid w:val="002448DD"/>
    <w:rsid w:val="00252CBB"/>
    <w:rsid w:val="00263ED6"/>
    <w:rsid w:val="00266B97"/>
    <w:rsid w:val="00271D28"/>
    <w:rsid w:val="00284238"/>
    <w:rsid w:val="00292970"/>
    <w:rsid w:val="002A4336"/>
    <w:rsid w:val="002B4B0F"/>
    <w:rsid w:val="003113E4"/>
    <w:rsid w:val="00314316"/>
    <w:rsid w:val="0033130A"/>
    <w:rsid w:val="00333412"/>
    <w:rsid w:val="0034752E"/>
    <w:rsid w:val="00351564"/>
    <w:rsid w:val="00371BDA"/>
    <w:rsid w:val="00375B15"/>
    <w:rsid w:val="003A3870"/>
    <w:rsid w:val="003A3882"/>
    <w:rsid w:val="003A57C6"/>
    <w:rsid w:val="003B068A"/>
    <w:rsid w:val="003B6466"/>
    <w:rsid w:val="003D33EE"/>
    <w:rsid w:val="003F3D42"/>
    <w:rsid w:val="003F6AAE"/>
    <w:rsid w:val="0041466F"/>
    <w:rsid w:val="00424CB8"/>
    <w:rsid w:val="004400CB"/>
    <w:rsid w:val="00442B31"/>
    <w:rsid w:val="00443CDB"/>
    <w:rsid w:val="00464085"/>
    <w:rsid w:val="00465E5A"/>
    <w:rsid w:val="004B5523"/>
    <w:rsid w:val="004D1237"/>
    <w:rsid w:val="004D48D7"/>
    <w:rsid w:val="004D71C4"/>
    <w:rsid w:val="004F309E"/>
    <w:rsid w:val="004F3CFC"/>
    <w:rsid w:val="004F7799"/>
    <w:rsid w:val="005111B8"/>
    <w:rsid w:val="005246D9"/>
    <w:rsid w:val="0053555D"/>
    <w:rsid w:val="005448AE"/>
    <w:rsid w:val="0055123C"/>
    <w:rsid w:val="0055277E"/>
    <w:rsid w:val="00555894"/>
    <w:rsid w:val="0056474D"/>
    <w:rsid w:val="0057224E"/>
    <w:rsid w:val="00585302"/>
    <w:rsid w:val="00593A2C"/>
    <w:rsid w:val="00597C39"/>
    <w:rsid w:val="005B5D35"/>
    <w:rsid w:val="005C50D6"/>
    <w:rsid w:val="005F20AC"/>
    <w:rsid w:val="005F6324"/>
    <w:rsid w:val="005F66F1"/>
    <w:rsid w:val="00607406"/>
    <w:rsid w:val="006313C6"/>
    <w:rsid w:val="0064272D"/>
    <w:rsid w:val="006523DA"/>
    <w:rsid w:val="006616C8"/>
    <w:rsid w:val="006718AB"/>
    <w:rsid w:val="006B1D87"/>
    <w:rsid w:val="006B5AEB"/>
    <w:rsid w:val="006B6EE0"/>
    <w:rsid w:val="006E5DED"/>
    <w:rsid w:val="00700CAA"/>
    <w:rsid w:val="0070235D"/>
    <w:rsid w:val="007037BC"/>
    <w:rsid w:val="00720C4F"/>
    <w:rsid w:val="00734039"/>
    <w:rsid w:val="00741D70"/>
    <w:rsid w:val="00742615"/>
    <w:rsid w:val="00782360"/>
    <w:rsid w:val="007B48C3"/>
    <w:rsid w:val="007D29EA"/>
    <w:rsid w:val="007F04B8"/>
    <w:rsid w:val="007F05A9"/>
    <w:rsid w:val="00800711"/>
    <w:rsid w:val="008053A4"/>
    <w:rsid w:val="00806DE7"/>
    <w:rsid w:val="0084320F"/>
    <w:rsid w:val="00855F4C"/>
    <w:rsid w:val="00870233"/>
    <w:rsid w:val="00894C1A"/>
    <w:rsid w:val="00895052"/>
    <w:rsid w:val="008A50C9"/>
    <w:rsid w:val="008A594E"/>
    <w:rsid w:val="008B6A36"/>
    <w:rsid w:val="008C4FBD"/>
    <w:rsid w:val="008D2E81"/>
    <w:rsid w:val="008E4704"/>
    <w:rsid w:val="008F11EC"/>
    <w:rsid w:val="008F1A9B"/>
    <w:rsid w:val="009079E1"/>
    <w:rsid w:val="00925433"/>
    <w:rsid w:val="0094182B"/>
    <w:rsid w:val="00947D96"/>
    <w:rsid w:val="00964EDE"/>
    <w:rsid w:val="00985B40"/>
    <w:rsid w:val="00A06F80"/>
    <w:rsid w:val="00A22853"/>
    <w:rsid w:val="00A32566"/>
    <w:rsid w:val="00A34C8D"/>
    <w:rsid w:val="00A40E6B"/>
    <w:rsid w:val="00A4290D"/>
    <w:rsid w:val="00AB33D8"/>
    <w:rsid w:val="00AB5DD7"/>
    <w:rsid w:val="00AD16B5"/>
    <w:rsid w:val="00AD1B8A"/>
    <w:rsid w:val="00AF7390"/>
    <w:rsid w:val="00B001C3"/>
    <w:rsid w:val="00B05BEB"/>
    <w:rsid w:val="00B26E3D"/>
    <w:rsid w:val="00B32943"/>
    <w:rsid w:val="00B32F0B"/>
    <w:rsid w:val="00B332EB"/>
    <w:rsid w:val="00B600C7"/>
    <w:rsid w:val="00B623EB"/>
    <w:rsid w:val="00B67AEF"/>
    <w:rsid w:val="00B7515C"/>
    <w:rsid w:val="00B92714"/>
    <w:rsid w:val="00BA6D03"/>
    <w:rsid w:val="00BB4CB1"/>
    <w:rsid w:val="00BD12DF"/>
    <w:rsid w:val="00BD7815"/>
    <w:rsid w:val="00BE646B"/>
    <w:rsid w:val="00BE7E87"/>
    <w:rsid w:val="00C223F6"/>
    <w:rsid w:val="00C400D6"/>
    <w:rsid w:val="00C47F51"/>
    <w:rsid w:val="00C62026"/>
    <w:rsid w:val="00C75BB9"/>
    <w:rsid w:val="00C83719"/>
    <w:rsid w:val="00C87BF7"/>
    <w:rsid w:val="00CC76C6"/>
    <w:rsid w:val="00CF17E0"/>
    <w:rsid w:val="00D160CC"/>
    <w:rsid w:val="00D27D07"/>
    <w:rsid w:val="00D431A4"/>
    <w:rsid w:val="00D5182F"/>
    <w:rsid w:val="00D51D74"/>
    <w:rsid w:val="00D63172"/>
    <w:rsid w:val="00D761F6"/>
    <w:rsid w:val="00DC2FAE"/>
    <w:rsid w:val="00DD0AB8"/>
    <w:rsid w:val="00DE4A55"/>
    <w:rsid w:val="00DF03B5"/>
    <w:rsid w:val="00DF366A"/>
    <w:rsid w:val="00E10A6E"/>
    <w:rsid w:val="00E15210"/>
    <w:rsid w:val="00E27559"/>
    <w:rsid w:val="00E320F9"/>
    <w:rsid w:val="00E411FF"/>
    <w:rsid w:val="00E56BD5"/>
    <w:rsid w:val="00E620A3"/>
    <w:rsid w:val="00E74BC2"/>
    <w:rsid w:val="00E76195"/>
    <w:rsid w:val="00E92AC9"/>
    <w:rsid w:val="00EA69BA"/>
    <w:rsid w:val="00EB5FFD"/>
    <w:rsid w:val="00EC1CFA"/>
    <w:rsid w:val="00EE4CAE"/>
    <w:rsid w:val="00F12C5F"/>
    <w:rsid w:val="00F434AA"/>
    <w:rsid w:val="00F44C98"/>
    <w:rsid w:val="00F65E52"/>
    <w:rsid w:val="00F72118"/>
    <w:rsid w:val="00F76940"/>
    <w:rsid w:val="00F8728D"/>
    <w:rsid w:val="00F97B29"/>
    <w:rsid w:val="00FA0C81"/>
    <w:rsid w:val="00FB216E"/>
    <w:rsid w:val="00FB2460"/>
    <w:rsid w:val="00FE4AA0"/>
    <w:rsid w:val="07B06FFA"/>
    <w:rsid w:val="09EC8201"/>
    <w:rsid w:val="31C7D5C3"/>
    <w:rsid w:val="49FF5B84"/>
    <w:rsid w:val="4C9118EC"/>
    <w:rsid w:val="5A4E48F0"/>
    <w:rsid w:val="5C7E90D0"/>
    <w:rsid w:val="61180E0F"/>
    <w:rsid w:val="6B7CFEF2"/>
    <w:rsid w:val="6D18C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6A6FA9AF-B3CA-4806-ABF4-85C7623A6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paragraph" w:styleId="Heading1">
    <w:name w:val="heading 1"/>
    <w:basedOn w:val="Normal"/>
    <w:next w:val="Normal"/>
    <w:link w:val="Heading1Char"/>
    <w:qFormat/>
    <w:rsid w:val="001813E0"/>
    <w:pPr>
      <w:spacing w:after="360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1813E0"/>
    <w:pPr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rsid w:val="0070235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235D"/>
    <w:pPr>
      <w:spacing w:after="200" w:line="276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813E0"/>
    <w:rPr>
      <w:rFonts w:ascii="Times New Roman" w:eastAsia="Times New Roman" w:hAnsi="Times New Roman" w:cs="Times New Roman"/>
      <w:b/>
      <w:sz w:val="24"/>
      <w:szCs w:val="24"/>
    </w:rPr>
  </w:style>
  <w:style w:type="table" w:styleId="TableGrid">
    <w:name w:val="Table Grid"/>
    <w:basedOn w:val="TableNormal"/>
    <w:rsid w:val="00BD12DF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1813E0"/>
    <w:rPr>
      <w:rFonts w:ascii="Times New Roman" w:eastAsia="Times New Roman" w:hAnsi="Times New Roman" w:cs="Times New Roman"/>
      <w:b/>
      <w:sz w:val="24"/>
      <w:szCs w:val="24"/>
    </w:rPr>
  </w:style>
  <w:style w:type="paragraph" w:styleId="Revision">
    <w:name w:val="Revision"/>
    <w:hidden/>
    <w:uiPriority w:val="99"/>
    <w:semiHidden/>
    <w:rsid w:val="004400CB"/>
  </w:style>
  <w:style w:type="character" w:styleId="CommentReference">
    <w:name w:val="annotation reference"/>
    <w:basedOn w:val="DefaultParagraphFont"/>
    <w:uiPriority w:val="99"/>
    <w:semiHidden/>
    <w:unhideWhenUsed/>
    <w:rsid w:val="004D71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71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71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1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71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1f3e3b9-8052-4988-a4eb-24f16969dcab">
      <UserInfo>
        <DisplayName>Eagle, Jacqueline M (EHS)</DisplayName>
        <AccountId>13</AccountId>
        <AccountType/>
      </UserInfo>
      <UserInfo>
        <DisplayName>Girard, Daniel J. (EHS)</DisplayName>
        <AccountId>7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CAA8BD88EB8945AAE04407B477030C" ma:contentTypeVersion="4" ma:contentTypeDescription="Create a new document." ma:contentTypeScope="" ma:versionID="b4f047f07b6dff46b11e54d952926b20">
  <xsd:schema xmlns:xsd="http://www.w3.org/2001/XMLSchema" xmlns:xs="http://www.w3.org/2001/XMLSchema" xmlns:p="http://schemas.microsoft.com/office/2006/metadata/properties" xmlns:ns2="d8ecd2c7-f42d-412b-950c-7056a0e524ed" xmlns:ns3="91f3e3b9-8052-4988-a4eb-24f16969dcab" targetNamespace="http://schemas.microsoft.com/office/2006/metadata/properties" ma:root="true" ma:fieldsID="ca9a3c8951ec1b0ba78a5e210686b635" ns2:_="" ns3:_="">
    <xsd:import namespace="d8ecd2c7-f42d-412b-950c-7056a0e524ed"/>
    <xsd:import namespace="91f3e3b9-8052-4988-a4eb-24f16969dc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cd2c7-f42d-412b-950c-7056a0e524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3e3b9-8052-4988-a4eb-24f16969dc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F5ACEA-0E3A-42F0-8A33-5640CCF1BBD7}">
  <ds:schemaRefs>
    <ds:schemaRef ds:uri="http://schemas.microsoft.com/office/2006/metadata/properties"/>
    <ds:schemaRef ds:uri="http://schemas.microsoft.com/office/infopath/2007/PartnerControls"/>
    <ds:schemaRef ds:uri="91f3e3b9-8052-4988-a4eb-24f16969dcab"/>
  </ds:schemaRefs>
</ds:datastoreItem>
</file>

<file path=customXml/itemProps2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C86C88-07C1-4361-8AD7-2F635A547B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4EAA46-2209-4188-AB4C-BBD4357A97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ecd2c7-f42d-412b-950c-7056a0e524ed"/>
    <ds:schemaRef ds:uri="91f3e3b9-8052-4988-a4eb-24f16969dc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Bulletin 23-13</vt:lpstr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Bulletin 23-13</dc:title>
  <dc:subject/>
  <dc:creator>MassHealth</dc:creator>
  <cp:keywords/>
  <cp:lastModifiedBy>Crystal, Malcolm (EHS)</cp:lastModifiedBy>
  <cp:revision>2</cp:revision>
  <cp:lastPrinted>2023-03-01T20:48:00Z</cp:lastPrinted>
  <dcterms:created xsi:type="dcterms:W3CDTF">2023-07-12T12:47:00Z</dcterms:created>
  <dcterms:modified xsi:type="dcterms:W3CDTF">2023-07-12T12:47:00Z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0x0101004ACAA8BD88EB8945AAE04407B477030C</vt:lpwstr>
  </property>
  <property fmtid="{D5CDD505-2E9C-101B-9397-08002B2CF9AE}" pid="3" name="Order">
    <vt:r8>9600</vt:r8>
  </property>
</Properties>
</file>